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1AE59">
      <w:pPr>
        <w:outlineLvl w:val="9"/>
        <w:rPr>
          <w:rFonts w:ascii="黑体" w:hAnsi="黑体" w:eastAsia="黑体" w:cs="Times New Roman"/>
          <w:sz w:val="44"/>
          <w:szCs w:val="44"/>
        </w:rPr>
      </w:pPr>
    </w:p>
    <w:p w14:paraId="7CEA32B3">
      <w:pPr>
        <w:rPr>
          <w:rFonts w:ascii="黑体" w:hAnsi="黑体" w:eastAsia="黑体" w:cs="Times New Roman"/>
          <w:sz w:val="44"/>
          <w:szCs w:val="44"/>
        </w:rPr>
      </w:pPr>
    </w:p>
    <w:p w14:paraId="2F292FA9">
      <w:pPr>
        <w:rPr>
          <w:rFonts w:ascii="黑体" w:hAnsi="黑体" w:eastAsia="黑体" w:cs="Times New Roman"/>
          <w:sz w:val="44"/>
          <w:szCs w:val="44"/>
        </w:rPr>
      </w:pPr>
    </w:p>
    <w:p w14:paraId="55167998">
      <w:pPr>
        <w:jc w:val="center"/>
        <w:rPr>
          <w:rFonts w:ascii="黑体" w:hAnsi="黑体" w:eastAsia="黑体" w:cs="Times New Roman"/>
          <w:sz w:val="72"/>
          <w:szCs w:val="72"/>
        </w:rPr>
      </w:pPr>
      <w:r>
        <w:rPr>
          <w:rFonts w:hint="eastAsia" w:ascii="黑体" w:hAnsi="黑体" w:eastAsia="黑体" w:cs="黑体"/>
          <w:sz w:val="72"/>
          <w:szCs w:val="72"/>
        </w:rPr>
        <w:t>阿坝州金川环境监测站</w:t>
      </w:r>
      <w:r>
        <w:rPr>
          <w:rFonts w:ascii="黑体" w:hAnsi="黑体" w:eastAsia="黑体" w:cs="黑体"/>
          <w:sz w:val="72"/>
          <w:szCs w:val="72"/>
        </w:rPr>
        <w:t>202</w:t>
      </w:r>
      <w:r>
        <w:rPr>
          <w:rFonts w:hint="eastAsia" w:ascii="黑体" w:hAnsi="黑体" w:eastAsia="黑体" w:cs="黑体"/>
          <w:sz w:val="72"/>
          <w:szCs w:val="72"/>
          <w:lang w:val="en-US" w:eastAsia="zh-CN"/>
        </w:rPr>
        <w:t>6</w:t>
      </w:r>
      <w:r>
        <w:rPr>
          <w:rFonts w:ascii="黑体" w:hAnsi="黑体" w:eastAsia="黑体" w:cs="黑体"/>
          <w:sz w:val="72"/>
          <w:szCs w:val="72"/>
        </w:rPr>
        <w:t>年</w:t>
      </w:r>
      <w:r>
        <w:rPr>
          <w:rFonts w:hint="eastAsia" w:ascii="黑体" w:hAnsi="黑体" w:eastAsia="黑体" w:cs="黑体"/>
          <w:sz w:val="72"/>
          <w:szCs w:val="72"/>
        </w:rPr>
        <w:t>部门预算</w:t>
      </w:r>
    </w:p>
    <w:p w14:paraId="389E7FBB">
      <w:pPr>
        <w:jc w:val="center"/>
        <w:rPr>
          <w:rFonts w:ascii="黑体" w:hAnsi="黑体" w:eastAsia="黑体" w:cs="Times New Roman"/>
          <w:sz w:val="44"/>
          <w:szCs w:val="44"/>
        </w:rPr>
      </w:pPr>
    </w:p>
    <w:p w14:paraId="6A1FDEE2">
      <w:pPr>
        <w:jc w:val="center"/>
        <w:rPr>
          <w:rFonts w:ascii="黑体" w:hAnsi="黑体" w:eastAsia="黑体" w:cs="Times New Roman"/>
          <w:sz w:val="44"/>
          <w:szCs w:val="44"/>
        </w:rPr>
      </w:pPr>
    </w:p>
    <w:p w14:paraId="0D8E6EBD">
      <w:pPr>
        <w:jc w:val="center"/>
        <w:rPr>
          <w:rFonts w:ascii="黑体" w:hAnsi="黑体" w:eastAsia="黑体" w:cs="Times New Roman"/>
          <w:sz w:val="44"/>
          <w:szCs w:val="44"/>
        </w:rPr>
      </w:pPr>
    </w:p>
    <w:p w14:paraId="698D9186">
      <w:pPr>
        <w:jc w:val="center"/>
        <w:rPr>
          <w:rFonts w:ascii="黑体" w:hAnsi="黑体" w:eastAsia="黑体" w:cs="Times New Roman"/>
          <w:sz w:val="44"/>
          <w:szCs w:val="44"/>
        </w:rPr>
      </w:pPr>
    </w:p>
    <w:p w14:paraId="61687E96">
      <w:pPr>
        <w:jc w:val="center"/>
        <w:rPr>
          <w:rFonts w:ascii="黑体" w:hAnsi="黑体" w:eastAsia="黑体" w:cs="Times New Roman"/>
          <w:sz w:val="44"/>
          <w:szCs w:val="44"/>
        </w:rPr>
      </w:pPr>
    </w:p>
    <w:p w14:paraId="5C84EAC7">
      <w:pPr>
        <w:jc w:val="center"/>
        <w:rPr>
          <w:rFonts w:ascii="黑体" w:hAnsi="黑体" w:eastAsia="黑体" w:cs="Times New Roman"/>
          <w:sz w:val="44"/>
          <w:szCs w:val="44"/>
        </w:rPr>
      </w:pPr>
    </w:p>
    <w:p w14:paraId="064DF05F">
      <w:pPr>
        <w:jc w:val="center"/>
        <w:rPr>
          <w:rFonts w:ascii="黑体" w:hAnsi="黑体" w:eastAsia="黑体" w:cs="Times New Roman"/>
          <w:sz w:val="44"/>
          <w:szCs w:val="44"/>
        </w:rPr>
      </w:pPr>
    </w:p>
    <w:p w14:paraId="326AA1CD">
      <w:pPr>
        <w:jc w:val="center"/>
        <w:rPr>
          <w:rFonts w:ascii="黑体" w:hAnsi="黑体" w:eastAsia="黑体" w:cs="Times New Roman"/>
          <w:sz w:val="44"/>
          <w:szCs w:val="44"/>
        </w:rPr>
      </w:pPr>
    </w:p>
    <w:p w14:paraId="2F4EF64B">
      <w:pPr>
        <w:jc w:val="center"/>
        <w:rPr>
          <w:rFonts w:ascii="黑体" w:hAnsi="黑体" w:eastAsia="黑体" w:cs="Times New Roman"/>
          <w:sz w:val="44"/>
          <w:szCs w:val="44"/>
        </w:rPr>
      </w:pPr>
    </w:p>
    <w:p w14:paraId="046B9F0F">
      <w:pPr>
        <w:jc w:val="center"/>
        <w:rPr>
          <w:rFonts w:ascii="黑体" w:hAnsi="黑体" w:eastAsia="黑体" w:cs="Times New Roman"/>
          <w:sz w:val="44"/>
          <w:szCs w:val="44"/>
        </w:rPr>
      </w:pPr>
    </w:p>
    <w:p w14:paraId="381BF2B3">
      <w:pPr>
        <w:jc w:val="center"/>
        <w:rPr>
          <w:rFonts w:ascii="黑体" w:hAnsi="黑体" w:eastAsia="黑体" w:cs="Times New Roman"/>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6</w:t>
      </w:r>
      <w:r>
        <w:rPr>
          <w:rFonts w:hint="eastAsia" w:ascii="黑体" w:hAnsi="黑体" w:eastAsia="黑体" w:cs="黑体"/>
          <w:sz w:val="52"/>
          <w:szCs w:val="52"/>
        </w:rPr>
        <w:t>年</w:t>
      </w:r>
      <w:r>
        <w:rPr>
          <w:rFonts w:hint="eastAsia" w:ascii="黑体" w:hAnsi="黑体" w:eastAsia="黑体" w:cs="黑体"/>
          <w:sz w:val="52"/>
          <w:szCs w:val="52"/>
          <w:lang w:val="en-US" w:eastAsia="zh-CN"/>
        </w:rPr>
        <w:t>1</w:t>
      </w:r>
      <w:r>
        <w:rPr>
          <w:rFonts w:hint="eastAsia" w:ascii="黑体" w:hAnsi="黑体" w:eastAsia="黑体" w:cs="黑体"/>
          <w:sz w:val="52"/>
          <w:szCs w:val="52"/>
        </w:rPr>
        <w:t>月1</w:t>
      </w:r>
      <w:r>
        <w:rPr>
          <w:rFonts w:hint="eastAsia" w:ascii="黑体" w:hAnsi="黑体" w:eastAsia="黑体" w:cs="黑体"/>
          <w:sz w:val="52"/>
          <w:szCs w:val="52"/>
          <w:lang w:val="en-US" w:eastAsia="zh-CN"/>
        </w:rPr>
        <w:t>6</w:t>
      </w:r>
      <w:r>
        <w:rPr>
          <w:rFonts w:hint="eastAsia" w:ascii="黑体" w:hAnsi="黑体" w:eastAsia="黑体" w:cs="黑体"/>
          <w:sz w:val="52"/>
          <w:szCs w:val="52"/>
        </w:rPr>
        <w:t>日</w:t>
      </w:r>
    </w:p>
    <w:p w14:paraId="492538AB">
      <w:pPr>
        <w:rPr>
          <w:rFonts w:ascii="黑体" w:hAnsi="黑体" w:eastAsia="黑体" w:cs="Times New Roman"/>
          <w:sz w:val="44"/>
          <w:szCs w:val="44"/>
        </w:rPr>
      </w:pPr>
    </w:p>
    <w:p w14:paraId="62BDE67D">
      <w:pPr>
        <w:rPr>
          <w:rFonts w:ascii="黑体" w:hAnsi="黑体" w:eastAsia="黑体" w:cs="Times New Roman"/>
          <w:sz w:val="44"/>
          <w:szCs w:val="44"/>
        </w:rPr>
      </w:pPr>
    </w:p>
    <w:p w14:paraId="15FCD510">
      <w:pPr>
        <w:pStyle w:val="2"/>
        <w:ind w:firstLine="880"/>
        <w:rPr>
          <w:rFonts w:ascii="黑体" w:hAnsi="黑体" w:eastAsia="黑体" w:cs="Times New Roman"/>
          <w:sz w:val="44"/>
          <w:szCs w:val="44"/>
        </w:rPr>
      </w:pPr>
    </w:p>
    <w:p w14:paraId="39CDEC8F">
      <w:pPr>
        <w:pStyle w:val="7"/>
      </w:pPr>
    </w:p>
    <w:p w14:paraId="1CD6DC9C">
      <w:pPr>
        <w:jc w:val="both"/>
        <w:rPr>
          <w:rFonts w:ascii="黑体" w:hAnsi="黑体" w:eastAsia="黑体" w:cs="黑体"/>
          <w:sz w:val="52"/>
          <w:szCs w:val="52"/>
        </w:rPr>
      </w:pPr>
    </w:p>
    <w:sdt>
      <w:sdtPr>
        <w:rPr>
          <w:rFonts w:ascii="宋体" w:hAnsi="宋体" w:eastAsia="宋体" w:cs="Calibri"/>
          <w:kern w:val="2"/>
          <w:sz w:val="21"/>
          <w:szCs w:val="21"/>
          <w:lang w:val="en-US" w:eastAsia="zh-CN" w:bidi="ar-SA"/>
        </w:rPr>
        <w:id w:val="147462207"/>
        <w15:color w:val="DBDBDB"/>
        <w:docPartObj>
          <w:docPartGallery w:val="Table of Contents"/>
          <w:docPartUnique/>
        </w:docPartObj>
      </w:sdtPr>
      <w:sdtEndPr>
        <w:rPr>
          <w:rFonts w:ascii="Calibri" w:hAnsi="Calibri" w:eastAsia="宋体" w:cs="Calibri"/>
          <w:kern w:val="2"/>
          <w:sz w:val="21"/>
          <w:szCs w:val="21"/>
          <w:lang w:val="en-US" w:eastAsia="zh-CN" w:bidi="ar-SA"/>
        </w:rPr>
      </w:sdtEndPr>
      <w:sdtContent>
        <w:p w14:paraId="2AC4B61A">
          <w:pPr>
            <w:spacing w:before="0" w:beforeLines="0" w:after="0" w:afterLines="0" w:line="240" w:lineRule="auto"/>
            <w:ind w:left="0" w:leftChars="0" w:right="0" w:rightChars="0" w:firstLine="0" w:firstLineChars="0"/>
            <w:jc w:val="center"/>
            <w:rPr>
              <w:sz w:val="24"/>
              <w:szCs w:val="24"/>
            </w:rPr>
          </w:pPr>
          <w:r>
            <w:rPr>
              <w:rFonts w:ascii="宋体" w:hAnsi="宋体" w:eastAsia="宋体"/>
              <w:sz w:val="28"/>
              <w:szCs w:val="28"/>
            </w:rPr>
            <w:t>目录</w:t>
          </w:r>
        </w:p>
        <w:p w14:paraId="6119E707">
          <w:pPr>
            <w:pStyle w:val="10"/>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_Toc2780 </w:instrText>
          </w:r>
          <w:r>
            <w:rPr>
              <w:sz w:val="28"/>
              <w:szCs w:val="28"/>
            </w:rPr>
            <w:fldChar w:fldCharType="separate"/>
          </w:r>
          <w:r>
            <w:rPr>
              <w:rFonts w:hint="eastAsia" w:ascii="黑体" w:hAnsi="黑体" w:eastAsia="黑体" w:cs="黑体"/>
              <w:kern w:val="2"/>
              <w:sz w:val="28"/>
              <w:szCs w:val="44"/>
            </w:rPr>
            <w:t>一、基本职能及主要工作</w:t>
          </w:r>
          <w:r>
            <w:rPr>
              <w:sz w:val="28"/>
              <w:szCs w:val="28"/>
            </w:rPr>
            <w:tab/>
          </w:r>
          <w:r>
            <w:rPr>
              <w:sz w:val="28"/>
              <w:szCs w:val="28"/>
            </w:rPr>
            <w:fldChar w:fldCharType="begin"/>
          </w:r>
          <w:r>
            <w:rPr>
              <w:sz w:val="28"/>
              <w:szCs w:val="28"/>
            </w:rPr>
            <w:instrText xml:space="preserve"> PAGEREF _Toc2780 \h </w:instrText>
          </w:r>
          <w:r>
            <w:rPr>
              <w:sz w:val="28"/>
              <w:szCs w:val="28"/>
            </w:rPr>
            <w:fldChar w:fldCharType="separate"/>
          </w:r>
          <w:r>
            <w:rPr>
              <w:sz w:val="28"/>
              <w:szCs w:val="28"/>
            </w:rPr>
            <w:t>3</w:t>
          </w:r>
          <w:r>
            <w:rPr>
              <w:sz w:val="28"/>
              <w:szCs w:val="28"/>
            </w:rPr>
            <w:fldChar w:fldCharType="end"/>
          </w:r>
          <w:r>
            <w:rPr>
              <w:sz w:val="28"/>
              <w:szCs w:val="28"/>
            </w:rPr>
            <w:fldChar w:fldCharType="end"/>
          </w:r>
        </w:p>
        <w:p w14:paraId="4DC5D291">
          <w:pPr>
            <w:pStyle w:val="11"/>
            <w:tabs>
              <w:tab w:val="right" w:leader="dot" w:pos="8306"/>
            </w:tabs>
            <w:rPr>
              <w:sz w:val="28"/>
              <w:szCs w:val="28"/>
            </w:rPr>
          </w:pPr>
          <w:r>
            <w:rPr>
              <w:sz w:val="28"/>
              <w:szCs w:val="28"/>
            </w:rPr>
            <w:fldChar w:fldCharType="begin"/>
          </w:r>
          <w:r>
            <w:rPr>
              <w:sz w:val="28"/>
              <w:szCs w:val="28"/>
            </w:rPr>
            <w:instrText xml:space="preserve"> HYPERLINK \l _Toc23999 </w:instrText>
          </w:r>
          <w:r>
            <w:rPr>
              <w:sz w:val="28"/>
              <w:szCs w:val="28"/>
            </w:rPr>
            <w:fldChar w:fldCharType="separate"/>
          </w:r>
          <w:r>
            <w:rPr>
              <w:rFonts w:hint="eastAsia" w:ascii="楷体_GB2312" w:hAnsi="楷体_GB2312" w:eastAsia="楷体_GB2312" w:cs="楷体_GB2312"/>
              <w:bCs/>
              <w:kern w:val="2"/>
              <w:sz w:val="28"/>
              <w:szCs w:val="44"/>
            </w:rPr>
            <w:t>（一）部门职能简介</w:t>
          </w:r>
          <w:r>
            <w:rPr>
              <w:sz w:val="28"/>
              <w:szCs w:val="28"/>
            </w:rPr>
            <w:tab/>
          </w:r>
          <w:r>
            <w:rPr>
              <w:sz w:val="28"/>
              <w:szCs w:val="28"/>
            </w:rPr>
            <w:fldChar w:fldCharType="begin"/>
          </w:r>
          <w:r>
            <w:rPr>
              <w:sz w:val="28"/>
              <w:szCs w:val="28"/>
            </w:rPr>
            <w:instrText xml:space="preserve"> PAGEREF _Toc23999 \h </w:instrText>
          </w:r>
          <w:r>
            <w:rPr>
              <w:sz w:val="28"/>
              <w:szCs w:val="28"/>
            </w:rPr>
            <w:fldChar w:fldCharType="separate"/>
          </w:r>
          <w:r>
            <w:rPr>
              <w:sz w:val="28"/>
              <w:szCs w:val="28"/>
            </w:rPr>
            <w:t>3</w:t>
          </w:r>
          <w:r>
            <w:rPr>
              <w:sz w:val="28"/>
              <w:szCs w:val="28"/>
            </w:rPr>
            <w:fldChar w:fldCharType="end"/>
          </w:r>
          <w:r>
            <w:rPr>
              <w:sz w:val="28"/>
              <w:szCs w:val="28"/>
            </w:rPr>
            <w:fldChar w:fldCharType="end"/>
          </w:r>
        </w:p>
        <w:p w14:paraId="16C093A2">
          <w:pPr>
            <w:pStyle w:val="11"/>
            <w:tabs>
              <w:tab w:val="right" w:leader="dot" w:pos="8306"/>
            </w:tabs>
            <w:rPr>
              <w:sz w:val="28"/>
              <w:szCs w:val="28"/>
            </w:rPr>
          </w:pPr>
          <w:r>
            <w:rPr>
              <w:sz w:val="28"/>
              <w:szCs w:val="28"/>
            </w:rPr>
            <w:fldChar w:fldCharType="begin"/>
          </w:r>
          <w:r>
            <w:rPr>
              <w:sz w:val="28"/>
              <w:szCs w:val="28"/>
            </w:rPr>
            <w:instrText xml:space="preserve"> HYPERLINK \l _Toc23249 </w:instrText>
          </w:r>
          <w:r>
            <w:rPr>
              <w:sz w:val="28"/>
              <w:szCs w:val="28"/>
            </w:rPr>
            <w:fldChar w:fldCharType="separate"/>
          </w:r>
          <w:r>
            <w:rPr>
              <w:rFonts w:hint="eastAsia" w:hAnsi="黑体"/>
              <w:bCs/>
              <w:kern w:val="2"/>
              <w:sz w:val="28"/>
              <w:szCs w:val="44"/>
            </w:rPr>
            <w:t>（二）202</w:t>
          </w:r>
          <w:r>
            <w:rPr>
              <w:rFonts w:hint="eastAsia" w:hAnsi="黑体"/>
              <w:bCs/>
              <w:kern w:val="2"/>
              <w:sz w:val="28"/>
              <w:szCs w:val="44"/>
              <w:lang w:val="en-US" w:eastAsia="zh-CN"/>
            </w:rPr>
            <w:t>6</w:t>
          </w:r>
          <w:r>
            <w:rPr>
              <w:rFonts w:hint="eastAsia" w:hAnsi="黑体"/>
              <w:bCs/>
              <w:kern w:val="2"/>
              <w:sz w:val="28"/>
              <w:szCs w:val="44"/>
            </w:rPr>
            <w:t>年重点工作</w:t>
          </w:r>
          <w:r>
            <w:rPr>
              <w:sz w:val="28"/>
              <w:szCs w:val="28"/>
            </w:rPr>
            <w:tab/>
          </w:r>
          <w:r>
            <w:rPr>
              <w:sz w:val="28"/>
              <w:szCs w:val="28"/>
            </w:rPr>
            <w:fldChar w:fldCharType="begin"/>
          </w:r>
          <w:r>
            <w:rPr>
              <w:sz w:val="28"/>
              <w:szCs w:val="28"/>
            </w:rPr>
            <w:instrText xml:space="preserve"> PAGEREF _Toc23249 \h </w:instrText>
          </w:r>
          <w:r>
            <w:rPr>
              <w:sz w:val="28"/>
              <w:szCs w:val="28"/>
            </w:rPr>
            <w:fldChar w:fldCharType="separate"/>
          </w:r>
          <w:r>
            <w:rPr>
              <w:sz w:val="28"/>
              <w:szCs w:val="28"/>
            </w:rPr>
            <w:t>4</w:t>
          </w:r>
          <w:r>
            <w:rPr>
              <w:sz w:val="28"/>
              <w:szCs w:val="28"/>
            </w:rPr>
            <w:fldChar w:fldCharType="end"/>
          </w:r>
          <w:r>
            <w:rPr>
              <w:sz w:val="28"/>
              <w:szCs w:val="28"/>
            </w:rPr>
            <w:fldChar w:fldCharType="end"/>
          </w:r>
        </w:p>
        <w:p w14:paraId="283F524F">
          <w:pPr>
            <w:pStyle w:val="10"/>
            <w:tabs>
              <w:tab w:val="right" w:leader="dot" w:pos="8306"/>
            </w:tabs>
            <w:rPr>
              <w:sz w:val="28"/>
              <w:szCs w:val="28"/>
            </w:rPr>
          </w:pPr>
          <w:r>
            <w:rPr>
              <w:sz w:val="28"/>
              <w:szCs w:val="28"/>
            </w:rPr>
            <w:fldChar w:fldCharType="begin"/>
          </w:r>
          <w:r>
            <w:rPr>
              <w:sz w:val="28"/>
              <w:szCs w:val="28"/>
            </w:rPr>
            <w:instrText xml:space="preserve"> HYPERLINK \l _Toc2138 </w:instrText>
          </w:r>
          <w:r>
            <w:rPr>
              <w:sz w:val="28"/>
              <w:szCs w:val="28"/>
            </w:rPr>
            <w:fldChar w:fldCharType="separate"/>
          </w:r>
          <w:r>
            <w:rPr>
              <w:rFonts w:hint="eastAsia" w:ascii="黑体" w:hAnsi="黑体" w:eastAsia="黑体" w:cs="黑体"/>
              <w:kern w:val="2"/>
              <w:sz w:val="28"/>
              <w:szCs w:val="44"/>
            </w:rPr>
            <w:t>二、部门预算单位构成</w:t>
          </w:r>
          <w:r>
            <w:rPr>
              <w:sz w:val="28"/>
              <w:szCs w:val="28"/>
            </w:rPr>
            <w:tab/>
          </w:r>
          <w:r>
            <w:rPr>
              <w:sz w:val="28"/>
              <w:szCs w:val="28"/>
            </w:rPr>
            <w:fldChar w:fldCharType="begin"/>
          </w:r>
          <w:r>
            <w:rPr>
              <w:sz w:val="28"/>
              <w:szCs w:val="28"/>
            </w:rPr>
            <w:instrText xml:space="preserve"> PAGEREF _Toc2138 \h </w:instrText>
          </w:r>
          <w:r>
            <w:rPr>
              <w:sz w:val="28"/>
              <w:szCs w:val="28"/>
            </w:rPr>
            <w:fldChar w:fldCharType="separate"/>
          </w:r>
          <w:r>
            <w:rPr>
              <w:sz w:val="28"/>
              <w:szCs w:val="28"/>
            </w:rPr>
            <w:t>5</w:t>
          </w:r>
          <w:r>
            <w:rPr>
              <w:sz w:val="28"/>
              <w:szCs w:val="28"/>
            </w:rPr>
            <w:fldChar w:fldCharType="end"/>
          </w:r>
          <w:r>
            <w:rPr>
              <w:sz w:val="28"/>
              <w:szCs w:val="28"/>
            </w:rPr>
            <w:fldChar w:fldCharType="end"/>
          </w:r>
        </w:p>
        <w:p w14:paraId="41FB2FF2">
          <w:pPr>
            <w:pStyle w:val="10"/>
            <w:tabs>
              <w:tab w:val="right" w:leader="dot" w:pos="8306"/>
            </w:tabs>
            <w:rPr>
              <w:sz w:val="28"/>
              <w:szCs w:val="28"/>
            </w:rPr>
          </w:pPr>
          <w:r>
            <w:rPr>
              <w:sz w:val="28"/>
              <w:szCs w:val="28"/>
            </w:rPr>
            <w:fldChar w:fldCharType="begin"/>
          </w:r>
          <w:r>
            <w:rPr>
              <w:sz w:val="28"/>
              <w:szCs w:val="28"/>
            </w:rPr>
            <w:instrText xml:space="preserve"> HYPERLINK \l _Toc32161 </w:instrText>
          </w:r>
          <w:r>
            <w:rPr>
              <w:sz w:val="28"/>
              <w:szCs w:val="28"/>
            </w:rPr>
            <w:fldChar w:fldCharType="separate"/>
          </w:r>
          <w:r>
            <w:rPr>
              <w:rFonts w:hint="eastAsia" w:ascii="黑体" w:hAnsi="黑体" w:eastAsia="黑体" w:cs="黑体"/>
              <w:kern w:val="2"/>
              <w:sz w:val="28"/>
              <w:szCs w:val="44"/>
            </w:rPr>
            <w:t>三、收支预算情况说明</w:t>
          </w:r>
          <w:r>
            <w:rPr>
              <w:sz w:val="28"/>
              <w:szCs w:val="28"/>
            </w:rPr>
            <w:tab/>
          </w:r>
          <w:r>
            <w:rPr>
              <w:sz w:val="28"/>
              <w:szCs w:val="28"/>
            </w:rPr>
            <w:fldChar w:fldCharType="begin"/>
          </w:r>
          <w:r>
            <w:rPr>
              <w:sz w:val="28"/>
              <w:szCs w:val="28"/>
            </w:rPr>
            <w:instrText xml:space="preserve"> PAGEREF _Toc32161 \h </w:instrText>
          </w:r>
          <w:r>
            <w:rPr>
              <w:sz w:val="28"/>
              <w:szCs w:val="28"/>
            </w:rPr>
            <w:fldChar w:fldCharType="separate"/>
          </w:r>
          <w:r>
            <w:rPr>
              <w:sz w:val="28"/>
              <w:szCs w:val="28"/>
            </w:rPr>
            <w:t>5</w:t>
          </w:r>
          <w:r>
            <w:rPr>
              <w:sz w:val="28"/>
              <w:szCs w:val="28"/>
            </w:rPr>
            <w:fldChar w:fldCharType="end"/>
          </w:r>
          <w:r>
            <w:rPr>
              <w:sz w:val="28"/>
              <w:szCs w:val="28"/>
            </w:rPr>
            <w:fldChar w:fldCharType="end"/>
          </w:r>
        </w:p>
        <w:p w14:paraId="64174A7C">
          <w:pPr>
            <w:pStyle w:val="11"/>
            <w:tabs>
              <w:tab w:val="right" w:leader="dot" w:pos="8306"/>
            </w:tabs>
            <w:rPr>
              <w:sz w:val="28"/>
              <w:szCs w:val="28"/>
            </w:rPr>
          </w:pPr>
          <w:r>
            <w:rPr>
              <w:sz w:val="28"/>
              <w:szCs w:val="28"/>
            </w:rPr>
            <w:fldChar w:fldCharType="begin"/>
          </w:r>
          <w:r>
            <w:rPr>
              <w:sz w:val="28"/>
              <w:szCs w:val="28"/>
            </w:rPr>
            <w:instrText xml:space="preserve"> HYPERLINK \l _Toc17948 </w:instrText>
          </w:r>
          <w:r>
            <w:rPr>
              <w:sz w:val="28"/>
              <w:szCs w:val="28"/>
            </w:rPr>
            <w:fldChar w:fldCharType="separate"/>
          </w:r>
          <w:r>
            <w:rPr>
              <w:rFonts w:hint="eastAsia" w:ascii="楷体_GB2312" w:hAnsi="黑体" w:eastAsia="楷体_GB2312" w:cs="楷体_GB2312"/>
              <w:bCs/>
              <w:kern w:val="2"/>
              <w:sz w:val="28"/>
              <w:szCs w:val="44"/>
            </w:rPr>
            <w:t>（一）收入预算情况</w:t>
          </w:r>
          <w:r>
            <w:rPr>
              <w:sz w:val="28"/>
              <w:szCs w:val="28"/>
            </w:rPr>
            <w:tab/>
          </w:r>
          <w:r>
            <w:rPr>
              <w:sz w:val="28"/>
              <w:szCs w:val="28"/>
            </w:rPr>
            <w:fldChar w:fldCharType="begin"/>
          </w:r>
          <w:r>
            <w:rPr>
              <w:sz w:val="28"/>
              <w:szCs w:val="28"/>
            </w:rPr>
            <w:instrText xml:space="preserve"> PAGEREF _Toc17948 \h </w:instrText>
          </w:r>
          <w:r>
            <w:rPr>
              <w:sz w:val="28"/>
              <w:szCs w:val="28"/>
            </w:rPr>
            <w:fldChar w:fldCharType="separate"/>
          </w:r>
          <w:r>
            <w:rPr>
              <w:sz w:val="28"/>
              <w:szCs w:val="28"/>
            </w:rPr>
            <w:t>5</w:t>
          </w:r>
          <w:r>
            <w:rPr>
              <w:sz w:val="28"/>
              <w:szCs w:val="28"/>
            </w:rPr>
            <w:fldChar w:fldCharType="end"/>
          </w:r>
          <w:r>
            <w:rPr>
              <w:sz w:val="28"/>
              <w:szCs w:val="28"/>
            </w:rPr>
            <w:fldChar w:fldCharType="end"/>
          </w:r>
        </w:p>
        <w:p w14:paraId="659E75AF">
          <w:pPr>
            <w:pStyle w:val="11"/>
            <w:tabs>
              <w:tab w:val="right" w:leader="dot" w:pos="8306"/>
            </w:tabs>
            <w:rPr>
              <w:sz w:val="28"/>
              <w:szCs w:val="28"/>
            </w:rPr>
          </w:pPr>
          <w:r>
            <w:rPr>
              <w:sz w:val="28"/>
              <w:szCs w:val="28"/>
            </w:rPr>
            <w:fldChar w:fldCharType="begin"/>
          </w:r>
          <w:r>
            <w:rPr>
              <w:sz w:val="28"/>
              <w:szCs w:val="28"/>
            </w:rPr>
            <w:instrText xml:space="preserve"> HYPERLINK \l _Toc19945 </w:instrText>
          </w:r>
          <w:r>
            <w:rPr>
              <w:sz w:val="28"/>
              <w:szCs w:val="28"/>
            </w:rPr>
            <w:fldChar w:fldCharType="separate"/>
          </w:r>
          <w:r>
            <w:rPr>
              <w:rFonts w:hint="eastAsia" w:ascii="楷体_GB2312" w:hAnsi="黑体" w:eastAsia="楷体_GB2312" w:cs="楷体_GB2312"/>
              <w:bCs/>
              <w:kern w:val="2"/>
              <w:sz w:val="28"/>
              <w:szCs w:val="44"/>
            </w:rPr>
            <w:t>（二）支出预算情况</w:t>
          </w:r>
          <w:r>
            <w:rPr>
              <w:sz w:val="28"/>
              <w:szCs w:val="28"/>
            </w:rPr>
            <w:tab/>
          </w:r>
          <w:r>
            <w:rPr>
              <w:sz w:val="28"/>
              <w:szCs w:val="28"/>
            </w:rPr>
            <w:fldChar w:fldCharType="begin"/>
          </w:r>
          <w:r>
            <w:rPr>
              <w:sz w:val="28"/>
              <w:szCs w:val="28"/>
            </w:rPr>
            <w:instrText xml:space="preserve"> PAGEREF _Toc19945 \h </w:instrText>
          </w:r>
          <w:r>
            <w:rPr>
              <w:sz w:val="28"/>
              <w:szCs w:val="28"/>
            </w:rPr>
            <w:fldChar w:fldCharType="separate"/>
          </w:r>
          <w:r>
            <w:rPr>
              <w:sz w:val="28"/>
              <w:szCs w:val="28"/>
            </w:rPr>
            <w:t>6</w:t>
          </w:r>
          <w:r>
            <w:rPr>
              <w:sz w:val="28"/>
              <w:szCs w:val="28"/>
            </w:rPr>
            <w:fldChar w:fldCharType="end"/>
          </w:r>
          <w:r>
            <w:rPr>
              <w:sz w:val="28"/>
              <w:szCs w:val="28"/>
            </w:rPr>
            <w:fldChar w:fldCharType="end"/>
          </w:r>
        </w:p>
        <w:p w14:paraId="5CF9D693">
          <w:pPr>
            <w:pStyle w:val="10"/>
            <w:tabs>
              <w:tab w:val="right" w:leader="dot" w:pos="8306"/>
            </w:tabs>
            <w:rPr>
              <w:sz w:val="28"/>
              <w:szCs w:val="28"/>
            </w:rPr>
          </w:pPr>
          <w:r>
            <w:rPr>
              <w:sz w:val="28"/>
              <w:szCs w:val="28"/>
            </w:rPr>
            <w:fldChar w:fldCharType="begin"/>
          </w:r>
          <w:r>
            <w:rPr>
              <w:sz w:val="28"/>
              <w:szCs w:val="28"/>
            </w:rPr>
            <w:instrText xml:space="preserve"> HYPERLINK \l _Toc17463 </w:instrText>
          </w:r>
          <w:r>
            <w:rPr>
              <w:sz w:val="28"/>
              <w:szCs w:val="28"/>
            </w:rPr>
            <w:fldChar w:fldCharType="separate"/>
          </w:r>
          <w:r>
            <w:rPr>
              <w:rFonts w:hint="eastAsia" w:ascii="黑体" w:hAnsi="黑体" w:eastAsia="黑体" w:cs="黑体"/>
              <w:kern w:val="2"/>
              <w:sz w:val="28"/>
              <w:szCs w:val="44"/>
            </w:rPr>
            <w:t>四、财政拨款收支预算情况说明</w:t>
          </w:r>
          <w:r>
            <w:rPr>
              <w:sz w:val="28"/>
              <w:szCs w:val="28"/>
            </w:rPr>
            <w:tab/>
          </w:r>
          <w:r>
            <w:rPr>
              <w:sz w:val="28"/>
              <w:szCs w:val="28"/>
            </w:rPr>
            <w:fldChar w:fldCharType="begin"/>
          </w:r>
          <w:r>
            <w:rPr>
              <w:sz w:val="28"/>
              <w:szCs w:val="28"/>
            </w:rPr>
            <w:instrText xml:space="preserve"> PAGEREF _Toc17463 \h </w:instrText>
          </w:r>
          <w:r>
            <w:rPr>
              <w:sz w:val="28"/>
              <w:szCs w:val="28"/>
            </w:rPr>
            <w:fldChar w:fldCharType="separate"/>
          </w:r>
          <w:r>
            <w:rPr>
              <w:sz w:val="28"/>
              <w:szCs w:val="28"/>
            </w:rPr>
            <w:t>6</w:t>
          </w:r>
          <w:r>
            <w:rPr>
              <w:sz w:val="28"/>
              <w:szCs w:val="28"/>
            </w:rPr>
            <w:fldChar w:fldCharType="end"/>
          </w:r>
          <w:r>
            <w:rPr>
              <w:sz w:val="28"/>
              <w:szCs w:val="28"/>
            </w:rPr>
            <w:fldChar w:fldCharType="end"/>
          </w:r>
        </w:p>
        <w:p w14:paraId="6AB8248E">
          <w:pPr>
            <w:pStyle w:val="10"/>
            <w:tabs>
              <w:tab w:val="right" w:leader="dot" w:pos="8306"/>
            </w:tabs>
            <w:rPr>
              <w:sz w:val="28"/>
              <w:szCs w:val="28"/>
            </w:rPr>
          </w:pPr>
          <w:r>
            <w:rPr>
              <w:sz w:val="28"/>
              <w:szCs w:val="28"/>
            </w:rPr>
            <w:fldChar w:fldCharType="begin"/>
          </w:r>
          <w:r>
            <w:rPr>
              <w:sz w:val="28"/>
              <w:szCs w:val="28"/>
            </w:rPr>
            <w:instrText xml:space="preserve"> HYPERLINK \l _Toc25560 </w:instrText>
          </w:r>
          <w:r>
            <w:rPr>
              <w:sz w:val="28"/>
              <w:szCs w:val="28"/>
            </w:rPr>
            <w:fldChar w:fldCharType="separate"/>
          </w:r>
          <w:r>
            <w:rPr>
              <w:rFonts w:hint="eastAsia" w:ascii="黑体" w:hAnsi="黑体" w:eastAsia="黑体" w:cs="黑体"/>
              <w:kern w:val="2"/>
              <w:sz w:val="28"/>
              <w:szCs w:val="44"/>
            </w:rPr>
            <w:t>五、一般公共预算当年拨款情况说明</w:t>
          </w:r>
          <w:r>
            <w:rPr>
              <w:sz w:val="28"/>
              <w:szCs w:val="28"/>
            </w:rPr>
            <w:tab/>
          </w:r>
          <w:r>
            <w:rPr>
              <w:sz w:val="28"/>
              <w:szCs w:val="28"/>
            </w:rPr>
            <w:fldChar w:fldCharType="begin"/>
          </w:r>
          <w:r>
            <w:rPr>
              <w:sz w:val="28"/>
              <w:szCs w:val="28"/>
            </w:rPr>
            <w:instrText xml:space="preserve"> PAGEREF _Toc25560 \h </w:instrText>
          </w:r>
          <w:r>
            <w:rPr>
              <w:sz w:val="28"/>
              <w:szCs w:val="28"/>
            </w:rPr>
            <w:fldChar w:fldCharType="separate"/>
          </w:r>
          <w:r>
            <w:rPr>
              <w:sz w:val="28"/>
              <w:szCs w:val="28"/>
            </w:rPr>
            <w:t>6</w:t>
          </w:r>
          <w:r>
            <w:rPr>
              <w:sz w:val="28"/>
              <w:szCs w:val="28"/>
            </w:rPr>
            <w:fldChar w:fldCharType="end"/>
          </w:r>
          <w:r>
            <w:rPr>
              <w:sz w:val="28"/>
              <w:szCs w:val="28"/>
            </w:rPr>
            <w:fldChar w:fldCharType="end"/>
          </w:r>
        </w:p>
        <w:p w14:paraId="15181CCA">
          <w:pPr>
            <w:pStyle w:val="11"/>
            <w:tabs>
              <w:tab w:val="right" w:leader="dot" w:pos="8306"/>
            </w:tabs>
            <w:rPr>
              <w:sz w:val="28"/>
              <w:szCs w:val="28"/>
            </w:rPr>
          </w:pPr>
          <w:r>
            <w:rPr>
              <w:sz w:val="28"/>
              <w:szCs w:val="28"/>
            </w:rPr>
            <w:fldChar w:fldCharType="begin"/>
          </w:r>
          <w:r>
            <w:rPr>
              <w:sz w:val="28"/>
              <w:szCs w:val="28"/>
            </w:rPr>
            <w:instrText xml:space="preserve"> HYPERLINK \l _Toc14917 </w:instrText>
          </w:r>
          <w:r>
            <w:rPr>
              <w:sz w:val="28"/>
              <w:szCs w:val="28"/>
            </w:rPr>
            <w:fldChar w:fldCharType="separate"/>
          </w:r>
          <w:r>
            <w:rPr>
              <w:rFonts w:hint="eastAsia" w:ascii="楷体_GB2312" w:hAnsi="黑体" w:eastAsia="楷体_GB2312" w:cs="楷体_GB2312"/>
              <w:bCs/>
              <w:kern w:val="2"/>
              <w:sz w:val="28"/>
              <w:szCs w:val="44"/>
            </w:rPr>
            <w:t>（一）一般公共预算当年拨款规模变化情况</w:t>
          </w:r>
          <w:r>
            <w:rPr>
              <w:sz w:val="28"/>
              <w:szCs w:val="28"/>
            </w:rPr>
            <w:tab/>
          </w:r>
          <w:r>
            <w:rPr>
              <w:sz w:val="28"/>
              <w:szCs w:val="28"/>
            </w:rPr>
            <w:fldChar w:fldCharType="begin"/>
          </w:r>
          <w:r>
            <w:rPr>
              <w:sz w:val="28"/>
              <w:szCs w:val="28"/>
            </w:rPr>
            <w:instrText xml:space="preserve"> PAGEREF _Toc14917 \h </w:instrText>
          </w:r>
          <w:r>
            <w:rPr>
              <w:sz w:val="28"/>
              <w:szCs w:val="28"/>
            </w:rPr>
            <w:fldChar w:fldCharType="separate"/>
          </w:r>
          <w:r>
            <w:rPr>
              <w:sz w:val="28"/>
              <w:szCs w:val="28"/>
            </w:rPr>
            <w:t>6</w:t>
          </w:r>
          <w:r>
            <w:rPr>
              <w:sz w:val="28"/>
              <w:szCs w:val="28"/>
            </w:rPr>
            <w:fldChar w:fldCharType="end"/>
          </w:r>
          <w:r>
            <w:rPr>
              <w:sz w:val="28"/>
              <w:szCs w:val="28"/>
            </w:rPr>
            <w:fldChar w:fldCharType="end"/>
          </w:r>
        </w:p>
        <w:p w14:paraId="753DB463">
          <w:pPr>
            <w:pStyle w:val="11"/>
            <w:tabs>
              <w:tab w:val="right" w:leader="dot" w:pos="8306"/>
            </w:tabs>
            <w:rPr>
              <w:sz w:val="28"/>
              <w:szCs w:val="28"/>
            </w:rPr>
          </w:pPr>
          <w:r>
            <w:rPr>
              <w:sz w:val="28"/>
              <w:szCs w:val="28"/>
            </w:rPr>
            <w:fldChar w:fldCharType="begin"/>
          </w:r>
          <w:r>
            <w:rPr>
              <w:sz w:val="28"/>
              <w:szCs w:val="28"/>
            </w:rPr>
            <w:instrText xml:space="preserve"> HYPERLINK \l _Toc8252 </w:instrText>
          </w:r>
          <w:r>
            <w:rPr>
              <w:sz w:val="28"/>
              <w:szCs w:val="28"/>
            </w:rPr>
            <w:fldChar w:fldCharType="separate"/>
          </w:r>
          <w:r>
            <w:rPr>
              <w:rFonts w:hint="eastAsia" w:ascii="楷体_GB2312" w:hAnsi="黑体" w:eastAsia="楷体_GB2312" w:cs="楷体_GB2312"/>
              <w:bCs/>
              <w:kern w:val="2"/>
              <w:sz w:val="28"/>
              <w:szCs w:val="44"/>
            </w:rPr>
            <w:t>（二）一般公共预算当年拨款结构情况</w:t>
          </w:r>
          <w:r>
            <w:rPr>
              <w:sz w:val="28"/>
              <w:szCs w:val="28"/>
            </w:rPr>
            <w:tab/>
          </w:r>
          <w:r>
            <w:rPr>
              <w:sz w:val="28"/>
              <w:szCs w:val="28"/>
            </w:rPr>
            <w:fldChar w:fldCharType="begin"/>
          </w:r>
          <w:r>
            <w:rPr>
              <w:sz w:val="28"/>
              <w:szCs w:val="28"/>
            </w:rPr>
            <w:instrText xml:space="preserve"> PAGEREF _Toc8252 \h </w:instrText>
          </w:r>
          <w:r>
            <w:rPr>
              <w:sz w:val="28"/>
              <w:szCs w:val="28"/>
            </w:rPr>
            <w:fldChar w:fldCharType="separate"/>
          </w:r>
          <w:r>
            <w:rPr>
              <w:sz w:val="28"/>
              <w:szCs w:val="28"/>
            </w:rPr>
            <w:t>6</w:t>
          </w:r>
          <w:r>
            <w:rPr>
              <w:sz w:val="28"/>
              <w:szCs w:val="28"/>
            </w:rPr>
            <w:fldChar w:fldCharType="end"/>
          </w:r>
          <w:r>
            <w:rPr>
              <w:sz w:val="28"/>
              <w:szCs w:val="28"/>
            </w:rPr>
            <w:fldChar w:fldCharType="end"/>
          </w:r>
        </w:p>
        <w:p w14:paraId="1AB3DBFF">
          <w:pPr>
            <w:pStyle w:val="11"/>
            <w:tabs>
              <w:tab w:val="right" w:leader="dot" w:pos="8306"/>
            </w:tabs>
            <w:rPr>
              <w:sz w:val="28"/>
              <w:szCs w:val="28"/>
            </w:rPr>
          </w:pPr>
          <w:r>
            <w:rPr>
              <w:sz w:val="28"/>
              <w:szCs w:val="28"/>
            </w:rPr>
            <w:fldChar w:fldCharType="begin"/>
          </w:r>
          <w:r>
            <w:rPr>
              <w:sz w:val="28"/>
              <w:szCs w:val="28"/>
            </w:rPr>
            <w:instrText xml:space="preserve"> HYPERLINK \l _Toc22284 </w:instrText>
          </w:r>
          <w:r>
            <w:rPr>
              <w:sz w:val="28"/>
              <w:szCs w:val="28"/>
            </w:rPr>
            <w:fldChar w:fldCharType="separate"/>
          </w:r>
          <w:r>
            <w:rPr>
              <w:rFonts w:hint="eastAsia" w:ascii="楷体_GB2312" w:hAnsi="黑体" w:eastAsia="楷体_GB2312" w:cs="楷体_GB2312"/>
              <w:bCs/>
              <w:kern w:val="2"/>
              <w:sz w:val="28"/>
              <w:szCs w:val="44"/>
            </w:rPr>
            <w:t>（三）一般公共预算当年拨款具体使用情况</w:t>
          </w:r>
          <w:r>
            <w:rPr>
              <w:sz w:val="28"/>
              <w:szCs w:val="28"/>
            </w:rPr>
            <w:tab/>
          </w:r>
          <w:r>
            <w:rPr>
              <w:sz w:val="28"/>
              <w:szCs w:val="28"/>
            </w:rPr>
            <w:fldChar w:fldCharType="begin"/>
          </w:r>
          <w:r>
            <w:rPr>
              <w:sz w:val="28"/>
              <w:szCs w:val="28"/>
            </w:rPr>
            <w:instrText xml:space="preserve"> PAGEREF _Toc22284 \h </w:instrText>
          </w:r>
          <w:r>
            <w:rPr>
              <w:sz w:val="28"/>
              <w:szCs w:val="28"/>
            </w:rPr>
            <w:fldChar w:fldCharType="separate"/>
          </w:r>
          <w:r>
            <w:rPr>
              <w:sz w:val="28"/>
              <w:szCs w:val="28"/>
            </w:rPr>
            <w:t>7</w:t>
          </w:r>
          <w:r>
            <w:rPr>
              <w:sz w:val="28"/>
              <w:szCs w:val="28"/>
            </w:rPr>
            <w:fldChar w:fldCharType="end"/>
          </w:r>
          <w:r>
            <w:rPr>
              <w:sz w:val="28"/>
              <w:szCs w:val="28"/>
            </w:rPr>
            <w:fldChar w:fldCharType="end"/>
          </w:r>
        </w:p>
        <w:p w14:paraId="46EEAC7C">
          <w:pPr>
            <w:pStyle w:val="10"/>
            <w:tabs>
              <w:tab w:val="right" w:leader="dot" w:pos="8306"/>
            </w:tabs>
            <w:rPr>
              <w:sz w:val="28"/>
              <w:szCs w:val="28"/>
            </w:rPr>
          </w:pPr>
          <w:r>
            <w:rPr>
              <w:sz w:val="28"/>
              <w:szCs w:val="28"/>
            </w:rPr>
            <w:fldChar w:fldCharType="begin"/>
          </w:r>
          <w:r>
            <w:rPr>
              <w:sz w:val="28"/>
              <w:szCs w:val="28"/>
            </w:rPr>
            <w:instrText xml:space="preserve"> HYPERLINK \l _Toc19245 </w:instrText>
          </w:r>
          <w:r>
            <w:rPr>
              <w:sz w:val="28"/>
              <w:szCs w:val="28"/>
            </w:rPr>
            <w:fldChar w:fldCharType="separate"/>
          </w:r>
          <w:r>
            <w:rPr>
              <w:rFonts w:hint="eastAsia" w:ascii="黑体" w:hAnsi="黑体" w:eastAsia="黑体" w:cs="黑体"/>
              <w:kern w:val="2"/>
              <w:sz w:val="28"/>
              <w:szCs w:val="44"/>
            </w:rPr>
            <w:t>六、一般公共预算基本支出情况说明</w:t>
          </w:r>
          <w:r>
            <w:rPr>
              <w:sz w:val="28"/>
              <w:szCs w:val="28"/>
            </w:rPr>
            <w:tab/>
          </w:r>
          <w:r>
            <w:rPr>
              <w:sz w:val="28"/>
              <w:szCs w:val="28"/>
            </w:rPr>
            <w:fldChar w:fldCharType="begin"/>
          </w:r>
          <w:r>
            <w:rPr>
              <w:sz w:val="28"/>
              <w:szCs w:val="28"/>
            </w:rPr>
            <w:instrText xml:space="preserve"> PAGEREF _Toc19245 \h </w:instrText>
          </w:r>
          <w:r>
            <w:rPr>
              <w:sz w:val="28"/>
              <w:szCs w:val="28"/>
            </w:rPr>
            <w:fldChar w:fldCharType="separate"/>
          </w:r>
          <w:r>
            <w:rPr>
              <w:sz w:val="28"/>
              <w:szCs w:val="28"/>
            </w:rPr>
            <w:t>7</w:t>
          </w:r>
          <w:r>
            <w:rPr>
              <w:sz w:val="28"/>
              <w:szCs w:val="28"/>
            </w:rPr>
            <w:fldChar w:fldCharType="end"/>
          </w:r>
          <w:r>
            <w:rPr>
              <w:sz w:val="28"/>
              <w:szCs w:val="28"/>
            </w:rPr>
            <w:fldChar w:fldCharType="end"/>
          </w:r>
        </w:p>
        <w:p w14:paraId="17F44309">
          <w:pPr>
            <w:pStyle w:val="10"/>
            <w:tabs>
              <w:tab w:val="right" w:leader="dot" w:pos="8306"/>
            </w:tabs>
            <w:rPr>
              <w:sz w:val="28"/>
              <w:szCs w:val="28"/>
            </w:rPr>
          </w:pPr>
          <w:r>
            <w:rPr>
              <w:sz w:val="28"/>
              <w:szCs w:val="28"/>
            </w:rPr>
            <w:fldChar w:fldCharType="begin"/>
          </w:r>
          <w:r>
            <w:rPr>
              <w:sz w:val="28"/>
              <w:szCs w:val="28"/>
            </w:rPr>
            <w:instrText xml:space="preserve"> HYPERLINK \l _Toc27911 </w:instrText>
          </w:r>
          <w:r>
            <w:rPr>
              <w:sz w:val="28"/>
              <w:szCs w:val="28"/>
            </w:rPr>
            <w:fldChar w:fldCharType="separate"/>
          </w:r>
          <w:r>
            <w:rPr>
              <w:rFonts w:hint="eastAsia" w:ascii="黑体" w:hAnsi="黑体" w:eastAsia="黑体" w:cs="黑体"/>
              <w:kern w:val="2"/>
              <w:sz w:val="28"/>
              <w:szCs w:val="44"/>
            </w:rPr>
            <w:t>七、</w:t>
          </w:r>
          <w:r>
            <w:rPr>
              <w:rFonts w:ascii="黑体" w:hAnsi="黑体" w:eastAsia="黑体" w:cs="Times New Roman"/>
              <w:kern w:val="2"/>
              <w:sz w:val="28"/>
              <w:szCs w:val="44"/>
            </w:rPr>
            <w:t>“</w:t>
          </w:r>
          <w:r>
            <w:rPr>
              <w:rFonts w:hint="eastAsia" w:ascii="黑体" w:hAnsi="黑体" w:eastAsia="黑体" w:cs="黑体"/>
              <w:kern w:val="2"/>
              <w:sz w:val="28"/>
              <w:szCs w:val="44"/>
            </w:rPr>
            <w:t>三公</w:t>
          </w:r>
          <w:r>
            <w:rPr>
              <w:rFonts w:ascii="黑体" w:hAnsi="黑体" w:eastAsia="黑体" w:cs="Times New Roman"/>
              <w:kern w:val="2"/>
              <w:sz w:val="28"/>
              <w:szCs w:val="44"/>
            </w:rPr>
            <w:t>”</w:t>
          </w:r>
          <w:r>
            <w:rPr>
              <w:rFonts w:hint="eastAsia" w:ascii="黑体" w:hAnsi="黑体" w:eastAsia="黑体" w:cs="黑体"/>
              <w:kern w:val="2"/>
              <w:sz w:val="28"/>
              <w:szCs w:val="44"/>
            </w:rPr>
            <w:t>经费财政拨款预算安排情况说明</w:t>
          </w:r>
          <w:r>
            <w:rPr>
              <w:sz w:val="28"/>
              <w:szCs w:val="28"/>
            </w:rPr>
            <w:tab/>
          </w:r>
          <w:r>
            <w:rPr>
              <w:sz w:val="28"/>
              <w:szCs w:val="28"/>
            </w:rPr>
            <w:fldChar w:fldCharType="begin"/>
          </w:r>
          <w:r>
            <w:rPr>
              <w:sz w:val="28"/>
              <w:szCs w:val="28"/>
            </w:rPr>
            <w:instrText xml:space="preserve"> PAGEREF _Toc27911 \h </w:instrText>
          </w:r>
          <w:r>
            <w:rPr>
              <w:sz w:val="28"/>
              <w:szCs w:val="28"/>
            </w:rPr>
            <w:fldChar w:fldCharType="separate"/>
          </w:r>
          <w:r>
            <w:rPr>
              <w:sz w:val="28"/>
              <w:szCs w:val="28"/>
            </w:rPr>
            <w:t>8</w:t>
          </w:r>
          <w:r>
            <w:rPr>
              <w:sz w:val="28"/>
              <w:szCs w:val="28"/>
            </w:rPr>
            <w:fldChar w:fldCharType="end"/>
          </w:r>
          <w:r>
            <w:rPr>
              <w:sz w:val="28"/>
              <w:szCs w:val="28"/>
            </w:rPr>
            <w:fldChar w:fldCharType="end"/>
          </w:r>
        </w:p>
        <w:p w14:paraId="01D5DAEC">
          <w:pPr>
            <w:pStyle w:val="10"/>
            <w:tabs>
              <w:tab w:val="right" w:leader="dot" w:pos="8306"/>
            </w:tabs>
            <w:rPr>
              <w:sz w:val="28"/>
              <w:szCs w:val="28"/>
            </w:rPr>
          </w:pPr>
          <w:r>
            <w:rPr>
              <w:sz w:val="28"/>
              <w:szCs w:val="28"/>
            </w:rPr>
            <w:fldChar w:fldCharType="begin"/>
          </w:r>
          <w:r>
            <w:rPr>
              <w:sz w:val="28"/>
              <w:szCs w:val="28"/>
            </w:rPr>
            <w:instrText xml:space="preserve"> HYPERLINK \l _Toc29941 </w:instrText>
          </w:r>
          <w:r>
            <w:rPr>
              <w:sz w:val="28"/>
              <w:szCs w:val="28"/>
            </w:rPr>
            <w:fldChar w:fldCharType="separate"/>
          </w:r>
          <w:r>
            <w:rPr>
              <w:rFonts w:hint="eastAsia" w:ascii="黑体" w:hAnsi="黑体" w:eastAsia="黑体" w:cs="黑体"/>
              <w:kern w:val="2"/>
              <w:sz w:val="28"/>
              <w:szCs w:val="44"/>
            </w:rPr>
            <w:t>八、政府性基金预算支出情况说明</w:t>
          </w:r>
          <w:r>
            <w:rPr>
              <w:sz w:val="28"/>
              <w:szCs w:val="28"/>
            </w:rPr>
            <w:tab/>
          </w:r>
          <w:r>
            <w:rPr>
              <w:sz w:val="28"/>
              <w:szCs w:val="28"/>
            </w:rPr>
            <w:fldChar w:fldCharType="begin"/>
          </w:r>
          <w:r>
            <w:rPr>
              <w:sz w:val="28"/>
              <w:szCs w:val="28"/>
            </w:rPr>
            <w:instrText xml:space="preserve"> PAGEREF _Toc29941 \h </w:instrText>
          </w:r>
          <w:r>
            <w:rPr>
              <w:sz w:val="28"/>
              <w:szCs w:val="28"/>
            </w:rPr>
            <w:fldChar w:fldCharType="separate"/>
          </w:r>
          <w:r>
            <w:rPr>
              <w:sz w:val="28"/>
              <w:szCs w:val="28"/>
            </w:rPr>
            <w:t>8</w:t>
          </w:r>
          <w:r>
            <w:rPr>
              <w:sz w:val="28"/>
              <w:szCs w:val="28"/>
            </w:rPr>
            <w:fldChar w:fldCharType="end"/>
          </w:r>
          <w:r>
            <w:rPr>
              <w:sz w:val="28"/>
              <w:szCs w:val="28"/>
            </w:rPr>
            <w:fldChar w:fldCharType="end"/>
          </w:r>
        </w:p>
        <w:p w14:paraId="46D37ED9">
          <w:pPr>
            <w:pStyle w:val="10"/>
            <w:tabs>
              <w:tab w:val="right" w:leader="dot" w:pos="8306"/>
            </w:tabs>
            <w:rPr>
              <w:sz w:val="28"/>
              <w:szCs w:val="28"/>
            </w:rPr>
          </w:pPr>
          <w:r>
            <w:rPr>
              <w:sz w:val="28"/>
              <w:szCs w:val="28"/>
            </w:rPr>
            <w:fldChar w:fldCharType="begin"/>
          </w:r>
          <w:r>
            <w:rPr>
              <w:sz w:val="28"/>
              <w:szCs w:val="28"/>
            </w:rPr>
            <w:instrText xml:space="preserve"> HYPERLINK \l _Toc7209 </w:instrText>
          </w:r>
          <w:r>
            <w:rPr>
              <w:sz w:val="28"/>
              <w:szCs w:val="28"/>
            </w:rPr>
            <w:fldChar w:fldCharType="separate"/>
          </w:r>
          <w:r>
            <w:rPr>
              <w:rFonts w:hint="eastAsia" w:ascii="黑体" w:hAnsi="黑体" w:eastAsia="黑体" w:cs="黑体"/>
              <w:kern w:val="2"/>
              <w:sz w:val="28"/>
              <w:szCs w:val="44"/>
            </w:rPr>
            <w:t>九、其他重要事项的情况说明</w:t>
          </w:r>
          <w:r>
            <w:rPr>
              <w:sz w:val="28"/>
              <w:szCs w:val="28"/>
            </w:rPr>
            <w:tab/>
          </w:r>
          <w:r>
            <w:rPr>
              <w:sz w:val="28"/>
              <w:szCs w:val="28"/>
            </w:rPr>
            <w:fldChar w:fldCharType="begin"/>
          </w:r>
          <w:r>
            <w:rPr>
              <w:sz w:val="28"/>
              <w:szCs w:val="28"/>
            </w:rPr>
            <w:instrText xml:space="preserve"> PAGEREF _Toc7209 \h </w:instrText>
          </w:r>
          <w:r>
            <w:rPr>
              <w:sz w:val="28"/>
              <w:szCs w:val="28"/>
            </w:rPr>
            <w:fldChar w:fldCharType="separate"/>
          </w:r>
          <w:r>
            <w:rPr>
              <w:sz w:val="28"/>
              <w:szCs w:val="28"/>
            </w:rPr>
            <w:t>8</w:t>
          </w:r>
          <w:r>
            <w:rPr>
              <w:sz w:val="28"/>
              <w:szCs w:val="28"/>
            </w:rPr>
            <w:fldChar w:fldCharType="end"/>
          </w:r>
          <w:r>
            <w:rPr>
              <w:sz w:val="28"/>
              <w:szCs w:val="28"/>
            </w:rPr>
            <w:fldChar w:fldCharType="end"/>
          </w:r>
        </w:p>
        <w:p w14:paraId="55CF28E3">
          <w:pPr>
            <w:pStyle w:val="11"/>
            <w:tabs>
              <w:tab w:val="right" w:leader="dot" w:pos="8306"/>
            </w:tabs>
            <w:rPr>
              <w:sz w:val="28"/>
              <w:szCs w:val="28"/>
            </w:rPr>
          </w:pPr>
          <w:r>
            <w:rPr>
              <w:sz w:val="28"/>
              <w:szCs w:val="28"/>
            </w:rPr>
            <w:fldChar w:fldCharType="begin"/>
          </w:r>
          <w:r>
            <w:rPr>
              <w:sz w:val="28"/>
              <w:szCs w:val="28"/>
            </w:rPr>
            <w:instrText xml:space="preserve"> HYPERLINK \l _Toc4931 </w:instrText>
          </w:r>
          <w:r>
            <w:rPr>
              <w:sz w:val="28"/>
              <w:szCs w:val="28"/>
            </w:rPr>
            <w:fldChar w:fldCharType="separate"/>
          </w:r>
          <w:r>
            <w:rPr>
              <w:rFonts w:hint="eastAsia" w:ascii="楷体_GB2312" w:hAnsi="黑体" w:eastAsia="楷体_GB2312" w:cs="楷体_GB2312"/>
              <w:bCs/>
              <w:kern w:val="2"/>
              <w:sz w:val="28"/>
              <w:szCs w:val="44"/>
            </w:rPr>
            <w:t>（一）机关运行经费</w:t>
          </w:r>
          <w:r>
            <w:rPr>
              <w:sz w:val="28"/>
              <w:szCs w:val="28"/>
            </w:rPr>
            <w:tab/>
          </w:r>
          <w:r>
            <w:rPr>
              <w:sz w:val="28"/>
              <w:szCs w:val="28"/>
            </w:rPr>
            <w:fldChar w:fldCharType="begin"/>
          </w:r>
          <w:r>
            <w:rPr>
              <w:sz w:val="28"/>
              <w:szCs w:val="28"/>
            </w:rPr>
            <w:instrText xml:space="preserve"> PAGEREF _Toc4931 \h </w:instrText>
          </w:r>
          <w:r>
            <w:rPr>
              <w:sz w:val="28"/>
              <w:szCs w:val="28"/>
            </w:rPr>
            <w:fldChar w:fldCharType="separate"/>
          </w:r>
          <w:r>
            <w:rPr>
              <w:sz w:val="28"/>
              <w:szCs w:val="28"/>
            </w:rPr>
            <w:t>8</w:t>
          </w:r>
          <w:r>
            <w:rPr>
              <w:sz w:val="28"/>
              <w:szCs w:val="28"/>
            </w:rPr>
            <w:fldChar w:fldCharType="end"/>
          </w:r>
          <w:r>
            <w:rPr>
              <w:sz w:val="28"/>
              <w:szCs w:val="28"/>
            </w:rPr>
            <w:fldChar w:fldCharType="end"/>
          </w:r>
        </w:p>
        <w:p w14:paraId="27BB2BE2">
          <w:pPr>
            <w:pStyle w:val="11"/>
            <w:tabs>
              <w:tab w:val="right" w:leader="dot" w:pos="8306"/>
            </w:tabs>
            <w:rPr>
              <w:sz w:val="28"/>
              <w:szCs w:val="28"/>
            </w:rPr>
          </w:pPr>
          <w:r>
            <w:rPr>
              <w:sz w:val="28"/>
              <w:szCs w:val="28"/>
            </w:rPr>
            <w:fldChar w:fldCharType="begin"/>
          </w:r>
          <w:r>
            <w:rPr>
              <w:sz w:val="28"/>
              <w:szCs w:val="28"/>
            </w:rPr>
            <w:instrText xml:space="preserve"> HYPERLINK \l _Toc10952 </w:instrText>
          </w:r>
          <w:r>
            <w:rPr>
              <w:sz w:val="28"/>
              <w:szCs w:val="28"/>
            </w:rPr>
            <w:fldChar w:fldCharType="separate"/>
          </w:r>
          <w:r>
            <w:rPr>
              <w:rFonts w:hint="eastAsia" w:ascii="楷体_GB2312" w:hAnsi="黑体" w:eastAsia="楷体_GB2312" w:cs="楷体_GB2312"/>
              <w:bCs/>
              <w:kern w:val="2"/>
              <w:sz w:val="28"/>
              <w:szCs w:val="44"/>
            </w:rPr>
            <w:t>（二）政府采购情况</w:t>
          </w:r>
          <w:r>
            <w:rPr>
              <w:sz w:val="28"/>
              <w:szCs w:val="28"/>
            </w:rPr>
            <w:tab/>
          </w:r>
          <w:r>
            <w:rPr>
              <w:sz w:val="28"/>
              <w:szCs w:val="28"/>
            </w:rPr>
            <w:fldChar w:fldCharType="begin"/>
          </w:r>
          <w:r>
            <w:rPr>
              <w:sz w:val="28"/>
              <w:szCs w:val="28"/>
            </w:rPr>
            <w:instrText xml:space="preserve"> PAGEREF _Toc10952 \h </w:instrText>
          </w:r>
          <w:r>
            <w:rPr>
              <w:sz w:val="28"/>
              <w:szCs w:val="28"/>
            </w:rPr>
            <w:fldChar w:fldCharType="separate"/>
          </w:r>
          <w:r>
            <w:rPr>
              <w:sz w:val="28"/>
              <w:szCs w:val="28"/>
            </w:rPr>
            <w:t>9</w:t>
          </w:r>
          <w:r>
            <w:rPr>
              <w:sz w:val="28"/>
              <w:szCs w:val="28"/>
            </w:rPr>
            <w:fldChar w:fldCharType="end"/>
          </w:r>
          <w:r>
            <w:rPr>
              <w:sz w:val="28"/>
              <w:szCs w:val="28"/>
            </w:rPr>
            <w:fldChar w:fldCharType="end"/>
          </w:r>
        </w:p>
        <w:p w14:paraId="37567E0F">
          <w:pPr>
            <w:pStyle w:val="11"/>
            <w:tabs>
              <w:tab w:val="right" w:leader="dot" w:pos="8306"/>
            </w:tabs>
            <w:rPr>
              <w:sz w:val="28"/>
              <w:szCs w:val="28"/>
            </w:rPr>
          </w:pPr>
          <w:r>
            <w:rPr>
              <w:sz w:val="28"/>
              <w:szCs w:val="28"/>
            </w:rPr>
            <w:fldChar w:fldCharType="begin"/>
          </w:r>
          <w:r>
            <w:rPr>
              <w:sz w:val="28"/>
              <w:szCs w:val="28"/>
            </w:rPr>
            <w:instrText xml:space="preserve"> HYPERLINK \l _Toc25836 </w:instrText>
          </w:r>
          <w:r>
            <w:rPr>
              <w:sz w:val="28"/>
              <w:szCs w:val="28"/>
            </w:rPr>
            <w:fldChar w:fldCharType="separate"/>
          </w:r>
          <w:r>
            <w:rPr>
              <w:rFonts w:hint="eastAsia" w:ascii="楷体_GB2312" w:hAnsi="黑体" w:eastAsia="楷体_GB2312" w:cs="楷体_GB2312"/>
              <w:bCs/>
              <w:kern w:val="2"/>
              <w:sz w:val="28"/>
              <w:szCs w:val="44"/>
            </w:rPr>
            <w:t>（三） 国有资产占有使用情况</w:t>
          </w:r>
          <w:r>
            <w:rPr>
              <w:sz w:val="28"/>
              <w:szCs w:val="28"/>
            </w:rPr>
            <w:tab/>
          </w:r>
          <w:r>
            <w:rPr>
              <w:sz w:val="28"/>
              <w:szCs w:val="28"/>
            </w:rPr>
            <w:fldChar w:fldCharType="begin"/>
          </w:r>
          <w:r>
            <w:rPr>
              <w:sz w:val="28"/>
              <w:szCs w:val="28"/>
            </w:rPr>
            <w:instrText xml:space="preserve"> PAGEREF _Toc25836 \h </w:instrText>
          </w:r>
          <w:r>
            <w:rPr>
              <w:sz w:val="28"/>
              <w:szCs w:val="28"/>
            </w:rPr>
            <w:fldChar w:fldCharType="separate"/>
          </w:r>
          <w:r>
            <w:rPr>
              <w:sz w:val="28"/>
              <w:szCs w:val="28"/>
            </w:rPr>
            <w:t>9</w:t>
          </w:r>
          <w:r>
            <w:rPr>
              <w:sz w:val="28"/>
              <w:szCs w:val="28"/>
            </w:rPr>
            <w:fldChar w:fldCharType="end"/>
          </w:r>
          <w:r>
            <w:rPr>
              <w:sz w:val="28"/>
              <w:szCs w:val="28"/>
            </w:rPr>
            <w:fldChar w:fldCharType="end"/>
          </w:r>
        </w:p>
        <w:p w14:paraId="44554D74">
          <w:pPr>
            <w:pStyle w:val="11"/>
            <w:tabs>
              <w:tab w:val="right" w:leader="dot" w:pos="8306"/>
            </w:tabs>
            <w:rPr>
              <w:sz w:val="28"/>
              <w:szCs w:val="28"/>
            </w:rPr>
          </w:pPr>
          <w:r>
            <w:rPr>
              <w:sz w:val="28"/>
              <w:szCs w:val="28"/>
            </w:rPr>
            <w:fldChar w:fldCharType="begin"/>
          </w:r>
          <w:r>
            <w:rPr>
              <w:sz w:val="28"/>
              <w:szCs w:val="28"/>
            </w:rPr>
            <w:instrText xml:space="preserve"> HYPERLINK \l _Toc3798 </w:instrText>
          </w:r>
          <w:r>
            <w:rPr>
              <w:sz w:val="28"/>
              <w:szCs w:val="28"/>
            </w:rPr>
            <w:fldChar w:fldCharType="separate"/>
          </w:r>
          <w:r>
            <w:rPr>
              <w:rFonts w:hint="eastAsia" w:ascii="楷体_GB2312" w:hAnsi="黑体" w:eastAsia="楷体_GB2312" w:cs="楷体_GB2312"/>
              <w:bCs/>
              <w:kern w:val="2"/>
              <w:sz w:val="28"/>
              <w:szCs w:val="44"/>
            </w:rPr>
            <w:t>（四）绩效目标设置情况</w:t>
          </w:r>
          <w:r>
            <w:rPr>
              <w:sz w:val="28"/>
              <w:szCs w:val="28"/>
            </w:rPr>
            <w:tab/>
          </w:r>
          <w:r>
            <w:rPr>
              <w:sz w:val="28"/>
              <w:szCs w:val="28"/>
            </w:rPr>
            <w:fldChar w:fldCharType="begin"/>
          </w:r>
          <w:r>
            <w:rPr>
              <w:sz w:val="28"/>
              <w:szCs w:val="28"/>
            </w:rPr>
            <w:instrText xml:space="preserve"> PAGEREF _Toc3798 \h </w:instrText>
          </w:r>
          <w:r>
            <w:rPr>
              <w:sz w:val="28"/>
              <w:szCs w:val="28"/>
            </w:rPr>
            <w:fldChar w:fldCharType="separate"/>
          </w:r>
          <w:r>
            <w:rPr>
              <w:sz w:val="28"/>
              <w:szCs w:val="28"/>
            </w:rPr>
            <w:t>9</w:t>
          </w:r>
          <w:r>
            <w:rPr>
              <w:sz w:val="28"/>
              <w:szCs w:val="28"/>
            </w:rPr>
            <w:fldChar w:fldCharType="end"/>
          </w:r>
          <w:r>
            <w:rPr>
              <w:sz w:val="28"/>
              <w:szCs w:val="28"/>
            </w:rPr>
            <w:fldChar w:fldCharType="end"/>
          </w:r>
        </w:p>
        <w:p w14:paraId="2E84C82A">
          <w:pPr>
            <w:pStyle w:val="10"/>
            <w:tabs>
              <w:tab w:val="right" w:leader="dot" w:pos="8306"/>
            </w:tabs>
            <w:rPr>
              <w:sz w:val="28"/>
              <w:szCs w:val="28"/>
            </w:rPr>
          </w:pPr>
          <w:r>
            <w:rPr>
              <w:sz w:val="28"/>
              <w:szCs w:val="28"/>
            </w:rPr>
            <w:fldChar w:fldCharType="begin"/>
          </w:r>
          <w:r>
            <w:rPr>
              <w:sz w:val="28"/>
              <w:szCs w:val="28"/>
            </w:rPr>
            <w:instrText xml:space="preserve"> HYPERLINK \l _Toc14537 </w:instrText>
          </w:r>
          <w:r>
            <w:rPr>
              <w:sz w:val="28"/>
              <w:szCs w:val="28"/>
            </w:rPr>
            <w:fldChar w:fldCharType="separate"/>
          </w:r>
          <w:r>
            <w:rPr>
              <w:rFonts w:hint="eastAsia" w:ascii="黑体" w:hAnsi="黑体" w:eastAsia="黑体" w:cs="黑体"/>
              <w:kern w:val="2"/>
              <w:sz w:val="28"/>
              <w:szCs w:val="44"/>
            </w:rPr>
            <w:t>十、名词解释</w:t>
          </w:r>
          <w:r>
            <w:rPr>
              <w:sz w:val="28"/>
              <w:szCs w:val="28"/>
            </w:rPr>
            <w:tab/>
          </w:r>
          <w:r>
            <w:rPr>
              <w:sz w:val="28"/>
              <w:szCs w:val="28"/>
            </w:rPr>
            <w:fldChar w:fldCharType="begin"/>
          </w:r>
          <w:r>
            <w:rPr>
              <w:sz w:val="28"/>
              <w:szCs w:val="28"/>
            </w:rPr>
            <w:instrText xml:space="preserve"> PAGEREF _Toc14537 \h </w:instrText>
          </w:r>
          <w:r>
            <w:rPr>
              <w:sz w:val="28"/>
              <w:szCs w:val="28"/>
            </w:rPr>
            <w:fldChar w:fldCharType="separate"/>
          </w:r>
          <w:r>
            <w:rPr>
              <w:sz w:val="28"/>
              <w:szCs w:val="28"/>
            </w:rPr>
            <w:t>9</w:t>
          </w:r>
          <w:r>
            <w:rPr>
              <w:sz w:val="28"/>
              <w:szCs w:val="28"/>
            </w:rPr>
            <w:fldChar w:fldCharType="end"/>
          </w:r>
          <w:r>
            <w:rPr>
              <w:sz w:val="28"/>
              <w:szCs w:val="28"/>
            </w:rPr>
            <w:fldChar w:fldCharType="end"/>
          </w:r>
        </w:p>
        <w:p w14:paraId="27FC3139">
          <w:pPr>
            <w:pStyle w:val="10"/>
            <w:bidi w:val="0"/>
          </w:pPr>
          <w:r>
            <w:rPr>
              <w:sz w:val="28"/>
              <w:szCs w:val="28"/>
            </w:rPr>
            <w:fldChar w:fldCharType="end"/>
          </w:r>
          <w:bookmarkStart w:id="0" w:name="_Toc2780"/>
        </w:p>
      </w:sdtContent>
    </w:sdt>
    <w:p w14:paraId="46935CF5">
      <w:pPr>
        <w:pStyle w:val="10"/>
        <w:bidi w:val="0"/>
        <w:rPr>
          <w:rFonts w:ascii="黑体" w:hAnsi="黑体" w:eastAsia="黑体" w:cs="黑体"/>
          <w:kern w:val="2"/>
          <w:sz w:val="32"/>
          <w:szCs w:val="32"/>
        </w:rPr>
      </w:pPr>
      <w:r>
        <w:rPr>
          <w:rFonts w:hint="eastAsia" w:ascii="黑体" w:hAnsi="黑体" w:eastAsia="黑体" w:cs="黑体"/>
          <w:kern w:val="2"/>
          <w:sz w:val="32"/>
          <w:szCs w:val="32"/>
        </w:rPr>
        <w:t>一、基本职能及主要工作</w:t>
      </w:r>
      <w:bookmarkEnd w:id="0"/>
    </w:p>
    <w:p w14:paraId="14949561">
      <w:pPr>
        <w:pStyle w:val="18"/>
        <w:spacing w:before="0" w:line="360" w:lineRule="auto"/>
        <w:ind w:firstLine="643" w:firstLineChars="200"/>
        <w:outlineLvl w:val="1"/>
        <w:rPr>
          <w:rFonts w:ascii="楷体_GB2312" w:hAnsi="楷体_GB2312" w:eastAsia="楷体_GB2312" w:cs="楷体_GB2312"/>
          <w:b/>
          <w:bCs/>
          <w:kern w:val="2"/>
          <w:sz w:val="32"/>
          <w:szCs w:val="32"/>
        </w:rPr>
      </w:pPr>
      <w:bookmarkStart w:id="1" w:name="_Toc23999"/>
      <w:r>
        <w:rPr>
          <w:rFonts w:hint="eastAsia" w:ascii="楷体_GB2312" w:hAnsi="楷体_GB2312" w:eastAsia="楷体_GB2312" w:cs="楷体_GB2312"/>
          <w:b/>
          <w:bCs/>
          <w:kern w:val="2"/>
          <w:sz w:val="32"/>
          <w:szCs w:val="32"/>
        </w:rPr>
        <w:t>（一）部门职能简介</w:t>
      </w:r>
      <w:bookmarkEnd w:id="1"/>
    </w:p>
    <w:p w14:paraId="5635ECC2">
      <w:pPr>
        <w:spacing w:line="5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1.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展。完成阿坝州生态环境局和金川县委、县政府交办的其他事项。</w:t>
      </w:r>
    </w:p>
    <w:p w14:paraId="7F4392DF">
      <w:pPr>
        <w:pStyle w:val="18"/>
        <w:spacing w:before="0" w:line="360" w:lineRule="auto"/>
        <w:ind w:firstLine="627" w:firstLineChars="196"/>
        <w:outlineLvl w:val="2"/>
        <w:rPr>
          <w:rFonts w:hAnsi="黑体"/>
          <w:kern w:val="2"/>
          <w:sz w:val="32"/>
          <w:szCs w:val="32"/>
        </w:rPr>
      </w:pPr>
      <w:bookmarkStart w:id="2" w:name="_Toc3730"/>
      <w:r>
        <w:rPr>
          <w:rFonts w:hint="eastAsia" w:hAnsi="黑体"/>
          <w:kern w:val="2"/>
          <w:sz w:val="32"/>
          <w:szCs w:val="32"/>
        </w:rPr>
        <w:t>2.完成州生态环境监测中心站交办的其他任务。</w:t>
      </w:r>
      <w:bookmarkEnd w:id="2"/>
    </w:p>
    <w:p w14:paraId="505A2893">
      <w:pPr>
        <w:pStyle w:val="18"/>
        <w:spacing w:before="0" w:line="360" w:lineRule="auto"/>
        <w:ind w:firstLine="630" w:firstLineChars="196"/>
        <w:outlineLvl w:val="1"/>
        <w:rPr>
          <w:rFonts w:hAnsi="黑体"/>
          <w:b/>
          <w:bCs/>
          <w:kern w:val="2"/>
          <w:sz w:val="32"/>
          <w:szCs w:val="32"/>
        </w:rPr>
      </w:pPr>
      <w:bookmarkStart w:id="3" w:name="_Toc23249"/>
      <w:r>
        <w:rPr>
          <w:rFonts w:hint="eastAsia" w:hAnsi="黑体"/>
          <w:b/>
          <w:bCs/>
          <w:kern w:val="2"/>
          <w:sz w:val="32"/>
          <w:szCs w:val="32"/>
        </w:rPr>
        <w:t>（二）202</w:t>
      </w:r>
      <w:r>
        <w:rPr>
          <w:rFonts w:hint="eastAsia" w:hAnsi="黑体"/>
          <w:b/>
          <w:bCs/>
          <w:kern w:val="2"/>
          <w:sz w:val="32"/>
          <w:szCs w:val="32"/>
          <w:lang w:val="en-US" w:eastAsia="zh-CN"/>
        </w:rPr>
        <w:t>6</w:t>
      </w:r>
      <w:r>
        <w:rPr>
          <w:rFonts w:hint="eastAsia" w:hAnsi="黑体"/>
          <w:b/>
          <w:bCs/>
          <w:kern w:val="2"/>
          <w:sz w:val="32"/>
          <w:szCs w:val="32"/>
        </w:rPr>
        <w:t>年重点工作</w:t>
      </w:r>
      <w:bookmarkEnd w:id="3"/>
    </w:p>
    <w:p w14:paraId="3CBBFF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持续深入打好蓝天保卫战，更加突出源头管控，强化扬尘防治监管，探索多部门联合协同处置机制，加快推进燃煤锅炉改造、加强移动源监管，强化加油站油气回收设施监管等，确保大气环境质量持续保持优良。持续深入打好碧水保卫战，强化入河排污口监管，落实长效管理机制，积极谋划申报流域治理项目，确保水环境质量持续保持稳定。持续深入打好净土保卫战，强化土壤污染重点监管单位管理，开展土壤污染重点监管单位周边土壤和地下水环境监测，确保土壤环境质量总体保持稳定。全力打好固体废物污染防治专项行动，加快推进金川县奥伊诺矿业尾矿库下游小溪水体锌浓度超标问题整改，排查县城生活垃圾填埋厂污染隐患，严厉打击固体废物非法倾倒，强化危险废物规范化管理。</w:t>
      </w:r>
    </w:p>
    <w:p w14:paraId="6D9619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组织推动各类各级问题整改，特别是第三轮中央、省级督察反馈问题。提升生态环境监测、环境监察、事件处置、核与辐射监管等能力，深入开展环境安全隐患排查，杜绝重特大突发环境事件发生。保持对生态环境违法行为的高压态势，坚持对生态环境违法行为“零容忍”，依法严厉打击环境违法行为。</w:t>
      </w:r>
    </w:p>
    <w:p w14:paraId="340754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3.组织开展“十五五”生态环境保护规划编制工作，储备一批藏区“十五五”规划生态保护类项目。</w:t>
      </w:r>
    </w:p>
    <w:p w14:paraId="3FC44D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i w:val="0"/>
          <w:caps w:val="0"/>
          <w:color w:val="000000"/>
          <w:spacing w:val="0"/>
          <w:w w:val="100"/>
          <w:kern w:val="2"/>
          <w:sz w:val="32"/>
          <w:szCs w:val="32"/>
          <w:lang w:val="en-US" w:eastAsia="zh-CN" w:bidi="ar-SA"/>
        </w:rPr>
        <w:t>4.继续服务好县域重点建设项目，及时快速办理环境影响评</w:t>
      </w:r>
      <w:r>
        <w:rPr>
          <w:rFonts w:hint="default" w:ascii="Times New Roman" w:hAnsi="Times New Roman" w:eastAsia="方正仿宋_GBK" w:cs="Times New Roman"/>
          <w:sz w:val="32"/>
          <w:szCs w:val="32"/>
          <w:lang w:val="en-US" w:eastAsia="zh-CN"/>
        </w:rPr>
        <w:t>价审批，全力做好建设项目要素保障工作。</w:t>
      </w:r>
    </w:p>
    <w:p w14:paraId="32600C66">
      <w:pPr>
        <w:pStyle w:val="18"/>
        <w:spacing w:before="0" w:line="360" w:lineRule="auto"/>
        <w:outlineLvl w:val="0"/>
        <w:rPr>
          <w:rFonts w:ascii="黑体" w:hAnsi="黑体" w:eastAsia="黑体" w:cs="黑体"/>
          <w:kern w:val="2"/>
          <w:sz w:val="32"/>
          <w:szCs w:val="32"/>
        </w:rPr>
      </w:pPr>
      <w:bookmarkStart w:id="4" w:name="_Toc2138"/>
      <w:r>
        <w:rPr>
          <w:rFonts w:hint="eastAsia" w:ascii="黑体" w:hAnsi="黑体" w:eastAsia="黑体" w:cs="黑体"/>
          <w:kern w:val="2"/>
          <w:sz w:val="32"/>
          <w:szCs w:val="32"/>
        </w:rPr>
        <w:t>二、部门预算单位构成</w:t>
      </w:r>
      <w:bookmarkEnd w:id="4"/>
    </w:p>
    <w:p w14:paraId="4E932F7C">
      <w:pPr>
        <w:pStyle w:val="18"/>
        <w:spacing w:before="0" w:line="360" w:lineRule="auto"/>
        <w:ind w:firstLine="627" w:firstLineChars="196"/>
        <w:rPr>
          <w:rFonts w:hAnsi="黑体"/>
          <w:kern w:val="2"/>
          <w:sz w:val="32"/>
          <w:szCs w:val="32"/>
        </w:rPr>
      </w:pPr>
      <w:r>
        <w:rPr>
          <w:rFonts w:hint="eastAsia" w:hAnsi="黑体"/>
          <w:kern w:val="2"/>
          <w:sz w:val="32"/>
          <w:szCs w:val="32"/>
          <w:lang w:val="en-US" w:eastAsia="zh-CN"/>
        </w:rPr>
        <w:t>阿坝州</w:t>
      </w:r>
      <w:bookmarkStart w:id="22" w:name="_GoBack"/>
      <w:bookmarkEnd w:id="22"/>
      <w:r>
        <w:rPr>
          <w:rFonts w:hint="eastAsia" w:hAnsi="黑体"/>
          <w:kern w:val="2"/>
          <w:sz w:val="32"/>
          <w:szCs w:val="32"/>
        </w:rPr>
        <w:t>金川环境监测站属于阿坝州金川生态环境局二级预算单位。本部门内设机构1个。总编制10名，均属于事业编制。在职人员总数</w:t>
      </w:r>
      <w:r>
        <w:rPr>
          <w:rFonts w:hint="eastAsia" w:hAnsi="黑体"/>
          <w:kern w:val="2"/>
          <w:sz w:val="32"/>
          <w:szCs w:val="32"/>
          <w:lang w:val="en-US" w:eastAsia="zh-CN"/>
        </w:rPr>
        <w:t>10</w:t>
      </w:r>
      <w:r>
        <w:rPr>
          <w:rFonts w:hint="eastAsia" w:hAnsi="黑体"/>
          <w:kern w:val="2"/>
          <w:sz w:val="32"/>
          <w:szCs w:val="32"/>
        </w:rPr>
        <w:t>名；离休人员0人，退休人员0人；编外长期聘用的人员0名。</w:t>
      </w:r>
    </w:p>
    <w:p w14:paraId="67B395F9">
      <w:pPr>
        <w:pStyle w:val="18"/>
        <w:spacing w:before="0" w:line="360" w:lineRule="auto"/>
        <w:outlineLvl w:val="0"/>
        <w:rPr>
          <w:rFonts w:ascii="黑体" w:hAnsi="黑体" w:eastAsia="黑体" w:cs="黑体"/>
          <w:kern w:val="2"/>
          <w:sz w:val="32"/>
          <w:szCs w:val="32"/>
        </w:rPr>
      </w:pPr>
      <w:bookmarkStart w:id="5" w:name="_Toc32161"/>
      <w:r>
        <w:rPr>
          <w:rFonts w:hint="eastAsia" w:ascii="黑体" w:hAnsi="黑体" w:eastAsia="黑体" w:cs="黑体"/>
          <w:kern w:val="2"/>
          <w:sz w:val="32"/>
          <w:szCs w:val="32"/>
        </w:rPr>
        <w:t>三、收支预算情况说明</w:t>
      </w:r>
      <w:bookmarkEnd w:id="5"/>
    </w:p>
    <w:p w14:paraId="4789A9D6">
      <w:pPr>
        <w:pStyle w:val="18"/>
        <w:spacing w:before="0" w:line="360" w:lineRule="auto"/>
        <w:ind w:firstLine="313" w:firstLineChars="196"/>
        <w:rPr>
          <w:rFonts w:hAnsi="黑体"/>
          <w:kern w:val="2"/>
          <w:sz w:val="32"/>
          <w:szCs w:val="32"/>
        </w:rPr>
      </w:pPr>
      <w:r>
        <w:rPr>
          <w:rFonts w:hint="eastAsia" w:ascii="??" w:hAnsi="??" w:eastAsia="宋体" w:cs="宋体"/>
          <w:sz w:val="16"/>
          <w:szCs w:val="16"/>
        </w:rPr>
        <w:t>　　</w:t>
      </w:r>
      <w:r>
        <w:rPr>
          <w:rFonts w:hint="eastAsia" w:hAnsi="黑体"/>
          <w:kern w:val="2"/>
          <w:sz w:val="32"/>
          <w:szCs w:val="32"/>
        </w:rPr>
        <w:t>按照综合预算的原则，阿坝州金川环境监测站所有收入和支出均纳入部门预算管理。收入包括：一般公共预算拨款收入</w:t>
      </w:r>
      <w:r>
        <w:rPr>
          <w:rFonts w:hint="eastAsia" w:hAnsi="黑体" w:cs="Times New Roman"/>
          <w:kern w:val="2"/>
          <w:sz w:val="32"/>
          <w:szCs w:val="32"/>
          <w:lang w:val="en-US" w:eastAsia="zh-CN"/>
        </w:rPr>
        <w:t>177.12</w:t>
      </w:r>
      <w:r>
        <w:rPr>
          <w:rFonts w:hint="eastAsia" w:hAnsi="黑体"/>
          <w:kern w:val="2"/>
          <w:sz w:val="32"/>
          <w:szCs w:val="32"/>
        </w:rPr>
        <w:t>万元，事业收入</w:t>
      </w:r>
      <w:r>
        <w:rPr>
          <w:rFonts w:hint="eastAsia" w:hAnsi="黑体" w:cs="Times New Roman"/>
          <w:kern w:val="2"/>
          <w:sz w:val="32"/>
          <w:szCs w:val="32"/>
        </w:rPr>
        <w:t>0</w:t>
      </w:r>
      <w:r>
        <w:rPr>
          <w:rFonts w:hint="eastAsia" w:hAnsi="黑体"/>
          <w:kern w:val="2"/>
          <w:sz w:val="32"/>
          <w:szCs w:val="32"/>
        </w:rPr>
        <w:t>万元，其他收入</w:t>
      </w:r>
      <w:r>
        <w:rPr>
          <w:rFonts w:hint="eastAsia" w:hAnsi="黑体" w:cs="Times New Roman"/>
          <w:kern w:val="2"/>
          <w:sz w:val="32"/>
          <w:szCs w:val="32"/>
        </w:rPr>
        <w:t>0</w:t>
      </w:r>
      <w:r>
        <w:rPr>
          <w:rFonts w:hint="eastAsia" w:hAnsi="黑体"/>
          <w:kern w:val="2"/>
          <w:sz w:val="32"/>
          <w:szCs w:val="32"/>
        </w:rPr>
        <w:t>万元，上年结转</w:t>
      </w:r>
      <w:r>
        <w:rPr>
          <w:rFonts w:hint="eastAsia" w:hAnsi="黑体" w:cs="Times New Roman"/>
          <w:kern w:val="2"/>
          <w:sz w:val="32"/>
          <w:szCs w:val="32"/>
        </w:rPr>
        <w:t>0</w:t>
      </w:r>
      <w:r>
        <w:rPr>
          <w:rFonts w:hint="eastAsia" w:hAnsi="黑体"/>
          <w:kern w:val="2"/>
          <w:sz w:val="32"/>
          <w:szCs w:val="32"/>
        </w:rPr>
        <w:t>万元；支出包括：一般公共服务支出</w:t>
      </w:r>
      <w:r>
        <w:rPr>
          <w:rFonts w:hint="eastAsia" w:hAnsi="黑体" w:cs="Times New Roman"/>
          <w:kern w:val="2"/>
          <w:sz w:val="32"/>
          <w:szCs w:val="32"/>
        </w:rPr>
        <w:t>0</w:t>
      </w:r>
      <w:r>
        <w:rPr>
          <w:rFonts w:hint="eastAsia" w:hAnsi="黑体"/>
          <w:kern w:val="2"/>
          <w:sz w:val="32"/>
          <w:szCs w:val="32"/>
        </w:rPr>
        <w:t>万元，节能环保支出</w:t>
      </w:r>
      <w:r>
        <w:rPr>
          <w:rFonts w:hint="eastAsia" w:hAnsi="黑体" w:cs="Times New Roman"/>
          <w:kern w:val="2"/>
          <w:sz w:val="32"/>
          <w:szCs w:val="32"/>
        </w:rPr>
        <w:t>118.22</w:t>
      </w:r>
      <w:r>
        <w:rPr>
          <w:rFonts w:hint="eastAsia" w:hAnsi="黑体"/>
          <w:kern w:val="2"/>
          <w:sz w:val="32"/>
          <w:szCs w:val="32"/>
        </w:rPr>
        <w:t>万元，卫生健康支出10.78万元，文化体育与传媒支出</w:t>
      </w:r>
      <w:r>
        <w:rPr>
          <w:rFonts w:hint="eastAsia" w:hAnsi="黑体" w:cs="Times New Roman"/>
          <w:kern w:val="2"/>
          <w:sz w:val="32"/>
          <w:szCs w:val="32"/>
        </w:rPr>
        <w:t>0</w:t>
      </w:r>
      <w:r>
        <w:rPr>
          <w:rFonts w:hint="eastAsia" w:hAnsi="黑体"/>
          <w:kern w:val="2"/>
          <w:sz w:val="32"/>
          <w:szCs w:val="32"/>
        </w:rPr>
        <w:t>万元，社会保障和就业支出</w:t>
      </w:r>
      <w:r>
        <w:rPr>
          <w:rFonts w:hint="eastAsia" w:hAnsi="黑体" w:cs="Times New Roman"/>
          <w:kern w:val="2"/>
          <w:sz w:val="32"/>
          <w:szCs w:val="32"/>
          <w:lang w:val="en-US" w:eastAsia="zh-CN"/>
        </w:rPr>
        <w:t>30.02</w:t>
      </w:r>
      <w:r>
        <w:rPr>
          <w:rFonts w:hint="eastAsia" w:hAnsi="黑体"/>
          <w:kern w:val="2"/>
          <w:sz w:val="32"/>
          <w:szCs w:val="32"/>
        </w:rPr>
        <w:t>万元，住房保障支出</w:t>
      </w:r>
      <w:r>
        <w:rPr>
          <w:rFonts w:hint="eastAsia" w:hAnsi="黑体" w:cs="Times New Roman"/>
          <w:kern w:val="2"/>
          <w:sz w:val="32"/>
          <w:szCs w:val="32"/>
        </w:rPr>
        <w:t>18.09</w:t>
      </w:r>
      <w:r>
        <w:rPr>
          <w:rFonts w:hint="eastAsia" w:hAnsi="黑体"/>
          <w:kern w:val="2"/>
          <w:sz w:val="32"/>
          <w:szCs w:val="32"/>
        </w:rPr>
        <w:t>万元。阿坝州金川环境监测站</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收支总预算</w:t>
      </w:r>
      <w:r>
        <w:rPr>
          <w:rFonts w:hint="eastAsia" w:hAnsi="黑体" w:cs="Times New Roman"/>
          <w:kern w:val="2"/>
          <w:sz w:val="32"/>
          <w:szCs w:val="32"/>
          <w:lang w:val="en-US" w:eastAsia="zh-CN"/>
        </w:rPr>
        <w:t>177.12</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w:t>
      </w:r>
      <w:r>
        <w:rPr>
          <w:rFonts w:hint="eastAsia" w:hAnsi="黑体" w:cs="Times New Roman"/>
          <w:kern w:val="2"/>
          <w:sz w:val="32"/>
          <w:szCs w:val="32"/>
          <w:lang w:val="en-US" w:eastAsia="zh-CN"/>
        </w:rPr>
        <w:t>6</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2025年新增一人</w:t>
      </w:r>
      <w:r>
        <w:rPr>
          <w:rFonts w:hint="eastAsia" w:hAnsi="黑体"/>
          <w:kern w:val="2"/>
          <w:sz w:val="32"/>
          <w:szCs w:val="32"/>
        </w:rPr>
        <w:t>。</w:t>
      </w:r>
    </w:p>
    <w:p w14:paraId="7D873946">
      <w:pPr>
        <w:pStyle w:val="18"/>
        <w:spacing w:before="0" w:line="360" w:lineRule="auto"/>
        <w:ind w:firstLine="643" w:firstLineChars="200"/>
        <w:outlineLvl w:val="1"/>
        <w:rPr>
          <w:rFonts w:ascii="楷体_GB2312" w:hAnsi="黑体" w:eastAsia="楷体_GB2312" w:cs="楷体_GB2312"/>
          <w:b/>
          <w:bCs/>
          <w:kern w:val="2"/>
          <w:sz w:val="32"/>
          <w:szCs w:val="32"/>
        </w:rPr>
      </w:pPr>
      <w:bookmarkStart w:id="6" w:name="_Toc17948"/>
      <w:r>
        <w:rPr>
          <w:rFonts w:hint="eastAsia" w:ascii="楷体_GB2312" w:hAnsi="黑体" w:eastAsia="楷体_GB2312" w:cs="楷体_GB2312"/>
          <w:b/>
          <w:bCs/>
          <w:kern w:val="2"/>
          <w:sz w:val="32"/>
          <w:szCs w:val="32"/>
        </w:rPr>
        <w:t>（一）收入预算情况</w:t>
      </w:r>
      <w:bookmarkEnd w:id="6"/>
    </w:p>
    <w:p w14:paraId="63792857">
      <w:pPr>
        <w:pStyle w:val="18"/>
        <w:spacing w:before="0" w:line="360" w:lineRule="auto"/>
        <w:ind w:firstLine="627" w:firstLineChars="196"/>
        <w:rPr>
          <w:rFonts w:hAnsi="黑体"/>
          <w:kern w:val="2"/>
          <w:sz w:val="32"/>
          <w:szCs w:val="32"/>
        </w:rPr>
      </w:pPr>
      <w:r>
        <w:rPr>
          <w:rFonts w:hint="eastAsia" w:hAnsi="黑体"/>
          <w:kern w:val="2"/>
          <w:sz w:val="32"/>
          <w:szCs w:val="32"/>
        </w:rPr>
        <w:t>阿坝州金川环境监测站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177.12</w:t>
      </w:r>
      <w:r>
        <w:rPr>
          <w:rFonts w:hint="eastAsia" w:hAnsi="黑体"/>
          <w:kern w:val="2"/>
          <w:sz w:val="32"/>
          <w:szCs w:val="32"/>
        </w:rPr>
        <w:t>万元，其中：上年结转</w:t>
      </w:r>
      <w:r>
        <w:rPr>
          <w:rFonts w:hint="eastAsia" w:hAnsi="黑体" w:cs="Times New Roman"/>
          <w:kern w:val="2"/>
          <w:sz w:val="32"/>
          <w:szCs w:val="32"/>
        </w:rPr>
        <w:t>0</w:t>
      </w:r>
      <w:r>
        <w:rPr>
          <w:rFonts w:hint="eastAsia" w:hAnsi="黑体"/>
          <w:kern w:val="2"/>
          <w:sz w:val="32"/>
          <w:szCs w:val="32"/>
        </w:rPr>
        <w:t>万元，占0</w:t>
      </w:r>
      <w:r>
        <w:rPr>
          <w:rFonts w:hAnsi="黑体"/>
          <w:kern w:val="2"/>
          <w:sz w:val="32"/>
          <w:szCs w:val="32"/>
        </w:rPr>
        <w:t>%</w:t>
      </w:r>
      <w:r>
        <w:rPr>
          <w:rFonts w:hint="eastAsia" w:hAnsi="黑体"/>
          <w:kern w:val="2"/>
          <w:sz w:val="32"/>
          <w:szCs w:val="32"/>
        </w:rPr>
        <w:t>；一般公共预算拨款收入</w:t>
      </w:r>
      <w:r>
        <w:rPr>
          <w:rFonts w:hint="eastAsia" w:hAnsi="黑体" w:cs="Times New Roman"/>
          <w:kern w:val="2"/>
          <w:sz w:val="32"/>
          <w:szCs w:val="32"/>
          <w:lang w:val="en-US" w:eastAsia="zh-CN"/>
        </w:rPr>
        <w:t>177.12</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w:t>
      </w:r>
    </w:p>
    <w:p w14:paraId="4FD5B531">
      <w:pPr>
        <w:pStyle w:val="18"/>
        <w:spacing w:before="0" w:line="360" w:lineRule="auto"/>
        <w:ind w:firstLine="643" w:firstLineChars="200"/>
        <w:outlineLvl w:val="1"/>
        <w:rPr>
          <w:rFonts w:ascii="楷体_GB2312" w:hAnsi="黑体" w:eastAsia="楷体_GB2312" w:cs="楷体_GB2312"/>
          <w:b/>
          <w:bCs/>
          <w:kern w:val="2"/>
          <w:sz w:val="32"/>
          <w:szCs w:val="32"/>
        </w:rPr>
      </w:pPr>
      <w:bookmarkStart w:id="7" w:name="_Toc19945"/>
      <w:r>
        <w:rPr>
          <w:rFonts w:hint="eastAsia" w:ascii="楷体_GB2312" w:hAnsi="黑体" w:eastAsia="楷体_GB2312" w:cs="楷体_GB2312"/>
          <w:b/>
          <w:bCs/>
          <w:kern w:val="2"/>
          <w:sz w:val="32"/>
          <w:szCs w:val="32"/>
        </w:rPr>
        <w:t>（二）支出预算情况</w:t>
      </w:r>
      <w:bookmarkEnd w:id="7"/>
    </w:p>
    <w:p w14:paraId="5E4AC3EF">
      <w:pPr>
        <w:pStyle w:val="18"/>
        <w:spacing w:before="0" w:line="360" w:lineRule="auto"/>
        <w:ind w:firstLine="640" w:firstLineChars="200"/>
        <w:rPr>
          <w:rFonts w:hAnsi="黑体" w:cs="Times New Roman"/>
          <w:kern w:val="2"/>
          <w:sz w:val="32"/>
          <w:szCs w:val="32"/>
        </w:rPr>
      </w:pPr>
      <w:r>
        <w:rPr>
          <w:rFonts w:hint="eastAsia" w:hAnsi="黑体"/>
          <w:kern w:val="2"/>
          <w:sz w:val="32"/>
          <w:szCs w:val="32"/>
        </w:rPr>
        <w:t>阿坝州金川环境监测站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lang w:val="en-US" w:eastAsia="zh-CN"/>
        </w:rPr>
        <w:t>177.12</w:t>
      </w:r>
      <w:r>
        <w:rPr>
          <w:rFonts w:hint="eastAsia" w:hAnsi="黑体"/>
          <w:kern w:val="2"/>
          <w:sz w:val="32"/>
          <w:szCs w:val="32"/>
        </w:rPr>
        <w:t>万元，其中：基本支出</w:t>
      </w:r>
      <w:r>
        <w:rPr>
          <w:rFonts w:hint="eastAsia" w:hAnsi="黑体" w:cs="Times New Roman"/>
          <w:kern w:val="2"/>
          <w:sz w:val="32"/>
          <w:szCs w:val="32"/>
          <w:lang w:val="en-US" w:eastAsia="zh-CN"/>
        </w:rPr>
        <w:t>177.12</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0</w:t>
      </w:r>
      <w:r>
        <w:rPr>
          <w:rFonts w:hAnsi="黑体"/>
          <w:kern w:val="2"/>
          <w:sz w:val="32"/>
          <w:szCs w:val="32"/>
        </w:rPr>
        <w:t>%</w:t>
      </w:r>
      <w:r>
        <w:rPr>
          <w:rFonts w:hint="eastAsia" w:hAnsi="黑体"/>
          <w:kern w:val="2"/>
          <w:sz w:val="32"/>
          <w:szCs w:val="32"/>
        </w:rPr>
        <w:t>。</w:t>
      </w:r>
    </w:p>
    <w:p w14:paraId="2EB03774">
      <w:pPr>
        <w:pStyle w:val="18"/>
        <w:spacing w:before="0" w:line="360" w:lineRule="auto"/>
        <w:outlineLvl w:val="0"/>
        <w:rPr>
          <w:rFonts w:ascii="黑体" w:hAnsi="黑体" w:eastAsia="黑体" w:cs="黑体"/>
          <w:kern w:val="2"/>
          <w:sz w:val="32"/>
          <w:szCs w:val="32"/>
        </w:rPr>
      </w:pPr>
      <w:bookmarkStart w:id="8" w:name="_Toc17463"/>
      <w:r>
        <w:rPr>
          <w:rFonts w:hint="eastAsia" w:ascii="黑体" w:hAnsi="黑体" w:eastAsia="黑体" w:cs="黑体"/>
          <w:kern w:val="2"/>
          <w:sz w:val="32"/>
          <w:szCs w:val="32"/>
        </w:rPr>
        <w:t>四、财政拨款收支预算情况说明</w:t>
      </w:r>
      <w:bookmarkEnd w:id="8"/>
    </w:p>
    <w:p w14:paraId="45ED3F73">
      <w:pPr>
        <w:pStyle w:val="18"/>
        <w:spacing w:before="0" w:line="360" w:lineRule="auto"/>
        <w:ind w:firstLine="313" w:firstLineChars="196"/>
        <w:rPr>
          <w:rFonts w:hAnsi="黑体"/>
          <w:kern w:val="2"/>
          <w:sz w:val="32"/>
          <w:szCs w:val="32"/>
        </w:rPr>
      </w:pPr>
      <w:r>
        <w:rPr>
          <w:rFonts w:hint="eastAsia" w:ascii="??" w:hAnsi="??" w:eastAsia="宋体" w:cs="宋体"/>
          <w:sz w:val="16"/>
          <w:szCs w:val="16"/>
        </w:rPr>
        <w:t>　</w:t>
      </w:r>
      <w:r>
        <w:rPr>
          <w:rFonts w:hint="eastAsia" w:hAnsi="黑体"/>
          <w:kern w:val="2"/>
          <w:sz w:val="32"/>
          <w:szCs w:val="32"/>
        </w:rPr>
        <w:t>阿坝州金川环境监测站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财政拨款收支总预算</w:t>
      </w:r>
      <w:r>
        <w:rPr>
          <w:rFonts w:hint="eastAsia" w:hAnsi="黑体" w:cs="Times New Roman"/>
          <w:kern w:val="2"/>
          <w:sz w:val="32"/>
          <w:szCs w:val="32"/>
          <w:lang w:val="en-US" w:eastAsia="zh-CN"/>
        </w:rPr>
        <w:t>177.12</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w:t>
      </w:r>
      <w:r>
        <w:rPr>
          <w:rFonts w:hint="eastAsia" w:hAnsi="黑体" w:cs="Times New Roman"/>
          <w:kern w:val="2"/>
          <w:sz w:val="32"/>
          <w:szCs w:val="32"/>
          <w:lang w:val="en-US" w:eastAsia="zh-CN"/>
        </w:rPr>
        <w:t>6</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2025年新增一人</w:t>
      </w:r>
      <w:r>
        <w:rPr>
          <w:rFonts w:hint="eastAsia" w:hAnsi="黑体"/>
          <w:kern w:val="2"/>
          <w:sz w:val="32"/>
          <w:szCs w:val="32"/>
        </w:rPr>
        <w:t>。</w:t>
      </w:r>
    </w:p>
    <w:p w14:paraId="0E4A2E2A">
      <w:pPr>
        <w:pStyle w:val="18"/>
        <w:spacing w:before="0" w:line="360" w:lineRule="auto"/>
        <w:ind w:firstLine="627" w:firstLineChars="196"/>
        <w:rPr>
          <w:rFonts w:hAnsi="黑体"/>
          <w:kern w:val="2"/>
          <w:sz w:val="32"/>
          <w:szCs w:val="32"/>
        </w:rPr>
      </w:pPr>
      <w:r>
        <w:rPr>
          <w:rFonts w:hint="eastAsia" w:hAnsi="黑体"/>
          <w:kern w:val="2"/>
          <w:sz w:val="32"/>
          <w:szCs w:val="32"/>
        </w:rPr>
        <w:t>收入包括：本年一般公共预算拨款收入</w:t>
      </w:r>
      <w:r>
        <w:rPr>
          <w:rFonts w:hint="eastAsia" w:hAnsi="黑体" w:cs="Times New Roman"/>
          <w:kern w:val="2"/>
          <w:sz w:val="32"/>
          <w:szCs w:val="32"/>
          <w:lang w:val="en-US" w:eastAsia="zh-CN"/>
        </w:rPr>
        <w:t>177.12</w:t>
      </w:r>
      <w:r>
        <w:rPr>
          <w:rFonts w:hint="eastAsia" w:hAnsi="黑体"/>
          <w:kern w:val="2"/>
          <w:sz w:val="32"/>
          <w:szCs w:val="32"/>
        </w:rPr>
        <w:t>万元，上年结转一般公共预算收入0万元，上年结转财政拨款资金0万元；</w:t>
      </w:r>
    </w:p>
    <w:p w14:paraId="4CD844D4">
      <w:pPr>
        <w:pStyle w:val="18"/>
        <w:spacing w:before="0" w:line="360" w:lineRule="auto"/>
        <w:ind w:firstLine="627" w:firstLineChars="196"/>
        <w:rPr>
          <w:rFonts w:hAnsi="黑体"/>
          <w:kern w:val="2"/>
          <w:sz w:val="32"/>
          <w:szCs w:val="32"/>
        </w:rPr>
      </w:pPr>
      <w:r>
        <w:rPr>
          <w:rFonts w:hint="eastAsia" w:hAnsi="黑体"/>
          <w:kern w:val="2"/>
          <w:sz w:val="32"/>
          <w:szCs w:val="32"/>
        </w:rPr>
        <w:t>支出包括：一般公共服务支出</w:t>
      </w:r>
      <w:r>
        <w:rPr>
          <w:rFonts w:hint="eastAsia" w:hAnsi="黑体" w:cs="Times New Roman"/>
          <w:kern w:val="2"/>
          <w:sz w:val="32"/>
          <w:szCs w:val="32"/>
        </w:rPr>
        <w:t>0</w:t>
      </w:r>
      <w:r>
        <w:rPr>
          <w:rFonts w:hint="eastAsia" w:hAnsi="黑体"/>
          <w:kern w:val="2"/>
          <w:sz w:val="32"/>
          <w:szCs w:val="32"/>
        </w:rPr>
        <w:t>万元，节能环保支出</w:t>
      </w:r>
      <w:r>
        <w:rPr>
          <w:rFonts w:hint="eastAsia" w:hAnsi="黑体" w:cs="Times New Roman"/>
          <w:kern w:val="2"/>
          <w:sz w:val="32"/>
          <w:szCs w:val="32"/>
        </w:rPr>
        <w:t>118.22</w:t>
      </w:r>
      <w:r>
        <w:rPr>
          <w:rFonts w:hint="eastAsia" w:hAnsi="黑体"/>
          <w:kern w:val="2"/>
          <w:sz w:val="32"/>
          <w:szCs w:val="32"/>
        </w:rPr>
        <w:t>万元，卫生健康支出10.78万元，文化体育与传媒支出</w:t>
      </w:r>
      <w:r>
        <w:rPr>
          <w:rFonts w:hint="eastAsia" w:hAnsi="黑体" w:cs="Times New Roman"/>
          <w:kern w:val="2"/>
          <w:sz w:val="32"/>
          <w:szCs w:val="32"/>
        </w:rPr>
        <w:t>0</w:t>
      </w:r>
      <w:r>
        <w:rPr>
          <w:rFonts w:hint="eastAsia" w:hAnsi="黑体"/>
          <w:kern w:val="2"/>
          <w:sz w:val="32"/>
          <w:szCs w:val="32"/>
        </w:rPr>
        <w:t>万元，社会保障和就业支出</w:t>
      </w:r>
      <w:r>
        <w:rPr>
          <w:rFonts w:hint="eastAsia" w:hAnsi="黑体" w:cs="Times New Roman"/>
          <w:kern w:val="2"/>
          <w:sz w:val="32"/>
          <w:szCs w:val="32"/>
          <w:lang w:val="en-US" w:eastAsia="zh-CN"/>
        </w:rPr>
        <w:t>30.02</w:t>
      </w:r>
      <w:r>
        <w:rPr>
          <w:rFonts w:hint="eastAsia" w:hAnsi="黑体"/>
          <w:kern w:val="2"/>
          <w:sz w:val="32"/>
          <w:szCs w:val="32"/>
        </w:rPr>
        <w:t>万元，住房保障支出</w:t>
      </w:r>
      <w:r>
        <w:rPr>
          <w:rFonts w:hint="eastAsia" w:hAnsi="黑体" w:cs="Times New Roman"/>
          <w:kern w:val="2"/>
          <w:sz w:val="32"/>
          <w:szCs w:val="32"/>
          <w:lang w:val="en-US" w:eastAsia="zh-CN"/>
        </w:rPr>
        <w:t>18.09</w:t>
      </w:r>
      <w:r>
        <w:rPr>
          <w:rFonts w:hint="eastAsia" w:hAnsi="黑体"/>
          <w:kern w:val="2"/>
          <w:sz w:val="32"/>
          <w:szCs w:val="32"/>
        </w:rPr>
        <w:t>万元。</w:t>
      </w:r>
    </w:p>
    <w:p w14:paraId="7D757F8D">
      <w:pPr>
        <w:pStyle w:val="18"/>
        <w:spacing w:before="0" w:line="360" w:lineRule="auto"/>
        <w:ind w:firstLine="320" w:firstLineChars="100"/>
        <w:outlineLvl w:val="0"/>
        <w:rPr>
          <w:rFonts w:ascii="??" w:hAnsi="??" w:eastAsia="宋体" w:cs="Times New Roman"/>
          <w:sz w:val="16"/>
          <w:szCs w:val="16"/>
        </w:rPr>
      </w:pPr>
      <w:bookmarkStart w:id="9" w:name="_Toc25560"/>
      <w:r>
        <w:rPr>
          <w:rFonts w:hint="eastAsia" w:ascii="黑体" w:hAnsi="黑体" w:eastAsia="黑体" w:cs="黑体"/>
          <w:kern w:val="2"/>
          <w:sz w:val="32"/>
          <w:szCs w:val="32"/>
        </w:rPr>
        <w:t>五、一般公共预算当年拨款情况说明</w:t>
      </w:r>
      <w:bookmarkEnd w:id="9"/>
    </w:p>
    <w:p w14:paraId="1FFD391B">
      <w:pPr>
        <w:pStyle w:val="18"/>
        <w:spacing w:before="0" w:line="360" w:lineRule="auto"/>
        <w:ind w:firstLine="630" w:firstLineChars="196"/>
        <w:outlineLvl w:val="1"/>
        <w:rPr>
          <w:rFonts w:hAnsi="黑体" w:cs="Times New Roman"/>
          <w:kern w:val="2"/>
          <w:sz w:val="32"/>
          <w:szCs w:val="32"/>
        </w:rPr>
      </w:pPr>
      <w:bookmarkStart w:id="10" w:name="_Toc14917"/>
      <w:r>
        <w:rPr>
          <w:rFonts w:hint="eastAsia" w:ascii="楷体_GB2312" w:hAnsi="黑体" w:eastAsia="楷体_GB2312" w:cs="楷体_GB2312"/>
          <w:b/>
          <w:bCs/>
          <w:kern w:val="2"/>
          <w:sz w:val="32"/>
          <w:szCs w:val="32"/>
        </w:rPr>
        <w:t>（一）一般公共预算当年拨款规模变化情况</w:t>
      </w:r>
      <w:bookmarkEnd w:id="10"/>
    </w:p>
    <w:p w14:paraId="1DECBF98">
      <w:pPr>
        <w:pStyle w:val="18"/>
        <w:spacing w:before="0" w:line="360" w:lineRule="auto"/>
        <w:ind w:firstLine="627" w:firstLineChars="196"/>
        <w:rPr>
          <w:rFonts w:hAnsi="黑体"/>
          <w:kern w:val="2"/>
          <w:sz w:val="32"/>
          <w:szCs w:val="32"/>
        </w:rPr>
      </w:pPr>
      <w:r>
        <w:rPr>
          <w:rFonts w:hint="eastAsia" w:hAnsi="黑体"/>
          <w:kern w:val="2"/>
          <w:sz w:val="32"/>
          <w:szCs w:val="32"/>
        </w:rPr>
        <w:t>阿坝州金川环境监测站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一般公共预算当年拨款</w:t>
      </w:r>
      <w:r>
        <w:rPr>
          <w:rFonts w:hint="eastAsia" w:hAnsi="黑体" w:cs="Times New Roman"/>
          <w:kern w:val="2"/>
          <w:sz w:val="32"/>
          <w:szCs w:val="32"/>
          <w:lang w:val="en-US" w:eastAsia="zh-CN"/>
        </w:rPr>
        <w:t>177.12</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预算数</w:t>
      </w:r>
      <w:r>
        <w:rPr>
          <w:rFonts w:hint="eastAsia" w:hAnsi="黑体"/>
          <w:kern w:val="2"/>
          <w:sz w:val="32"/>
          <w:szCs w:val="32"/>
          <w:lang w:val="en-US" w:eastAsia="zh-CN"/>
        </w:rPr>
        <w:t>增加</w:t>
      </w:r>
      <w:r>
        <w:rPr>
          <w:rFonts w:hint="eastAsia" w:hAnsi="黑体" w:cs="Times New Roman"/>
          <w:kern w:val="2"/>
          <w:sz w:val="32"/>
          <w:szCs w:val="32"/>
          <w:lang w:val="en-US" w:eastAsia="zh-CN"/>
        </w:rPr>
        <w:t>6</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2025年增加一人</w:t>
      </w:r>
      <w:r>
        <w:rPr>
          <w:rFonts w:hint="eastAsia" w:hAnsi="黑体"/>
          <w:kern w:val="2"/>
          <w:sz w:val="32"/>
          <w:szCs w:val="32"/>
        </w:rPr>
        <w:t>。</w:t>
      </w:r>
    </w:p>
    <w:p w14:paraId="4C8FD90A">
      <w:pPr>
        <w:pStyle w:val="18"/>
        <w:spacing w:before="0" w:line="360" w:lineRule="auto"/>
        <w:ind w:firstLine="630" w:firstLineChars="196"/>
        <w:outlineLvl w:val="1"/>
        <w:rPr>
          <w:rFonts w:ascii="楷体_GB2312" w:hAnsi="黑体" w:eastAsia="楷体_GB2312" w:cs="楷体_GB2312"/>
          <w:b/>
          <w:bCs/>
          <w:kern w:val="2"/>
          <w:sz w:val="32"/>
          <w:szCs w:val="32"/>
        </w:rPr>
      </w:pPr>
      <w:bookmarkStart w:id="11" w:name="_Toc8252"/>
      <w:r>
        <w:rPr>
          <w:rFonts w:hint="eastAsia" w:ascii="楷体_GB2312" w:hAnsi="黑体" w:eastAsia="楷体_GB2312" w:cs="楷体_GB2312"/>
          <w:b/>
          <w:bCs/>
          <w:kern w:val="2"/>
          <w:sz w:val="32"/>
          <w:szCs w:val="32"/>
        </w:rPr>
        <w:t>（二）一般公共预算当年拨款结构情况</w:t>
      </w:r>
      <w:bookmarkEnd w:id="11"/>
    </w:p>
    <w:p w14:paraId="762B78AC">
      <w:pPr>
        <w:pStyle w:val="18"/>
        <w:spacing w:before="0" w:line="360" w:lineRule="auto"/>
        <w:ind w:firstLine="627" w:firstLineChars="196"/>
        <w:rPr>
          <w:rFonts w:hAnsi="黑体"/>
          <w:kern w:val="2"/>
          <w:sz w:val="32"/>
          <w:szCs w:val="32"/>
        </w:rPr>
      </w:pPr>
      <w:r>
        <w:rPr>
          <w:rFonts w:hint="eastAsia" w:hAnsi="黑体"/>
          <w:kern w:val="2"/>
          <w:sz w:val="32"/>
          <w:szCs w:val="32"/>
        </w:rPr>
        <w:t>一般公共服务支出0万元，占0</w:t>
      </w:r>
      <w:r>
        <w:rPr>
          <w:rFonts w:hAnsi="黑体"/>
          <w:kern w:val="2"/>
          <w:sz w:val="32"/>
          <w:szCs w:val="32"/>
        </w:rPr>
        <w:t>%</w:t>
      </w:r>
      <w:r>
        <w:rPr>
          <w:rFonts w:hint="eastAsia" w:hAnsi="黑体"/>
          <w:kern w:val="2"/>
          <w:sz w:val="32"/>
          <w:szCs w:val="32"/>
        </w:rPr>
        <w:t>；教育支出0万元，占0</w:t>
      </w:r>
      <w:r>
        <w:rPr>
          <w:rFonts w:hAnsi="黑体"/>
          <w:kern w:val="2"/>
          <w:sz w:val="32"/>
          <w:szCs w:val="32"/>
        </w:rPr>
        <w:t>%</w:t>
      </w:r>
      <w:r>
        <w:rPr>
          <w:rFonts w:hint="eastAsia" w:hAnsi="黑体"/>
          <w:kern w:val="2"/>
          <w:sz w:val="32"/>
          <w:szCs w:val="32"/>
        </w:rPr>
        <w:t>；文化体育与传媒支出0万元，占0</w:t>
      </w:r>
      <w:r>
        <w:rPr>
          <w:rFonts w:hAnsi="黑体"/>
          <w:kern w:val="2"/>
          <w:sz w:val="32"/>
          <w:szCs w:val="32"/>
        </w:rPr>
        <w:t>%</w:t>
      </w:r>
      <w:r>
        <w:rPr>
          <w:rFonts w:hint="eastAsia" w:hAnsi="黑体"/>
          <w:kern w:val="2"/>
          <w:sz w:val="32"/>
          <w:szCs w:val="32"/>
        </w:rPr>
        <w:t>；社会保障和就业支出</w:t>
      </w:r>
      <w:r>
        <w:rPr>
          <w:rFonts w:hint="eastAsia" w:hAnsi="黑体"/>
          <w:kern w:val="2"/>
          <w:sz w:val="32"/>
          <w:szCs w:val="32"/>
          <w:lang w:val="en-US" w:eastAsia="zh-CN"/>
        </w:rPr>
        <w:t>30.02</w:t>
      </w:r>
      <w:r>
        <w:rPr>
          <w:rFonts w:hint="eastAsia" w:hAnsi="黑体"/>
          <w:kern w:val="2"/>
          <w:sz w:val="32"/>
          <w:szCs w:val="32"/>
        </w:rPr>
        <w:t>万元，占16.</w:t>
      </w:r>
      <w:r>
        <w:rPr>
          <w:rFonts w:hint="eastAsia" w:hAnsi="黑体"/>
          <w:kern w:val="2"/>
          <w:sz w:val="32"/>
          <w:szCs w:val="32"/>
          <w:lang w:val="en-US" w:eastAsia="zh-CN"/>
        </w:rPr>
        <w:t>95</w:t>
      </w:r>
      <w:r>
        <w:rPr>
          <w:rFonts w:hAnsi="黑体"/>
          <w:kern w:val="2"/>
          <w:sz w:val="32"/>
          <w:szCs w:val="32"/>
        </w:rPr>
        <w:t>%</w:t>
      </w:r>
      <w:r>
        <w:rPr>
          <w:rFonts w:hint="eastAsia" w:hAnsi="黑体"/>
          <w:kern w:val="2"/>
          <w:sz w:val="32"/>
          <w:szCs w:val="32"/>
        </w:rPr>
        <w:t>；卫生健康支出支出10.78万元，占</w:t>
      </w:r>
      <w:r>
        <w:rPr>
          <w:rFonts w:hint="eastAsia" w:hAnsi="黑体"/>
          <w:kern w:val="2"/>
          <w:sz w:val="32"/>
          <w:szCs w:val="32"/>
          <w:lang w:val="en-US" w:eastAsia="zh-CN"/>
        </w:rPr>
        <w:t>6.09</w:t>
      </w:r>
      <w:r>
        <w:rPr>
          <w:rFonts w:hAnsi="黑体"/>
          <w:kern w:val="2"/>
          <w:sz w:val="32"/>
          <w:szCs w:val="32"/>
        </w:rPr>
        <w:t>%</w:t>
      </w:r>
      <w:r>
        <w:rPr>
          <w:rFonts w:hint="eastAsia" w:hAnsi="黑体"/>
          <w:kern w:val="2"/>
          <w:sz w:val="32"/>
          <w:szCs w:val="32"/>
        </w:rPr>
        <w:t>；节能环保支出</w:t>
      </w:r>
      <w:r>
        <w:rPr>
          <w:rFonts w:hint="eastAsia" w:hAnsi="黑体" w:cs="Times New Roman"/>
          <w:kern w:val="2"/>
          <w:sz w:val="32"/>
          <w:szCs w:val="32"/>
          <w:lang w:val="en-US" w:eastAsia="zh-CN"/>
        </w:rPr>
        <w:t>118.22</w:t>
      </w:r>
      <w:r>
        <w:rPr>
          <w:rFonts w:hint="eastAsia" w:hAnsi="黑体"/>
          <w:kern w:val="2"/>
          <w:sz w:val="32"/>
          <w:szCs w:val="32"/>
        </w:rPr>
        <w:t>万元，占66.</w:t>
      </w:r>
      <w:r>
        <w:rPr>
          <w:rFonts w:hint="eastAsia" w:hAnsi="黑体"/>
          <w:kern w:val="2"/>
          <w:sz w:val="32"/>
          <w:szCs w:val="32"/>
          <w:lang w:val="en-US" w:eastAsia="zh-CN"/>
        </w:rPr>
        <w:t>75</w:t>
      </w:r>
      <w:r>
        <w:rPr>
          <w:rFonts w:hAnsi="黑体"/>
          <w:kern w:val="2"/>
          <w:sz w:val="32"/>
          <w:szCs w:val="32"/>
        </w:rPr>
        <w:t>%</w:t>
      </w:r>
      <w:r>
        <w:rPr>
          <w:rFonts w:hint="eastAsia" w:hAnsi="黑体"/>
          <w:kern w:val="2"/>
          <w:sz w:val="32"/>
          <w:szCs w:val="32"/>
        </w:rPr>
        <w:t>；住房保障支出</w:t>
      </w:r>
      <w:r>
        <w:rPr>
          <w:rFonts w:hint="eastAsia" w:hAnsi="黑体" w:cs="Times New Roman"/>
          <w:kern w:val="2"/>
          <w:sz w:val="32"/>
          <w:szCs w:val="32"/>
          <w:lang w:val="en-US" w:eastAsia="zh-CN"/>
        </w:rPr>
        <w:t>18.09</w:t>
      </w:r>
      <w:r>
        <w:rPr>
          <w:rFonts w:hint="eastAsia" w:hAnsi="黑体"/>
          <w:kern w:val="2"/>
          <w:sz w:val="32"/>
          <w:szCs w:val="32"/>
        </w:rPr>
        <w:t>万元，占10.</w:t>
      </w:r>
      <w:r>
        <w:rPr>
          <w:rFonts w:hint="eastAsia" w:hAnsi="黑体"/>
          <w:kern w:val="2"/>
          <w:sz w:val="32"/>
          <w:szCs w:val="32"/>
          <w:lang w:val="en-US" w:eastAsia="zh-CN"/>
        </w:rPr>
        <w:t>2</w:t>
      </w:r>
      <w:r>
        <w:rPr>
          <w:rFonts w:hint="eastAsia" w:hAnsi="黑体"/>
          <w:kern w:val="2"/>
          <w:sz w:val="32"/>
          <w:szCs w:val="32"/>
        </w:rPr>
        <w:t>1</w:t>
      </w:r>
      <w:r>
        <w:rPr>
          <w:rFonts w:hAnsi="黑体"/>
          <w:kern w:val="2"/>
          <w:sz w:val="32"/>
          <w:szCs w:val="32"/>
        </w:rPr>
        <w:t>%</w:t>
      </w:r>
      <w:r>
        <w:rPr>
          <w:rFonts w:hint="eastAsia" w:hAnsi="黑体"/>
          <w:kern w:val="2"/>
          <w:sz w:val="32"/>
          <w:szCs w:val="32"/>
        </w:rPr>
        <w:t>。</w:t>
      </w:r>
    </w:p>
    <w:p w14:paraId="4CA0D5B4">
      <w:pPr>
        <w:pStyle w:val="18"/>
        <w:spacing w:before="0" w:line="360" w:lineRule="auto"/>
        <w:ind w:firstLine="630" w:firstLineChars="196"/>
        <w:outlineLvl w:val="1"/>
        <w:rPr>
          <w:rFonts w:ascii="楷体_GB2312" w:hAnsi="黑体" w:eastAsia="楷体_GB2312" w:cs="楷体_GB2312"/>
          <w:b/>
          <w:bCs/>
          <w:kern w:val="2"/>
          <w:sz w:val="32"/>
          <w:szCs w:val="32"/>
        </w:rPr>
      </w:pPr>
      <w:bookmarkStart w:id="12" w:name="_Toc22284"/>
      <w:r>
        <w:rPr>
          <w:rFonts w:hint="eastAsia" w:ascii="楷体_GB2312" w:hAnsi="黑体" w:eastAsia="楷体_GB2312" w:cs="楷体_GB2312"/>
          <w:b/>
          <w:bCs/>
          <w:kern w:val="2"/>
          <w:sz w:val="32"/>
          <w:szCs w:val="32"/>
        </w:rPr>
        <w:t>（三）一般公共预算当年拨款具体使用情况</w:t>
      </w:r>
      <w:bookmarkEnd w:id="12"/>
    </w:p>
    <w:p w14:paraId="47BDBD97">
      <w:pPr>
        <w:pStyle w:val="12"/>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1．社会保障和就业支出</w:t>
      </w:r>
      <w:r>
        <w:rPr>
          <w:rFonts w:hint="eastAsia" w:ascii="仿宋_GB2312" w:hAnsi="黑体" w:eastAsia="仿宋_GB2312" w:cs="仿宋_GB2312"/>
          <w:kern w:val="2"/>
          <w:sz w:val="32"/>
          <w:szCs w:val="32"/>
          <w:lang w:val="en-US" w:eastAsia="zh-CN"/>
        </w:rPr>
        <w:t>30.02</w:t>
      </w:r>
      <w:r>
        <w:rPr>
          <w:rFonts w:hint="eastAsia" w:ascii="仿宋_GB2312" w:hAnsi="黑体" w:eastAsia="仿宋_GB2312" w:cs="仿宋_GB2312"/>
          <w:kern w:val="2"/>
          <w:sz w:val="32"/>
          <w:szCs w:val="32"/>
        </w:rPr>
        <w:t>万元，主要用于购买监测站职工工资、养老保险等支出。</w:t>
      </w:r>
    </w:p>
    <w:p w14:paraId="4242CC85">
      <w:pPr>
        <w:pStyle w:val="12"/>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2.节能和环保支出1</w:t>
      </w:r>
      <w:r>
        <w:rPr>
          <w:rFonts w:hint="eastAsia" w:ascii="仿宋_GB2312" w:hAnsi="黑体" w:eastAsia="仿宋_GB2312" w:cs="仿宋_GB2312"/>
          <w:kern w:val="2"/>
          <w:sz w:val="32"/>
          <w:szCs w:val="32"/>
          <w:lang w:val="en-US" w:eastAsia="zh-CN"/>
        </w:rPr>
        <w:t>18.22</w:t>
      </w:r>
      <w:r>
        <w:rPr>
          <w:rFonts w:hint="eastAsia" w:ascii="仿宋_GB2312" w:hAnsi="黑体" w:eastAsia="仿宋_GB2312" w:cs="仿宋_GB2312"/>
          <w:kern w:val="2"/>
          <w:sz w:val="32"/>
          <w:szCs w:val="32"/>
        </w:rPr>
        <w:t>万元，主要用于：监测站人员工资支出。</w:t>
      </w:r>
    </w:p>
    <w:p w14:paraId="46107CC8">
      <w:pPr>
        <w:pStyle w:val="12"/>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3．住房保障支出</w:t>
      </w:r>
      <w:r>
        <w:rPr>
          <w:rFonts w:hint="eastAsia" w:ascii="仿宋_GB2312" w:hAnsi="黑体" w:eastAsia="仿宋_GB2312" w:cs="仿宋_GB2312"/>
          <w:kern w:val="2"/>
          <w:sz w:val="32"/>
          <w:szCs w:val="32"/>
          <w:lang w:val="en-US" w:eastAsia="zh-CN"/>
        </w:rPr>
        <w:t>18.09</w:t>
      </w:r>
      <w:r>
        <w:rPr>
          <w:rFonts w:hint="eastAsia" w:ascii="仿宋_GB2312" w:hAnsi="黑体" w:eastAsia="仿宋_GB2312" w:cs="仿宋_GB2312"/>
          <w:kern w:val="2"/>
          <w:sz w:val="32"/>
          <w:szCs w:val="32"/>
        </w:rPr>
        <w:t>万元，主要用于购买监测站职工的住房公积金等支出。</w:t>
      </w:r>
    </w:p>
    <w:p w14:paraId="28C797EA">
      <w:pPr>
        <w:pStyle w:val="12"/>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4.</w:t>
      </w:r>
      <w:r>
        <w:rPr>
          <w:rFonts w:hint="eastAsia" w:hAnsi="黑体"/>
          <w:kern w:val="2"/>
          <w:sz w:val="32"/>
          <w:szCs w:val="32"/>
        </w:rPr>
        <w:t xml:space="preserve"> </w:t>
      </w:r>
      <w:r>
        <w:rPr>
          <w:rFonts w:hint="eastAsia" w:ascii="仿宋_GB2312" w:hAnsi="黑体" w:eastAsia="仿宋_GB2312" w:cs="仿宋_GB2312"/>
          <w:kern w:val="2"/>
          <w:sz w:val="32"/>
          <w:szCs w:val="32"/>
        </w:rPr>
        <w:t>卫生健康支出支出</w:t>
      </w:r>
      <w:r>
        <w:rPr>
          <w:rFonts w:hint="eastAsia" w:ascii="仿宋_GB2312" w:hAnsi="黑体" w:eastAsia="仿宋_GB2312" w:cs="仿宋_GB2312"/>
          <w:kern w:val="2"/>
          <w:sz w:val="32"/>
          <w:szCs w:val="32"/>
          <w:lang w:val="en-US" w:eastAsia="zh-CN"/>
        </w:rPr>
        <w:t>10.78</w:t>
      </w:r>
      <w:r>
        <w:rPr>
          <w:rFonts w:hint="eastAsia" w:ascii="仿宋_GB2312" w:hAnsi="黑体" w:eastAsia="仿宋_GB2312" w:cs="仿宋_GB2312"/>
          <w:kern w:val="2"/>
          <w:sz w:val="32"/>
          <w:szCs w:val="32"/>
        </w:rPr>
        <w:t>万元，主要用于购买监测站人员的医保等支出。</w:t>
      </w:r>
    </w:p>
    <w:p w14:paraId="667377B8">
      <w:pPr>
        <w:pStyle w:val="18"/>
        <w:tabs>
          <w:tab w:val="left" w:pos="720"/>
        </w:tabs>
        <w:spacing w:before="0" w:line="360" w:lineRule="auto"/>
        <w:outlineLvl w:val="0"/>
        <w:rPr>
          <w:rFonts w:ascii="??" w:hAnsi="??" w:eastAsia="宋体" w:cs="Times New Roman"/>
          <w:b/>
          <w:bCs/>
          <w:sz w:val="16"/>
          <w:szCs w:val="16"/>
        </w:rPr>
      </w:pPr>
      <w:bookmarkStart w:id="13" w:name="_Toc19245"/>
      <w:r>
        <w:rPr>
          <w:rFonts w:hint="eastAsia" w:ascii="黑体" w:hAnsi="黑体" w:eastAsia="黑体" w:cs="黑体"/>
          <w:kern w:val="2"/>
          <w:sz w:val="32"/>
          <w:szCs w:val="32"/>
        </w:rPr>
        <w:t>六、一般公共预算基本支出情况说明</w:t>
      </w:r>
      <w:bookmarkEnd w:id="13"/>
    </w:p>
    <w:p w14:paraId="170D2C11">
      <w:pPr>
        <w:pStyle w:val="18"/>
        <w:spacing w:before="0" w:line="360" w:lineRule="auto"/>
        <w:ind w:firstLine="640" w:firstLineChars="200"/>
        <w:rPr>
          <w:rFonts w:hAnsi="黑体" w:cs="Times New Roman"/>
          <w:kern w:val="2"/>
          <w:sz w:val="32"/>
          <w:szCs w:val="32"/>
        </w:rPr>
      </w:pPr>
      <w:r>
        <w:rPr>
          <w:rFonts w:hint="eastAsia" w:hAnsi="黑体"/>
          <w:kern w:val="2"/>
          <w:sz w:val="32"/>
          <w:szCs w:val="32"/>
        </w:rPr>
        <w:t>阿坝州金川环境监测站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一般公共预算基本支出</w:t>
      </w:r>
      <w:r>
        <w:rPr>
          <w:rFonts w:hint="eastAsia" w:hAnsi="黑体" w:cs="Times New Roman"/>
          <w:kern w:val="2"/>
          <w:sz w:val="32"/>
          <w:szCs w:val="32"/>
          <w:lang w:val="en-US" w:eastAsia="zh-CN"/>
        </w:rPr>
        <w:t>177.12</w:t>
      </w:r>
      <w:r>
        <w:rPr>
          <w:rFonts w:hint="eastAsia" w:hAnsi="黑体"/>
          <w:kern w:val="2"/>
          <w:sz w:val="32"/>
          <w:szCs w:val="32"/>
        </w:rPr>
        <w:t>万元，其中：人员经费</w:t>
      </w:r>
      <w:r>
        <w:rPr>
          <w:rFonts w:hint="eastAsia" w:hAnsi="黑体" w:cs="Times New Roman"/>
          <w:kern w:val="2"/>
          <w:sz w:val="32"/>
          <w:szCs w:val="32"/>
          <w:lang w:val="en-US" w:eastAsia="zh-CN"/>
        </w:rPr>
        <w:t>153.47</w:t>
      </w:r>
      <w:r>
        <w:rPr>
          <w:rFonts w:hint="eastAsia" w:hAnsi="黑体"/>
          <w:kern w:val="2"/>
          <w:sz w:val="32"/>
          <w:szCs w:val="32"/>
        </w:rPr>
        <w:t>万元，主要包括：基本工资</w:t>
      </w:r>
      <w:r>
        <w:rPr>
          <w:rFonts w:hint="eastAsia" w:hAnsi="黑体"/>
          <w:kern w:val="2"/>
          <w:sz w:val="32"/>
          <w:szCs w:val="32"/>
          <w:lang w:val="en-US" w:eastAsia="zh-CN"/>
        </w:rPr>
        <w:t>39.55</w:t>
      </w:r>
      <w:r>
        <w:rPr>
          <w:rFonts w:hint="eastAsia" w:hAnsi="黑体"/>
          <w:kern w:val="2"/>
          <w:sz w:val="32"/>
          <w:szCs w:val="32"/>
        </w:rPr>
        <w:t>万元、津贴补贴17.78万元、绩效工资</w:t>
      </w:r>
      <w:r>
        <w:rPr>
          <w:rFonts w:hint="eastAsia" w:hAnsi="黑体"/>
          <w:kern w:val="2"/>
          <w:sz w:val="32"/>
          <w:szCs w:val="32"/>
          <w:lang w:val="en-US" w:eastAsia="zh-CN"/>
        </w:rPr>
        <w:t>34.23</w:t>
      </w:r>
      <w:r>
        <w:rPr>
          <w:rFonts w:hint="eastAsia" w:hAnsi="黑体"/>
          <w:kern w:val="2"/>
          <w:sz w:val="32"/>
          <w:szCs w:val="32"/>
        </w:rPr>
        <w:t>万元、机关事业单位基本养老保险缴费</w:t>
      </w:r>
      <w:r>
        <w:rPr>
          <w:rFonts w:hint="eastAsia" w:hAnsi="黑体"/>
          <w:kern w:val="2"/>
          <w:sz w:val="32"/>
          <w:szCs w:val="32"/>
          <w:lang w:val="en-US" w:eastAsia="zh-CN"/>
        </w:rPr>
        <w:t>20.02</w:t>
      </w:r>
      <w:r>
        <w:rPr>
          <w:rFonts w:hint="eastAsia" w:hAnsi="黑体"/>
          <w:kern w:val="2"/>
          <w:sz w:val="32"/>
          <w:szCs w:val="32"/>
        </w:rPr>
        <w:t>万元、职业年金缴费</w:t>
      </w:r>
      <w:r>
        <w:rPr>
          <w:rFonts w:hint="eastAsia" w:hAnsi="黑体"/>
          <w:kern w:val="2"/>
          <w:sz w:val="32"/>
          <w:szCs w:val="32"/>
          <w:lang w:val="en-US" w:eastAsia="zh-CN"/>
        </w:rPr>
        <w:t>10.01</w:t>
      </w:r>
      <w:r>
        <w:rPr>
          <w:rFonts w:hint="eastAsia" w:hAnsi="黑体"/>
          <w:kern w:val="2"/>
          <w:sz w:val="32"/>
          <w:szCs w:val="32"/>
        </w:rPr>
        <w:t>万元、失业保险0.75万元、工伤保险0.</w:t>
      </w:r>
      <w:r>
        <w:rPr>
          <w:rFonts w:hint="eastAsia" w:hAnsi="黑体"/>
          <w:kern w:val="2"/>
          <w:sz w:val="32"/>
          <w:szCs w:val="32"/>
          <w:lang w:val="en-US" w:eastAsia="zh-CN"/>
        </w:rPr>
        <w:t>31</w:t>
      </w:r>
      <w:r>
        <w:rPr>
          <w:rFonts w:hint="eastAsia" w:hAnsi="黑体"/>
          <w:kern w:val="2"/>
          <w:sz w:val="32"/>
          <w:szCs w:val="32"/>
        </w:rPr>
        <w:t>万元、住房公积金</w:t>
      </w:r>
      <w:r>
        <w:rPr>
          <w:rFonts w:hint="eastAsia" w:hAnsi="黑体"/>
          <w:kern w:val="2"/>
          <w:sz w:val="32"/>
          <w:szCs w:val="32"/>
          <w:lang w:val="en-US" w:eastAsia="zh-CN"/>
        </w:rPr>
        <w:t>18.09</w:t>
      </w:r>
      <w:r>
        <w:rPr>
          <w:rFonts w:hint="eastAsia" w:hAnsi="黑体"/>
          <w:kern w:val="2"/>
          <w:sz w:val="32"/>
          <w:szCs w:val="32"/>
        </w:rPr>
        <w:t>万元、职工基本医疗保险缴费</w:t>
      </w:r>
      <w:r>
        <w:rPr>
          <w:rFonts w:hint="eastAsia" w:hAnsi="黑体"/>
          <w:kern w:val="2"/>
          <w:sz w:val="32"/>
          <w:szCs w:val="32"/>
          <w:lang w:val="en-US" w:eastAsia="zh-CN"/>
        </w:rPr>
        <w:t>10.78</w:t>
      </w:r>
      <w:r>
        <w:rPr>
          <w:rFonts w:hint="eastAsia" w:hAnsi="黑体"/>
          <w:kern w:val="2"/>
          <w:sz w:val="32"/>
          <w:szCs w:val="32"/>
        </w:rPr>
        <w:t>万元、事业单位公医补</w:t>
      </w:r>
      <w:r>
        <w:rPr>
          <w:rFonts w:hint="eastAsia" w:hAnsi="黑体"/>
          <w:kern w:val="2"/>
          <w:sz w:val="32"/>
          <w:szCs w:val="32"/>
          <w:lang w:val="en-US" w:eastAsia="zh-CN"/>
        </w:rPr>
        <w:t>1.95</w:t>
      </w:r>
      <w:r>
        <w:rPr>
          <w:rFonts w:hint="eastAsia" w:hAnsi="黑体"/>
          <w:kern w:val="2"/>
          <w:sz w:val="32"/>
          <w:szCs w:val="32"/>
        </w:rPr>
        <w:t>万元。公用经费2</w:t>
      </w:r>
      <w:r>
        <w:rPr>
          <w:rFonts w:hint="eastAsia" w:hAnsi="黑体"/>
          <w:kern w:val="2"/>
          <w:sz w:val="32"/>
          <w:szCs w:val="32"/>
          <w:lang w:val="en-US" w:eastAsia="zh-CN"/>
        </w:rPr>
        <w:t>3.65</w:t>
      </w:r>
      <w:r>
        <w:rPr>
          <w:rFonts w:hint="eastAsia" w:hAnsi="黑体"/>
          <w:kern w:val="2"/>
          <w:sz w:val="32"/>
          <w:szCs w:val="32"/>
        </w:rPr>
        <w:t>万元，主要包括：办公费0.</w:t>
      </w:r>
      <w:r>
        <w:rPr>
          <w:rFonts w:hint="eastAsia" w:hAnsi="黑体"/>
          <w:kern w:val="2"/>
          <w:sz w:val="32"/>
          <w:szCs w:val="32"/>
          <w:lang w:val="en-US" w:eastAsia="zh-CN"/>
        </w:rPr>
        <w:t>78</w:t>
      </w:r>
      <w:r>
        <w:rPr>
          <w:rFonts w:hint="eastAsia" w:hAnsi="黑体"/>
          <w:kern w:val="2"/>
          <w:sz w:val="32"/>
          <w:szCs w:val="32"/>
        </w:rPr>
        <w:t>万元、取暖费0.</w:t>
      </w:r>
      <w:r>
        <w:rPr>
          <w:rFonts w:hint="eastAsia" w:hAnsi="黑体"/>
          <w:kern w:val="2"/>
          <w:sz w:val="32"/>
          <w:szCs w:val="32"/>
          <w:lang w:val="en-US" w:eastAsia="zh-CN"/>
        </w:rPr>
        <w:t>39</w:t>
      </w:r>
      <w:r>
        <w:rPr>
          <w:rFonts w:hint="eastAsia" w:hAnsi="黑体"/>
          <w:kern w:val="2"/>
          <w:sz w:val="32"/>
          <w:szCs w:val="32"/>
        </w:rPr>
        <w:t>万元、公务接待费0.3</w:t>
      </w:r>
      <w:r>
        <w:rPr>
          <w:rFonts w:hint="eastAsia" w:hAnsi="黑体"/>
          <w:kern w:val="2"/>
          <w:sz w:val="32"/>
          <w:szCs w:val="32"/>
          <w:lang w:val="en-US" w:eastAsia="zh-CN"/>
        </w:rPr>
        <w:t>3</w:t>
      </w:r>
      <w:r>
        <w:rPr>
          <w:rFonts w:hint="eastAsia" w:hAnsi="黑体"/>
          <w:kern w:val="2"/>
          <w:sz w:val="32"/>
          <w:szCs w:val="32"/>
        </w:rPr>
        <w:t>万元、水费0.</w:t>
      </w:r>
      <w:r>
        <w:rPr>
          <w:rFonts w:hint="eastAsia" w:hAnsi="黑体"/>
          <w:kern w:val="2"/>
          <w:sz w:val="32"/>
          <w:szCs w:val="32"/>
          <w:lang w:val="en-US" w:eastAsia="zh-CN"/>
        </w:rPr>
        <w:t>29</w:t>
      </w:r>
      <w:r>
        <w:rPr>
          <w:rFonts w:hint="eastAsia" w:hAnsi="黑体"/>
          <w:kern w:val="2"/>
          <w:sz w:val="32"/>
          <w:szCs w:val="32"/>
        </w:rPr>
        <w:t>万元、邮电费</w:t>
      </w:r>
      <w:r>
        <w:rPr>
          <w:rFonts w:hint="eastAsia" w:hAnsi="黑体"/>
          <w:kern w:val="2"/>
          <w:sz w:val="32"/>
          <w:szCs w:val="32"/>
          <w:lang w:val="en-US" w:eastAsia="zh-CN"/>
        </w:rPr>
        <w:t>3.05</w:t>
      </w:r>
      <w:r>
        <w:rPr>
          <w:rFonts w:hint="eastAsia" w:hAnsi="黑体"/>
          <w:kern w:val="2"/>
          <w:sz w:val="32"/>
          <w:szCs w:val="32"/>
        </w:rPr>
        <w:t>万元、差旅费5.</w:t>
      </w:r>
      <w:r>
        <w:rPr>
          <w:rFonts w:hint="eastAsia" w:hAnsi="黑体"/>
          <w:kern w:val="2"/>
          <w:sz w:val="32"/>
          <w:szCs w:val="32"/>
          <w:lang w:val="en-US" w:eastAsia="zh-CN"/>
        </w:rPr>
        <w:t>35</w:t>
      </w:r>
      <w:r>
        <w:rPr>
          <w:rFonts w:hint="eastAsia" w:hAnsi="黑体"/>
          <w:kern w:val="2"/>
          <w:sz w:val="32"/>
          <w:szCs w:val="32"/>
        </w:rPr>
        <w:t>万元、维修（护）费1.70万元、体检费1.</w:t>
      </w:r>
      <w:r>
        <w:rPr>
          <w:rFonts w:hint="eastAsia" w:hAnsi="黑体"/>
          <w:kern w:val="2"/>
          <w:sz w:val="32"/>
          <w:szCs w:val="32"/>
          <w:lang w:val="en-US" w:eastAsia="zh-CN"/>
        </w:rPr>
        <w:t>32</w:t>
      </w:r>
      <w:r>
        <w:rPr>
          <w:rFonts w:hint="eastAsia" w:hAnsi="黑体"/>
          <w:kern w:val="2"/>
          <w:sz w:val="32"/>
          <w:szCs w:val="32"/>
        </w:rPr>
        <w:t>万元、培训费</w:t>
      </w:r>
      <w:r>
        <w:rPr>
          <w:rFonts w:hint="eastAsia" w:hAnsi="黑体"/>
          <w:kern w:val="2"/>
          <w:sz w:val="32"/>
          <w:szCs w:val="32"/>
          <w:lang w:val="en-US" w:eastAsia="zh-CN"/>
        </w:rPr>
        <w:t>1.53</w:t>
      </w:r>
      <w:r>
        <w:rPr>
          <w:rFonts w:hint="eastAsia" w:hAnsi="黑体"/>
          <w:kern w:val="2"/>
          <w:sz w:val="32"/>
          <w:szCs w:val="32"/>
        </w:rPr>
        <w:t>万元、党组织活动经费</w:t>
      </w:r>
      <w:r>
        <w:rPr>
          <w:rFonts w:hint="eastAsia" w:hAnsi="黑体"/>
          <w:kern w:val="2"/>
          <w:sz w:val="32"/>
          <w:szCs w:val="32"/>
          <w:lang w:val="en-US" w:eastAsia="zh-CN"/>
        </w:rPr>
        <w:t>2.2</w:t>
      </w:r>
      <w:r>
        <w:rPr>
          <w:rFonts w:hint="eastAsia" w:hAnsi="黑体"/>
          <w:kern w:val="2"/>
          <w:sz w:val="32"/>
          <w:szCs w:val="32"/>
        </w:rPr>
        <w:t>万元、公务用车运行维护费0万元、其他商品和服务支出</w:t>
      </w:r>
      <w:r>
        <w:rPr>
          <w:rFonts w:hint="eastAsia" w:hAnsi="黑体"/>
          <w:kern w:val="2"/>
          <w:sz w:val="32"/>
          <w:szCs w:val="32"/>
          <w:lang w:val="en-US" w:eastAsia="zh-CN"/>
        </w:rPr>
        <w:t>5.42</w:t>
      </w:r>
      <w:r>
        <w:rPr>
          <w:rFonts w:hint="eastAsia" w:hAnsi="黑体"/>
          <w:kern w:val="2"/>
          <w:sz w:val="32"/>
          <w:szCs w:val="32"/>
        </w:rPr>
        <w:t>万元。</w:t>
      </w:r>
    </w:p>
    <w:p w14:paraId="00A39EBF">
      <w:pPr>
        <w:pStyle w:val="18"/>
        <w:spacing w:before="0" w:line="360" w:lineRule="auto"/>
        <w:outlineLvl w:val="0"/>
        <w:rPr>
          <w:rFonts w:ascii="??" w:hAnsi="??" w:eastAsia="宋体" w:cs="Times New Roman"/>
          <w:sz w:val="16"/>
          <w:szCs w:val="16"/>
        </w:rPr>
      </w:pPr>
      <w:bookmarkStart w:id="14" w:name="_Toc27911"/>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bookmarkEnd w:id="14"/>
    </w:p>
    <w:p w14:paraId="2AD36F55">
      <w:pPr>
        <w:pStyle w:val="18"/>
        <w:spacing w:before="0" w:line="360" w:lineRule="auto"/>
        <w:ind w:firstLine="640" w:firstLineChars="200"/>
        <w:rPr>
          <w:rFonts w:hAnsi="黑体" w:cs="Times New Roman"/>
          <w:kern w:val="2"/>
          <w:sz w:val="32"/>
          <w:szCs w:val="32"/>
        </w:rPr>
      </w:pPr>
      <w:r>
        <w:rPr>
          <w:rFonts w:hint="eastAsia" w:hAnsi="黑体"/>
          <w:kern w:val="2"/>
          <w:sz w:val="32"/>
          <w:szCs w:val="32"/>
        </w:rPr>
        <w:t>阿坝州金川环境监测站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经费财政拨款预算数0.3</w:t>
      </w:r>
      <w:r>
        <w:rPr>
          <w:rFonts w:hint="eastAsia" w:hAnsi="黑体"/>
          <w:kern w:val="2"/>
          <w:sz w:val="32"/>
          <w:szCs w:val="32"/>
          <w:lang w:val="en-US" w:eastAsia="zh-CN"/>
        </w:rPr>
        <w:t>3</w:t>
      </w:r>
      <w:r>
        <w:rPr>
          <w:rFonts w:hint="eastAsia" w:hAnsi="黑体"/>
          <w:kern w:val="2"/>
          <w:sz w:val="32"/>
          <w:szCs w:val="32"/>
        </w:rPr>
        <w:t>万元，其中：因公出国（境）经费0万元，公务接待费0.3</w:t>
      </w:r>
      <w:r>
        <w:rPr>
          <w:rFonts w:hint="eastAsia" w:hAnsi="黑体"/>
          <w:kern w:val="2"/>
          <w:sz w:val="32"/>
          <w:szCs w:val="32"/>
          <w:lang w:val="en-US" w:eastAsia="zh-CN"/>
        </w:rPr>
        <w:t>3</w:t>
      </w:r>
      <w:r>
        <w:rPr>
          <w:rFonts w:hint="eastAsia" w:hAnsi="黑体"/>
          <w:kern w:val="2"/>
          <w:sz w:val="32"/>
          <w:szCs w:val="32"/>
        </w:rPr>
        <w:t>万元，公务用车购置及运行维护费0万元。</w:t>
      </w:r>
    </w:p>
    <w:p w14:paraId="0A423343">
      <w:pPr>
        <w:pStyle w:val="18"/>
        <w:spacing w:before="0" w:line="360" w:lineRule="auto"/>
        <w:ind w:firstLine="640" w:firstLineChars="200"/>
        <w:rPr>
          <w:rFonts w:hAnsi="黑体"/>
          <w:kern w:val="2"/>
          <w:sz w:val="32"/>
          <w:szCs w:val="32"/>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因公出国（境）经费0万元。较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预算经费0万元增长0</w:t>
      </w:r>
      <w:r>
        <w:rPr>
          <w:rFonts w:hAnsi="黑体"/>
          <w:kern w:val="2"/>
          <w:sz w:val="32"/>
          <w:szCs w:val="32"/>
        </w:rPr>
        <w:t>%</w:t>
      </w:r>
      <w:r>
        <w:rPr>
          <w:rFonts w:hint="eastAsia" w:hAnsi="黑体"/>
          <w:kern w:val="2"/>
          <w:sz w:val="32"/>
          <w:szCs w:val="32"/>
        </w:rPr>
        <w:t>.</w:t>
      </w:r>
    </w:p>
    <w:p w14:paraId="264161D6">
      <w:pPr>
        <w:pStyle w:val="18"/>
        <w:spacing w:before="0" w:line="360" w:lineRule="auto"/>
        <w:ind w:firstLine="640" w:firstLineChars="200"/>
        <w:rPr>
          <w:rFonts w:hAnsi="黑体" w:cs="Times New Roman"/>
          <w:b/>
          <w:kern w:val="2"/>
          <w:sz w:val="32"/>
          <w:szCs w:val="32"/>
        </w:rPr>
      </w:pPr>
      <w:r>
        <w:rPr>
          <w:rFonts w:hint="eastAsia" w:hAnsi="黑体"/>
          <w:kern w:val="2"/>
          <w:sz w:val="32"/>
          <w:szCs w:val="32"/>
        </w:rPr>
        <w:t>（二）</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公务接待经费0.3</w:t>
      </w:r>
      <w:r>
        <w:rPr>
          <w:rFonts w:hint="eastAsia" w:hAnsi="黑体"/>
          <w:kern w:val="2"/>
          <w:sz w:val="32"/>
          <w:szCs w:val="32"/>
          <w:lang w:val="en-US" w:eastAsia="zh-CN"/>
        </w:rPr>
        <w:t>3</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增加0.01</w:t>
      </w:r>
      <w:r>
        <w:rPr>
          <w:rFonts w:hint="eastAsia" w:hAnsi="黑体"/>
          <w:kern w:val="2"/>
          <w:sz w:val="32"/>
          <w:szCs w:val="32"/>
        </w:rPr>
        <w:t>万元。</w:t>
      </w:r>
    </w:p>
    <w:p w14:paraId="712A114A">
      <w:pPr>
        <w:pStyle w:val="18"/>
        <w:spacing w:before="0" w:line="360" w:lineRule="auto"/>
        <w:ind w:firstLine="640" w:firstLineChars="200"/>
        <w:rPr>
          <w:rFonts w:hAnsi="黑体"/>
          <w:kern w:val="2"/>
          <w:sz w:val="32"/>
          <w:szCs w:val="32"/>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公务用车购置及运行维护费0万元。较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预算经费持平，主要原因：公车编制数根据预算科核定数量生成预算，202</w:t>
      </w:r>
      <w:r>
        <w:rPr>
          <w:rFonts w:hint="eastAsia" w:hAnsi="黑体"/>
          <w:kern w:val="2"/>
          <w:sz w:val="32"/>
          <w:szCs w:val="32"/>
          <w:lang w:val="en-US" w:eastAsia="zh-CN"/>
        </w:rPr>
        <w:t>6</w:t>
      </w:r>
      <w:r>
        <w:rPr>
          <w:rFonts w:hint="eastAsia" w:hAnsi="黑体"/>
          <w:kern w:val="2"/>
          <w:sz w:val="32"/>
          <w:szCs w:val="32"/>
        </w:rPr>
        <w:t>年监测站无公车编制。</w:t>
      </w:r>
    </w:p>
    <w:p w14:paraId="0DEA0758">
      <w:pPr>
        <w:pStyle w:val="18"/>
        <w:spacing w:before="0" w:line="360" w:lineRule="auto"/>
        <w:outlineLvl w:val="0"/>
        <w:rPr>
          <w:rFonts w:ascii="黑体" w:hAnsi="黑体" w:eastAsia="黑体" w:cs="黑体"/>
          <w:kern w:val="2"/>
          <w:sz w:val="32"/>
          <w:szCs w:val="32"/>
        </w:rPr>
      </w:pPr>
      <w:bookmarkStart w:id="15" w:name="_Toc29941"/>
      <w:r>
        <w:rPr>
          <w:rFonts w:hint="eastAsia" w:ascii="黑体" w:hAnsi="黑体" w:eastAsia="黑体" w:cs="黑体"/>
          <w:kern w:val="2"/>
          <w:sz w:val="32"/>
          <w:szCs w:val="32"/>
        </w:rPr>
        <w:t>八、政府性基金预算支出情况说明</w:t>
      </w:r>
      <w:bookmarkEnd w:id="15"/>
    </w:p>
    <w:p w14:paraId="22940738">
      <w:pPr>
        <w:pStyle w:val="18"/>
        <w:spacing w:before="0" w:line="360" w:lineRule="auto"/>
        <w:ind w:firstLine="320" w:firstLineChars="200"/>
        <w:rPr>
          <w:rFonts w:hAnsi="黑体"/>
          <w:kern w:val="2"/>
          <w:sz w:val="32"/>
          <w:szCs w:val="32"/>
        </w:rPr>
      </w:pPr>
      <w:r>
        <w:rPr>
          <w:rFonts w:hint="eastAsia" w:ascii="??" w:hAnsi="??" w:eastAsia="宋体" w:cs="宋体"/>
          <w:sz w:val="16"/>
          <w:szCs w:val="16"/>
        </w:rPr>
        <w:t>　　</w:t>
      </w:r>
      <w:r>
        <w:rPr>
          <w:rFonts w:hint="eastAsia" w:hAnsi="黑体"/>
          <w:kern w:val="2"/>
          <w:sz w:val="32"/>
          <w:szCs w:val="32"/>
        </w:rPr>
        <w:t>阿坝州金川环境监测站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政府性基金预算拨款安排的支出0万元，与202</w:t>
      </w:r>
      <w:r>
        <w:rPr>
          <w:rFonts w:hint="eastAsia" w:hAnsi="黑体"/>
          <w:kern w:val="2"/>
          <w:sz w:val="32"/>
          <w:szCs w:val="32"/>
          <w:lang w:val="en-US" w:eastAsia="zh-CN"/>
        </w:rPr>
        <w:t>5</w:t>
      </w:r>
      <w:r>
        <w:rPr>
          <w:rFonts w:hint="eastAsia" w:hAnsi="黑体"/>
          <w:kern w:val="2"/>
          <w:sz w:val="32"/>
          <w:szCs w:val="32"/>
        </w:rPr>
        <w:t>年相比持平。</w:t>
      </w:r>
    </w:p>
    <w:p w14:paraId="5F28D304">
      <w:pPr>
        <w:pStyle w:val="18"/>
        <w:spacing w:before="0" w:line="360" w:lineRule="auto"/>
        <w:outlineLvl w:val="0"/>
        <w:rPr>
          <w:rFonts w:ascii="黑体" w:hAnsi="黑体" w:eastAsia="黑体" w:cs="黑体"/>
          <w:kern w:val="2"/>
          <w:sz w:val="32"/>
          <w:szCs w:val="32"/>
        </w:rPr>
      </w:pPr>
      <w:bookmarkStart w:id="16" w:name="_Toc7209"/>
      <w:r>
        <w:rPr>
          <w:rFonts w:hint="eastAsia" w:ascii="黑体" w:hAnsi="黑体" w:eastAsia="黑体" w:cs="黑体"/>
          <w:kern w:val="2"/>
          <w:sz w:val="32"/>
          <w:szCs w:val="32"/>
        </w:rPr>
        <w:t>九、其他重要事项的情况说明</w:t>
      </w:r>
      <w:bookmarkEnd w:id="16"/>
    </w:p>
    <w:p w14:paraId="024BCABE">
      <w:pPr>
        <w:pStyle w:val="18"/>
        <w:spacing w:before="0" w:line="360" w:lineRule="auto"/>
        <w:ind w:firstLine="321" w:firstLineChars="100"/>
        <w:outlineLvl w:val="1"/>
        <w:rPr>
          <w:rFonts w:ascii="楷体_GB2312" w:hAnsi="黑体" w:eastAsia="楷体_GB2312" w:cs="楷体_GB2312"/>
          <w:b/>
          <w:bCs/>
          <w:kern w:val="2"/>
          <w:sz w:val="32"/>
          <w:szCs w:val="32"/>
        </w:rPr>
      </w:pPr>
      <w:bookmarkStart w:id="17" w:name="_Toc4931"/>
      <w:r>
        <w:rPr>
          <w:rFonts w:hint="eastAsia" w:ascii="楷体_GB2312" w:hAnsi="黑体" w:eastAsia="楷体_GB2312" w:cs="楷体_GB2312"/>
          <w:b/>
          <w:bCs/>
          <w:kern w:val="2"/>
          <w:sz w:val="32"/>
          <w:szCs w:val="32"/>
        </w:rPr>
        <w:t>（一）机关运行经费</w:t>
      </w:r>
      <w:bookmarkEnd w:id="17"/>
    </w:p>
    <w:p w14:paraId="5A392AA7">
      <w:pPr>
        <w:pStyle w:val="18"/>
        <w:spacing w:before="0" w:line="360" w:lineRule="auto"/>
        <w:ind w:firstLine="640" w:firstLineChars="200"/>
        <w:rPr>
          <w:rFonts w:hint="default" w:hAnsi="黑体" w:eastAsia="仿宋_GB2312"/>
          <w:kern w:val="2"/>
          <w:sz w:val="32"/>
          <w:szCs w:val="32"/>
          <w:lang w:val="en-US" w:eastAsia="zh-CN"/>
        </w:rPr>
      </w:pPr>
      <w:r>
        <w:rPr>
          <w:rFonts w:hint="eastAsia" w:hAnsi="黑体"/>
          <w:kern w:val="2"/>
          <w:sz w:val="32"/>
          <w:szCs w:val="32"/>
        </w:rPr>
        <w:t>阿坝州金川环境监测站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机关运行经费财政拨款预算为2</w:t>
      </w:r>
      <w:r>
        <w:rPr>
          <w:rFonts w:hint="eastAsia" w:hAnsi="黑体"/>
          <w:kern w:val="2"/>
          <w:sz w:val="32"/>
          <w:szCs w:val="32"/>
          <w:lang w:val="en-US" w:eastAsia="zh-CN"/>
        </w:rPr>
        <w:t>3.65</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w:t>
      </w:r>
      <w:r>
        <w:rPr>
          <w:rFonts w:hint="eastAsia" w:hAnsi="黑体"/>
          <w:kern w:val="2"/>
          <w:sz w:val="32"/>
          <w:szCs w:val="32"/>
          <w:lang w:eastAsia="zh-CN"/>
        </w:rPr>
        <w:t>减少</w:t>
      </w:r>
      <w:r>
        <w:rPr>
          <w:rFonts w:hint="eastAsia" w:hAnsi="黑体"/>
          <w:kern w:val="2"/>
          <w:sz w:val="32"/>
          <w:szCs w:val="32"/>
          <w:lang w:val="en-US" w:eastAsia="zh-CN"/>
        </w:rPr>
        <w:t>1.78</w:t>
      </w:r>
      <w:r>
        <w:rPr>
          <w:rFonts w:hint="eastAsia" w:hAnsi="黑体"/>
          <w:kern w:val="2"/>
          <w:sz w:val="32"/>
          <w:szCs w:val="32"/>
        </w:rPr>
        <w:t>万元，</w:t>
      </w:r>
      <w:r>
        <w:rPr>
          <w:rFonts w:hint="eastAsia" w:hAnsi="黑体"/>
          <w:kern w:val="2"/>
          <w:sz w:val="32"/>
          <w:szCs w:val="32"/>
          <w:lang w:eastAsia="zh-CN"/>
        </w:rPr>
        <w:t>减少</w:t>
      </w:r>
      <w:r>
        <w:rPr>
          <w:rFonts w:hint="eastAsia" w:hAnsi="黑体"/>
          <w:kern w:val="2"/>
          <w:sz w:val="32"/>
          <w:szCs w:val="32"/>
          <w:lang w:val="en-US" w:eastAsia="zh-CN"/>
        </w:rPr>
        <w:t>0.7</w:t>
      </w:r>
      <w:r>
        <w:rPr>
          <w:rFonts w:hAnsi="黑体"/>
          <w:kern w:val="2"/>
          <w:sz w:val="32"/>
          <w:szCs w:val="32"/>
        </w:rPr>
        <w:t>%</w:t>
      </w:r>
      <w:r>
        <w:rPr>
          <w:rFonts w:hint="eastAsia" w:hAnsi="黑体"/>
          <w:kern w:val="2"/>
          <w:sz w:val="32"/>
          <w:szCs w:val="32"/>
          <w:lang w:eastAsia="zh-CN"/>
        </w:rPr>
        <w:t>，</w:t>
      </w:r>
      <w:r>
        <w:rPr>
          <w:rFonts w:hint="eastAsia" w:hAnsi="黑体"/>
          <w:kern w:val="2"/>
          <w:sz w:val="32"/>
          <w:szCs w:val="32"/>
          <w:lang w:val="en-US" w:eastAsia="zh-CN"/>
        </w:rPr>
        <w:t>原因为2026年节省开支缩减三公经费。</w:t>
      </w:r>
    </w:p>
    <w:p w14:paraId="4EE7FB7B">
      <w:pPr>
        <w:pStyle w:val="18"/>
        <w:spacing w:before="0" w:line="360" w:lineRule="auto"/>
        <w:ind w:firstLine="321" w:firstLineChars="100"/>
        <w:outlineLvl w:val="1"/>
        <w:rPr>
          <w:rFonts w:ascii="楷体_GB2312" w:hAnsi="黑体" w:eastAsia="楷体_GB2312" w:cs="Times New Roman"/>
          <w:b/>
          <w:bCs/>
          <w:kern w:val="2"/>
          <w:sz w:val="32"/>
          <w:szCs w:val="32"/>
        </w:rPr>
      </w:pPr>
      <w:bookmarkStart w:id="18" w:name="_Toc10952"/>
      <w:r>
        <w:rPr>
          <w:rFonts w:hint="eastAsia" w:ascii="楷体_GB2312" w:hAnsi="黑体" w:eastAsia="楷体_GB2312" w:cs="楷体_GB2312"/>
          <w:b/>
          <w:bCs/>
          <w:kern w:val="2"/>
          <w:sz w:val="32"/>
          <w:szCs w:val="32"/>
        </w:rPr>
        <w:t>（二）政府采购情况</w:t>
      </w:r>
      <w:bookmarkEnd w:id="18"/>
    </w:p>
    <w:p w14:paraId="634E5919">
      <w:pPr>
        <w:pStyle w:val="18"/>
        <w:spacing w:before="0" w:line="360" w:lineRule="auto"/>
        <w:ind w:firstLine="640" w:firstLineChars="200"/>
        <w:rPr>
          <w:rFonts w:hAnsi="黑体" w:cs="Times New Roman"/>
          <w:kern w:val="2"/>
          <w:sz w:val="32"/>
          <w:szCs w:val="32"/>
        </w:rPr>
      </w:pP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阿坝州金川环境监测站安排政府采购预算0万元。</w:t>
      </w:r>
    </w:p>
    <w:p w14:paraId="155C0961">
      <w:pPr>
        <w:pStyle w:val="18"/>
        <w:numPr>
          <w:ilvl w:val="0"/>
          <w:numId w:val="1"/>
        </w:numPr>
        <w:spacing w:before="0" w:line="360" w:lineRule="auto"/>
        <w:ind w:firstLine="321" w:firstLineChars="100"/>
        <w:outlineLvl w:val="1"/>
        <w:rPr>
          <w:rFonts w:ascii="楷体_GB2312" w:hAnsi="黑体" w:eastAsia="楷体_GB2312" w:cs="楷体_GB2312"/>
          <w:b/>
          <w:bCs/>
          <w:kern w:val="2"/>
          <w:sz w:val="32"/>
          <w:szCs w:val="32"/>
        </w:rPr>
      </w:pPr>
      <w:bookmarkStart w:id="19" w:name="_Toc25836"/>
      <w:r>
        <w:rPr>
          <w:rFonts w:hint="eastAsia" w:ascii="楷体_GB2312" w:hAnsi="黑体" w:eastAsia="楷体_GB2312" w:cs="楷体_GB2312"/>
          <w:b/>
          <w:bCs/>
          <w:kern w:val="2"/>
          <w:sz w:val="32"/>
          <w:szCs w:val="32"/>
        </w:rPr>
        <w:t>国有资产占有使用情况</w:t>
      </w:r>
      <w:bookmarkEnd w:id="19"/>
    </w:p>
    <w:p w14:paraId="049B85C8">
      <w:pPr>
        <w:pStyle w:val="18"/>
        <w:spacing w:before="0" w:line="360" w:lineRule="auto"/>
        <w:ind w:firstLine="640" w:firstLineChars="200"/>
        <w:rPr>
          <w:rFonts w:hAnsi="黑体"/>
          <w:kern w:val="2"/>
          <w:sz w:val="32"/>
          <w:szCs w:val="32"/>
        </w:rPr>
      </w:pPr>
      <w:r>
        <w:rPr>
          <w:rFonts w:hint="eastAsia" w:hAnsi="黑体"/>
          <w:kern w:val="2"/>
          <w:sz w:val="32"/>
          <w:szCs w:val="32"/>
        </w:rPr>
        <w:t>无。</w:t>
      </w:r>
    </w:p>
    <w:p w14:paraId="2B1A11FD">
      <w:pPr>
        <w:pStyle w:val="18"/>
        <w:spacing w:before="0" w:line="360" w:lineRule="auto"/>
        <w:ind w:firstLine="321" w:firstLineChars="100"/>
        <w:outlineLvl w:val="1"/>
        <w:rPr>
          <w:rFonts w:ascii="楷体_GB2312" w:hAnsi="黑体" w:eastAsia="楷体_GB2312" w:cs="楷体_GB2312"/>
          <w:b/>
          <w:bCs/>
          <w:kern w:val="2"/>
          <w:sz w:val="32"/>
          <w:szCs w:val="32"/>
        </w:rPr>
      </w:pPr>
      <w:bookmarkStart w:id="20" w:name="_Toc3798"/>
      <w:r>
        <w:rPr>
          <w:rFonts w:hint="eastAsia" w:ascii="楷体_GB2312" w:hAnsi="黑体" w:eastAsia="楷体_GB2312" w:cs="楷体_GB2312"/>
          <w:b/>
          <w:bCs/>
          <w:kern w:val="2"/>
          <w:sz w:val="32"/>
          <w:szCs w:val="32"/>
        </w:rPr>
        <w:t>（四）绩效目标设置情况</w:t>
      </w:r>
      <w:bookmarkEnd w:id="20"/>
    </w:p>
    <w:p w14:paraId="250184EF">
      <w:pPr>
        <w:pStyle w:val="18"/>
        <w:spacing w:before="0" w:line="360" w:lineRule="auto"/>
        <w:ind w:firstLine="320" w:firstLineChars="100"/>
        <w:rPr>
          <w:rFonts w:hAnsi="黑体" w:cs="Times New Roman"/>
          <w:kern w:val="2"/>
          <w:sz w:val="32"/>
          <w:szCs w:val="32"/>
        </w:rPr>
      </w:pPr>
      <w:r>
        <w:rPr>
          <w:rFonts w:hint="eastAsia" w:hAnsi="黑体"/>
          <w:kern w:val="2"/>
          <w:sz w:val="32"/>
          <w:szCs w:val="32"/>
        </w:rPr>
        <w:t>　</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金阿坝州金川环境监测站通用项目和专用项目均按要求实行绩效目标管理，涉及一般公共预算当年拨款</w:t>
      </w:r>
      <w:r>
        <w:rPr>
          <w:rFonts w:hint="eastAsia" w:hAnsi="黑体" w:cs="Times New Roman"/>
          <w:kern w:val="2"/>
          <w:sz w:val="32"/>
          <w:szCs w:val="32"/>
          <w:lang w:val="en-US" w:eastAsia="zh-CN"/>
        </w:rPr>
        <w:t>177.12</w:t>
      </w:r>
      <w:r>
        <w:rPr>
          <w:rFonts w:hint="eastAsia" w:hAnsi="黑体"/>
          <w:kern w:val="2"/>
          <w:sz w:val="32"/>
          <w:szCs w:val="32"/>
        </w:rPr>
        <w:t>万元。</w:t>
      </w:r>
    </w:p>
    <w:p w14:paraId="44091A94">
      <w:pPr>
        <w:pStyle w:val="18"/>
        <w:spacing w:before="0" w:line="360" w:lineRule="auto"/>
        <w:outlineLvl w:val="0"/>
        <w:rPr>
          <w:rFonts w:ascii="??" w:hAnsi="??" w:eastAsia="宋体" w:cs="Times New Roman"/>
          <w:sz w:val="16"/>
          <w:szCs w:val="16"/>
        </w:rPr>
      </w:pPr>
      <w:bookmarkStart w:id="21" w:name="_Toc14537"/>
      <w:r>
        <w:rPr>
          <w:rFonts w:hint="eastAsia" w:ascii="黑体" w:hAnsi="黑体" w:eastAsia="黑体" w:cs="黑体"/>
          <w:kern w:val="2"/>
          <w:sz w:val="32"/>
          <w:szCs w:val="32"/>
        </w:rPr>
        <w:t>十、名词解释</w:t>
      </w:r>
      <w:bookmarkEnd w:id="21"/>
    </w:p>
    <w:p w14:paraId="2A182E5B">
      <w:pPr>
        <w:pStyle w:val="18"/>
        <w:spacing w:before="0" w:line="360" w:lineRule="auto"/>
        <w:ind w:firstLine="640" w:firstLineChars="200"/>
        <w:rPr>
          <w:rFonts w:hAnsi="黑体"/>
          <w:kern w:val="2"/>
          <w:sz w:val="32"/>
          <w:szCs w:val="32"/>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14:paraId="481EDDDC">
      <w:pPr>
        <w:pStyle w:val="18"/>
        <w:spacing w:before="0" w:line="360" w:lineRule="auto"/>
        <w:ind w:firstLine="640" w:firstLineChars="200"/>
        <w:rPr>
          <w:rFonts w:hAnsi="黑体"/>
          <w:kern w:val="2"/>
          <w:sz w:val="32"/>
          <w:szCs w:val="32"/>
        </w:rPr>
      </w:pPr>
      <w:r>
        <w:rPr>
          <w:rFonts w:hint="eastAsia" w:hAnsi="黑体"/>
          <w:kern w:val="2"/>
          <w:sz w:val="32"/>
          <w:szCs w:val="32"/>
        </w:rPr>
        <w:t>（二）事业收入：指所属事业单位开展专业业务活动及辅助活动所取得的收入。</w:t>
      </w:r>
    </w:p>
    <w:p w14:paraId="7DA43C51">
      <w:pPr>
        <w:pStyle w:val="18"/>
        <w:spacing w:before="0" w:line="360" w:lineRule="auto"/>
        <w:ind w:firstLine="640" w:firstLineChars="200"/>
        <w:rPr>
          <w:rFonts w:hAnsi="黑体"/>
          <w:kern w:val="2"/>
          <w:sz w:val="32"/>
          <w:szCs w:val="32"/>
        </w:rPr>
      </w:pPr>
      <w:r>
        <w:rPr>
          <w:rFonts w:hint="eastAsia" w:hAnsi="黑体"/>
          <w:kern w:val="2"/>
          <w:sz w:val="32"/>
          <w:szCs w:val="32"/>
        </w:rPr>
        <w:t>（三）事业单位经营收入：指所属事业单位在专业业务活动及其辅助活动之外开展非独立核算经营活动取得的收入。</w:t>
      </w:r>
    </w:p>
    <w:p w14:paraId="3D2AD1EE">
      <w:pPr>
        <w:pStyle w:val="18"/>
        <w:spacing w:before="0" w:line="360" w:lineRule="auto"/>
        <w:ind w:firstLine="640" w:firstLineChars="200"/>
        <w:rPr>
          <w:rFonts w:hAnsi="黑体"/>
          <w:kern w:val="2"/>
          <w:sz w:val="32"/>
          <w:szCs w:val="32"/>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14:paraId="2173B1CF">
      <w:pPr>
        <w:pStyle w:val="18"/>
        <w:spacing w:before="0" w:line="360" w:lineRule="auto"/>
        <w:ind w:firstLine="640" w:firstLineChars="200"/>
        <w:rPr>
          <w:rFonts w:hAnsi="黑体"/>
          <w:kern w:val="2"/>
          <w:sz w:val="32"/>
          <w:szCs w:val="32"/>
        </w:rPr>
      </w:pPr>
      <w:r>
        <w:rPr>
          <w:rFonts w:hint="eastAsia" w:hAnsi="黑体"/>
          <w:kern w:val="2"/>
          <w:sz w:val="32"/>
          <w:szCs w:val="32"/>
        </w:rPr>
        <w:t>（五）用事业基金弥补收支差额：指所属事业单位在预计用当年的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14:paraId="0A9FD04B">
      <w:pPr>
        <w:pStyle w:val="18"/>
        <w:spacing w:before="0" w:line="360" w:lineRule="auto"/>
        <w:ind w:firstLine="640" w:firstLineChars="200"/>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14:paraId="12B94BF1">
      <w:pPr>
        <w:rPr>
          <w:rFonts w:ascii="仿宋_GB2312" w:hAnsi="黑体" w:eastAsia="仿宋_GB2312" w:cs="Times New Roman"/>
          <w:sz w:val="32"/>
          <w:szCs w:val="32"/>
        </w:rPr>
      </w:pPr>
    </w:p>
    <w:p w14:paraId="5E002C2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60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B60DC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6B60DC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6AA54"/>
    <w:multiLevelType w:val="singleLevel"/>
    <w:tmpl w:val="6CD6AA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5B29"/>
    <w:rsid w:val="000329A3"/>
    <w:rsid w:val="00037171"/>
    <w:rsid w:val="00085137"/>
    <w:rsid w:val="0017586E"/>
    <w:rsid w:val="001878E1"/>
    <w:rsid w:val="00227C3E"/>
    <w:rsid w:val="00260082"/>
    <w:rsid w:val="00291AF0"/>
    <w:rsid w:val="002B1D25"/>
    <w:rsid w:val="00352854"/>
    <w:rsid w:val="003528E2"/>
    <w:rsid w:val="003762A5"/>
    <w:rsid w:val="00397759"/>
    <w:rsid w:val="00412E78"/>
    <w:rsid w:val="00424F18"/>
    <w:rsid w:val="00491A9E"/>
    <w:rsid w:val="004B5387"/>
    <w:rsid w:val="004C5E33"/>
    <w:rsid w:val="00503CC7"/>
    <w:rsid w:val="00524245"/>
    <w:rsid w:val="0053029E"/>
    <w:rsid w:val="00583AA6"/>
    <w:rsid w:val="005970C3"/>
    <w:rsid w:val="0068558D"/>
    <w:rsid w:val="007710D3"/>
    <w:rsid w:val="007B3677"/>
    <w:rsid w:val="00832088"/>
    <w:rsid w:val="00887A60"/>
    <w:rsid w:val="008941C2"/>
    <w:rsid w:val="008F63EB"/>
    <w:rsid w:val="00946F5B"/>
    <w:rsid w:val="009648A7"/>
    <w:rsid w:val="00983987"/>
    <w:rsid w:val="00985771"/>
    <w:rsid w:val="00987B5A"/>
    <w:rsid w:val="00A60456"/>
    <w:rsid w:val="00A718C1"/>
    <w:rsid w:val="00A809F6"/>
    <w:rsid w:val="00A817DB"/>
    <w:rsid w:val="00AA7F21"/>
    <w:rsid w:val="00AE3584"/>
    <w:rsid w:val="00B33DC6"/>
    <w:rsid w:val="00C01031"/>
    <w:rsid w:val="00C0348B"/>
    <w:rsid w:val="00C451EA"/>
    <w:rsid w:val="00C8183B"/>
    <w:rsid w:val="00CC1E28"/>
    <w:rsid w:val="00CE2665"/>
    <w:rsid w:val="00D06D76"/>
    <w:rsid w:val="00D22494"/>
    <w:rsid w:val="00D31706"/>
    <w:rsid w:val="00DB6419"/>
    <w:rsid w:val="00DD750A"/>
    <w:rsid w:val="00E132A4"/>
    <w:rsid w:val="00E16BE3"/>
    <w:rsid w:val="00E875A4"/>
    <w:rsid w:val="00E92D84"/>
    <w:rsid w:val="00F14BDD"/>
    <w:rsid w:val="00F267C7"/>
    <w:rsid w:val="00F40C09"/>
    <w:rsid w:val="00F743F0"/>
    <w:rsid w:val="00F80C32"/>
    <w:rsid w:val="00F85776"/>
    <w:rsid w:val="00F96BE5"/>
    <w:rsid w:val="00FF11B9"/>
    <w:rsid w:val="08497B23"/>
    <w:rsid w:val="08C83E06"/>
    <w:rsid w:val="0E1E29A5"/>
    <w:rsid w:val="0F0B7331"/>
    <w:rsid w:val="0F2F6052"/>
    <w:rsid w:val="107604FA"/>
    <w:rsid w:val="15812584"/>
    <w:rsid w:val="19C851B8"/>
    <w:rsid w:val="1F350CF1"/>
    <w:rsid w:val="1F6D2589"/>
    <w:rsid w:val="20023C4E"/>
    <w:rsid w:val="20376C32"/>
    <w:rsid w:val="21A52BDA"/>
    <w:rsid w:val="306E738C"/>
    <w:rsid w:val="3B283FEC"/>
    <w:rsid w:val="3B471591"/>
    <w:rsid w:val="41CE5572"/>
    <w:rsid w:val="41F61BE6"/>
    <w:rsid w:val="45112E51"/>
    <w:rsid w:val="45BA1ABA"/>
    <w:rsid w:val="492434DC"/>
    <w:rsid w:val="52A30122"/>
    <w:rsid w:val="5A810B67"/>
    <w:rsid w:val="5DC47551"/>
    <w:rsid w:val="6042589C"/>
    <w:rsid w:val="613100ED"/>
    <w:rsid w:val="62E33669"/>
    <w:rsid w:val="69D01E6E"/>
    <w:rsid w:val="6DEB3087"/>
    <w:rsid w:val="75571002"/>
    <w:rsid w:val="7700145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3"/>
    <w:qFormat/>
    <w:locked/>
    <w:uiPriority w:val="0"/>
    <w:pPr>
      <w:keepNext/>
      <w:keepLines/>
      <w:spacing w:line="576" w:lineRule="auto"/>
      <w:outlineLvl w:val="0"/>
    </w:pPr>
    <w:rPr>
      <w:b/>
      <w:kern w:val="44"/>
      <w:sz w:val="44"/>
    </w:rPr>
  </w:style>
  <w:style w:type="paragraph" w:styleId="5">
    <w:name w:val="heading 2"/>
    <w:basedOn w:val="1"/>
    <w:next w:val="1"/>
    <w:unhideWhenUsed/>
    <w:qFormat/>
    <w:locked/>
    <w:uiPriority w:val="0"/>
    <w:pPr>
      <w:keepNext/>
      <w:keepLines/>
      <w:spacing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0"/>
    <w:pPr>
      <w:ind w:firstLine="560" w:firstLineChars="200"/>
    </w:pPr>
    <w:rPr>
      <w:kern w:val="0"/>
      <w:sz w:val="24"/>
    </w:rPr>
  </w:style>
  <w:style w:type="paragraph" w:styleId="6">
    <w:name w:val="toc 3"/>
    <w:basedOn w:val="1"/>
    <w:next w:val="1"/>
    <w:locked/>
    <w:uiPriority w:val="0"/>
    <w:pPr>
      <w:ind w:left="840" w:leftChars="400"/>
    </w:pPr>
  </w:style>
  <w:style w:type="paragraph" w:styleId="7">
    <w:name w:val="Plain Text"/>
    <w:basedOn w:val="1"/>
    <w:qFormat/>
    <w:uiPriority w:val="0"/>
    <w:rPr>
      <w:rFonts w:ascii="宋体" w:hAnsi="Courier New"/>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0"/>
  </w:style>
  <w:style w:type="paragraph" w:styleId="11">
    <w:name w:val="toc 2"/>
    <w:basedOn w:val="1"/>
    <w:next w:val="1"/>
    <w:qFormat/>
    <w:locked/>
    <w:uiPriority w:val="0"/>
    <w:pPr>
      <w:ind w:left="420" w:leftChars="200"/>
    </w:pPr>
  </w:style>
  <w:style w:type="paragraph" w:styleId="12">
    <w:name w:val="Normal (Web)"/>
    <w:basedOn w:val="1"/>
    <w:qFormat/>
    <w:uiPriority w:val="0"/>
    <w:pPr>
      <w:spacing w:before="100" w:beforeAutospacing="1" w:after="100" w:afterAutospacing="1"/>
      <w:jc w:val="left"/>
    </w:pPr>
    <w:rPr>
      <w:rFonts w:cs="Times New Roman"/>
      <w:kern w:val="0"/>
      <w:sz w:val="24"/>
    </w:rPr>
  </w:style>
  <w:style w:type="character" w:styleId="15">
    <w:name w:val="Emphasis"/>
    <w:basedOn w:val="14"/>
    <w:qFormat/>
    <w:uiPriority w:val="99"/>
  </w:style>
  <w:style w:type="character" w:customStyle="1" w:styleId="16">
    <w:name w:val="页眉 Char"/>
    <w:basedOn w:val="14"/>
    <w:link w:val="9"/>
    <w:qFormat/>
    <w:locked/>
    <w:uiPriority w:val="99"/>
    <w:rPr>
      <w:sz w:val="18"/>
      <w:szCs w:val="18"/>
    </w:rPr>
  </w:style>
  <w:style w:type="character" w:customStyle="1" w:styleId="17">
    <w:name w:val="页脚 Char"/>
    <w:basedOn w:val="14"/>
    <w:link w:val="8"/>
    <w:qFormat/>
    <w:locked/>
    <w:uiPriority w:val="99"/>
    <w:rPr>
      <w:sz w:val="18"/>
      <w:szCs w:val="18"/>
    </w:rPr>
  </w:style>
  <w:style w:type="paragraph" w:customStyle="1" w:styleId="18">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9">
    <w:name w:val="默认段落字体1"/>
    <w:qFormat/>
    <w:uiPriority w:val="99"/>
    <w:rPr>
      <w:sz w:val="22"/>
      <w:szCs w:val="22"/>
    </w:rPr>
  </w:style>
  <w:style w:type="paragraph" w:styleId="20">
    <w:name w:val="List Paragraph"/>
    <w:basedOn w:val="1"/>
    <w:qFormat/>
    <w:uiPriority w:val="99"/>
    <w:pPr>
      <w:ind w:firstLine="420" w:firstLineChars="200"/>
    </w:pPr>
  </w:style>
  <w:style w:type="paragraph" w:customStyle="1" w:styleId="21">
    <w:name w:val="WPSOffice手动目录 1"/>
    <w:qFormat/>
    <w:uiPriority w:val="0"/>
    <w:rPr>
      <w:rFonts w:ascii="Calibri" w:hAnsi="Calibri" w:eastAsia="宋体" w:cs="Times New Roman"/>
      <w:lang w:val="en-US" w:eastAsia="zh-CN" w:bidi="ar-SA"/>
    </w:rPr>
  </w:style>
  <w:style w:type="paragraph" w:customStyle="1" w:styleId="22">
    <w:name w:val="WPSOffice手动目录 2"/>
    <w:qFormat/>
    <w:uiPriority w:val="0"/>
    <w:pPr>
      <w:ind w:left="200" w:leftChars="200"/>
    </w:pPr>
    <w:rPr>
      <w:rFonts w:ascii="Calibri" w:hAnsi="Calibri" w:eastAsia="宋体" w:cs="Times New Roman"/>
      <w:lang w:val="en-US" w:eastAsia="zh-CN" w:bidi="ar-SA"/>
    </w:rPr>
  </w:style>
  <w:style w:type="character" w:customStyle="1" w:styleId="23">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3288</Words>
  <Characters>3654</Characters>
  <Lines>30</Lines>
  <Paragraphs>8</Paragraphs>
  <TotalTime>3</TotalTime>
  <ScaleCrop>false</ScaleCrop>
  <LinksUpToDate>false</LinksUpToDate>
  <CharactersWithSpaces>3680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2023-01-11T05:33:00Z</dcterms:created>
  <dc:creator>薛永萍</dc:creator>
  <cp:lastModifiedBy>阿飘</cp:lastModifiedBy>
  <dcterms:modified xsi:type="dcterms:W3CDTF">2026-01-18T05:15:07Z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2E3AE8CD5E8F4DD29A0FB204D7214F0B_13</vt:lpwstr>
  </property>
  <property fmtid="{D5CDD505-2E9C-101B-9397-08002B2CF9AE}" pid="4" name="KSOTemplateDocerSaveRecord">
    <vt:lpwstr>eyJoZGlkIjoiNjU3YjcxY2M1NzhkNzgyYWE4NGRjMGUxY2M2ZTA2MGMiLCJ1c2VySWQiOiIxMTM2MTk1MDA2In0=</vt:lpwstr>
  </property>
</Properties>
</file>