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1BAA5C">
      <w:pPr>
        <w:rPr>
          <w:rFonts w:asciiTheme="minorEastAsia" w:hAnsiTheme="minorEastAsia" w:eastAsiaTheme="minorEastAsia"/>
          <w:b/>
          <w:sz w:val="72"/>
          <w:szCs w:val="72"/>
        </w:rPr>
      </w:pPr>
      <w:bookmarkStart w:id="0" w:name="_Toc15396597"/>
      <w:bookmarkStart w:id="1" w:name="_Toc15396475"/>
      <w:bookmarkStart w:id="2" w:name="_Toc15377193"/>
      <w:bookmarkStart w:id="3" w:name="_Toc15378441"/>
      <w:bookmarkStart w:id="4" w:name="_Toc15377425"/>
      <w:bookmarkStart w:id="5" w:name="_Toc15306267"/>
    </w:p>
    <w:p w14:paraId="4F907F9B">
      <w:pPr>
        <w:pStyle w:val="7"/>
        <w:ind w:firstLine="0"/>
      </w:pPr>
    </w:p>
    <w:p w14:paraId="1B0899AD">
      <w:pPr>
        <w:jc w:val="center"/>
        <w:rPr>
          <w:rFonts w:ascii="方正小标宋简体" w:hAnsi="方正小标宋简体" w:eastAsia="方正小标宋简体" w:cs="方正小标宋简体"/>
          <w:bCs/>
          <w:sz w:val="72"/>
          <w:szCs w:val="72"/>
        </w:rPr>
      </w:pPr>
      <w:r>
        <w:rPr>
          <w:rFonts w:hint="eastAsia" w:ascii="方正小标宋简体" w:hAnsi="方正小标宋简体" w:eastAsia="方正小标宋简体" w:cs="方正小标宋简体"/>
          <w:bCs/>
          <w:sz w:val="72"/>
          <w:szCs w:val="72"/>
        </w:rPr>
        <w:t>202</w:t>
      </w:r>
      <w:r>
        <w:rPr>
          <w:rFonts w:hint="eastAsia" w:ascii="方正小标宋简体" w:hAnsi="方正小标宋简体" w:eastAsia="方正小标宋简体" w:cs="方正小标宋简体"/>
          <w:bCs/>
          <w:sz w:val="72"/>
          <w:szCs w:val="72"/>
          <w:lang w:val="en-US" w:eastAsia="zh-CN"/>
        </w:rPr>
        <w:t>5</w:t>
      </w:r>
      <w:r>
        <w:rPr>
          <w:rFonts w:hint="eastAsia" w:ascii="方正小标宋简体" w:hAnsi="方正小标宋简体" w:eastAsia="方正小标宋简体" w:cs="方正小标宋简体"/>
          <w:bCs/>
          <w:sz w:val="72"/>
        </w:rPr>
        <w:t>年度</w:t>
      </w:r>
      <w:bookmarkEnd w:id="0"/>
      <w:bookmarkEnd w:id="1"/>
      <w:bookmarkEnd w:id="2"/>
      <w:bookmarkEnd w:id="3"/>
      <w:bookmarkEnd w:id="4"/>
    </w:p>
    <w:bookmarkEnd w:id="5"/>
    <w:p w14:paraId="70E301C3">
      <w:pPr>
        <w:jc w:val="center"/>
        <w:rPr>
          <w:rFonts w:ascii="方正小标宋简体" w:hAnsi="方正小标宋简体" w:eastAsia="方正小标宋简体" w:cs="方正小标宋简体"/>
          <w:bCs/>
          <w:sz w:val="72"/>
          <w:szCs w:val="72"/>
        </w:rPr>
      </w:pPr>
      <w:bookmarkStart w:id="6" w:name="_Toc15306268"/>
      <w:bookmarkStart w:id="7" w:name="_Toc15377194"/>
      <w:bookmarkStart w:id="8" w:name="_Toc15396598"/>
      <w:bookmarkStart w:id="9" w:name="_Toc15377426"/>
      <w:bookmarkStart w:id="10" w:name="_Toc15378442"/>
      <w:bookmarkStart w:id="11" w:name="_Toc15396476"/>
      <w:r>
        <w:rPr>
          <w:rFonts w:hint="eastAsia" w:ascii="方正小标宋简体" w:hAnsi="方正小标宋简体" w:eastAsia="方正小标宋简体" w:cs="方正小标宋简体"/>
          <w:bCs/>
          <w:sz w:val="72"/>
          <w:szCs w:val="72"/>
        </w:rPr>
        <w:t>阿坝州金川环境监测站部门决算</w:t>
      </w:r>
      <w:bookmarkEnd w:id="6"/>
      <w:bookmarkEnd w:id="7"/>
      <w:bookmarkEnd w:id="8"/>
      <w:bookmarkEnd w:id="9"/>
      <w:bookmarkEnd w:id="10"/>
      <w:bookmarkEnd w:id="11"/>
      <w:r>
        <w:rPr>
          <w:rFonts w:hint="eastAsia" w:ascii="方正小标宋简体" w:hAnsi="方正小标宋简体" w:eastAsia="方正小标宋简体" w:cs="方正小标宋简体"/>
          <w:bCs/>
          <w:sz w:val="72"/>
          <w:szCs w:val="72"/>
        </w:rPr>
        <w:t>报告</w:t>
      </w:r>
    </w:p>
    <w:p w14:paraId="5F8629C1">
      <w:pPr>
        <w:pStyle w:val="7"/>
      </w:pPr>
    </w:p>
    <w:p w14:paraId="0F0C4911">
      <w:pPr>
        <w:pStyle w:val="7"/>
      </w:pPr>
    </w:p>
    <w:p w14:paraId="580DCA69">
      <w:pPr>
        <w:pStyle w:val="7"/>
      </w:pPr>
    </w:p>
    <w:p w14:paraId="5F60C3DC">
      <w:pPr>
        <w:pStyle w:val="7"/>
      </w:pPr>
    </w:p>
    <w:p w14:paraId="75DB5ED2">
      <w:pPr>
        <w:pStyle w:val="7"/>
      </w:pPr>
    </w:p>
    <w:p w14:paraId="46FDBE07">
      <w:pPr>
        <w:pStyle w:val="7"/>
      </w:pPr>
    </w:p>
    <w:p w14:paraId="5E38C0E3">
      <w:pPr>
        <w:pStyle w:val="7"/>
      </w:pPr>
    </w:p>
    <w:p w14:paraId="2BB35A6B">
      <w:pPr>
        <w:pStyle w:val="7"/>
      </w:pPr>
    </w:p>
    <w:p w14:paraId="0AC09144">
      <w:pPr>
        <w:pStyle w:val="7"/>
      </w:pPr>
    </w:p>
    <w:p w14:paraId="1F7BDBCC">
      <w:pPr>
        <w:pStyle w:val="7"/>
        <w:tabs>
          <w:tab w:val="left" w:pos="3600"/>
        </w:tabs>
      </w:pPr>
      <w:r>
        <w:tab/>
      </w:r>
    </w:p>
    <w:p w14:paraId="71E8F72C">
      <w:pPr>
        <w:pStyle w:val="7"/>
      </w:pPr>
    </w:p>
    <w:p w14:paraId="6BDD9FE5">
      <w:pPr>
        <w:pStyle w:val="7"/>
      </w:pPr>
    </w:p>
    <w:p w14:paraId="7BF22D1A">
      <w:pPr>
        <w:pStyle w:val="7"/>
      </w:pPr>
    </w:p>
    <w:p w14:paraId="6B6A06A8">
      <w:pPr>
        <w:pStyle w:val="7"/>
      </w:pPr>
    </w:p>
    <w:p w14:paraId="194D9F90">
      <w:pPr>
        <w:pStyle w:val="7"/>
      </w:pPr>
    </w:p>
    <w:p w14:paraId="60D2AD72">
      <w:pPr>
        <w:pStyle w:val="7"/>
      </w:pPr>
    </w:p>
    <w:p w14:paraId="7F43AEB4">
      <w:pPr>
        <w:pStyle w:val="7"/>
      </w:pPr>
    </w:p>
    <w:p w14:paraId="453B82AF">
      <w:pPr>
        <w:pStyle w:val="7"/>
      </w:pPr>
    </w:p>
    <w:p w14:paraId="2AF2810C">
      <w:pPr>
        <w:pStyle w:val="7"/>
      </w:pPr>
    </w:p>
    <w:p w14:paraId="24EB3C28">
      <w:pPr>
        <w:autoSpaceDE w:val="0"/>
        <w:autoSpaceDN w:val="0"/>
        <w:adjustRightInd w:val="0"/>
        <w:ind w:left="420" w:leftChars="200"/>
        <w:jc w:val="left"/>
        <w:rPr>
          <w:rFonts w:ascii="宋体" w:hAnsi="宋体"/>
          <w:sz w:val="32"/>
          <w:szCs w:val="32"/>
        </w:rPr>
      </w:pPr>
      <w:r>
        <w:rPr>
          <w:rFonts w:hint="eastAsia" w:ascii="宋体" w:hAnsi="宋体" w:cs="仿宋_GB2312"/>
          <w:sz w:val="32"/>
          <w:szCs w:val="32"/>
        </w:rPr>
        <w:t>保密审查情况：已审查，内容审定</w:t>
      </w:r>
    </w:p>
    <w:p w14:paraId="77894A9C">
      <w:pPr>
        <w:autoSpaceDE w:val="0"/>
        <w:autoSpaceDN w:val="0"/>
        <w:adjustRightInd w:val="0"/>
        <w:ind w:left="420" w:leftChars="200"/>
        <w:jc w:val="left"/>
        <w:rPr>
          <w:rFonts w:ascii="宋体" w:hAnsi="宋体"/>
          <w:sz w:val="32"/>
          <w:szCs w:val="32"/>
        </w:rPr>
      </w:pPr>
      <w:r>
        <w:rPr>
          <w:rFonts w:hint="eastAsia" w:ascii="宋体" w:hAnsi="宋体" w:cs="仿宋_GB2312"/>
          <w:sz w:val="32"/>
          <w:szCs w:val="32"/>
        </w:rPr>
        <w:t>部门主要负责人审签情况：已审签，同意对外公开</w:t>
      </w:r>
    </w:p>
    <w:p w14:paraId="33EE193F">
      <w:pPr>
        <w:widowControl/>
        <w:jc w:val="center"/>
        <w:rPr>
          <w:rFonts w:ascii="黑体" w:hAnsi="黑体" w:eastAsia="黑体"/>
          <w:color w:val="000000"/>
          <w:sz w:val="48"/>
          <w:szCs w:val="48"/>
        </w:rPr>
      </w:pPr>
      <w:r>
        <w:rPr>
          <w:rFonts w:ascii="方正小标宋简体" w:hAnsi="宋体" w:eastAsia="方正小标宋简体"/>
          <w:color w:val="000000"/>
          <w:sz w:val="36"/>
          <w:szCs w:val="36"/>
        </w:rPr>
        <w:br w:type="page"/>
      </w:r>
      <w:r>
        <w:rPr>
          <w:rFonts w:hint="eastAsia" w:ascii="黑体" w:hAnsi="黑体" w:eastAsia="黑体"/>
          <w:color w:val="000000"/>
          <w:sz w:val="48"/>
          <w:szCs w:val="48"/>
        </w:rPr>
        <w:t>目录</w:t>
      </w:r>
      <w:bookmarkStart w:id="12" w:name="_Toc15377196"/>
    </w:p>
    <w:p w14:paraId="6AF406F1">
      <w:pPr>
        <w:pStyle w:val="14"/>
        <w:tabs>
          <w:tab w:val="right" w:leader="dot" w:pos="8845"/>
          <w:tab w:val="clear" w:pos="8296"/>
        </w:tabs>
      </w:pPr>
      <w:r>
        <w:rPr>
          <w:smallCaps/>
          <w:sz w:val="20"/>
          <w:szCs w:val="20"/>
        </w:rPr>
        <w:fldChar w:fldCharType="begin"/>
      </w:r>
      <w:r>
        <w:rPr>
          <w:smallCaps/>
          <w:sz w:val="20"/>
          <w:szCs w:val="20"/>
        </w:rPr>
        <w:instrText xml:space="preserve"> TOC \o "1-2" \h \z \u </w:instrText>
      </w:r>
      <w:r>
        <w:rPr>
          <w:smallCaps/>
          <w:sz w:val="20"/>
          <w:szCs w:val="20"/>
        </w:rPr>
        <w:fldChar w:fldCharType="separate"/>
      </w:r>
      <w:r>
        <w:rPr>
          <w:smallCaps/>
          <w:szCs w:val="20"/>
        </w:rPr>
        <w:fldChar w:fldCharType="begin"/>
      </w:r>
      <w:r>
        <w:rPr>
          <w:smallCaps/>
          <w:szCs w:val="20"/>
        </w:rPr>
        <w:instrText xml:space="preserve"> HYPERLINK \l _Toc5029 </w:instrText>
      </w:r>
      <w:r>
        <w:rPr>
          <w:smallCaps/>
          <w:szCs w:val="20"/>
        </w:rPr>
        <w:fldChar w:fldCharType="separate"/>
      </w:r>
      <w:r>
        <w:rPr>
          <w:rFonts w:hint="eastAsia" w:ascii="黑体" w:hAnsi="黑体" w:eastAsia="黑体" w:cs="黑体"/>
        </w:rPr>
        <w:t xml:space="preserve">第一部分 </w:t>
      </w:r>
      <w:r>
        <w:rPr>
          <w:rFonts w:hint="eastAsia" w:ascii="黑体" w:hAnsi="黑体" w:eastAsia="黑体" w:cs="黑体"/>
          <w:bCs w:val="0"/>
        </w:rPr>
        <w:t>部门概况</w:t>
      </w:r>
      <w:r>
        <w:tab/>
      </w:r>
      <w:r>
        <w:fldChar w:fldCharType="begin"/>
      </w:r>
      <w:r>
        <w:instrText xml:space="preserve"> PAGEREF _Toc5029 \h </w:instrText>
      </w:r>
      <w:r>
        <w:fldChar w:fldCharType="separate"/>
      </w:r>
      <w:r>
        <w:t>3</w:t>
      </w:r>
      <w:r>
        <w:fldChar w:fldCharType="end"/>
      </w:r>
      <w:r>
        <w:rPr>
          <w:smallCaps/>
          <w:szCs w:val="20"/>
        </w:rPr>
        <w:fldChar w:fldCharType="end"/>
      </w:r>
    </w:p>
    <w:p w14:paraId="31CE9239">
      <w:pPr>
        <w:pStyle w:val="16"/>
        <w:tabs>
          <w:tab w:val="right" w:leader="dot" w:pos="8845"/>
          <w:tab w:val="clear" w:pos="8296"/>
        </w:tabs>
      </w:pPr>
      <w:r>
        <w:rPr>
          <w:smallCaps/>
          <w:szCs w:val="20"/>
        </w:rPr>
        <w:fldChar w:fldCharType="begin"/>
      </w:r>
      <w:r>
        <w:rPr>
          <w:smallCaps/>
          <w:szCs w:val="20"/>
        </w:rPr>
        <w:instrText xml:space="preserve"> HYPERLINK \l _Toc4186 </w:instrText>
      </w:r>
      <w:r>
        <w:rPr>
          <w:smallCaps/>
          <w:szCs w:val="20"/>
        </w:rPr>
        <w:fldChar w:fldCharType="separate"/>
      </w:r>
      <w:r>
        <w:rPr>
          <w:rFonts w:hint="eastAsia" w:ascii="黑体" w:eastAsia="黑体" w:cs="Times New Roman"/>
          <w:bCs w:val="0"/>
        </w:rPr>
        <w:t>一、基本职能及主要工作</w:t>
      </w:r>
      <w:r>
        <w:tab/>
      </w:r>
      <w:r>
        <w:fldChar w:fldCharType="begin"/>
      </w:r>
      <w:r>
        <w:instrText xml:space="preserve"> PAGEREF _Toc4186 \h </w:instrText>
      </w:r>
      <w:r>
        <w:fldChar w:fldCharType="separate"/>
      </w:r>
      <w:r>
        <w:t>3</w:t>
      </w:r>
      <w:r>
        <w:fldChar w:fldCharType="end"/>
      </w:r>
      <w:r>
        <w:rPr>
          <w:smallCaps/>
          <w:szCs w:val="20"/>
        </w:rPr>
        <w:fldChar w:fldCharType="end"/>
      </w:r>
    </w:p>
    <w:p w14:paraId="409CABAB">
      <w:pPr>
        <w:pStyle w:val="16"/>
        <w:tabs>
          <w:tab w:val="right" w:leader="dot" w:pos="8845"/>
          <w:tab w:val="clear" w:pos="8296"/>
        </w:tabs>
      </w:pPr>
      <w:r>
        <w:rPr>
          <w:smallCaps/>
          <w:szCs w:val="20"/>
        </w:rPr>
        <w:fldChar w:fldCharType="begin"/>
      </w:r>
      <w:r>
        <w:rPr>
          <w:smallCaps/>
          <w:szCs w:val="20"/>
        </w:rPr>
        <w:instrText xml:space="preserve"> HYPERLINK \l _Toc29291 </w:instrText>
      </w:r>
      <w:r>
        <w:rPr>
          <w:smallCaps/>
          <w:szCs w:val="20"/>
        </w:rPr>
        <w:fldChar w:fldCharType="separate"/>
      </w:r>
      <w:r>
        <w:rPr>
          <w:rFonts w:hint="eastAsia" w:ascii="黑体" w:eastAsia="黑体" w:cs="Times New Roman"/>
          <w:bCs w:val="0"/>
        </w:rPr>
        <w:t>二、机构设置</w:t>
      </w:r>
      <w:r>
        <w:tab/>
      </w:r>
      <w:r>
        <w:fldChar w:fldCharType="begin"/>
      </w:r>
      <w:r>
        <w:instrText xml:space="preserve"> PAGEREF _Toc29291 \h </w:instrText>
      </w:r>
      <w:r>
        <w:fldChar w:fldCharType="separate"/>
      </w:r>
      <w:r>
        <w:t>4</w:t>
      </w:r>
      <w:r>
        <w:fldChar w:fldCharType="end"/>
      </w:r>
      <w:r>
        <w:rPr>
          <w:smallCaps/>
          <w:szCs w:val="20"/>
        </w:rPr>
        <w:fldChar w:fldCharType="end"/>
      </w:r>
    </w:p>
    <w:p w14:paraId="5359EA6D">
      <w:pPr>
        <w:pStyle w:val="14"/>
        <w:tabs>
          <w:tab w:val="right" w:leader="dot" w:pos="8845"/>
          <w:tab w:val="clear" w:pos="8296"/>
        </w:tabs>
      </w:pPr>
      <w:r>
        <w:rPr>
          <w:smallCaps/>
          <w:szCs w:val="20"/>
        </w:rPr>
        <w:fldChar w:fldCharType="begin"/>
      </w:r>
      <w:r>
        <w:rPr>
          <w:smallCaps/>
          <w:szCs w:val="20"/>
        </w:rPr>
        <w:instrText xml:space="preserve"> HYPERLINK \l _Toc21658 </w:instrText>
      </w:r>
      <w:r>
        <w:rPr>
          <w:smallCaps/>
          <w:szCs w:val="20"/>
        </w:rPr>
        <w:fldChar w:fldCharType="separate"/>
      </w:r>
      <w:r>
        <w:rPr>
          <w:rFonts w:hint="eastAsia" w:ascii="黑体" w:hAnsi="黑体" w:eastAsia="黑体" w:cs="黑体"/>
        </w:rPr>
        <w:t>第二部分</w:t>
      </w:r>
      <w:r>
        <w:rPr>
          <w:rFonts w:ascii="黑体" w:hAnsi="黑体" w:eastAsia="黑体" w:cs="黑体"/>
        </w:rPr>
        <w:t xml:space="preserve"> </w:t>
      </w:r>
      <w:r>
        <w:rPr>
          <w:rFonts w:hint="eastAsia" w:ascii="黑体" w:hAnsi="黑体" w:eastAsia="黑体" w:cs="黑体"/>
        </w:rPr>
        <w:t>202</w:t>
      </w:r>
      <w:r>
        <w:rPr>
          <w:rFonts w:hint="eastAsia" w:ascii="黑体" w:hAnsi="黑体" w:eastAsia="黑体" w:cs="黑体"/>
          <w:lang w:val="en-US" w:eastAsia="zh-CN"/>
        </w:rPr>
        <w:t>5</w:t>
      </w:r>
      <w:r>
        <w:rPr>
          <w:rFonts w:ascii="黑体" w:hAnsi="黑体" w:eastAsia="黑体" w:cs="黑体"/>
        </w:rPr>
        <w:t>年度部门决算情况说明</w:t>
      </w:r>
      <w:r>
        <w:tab/>
      </w:r>
      <w:r>
        <w:fldChar w:fldCharType="begin"/>
      </w:r>
      <w:r>
        <w:instrText xml:space="preserve"> PAGEREF _Toc21658 \h </w:instrText>
      </w:r>
      <w:r>
        <w:fldChar w:fldCharType="separate"/>
      </w:r>
      <w:r>
        <w:t>5</w:t>
      </w:r>
      <w:r>
        <w:fldChar w:fldCharType="end"/>
      </w:r>
      <w:r>
        <w:rPr>
          <w:smallCaps/>
          <w:szCs w:val="20"/>
        </w:rPr>
        <w:fldChar w:fldCharType="end"/>
      </w:r>
    </w:p>
    <w:p w14:paraId="2EEDEEEF">
      <w:pPr>
        <w:pStyle w:val="16"/>
        <w:tabs>
          <w:tab w:val="right" w:leader="dot" w:pos="8845"/>
          <w:tab w:val="clear" w:pos="8296"/>
        </w:tabs>
      </w:pPr>
      <w:r>
        <w:rPr>
          <w:smallCaps/>
          <w:szCs w:val="20"/>
        </w:rPr>
        <w:fldChar w:fldCharType="begin"/>
      </w:r>
      <w:r>
        <w:rPr>
          <w:smallCaps/>
          <w:szCs w:val="20"/>
        </w:rPr>
        <w:instrText xml:space="preserve"> HYPERLINK \l _Toc8727 </w:instrText>
      </w:r>
      <w:r>
        <w:rPr>
          <w:smallCaps/>
          <w:szCs w:val="20"/>
        </w:rPr>
        <w:fldChar w:fldCharType="separate"/>
      </w:r>
      <w:r>
        <w:rPr>
          <w:rFonts w:hint="eastAsia" w:ascii="黑体" w:eastAsia="黑体" w:cs="Times New Roman"/>
          <w:bCs w:val="0"/>
        </w:rPr>
        <w:t>一、收入支出决算总体情况说明</w:t>
      </w:r>
      <w:r>
        <w:tab/>
      </w:r>
      <w:r>
        <w:fldChar w:fldCharType="begin"/>
      </w:r>
      <w:r>
        <w:instrText xml:space="preserve"> PAGEREF _Toc8727 \h </w:instrText>
      </w:r>
      <w:r>
        <w:fldChar w:fldCharType="separate"/>
      </w:r>
      <w:r>
        <w:t>5</w:t>
      </w:r>
      <w:r>
        <w:fldChar w:fldCharType="end"/>
      </w:r>
      <w:r>
        <w:rPr>
          <w:smallCaps/>
          <w:szCs w:val="20"/>
        </w:rPr>
        <w:fldChar w:fldCharType="end"/>
      </w:r>
    </w:p>
    <w:p w14:paraId="365EBA5E">
      <w:pPr>
        <w:pStyle w:val="16"/>
        <w:tabs>
          <w:tab w:val="right" w:leader="dot" w:pos="8845"/>
          <w:tab w:val="clear" w:pos="8296"/>
        </w:tabs>
      </w:pPr>
      <w:r>
        <w:rPr>
          <w:smallCaps/>
          <w:szCs w:val="20"/>
        </w:rPr>
        <w:fldChar w:fldCharType="begin"/>
      </w:r>
      <w:r>
        <w:rPr>
          <w:smallCaps/>
          <w:szCs w:val="20"/>
        </w:rPr>
        <w:instrText xml:space="preserve"> HYPERLINK \l _Toc30190 </w:instrText>
      </w:r>
      <w:r>
        <w:rPr>
          <w:smallCaps/>
          <w:szCs w:val="20"/>
        </w:rPr>
        <w:fldChar w:fldCharType="separate"/>
      </w:r>
      <w:r>
        <w:rPr>
          <w:rFonts w:hint="eastAsia" w:ascii="黑体" w:eastAsia="黑体" w:cs="Times New Roman"/>
          <w:bCs w:val="0"/>
        </w:rPr>
        <w:t>二、收入决算情况说明</w:t>
      </w:r>
      <w:r>
        <w:tab/>
      </w:r>
      <w:r>
        <w:fldChar w:fldCharType="begin"/>
      </w:r>
      <w:r>
        <w:instrText xml:space="preserve"> PAGEREF _Toc30190 \h </w:instrText>
      </w:r>
      <w:r>
        <w:fldChar w:fldCharType="separate"/>
      </w:r>
      <w:r>
        <w:t>5</w:t>
      </w:r>
      <w:r>
        <w:fldChar w:fldCharType="end"/>
      </w:r>
      <w:r>
        <w:rPr>
          <w:smallCaps/>
          <w:szCs w:val="20"/>
        </w:rPr>
        <w:fldChar w:fldCharType="end"/>
      </w:r>
    </w:p>
    <w:p w14:paraId="086F38CD">
      <w:pPr>
        <w:pStyle w:val="16"/>
        <w:tabs>
          <w:tab w:val="right" w:leader="dot" w:pos="8845"/>
          <w:tab w:val="clear" w:pos="8296"/>
        </w:tabs>
      </w:pPr>
      <w:r>
        <w:rPr>
          <w:smallCaps/>
          <w:szCs w:val="20"/>
        </w:rPr>
        <w:fldChar w:fldCharType="begin"/>
      </w:r>
      <w:r>
        <w:rPr>
          <w:smallCaps/>
          <w:szCs w:val="20"/>
        </w:rPr>
        <w:instrText xml:space="preserve"> HYPERLINK \l _Toc15408 </w:instrText>
      </w:r>
      <w:r>
        <w:rPr>
          <w:smallCaps/>
          <w:szCs w:val="20"/>
        </w:rPr>
        <w:fldChar w:fldCharType="separate"/>
      </w:r>
      <w:r>
        <w:rPr>
          <w:rFonts w:hint="eastAsia" w:ascii="黑体" w:eastAsia="黑体" w:cs="Times New Roman"/>
          <w:bCs w:val="0"/>
        </w:rPr>
        <w:t>三、支出决算情况说明</w:t>
      </w:r>
      <w:r>
        <w:tab/>
      </w:r>
      <w:r>
        <w:fldChar w:fldCharType="begin"/>
      </w:r>
      <w:r>
        <w:instrText xml:space="preserve"> PAGEREF _Toc15408 \h </w:instrText>
      </w:r>
      <w:r>
        <w:fldChar w:fldCharType="separate"/>
      </w:r>
      <w:r>
        <w:t>6</w:t>
      </w:r>
      <w:r>
        <w:fldChar w:fldCharType="end"/>
      </w:r>
      <w:r>
        <w:rPr>
          <w:smallCaps/>
          <w:szCs w:val="20"/>
        </w:rPr>
        <w:fldChar w:fldCharType="end"/>
      </w:r>
    </w:p>
    <w:p w14:paraId="0A602003">
      <w:pPr>
        <w:pStyle w:val="16"/>
        <w:tabs>
          <w:tab w:val="right" w:leader="dot" w:pos="8845"/>
          <w:tab w:val="clear" w:pos="8296"/>
        </w:tabs>
      </w:pPr>
      <w:r>
        <w:rPr>
          <w:smallCaps/>
          <w:szCs w:val="20"/>
        </w:rPr>
        <w:fldChar w:fldCharType="begin"/>
      </w:r>
      <w:r>
        <w:rPr>
          <w:smallCaps/>
          <w:szCs w:val="20"/>
        </w:rPr>
        <w:instrText xml:space="preserve"> HYPERLINK \l _Toc8 </w:instrText>
      </w:r>
      <w:r>
        <w:rPr>
          <w:smallCaps/>
          <w:szCs w:val="20"/>
        </w:rPr>
        <w:fldChar w:fldCharType="separate"/>
      </w:r>
      <w:r>
        <w:rPr>
          <w:rFonts w:hint="eastAsia" w:ascii="黑体" w:eastAsia="黑体" w:cs="Times New Roman"/>
          <w:bCs w:val="0"/>
        </w:rPr>
        <w:t>四、财政拨款收入支出决算总体情况说明</w:t>
      </w:r>
      <w:r>
        <w:tab/>
      </w:r>
      <w:r>
        <w:fldChar w:fldCharType="begin"/>
      </w:r>
      <w:r>
        <w:instrText xml:space="preserve"> PAGEREF _Toc8 \h </w:instrText>
      </w:r>
      <w:r>
        <w:fldChar w:fldCharType="separate"/>
      </w:r>
      <w:r>
        <w:t>7</w:t>
      </w:r>
      <w:r>
        <w:fldChar w:fldCharType="end"/>
      </w:r>
      <w:r>
        <w:rPr>
          <w:smallCaps/>
          <w:szCs w:val="20"/>
        </w:rPr>
        <w:fldChar w:fldCharType="end"/>
      </w:r>
    </w:p>
    <w:p w14:paraId="4751625B">
      <w:pPr>
        <w:pStyle w:val="16"/>
        <w:tabs>
          <w:tab w:val="right" w:leader="dot" w:pos="8845"/>
          <w:tab w:val="clear" w:pos="8296"/>
        </w:tabs>
      </w:pPr>
      <w:r>
        <w:rPr>
          <w:smallCaps/>
          <w:szCs w:val="20"/>
        </w:rPr>
        <w:fldChar w:fldCharType="begin"/>
      </w:r>
      <w:r>
        <w:rPr>
          <w:smallCaps/>
          <w:szCs w:val="20"/>
        </w:rPr>
        <w:instrText xml:space="preserve"> HYPERLINK \l _Toc7383 </w:instrText>
      </w:r>
      <w:r>
        <w:rPr>
          <w:smallCaps/>
          <w:szCs w:val="20"/>
        </w:rPr>
        <w:fldChar w:fldCharType="separate"/>
      </w:r>
      <w:r>
        <w:rPr>
          <w:rFonts w:hint="eastAsia" w:ascii="黑体" w:eastAsia="黑体" w:cs="Times New Roman"/>
          <w:bCs w:val="0"/>
        </w:rPr>
        <w:t>五、一般公共预算财政拨款支出决算情况说明</w:t>
      </w:r>
      <w:r>
        <w:tab/>
      </w:r>
      <w:r>
        <w:fldChar w:fldCharType="begin"/>
      </w:r>
      <w:r>
        <w:instrText xml:space="preserve"> PAGEREF _Toc7383 \h </w:instrText>
      </w:r>
      <w:r>
        <w:fldChar w:fldCharType="separate"/>
      </w:r>
      <w:r>
        <w:t>8</w:t>
      </w:r>
      <w:r>
        <w:fldChar w:fldCharType="end"/>
      </w:r>
      <w:r>
        <w:rPr>
          <w:smallCaps/>
          <w:szCs w:val="20"/>
        </w:rPr>
        <w:fldChar w:fldCharType="end"/>
      </w:r>
    </w:p>
    <w:p w14:paraId="0E137A63">
      <w:pPr>
        <w:pStyle w:val="16"/>
        <w:tabs>
          <w:tab w:val="right" w:leader="dot" w:pos="8845"/>
          <w:tab w:val="clear" w:pos="8296"/>
        </w:tabs>
      </w:pPr>
      <w:r>
        <w:rPr>
          <w:smallCaps/>
          <w:szCs w:val="20"/>
        </w:rPr>
        <w:fldChar w:fldCharType="begin"/>
      </w:r>
      <w:r>
        <w:rPr>
          <w:smallCaps/>
          <w:szCs w:val="20"/>
        </w:rPr>
        <w:instrText xml:space="preserve"> HYPERLINK \l _Toc18644 </w:instrText>
      </w:r>
      <w:r>
        <w:rPr>
          <w:smallCaps/>
          <w:szCs w:val="20"/>
        </w:rPr>
        <w:fldChar w:fldCharType="separate"/>
      </w:r>
      <w:r>
        <w:rPr>
          <w:rFonts w:hint="eastAsia" w:ascii="黑体" w:eastAsia="黑体" w:cs="Times New Roman"/>
          <w:bCs w:val="0"/>
        </w:rPr>
        <w:t>六、一般公共预算财政拨款基本支出决算情况说明</w:t>
      </w:r>
      <w:r>
        <w:tab/>
      </w:r>
      <w:r>
        <w:fldChar w:fldCharType="begin"/>
      </w:r>
      <w:r>
        <w:instrText xml:space="preserve"> PAGEREF _Toc18644 \h </w:instrText>
      </w:r>
      <w:r>
        <w:fldChar w:fldCharType="separate"/>
      </w:r>
      <w:r>
        <w:t>11</w:t>
      </w:r>
      <w:r>
        <w:fldChar w:fldCharType="end"/>
      </w:r>
      <w:r>
        <w:rPr>
          <w:smallCaps/>
          <w:szCs w:val="20"/>
        </w:rPr>
        <w:fldChar w:fldCharType="end"/>
      </w:r>
    </w:p>
    <w:p w14:paraId="2BE76A11">
      <w:pPr>
        <w:pStyle w:val="16"/>
        <w:tabs>
          <w:tab w:val="right" w:leader="dot" w:pos="8845"/>
          <w:tab w:val="clear" w:pos="8296"/>
        </w:tabs>
      </w:pPr>
      <w:r>
        <w:rPr>
          <w:smallCaps/>
          <w:szCs w:val="20"/>
        </w:rPr>
        <w:fldChar w:fldCharType="begin"/>
      </w:r>
      <w:r>
        <w:rPr>
          <w:smallCaps/>
          <w:szCs w:val="20"/>
        </w:rPr>
        <w:instrText xml:space="preserve"> HYPERLINK \l _Toc19286 </w:instrText>
      </w:r>
      <w:r>
        <w:rPr>
          <w:smallCaps/>
          <w:szCs w:val="20"/>
        </w:rPr>
        <w:fldChar w:fldCharType="separate"/>
      </w:r>
      <w:r>
        <w:rPr>
          <w:rFonts w:hint="eastAsia" w:ascii="黑体" w:eastAsia="黑体" w:cs="Times New Roman"/>
          <w:bCs w:val="0"/>
        </w:rPr>
        <w:t>七、“三公”经费财政拨款支出决算情况说明</w:t>
      </w:r>
      <w:r>
        <w:tab/>
      </w:r>
      <w:r>
        <w:fldChar w:fldCharType="begin"/>
      </w:r>
      <w:r>
        <w:instrText xml:space="preserve"> PAGEREF _Toc19286 \h </w:instrText>
      </w:r>
      <w:r>
        <w:fldChar w:fldCharType="separate"/>
      </w:r>
      <w:r>
        <w:t>11</w:t>
      </w:r>
      <w:r>
        <w:fldChar w:fldCharType="end"/>
      </w:r>
      <w:r>
        <w:rPr>
          <w:smallCaps/>
          <w:szCs w:val="20"/>
        </w:rPr>
        <w:fldChar w:fldCharType="end"/>
      </w:r>
    </w:p>
    <w:p w14:paraId="23D35B93">
      <w:pPr>
        <w:pStyle w:val="16"/>
        <w:tabs>
          <w:tab w:val="right" w:leader="dot" w:pos="8845"/>
          <w:tab w:val="clear" w:pos="8296"/>
        </w:tabs>
      </w:pPr>
      <w:r>
        <w:rPr>
          <w:smallCaps/>
          <w:szCs w:val="20"/>
        </w:rPr>
        <w:fldChar w:fldCharType="begin"/>
      </w:r>
      <w:r>
        <w:rPr>
          <w:smallCaps/>
          <w:szCs w:val="20"/>
        </w:rPr>
        <w:instrText xml:space="preserve"> HYPERLINK \l _Toc18260 </w:instrText>
      </w:r>
      <w:r>
        <w:rPr>
          <w:smallCaps/>
          <w:szCs w:val="20"/>
        </w:rPr>
        <w:fldChar w:fldCharType="separate"/>
      </w:r>
      <w:r>
        <w:rPr>
          <w:rFonts w:hint="eastAsia" w:ascii="黑体" w:eastAsia="黑体" w:cs="Times New Roman"/>
          <w:bCs w:val="0"/>
        </w:rPr>
        <w:t>八、政府性基金预算支出决算情况说明</w:t>
      </w:r>
      <w:r>
        <w:tab/>
      </w:r>
      <w:r>
        <w:fldChar w:fldCharType="begin"/>
      </w:r>
      <w:r>
        <w:instrText xml:space="preserve"> PAGEREF _Toc18260 \h </w:instrText>
      </w:r>
      <w:r>
        <w:fldChar w:fldCharType="separate"/>
      </w:r>
      <w:r>
        <w:t>13</w:t>
      </w:r>
      <w:r>
        <w:fldChar w:fldCharType="end"/>
      </w:r>
      <w:r>
        <w:rPr>
          <w:smallCaps/>
          <w:szCs w:val="20"/>
        </w:rPr>
        <w:fldChar w:fldCharType="end"/>
      </w:r>
    </w:p>
    <w:p w14:paraId="42A551D3">
      <w:pPr>
        <w:pStyle w:val="16"/>
        <w:tabs>
          <w:tab w:val="right" w:leader="dot" w:pos="8845"/>
          <w:tab w:val="clear" w:pos="8296"/>
        </w:tabs>
      </w:pPr>
      <w:r>
        <w:rPr>
          <w:smallCaps/>
          <w:szCs w:val="20"/>
        </w:rPr>
        <w:fldChar w:fldCharType="begin"/>
      </w:r>
      <w:r>
        <w:rPr>
          <w:smallCaps/>
          <w:szCs w:val="20"/>
        </w:rPr>
        <w:instrText xml:space="preserve"> HYPERLINK \l _Toc17401 </w:instrText>
      </w:r>
      <w:r>
        <w:rPr>
          <w:smallCaps/>
          <w:szCs w:val="20"/>
        </w:rPr>
        <w:fldChar w:fldCharType="separate"/>
      </w:r>
      <w:r>
        <w:rPr>
          <w:rFonts w:hint="eastAsia" w:ascii="黑体" w:eastAsia="黑体" w:cs="Times New Roman"/>
          <w:bCs w:val="0"/>
        </w:rPr>
        <w:t>九、国有资本经营预算支出决算情况说明</w:t>
      </w:r>
      <w:r>
        <w:tab/>
      </w:r>
      <w:r>
        <w:fldChar w:fldCharType="begin"/>
      </w:r>
      <w:r>
        <w:instrText xml:space="preserve"> PAGEREF _Toc17401 \h </w:instrText>
      </w:r>
      <w:r>
        <w:fldChar w:fldCharType="separate"/>
      </w:r>
      <w:r>
        <w:t>13</w:t>
      </w:r>
      <w:r>
        <w:fldChar w:fldCharType="end"/>
      </w:r>
      <w:r>
        <w:rPr>
          <w:smallCaps/>
          <w:szCs w:val="20"/>
        </w:rPr>
        <w:fldChar w:fldCharType="end"/>
      </w:r>
    </w:p>
    <w:p w14:paraId="3E4F143C">
      <w:pPr>
        <w:pStyle w:val="16"/>
        <w:tabs>
          <w:tab w:val="right" w:leader="dot" w:pos="8845"/>
          <w:tab w:val="clear" w:pos="8296"/>
        </w:tabs>
      </w:pPr>
      <w:r>
        <w:rPr>
          <w:smallCaps/>
          <w:szCs w:val="20"/>
        </w:rPr>
        <w:fldChar w:fldCharType="begin"/>
      </w:r>
      <w:r>
        <w:rPr>
          <w:smallCaps/>
          <w:szCs w:val="20"/>
        </w:rPr>
        <w:instrText xml:space="preserve"> HYPERLINK \l _Toc19096 </w:instrText>
      </w:r>
      <w:r>
        <w:rPr>
          <w:smallCaps/>
          <w:szCs w:val="20"/>
        </w:rPr>
        <w:fldChar w:fldCharType="separate"/>
      </w:r>
      <w:r>
        <w:rPr>
          <w:rFonts w:hint="eastAsia" w:ascii="黑体" w:eastAsia="黑体" w:cs="Times New Roman"/>
          <w:bCs w:val="0"/>
        </w:rPr>
        <w:t>十、其他重要事项的情况说明</w:t>
      </w:r>
      <w:r>
        <w:tab/>
      </w:r>
      <w:r>
        <w:fldChar w:fldCharType="begin"/>
      </w:r>
      <w:r>
        <w:instrText xml:space="preserve"> PAGEREF _Toc19096 \h </w:instrText>
      </w:r>
      <w:r>
        <w:fldChar w:fldCharType="separate"/>
      </w:r>
      <w:r>
        <w:t>13</w:t>
      </w:r>
      <w:r>
        <w:fldChar w:fldCharType="end"/>
      </w:r>
      <w:r>
        <w:rPr>
          <w:smallCaps/>
          <w:szCs w:val="20"/>
        </w:rPr>
        <w:fldChar w:fldCharType="end"/>
      </w:r>
    </w:p>
    <w:p w14:paraId="60D84AB1">
      <w:pPr>
        <w:pStyle w:val="14"/>
        <w:tabs>
          <w:tab w:val="right" w:leader="dot" w:pos="8845"/>
          <w:tab w:val="clear" w:pos="8296"/>
        </w:tabs>
      </w:pPr>
      <w:r>
        <w:rPr>
          <w:smallCaps/>
          <w:szCs w:val="20"/>
        </w:rPr>
        <w:fldChar w:fldCharType="begin"/>
      </w:r>
      <w:r>
        <w:rPr>
          <w:smallCaps/>
          <w:szCs w:val="20"/>
        </w:rPr>
        <w:instrText xml:space="preserve"> HYPERLINK \l _Toc5573 </w:instrText>
      </w:r>
      <w:r>
        <w:rPr>
          <w:smallCaps/>
          <w:szCs w:val="20"/>
        </w:rPr>
        <w:fldChar w:fldCharType="separate"/>
      </w:r>
      <w:r>
        <w:rPr>
          <w:rFonts w:hint="eastAsia" w:ascii="黑体" w:hAnsi="黑体" w:eastAsia="黑体" w:cs="黑体"/>
        </w:rPr>
        <w:t>第三部分 名词解释</w:t>
      </w:r>
      <w:r>
        <w:tab/>
      </w:r>
      <w:r>
        <w:fldChar w:fldCharType="begin"/>
      </w:r>
      <w:r>
        <w:instrText xml:space="preserve"> PAGEREF _Toc5573 \h </w:instrText>
      </w:r>
      <w:r>
        <w:fldChar w:fldCharType="separate"/>
      </w:r>
      <w:r>
        <w:t>15</w:t>
      </w:r>
      <w:r>
        <w:fldChar w:fldCharType="end"/>
      </w:r>
      <w:r>
        <w:rPr>
          <w:smallCaps/>
          <w:szCs w:val="20"/>
        </w:rPr>
        <w:fldChar w:fldCharType="end"/>
      </w:r>
    </w:p>
    <w:p w14:paraId="3EA766EE">
      <w:pPr>
        <w:pStyle w:val="14"/>
        <w:tabs>
          <w:tab w:val="right" w:leader="dot" w:pos="8845"/>
          <w:tab w:val="clear" w:pos="8296"/>
        </w:tabs>
      </w:pPr>
      <w:r>
        <w:rPr>
          <w:smallCaps/>
          <w:szCs w:val="20"/>
        </w:rPr>
        <w:fldChar w:fldCharType="begin"/>
      </w:r>
      <w:r>
        <w:rPr>
          <w:smallCaps/>
          <w:szCs w:val="20"/>
        </w:rPr>
        <w:instrText xml:space="preserve"> HYPERLINK \l _Toc22807 </w:instrText>
      </w:r>
      <w:r>
        <w:rPr>
          <w:smallCaps/>
          <w:szCs w:val="20"/>
        </w:rPr>
        <w:fldChar w:fldCharType="separate"/>
      </w:r>
      <w:r>
        <w:rPr>
          <w:rFonts w:hint="eastAsia" w:ascii="黑体" w:hAnsi="黑体" w:eastAsia="黑体" w:cs="黑体"/>
        </w:rPr>
        <w:t>第四部分 附件</w:t>
      </w:r>
      <w:r>
        <w:tab/>
      </w:r>
      <w:r>
        <w:fldChar w:fldCharType="begin"/>
      </w:r>
      <w:r>
        <w:instrText xml:space="preserve"> PAGEREF _Toc22807 \h </w:instrText>
      </w:r>
      <w:r>
        <w:fldChar w:fldCharType="separate"/>
      </w:r>
      <w:r>
        <w:t>18</w:t>
      </w:r>
      <w:r>
        <w:fldChar w:fldCharType="end"/>
      </w:r>
      <w:r>
        <w:rPr>
          <w:smallCaps/>
          <w:szCs w:val="20"/>
        </w:rPr>
        <w:fldChar w:fldCharType="end"/>
      </w:r>
    </w:p>
    <w:p w14:paraId="2D61033C">
      <w:pPr>
        <w:pStyle w:val="14"/>
        <w:tabs>
          <w:tab w:val="right" w:leader="dot" w:pos="8845"/>
          <w:tab w:val="clear" w:pos="8296"/>
        </w:tabs>
      </w:pPr>
      <w:r>
        <w:rPr>
          <w:smallCaps/>
          <w:szCs w:val="20"/>
        </w:rPr>
        <w:fldChar w:fldCharType="begin"/>
      </w:r>
      <w:r>
        <w:rPr>
          <w:smallCaps/>
          <w:szCs w:val="20"/>
        </w:rPr>
        <w:instrText xml:space="preserve"> HYPERLINK \l _Toc6854 </w:instrText>
      </w:r>
      <w:r>
        <w:rPr>
          <w:smallCaps/>
          <w:szCs w:val="20"/>
        </w:rPr>
        <w:fldChar w:fldCharType="separate"/>
      </w:r>
      <w:r>
        <w:rPr>
          <w:rFonts w:hint="eastAsia" w:ascii="黑体" w:hAnsi="黑体" w:eastAsia="黑体" w:cs="黑体"/>
        </w:rPr>
        <w:t>第五部分 附表</w:t>
      </w:r>
      <w:r>
        <w:tab/>
      </w:r>
      <w:r>
        <w:fldChar w:fldCharType="begin"/>
      </w:r>
      <w:r>
        <w:instrText xml:space="preserve"> PAGEREF _Toc6854 \h </w:instrText>
      </w:r>
      <w:r>
        <w:fldChar w:fldCharType="separate"/>
      </w:r>
      <w:r>
        <w:t>25</w:t>
      </w:r>
      <w:r>
        <w:fldChar w:fldCharType="end"/>
      </w:r>
      <w:r>
        <w:rPr>
          <w:smallCaps/>
          <w:szCs w:val="20"/>
        </w:rPr>
        <w:fldChar w:fldCharType="end"/>
      </w:r>
    </w:p>
    <w:p w14:paraId="73AFB9C8">
      <w:pPr>
        <w:pStyle w:val="16"/>
        <w:tabs>
          <w:tab w:val="right" w:leader="dot" w:pos="8845"/>
          <w:tab w:val="clear" w:pos="8296"/>
        </w:tabs>
      </w:pPr>
      <w:r>
        <w:rPr>
          <w:smallCaps/>
          <w:szCs w:val="20"/>
        </w:rPr>
        <w:fldChar w:fldCharType="begin"/>
      </w:r>
      <w:r>
        <w:rPr>
          <w:smallCaps/>
          <w:szCs w:val="20"/>
        </w:rPr>
        <w:instrText xml:space="preserve"> HYPERLINK \l _Toc1079 </w:instrText>
      </w:r>
      <w:r>
        <w:rPr>
          <w:smallCaps/>
          <w:szCs w:val="20"/>
        </w:rPr>
        <w:fldChar w:fldCharType="separate"/>
      </w:r>
      <w:r>
        <w:rPr>
          <w:rFonts w:hint="eastAsia" w:ascii="黑体" w:eastAsia="黑体" w:cs="Times New Roman"/>
          <w:bCs w:val="0"/>
        </w:rPr>
        <w:t>一、收入支出决算总表</w:t>
      </w:r>
      <w:r>
        <w:tab/>
      </w:r>
      <w:r>
        <w:fldChar w:fldCharType="begin"/>
      </w:r>
      <w:r>
        <w:instrText xml:space="preserve"> PAGEREF _Toc1079 \h </w:instrText>
      </w:r>
      <w:r>
        <w:fldChar w:fldCharType="separate"/>
      </w:r>
      <w:r>
        <w:t>25</w:t>
      </w:r>
      <w:r>
        <w:fldChar w:fldCharType="end"/>
      </w:r>
      <w:r>
        <w:rPr>
          <w:smallCaps/>
          <w:szCs w:val="20"/>
        </w:rPr>
        <w:fldChar w:fldCharType="end"/>
      </w:r>
    </w:p>
    <w:p w14:paraId="5C28F378">
      <w:pPr>
        <w:pStyle w:val="16"/>
        <w:tabs>
          <w:tab w:val="right" w:leader="dot" w:pos="8845"/>
          <w:tab w:val="clear" w:pos="8296"/>
        </w:tabs>
      </w:pPr>
      <w:r>
        <w:rPr>
          <w:smallCaps/>
          <w:szCs w:val="20"/>
        </w:rPr>
        <w:fldChar w:fldCharType="begin"/>
      </w:r>
      <w:r>
        <w:rPr>
          <w:smallCaps/>
          <w:szCs w:val="20"/>
        </w:rPr>
        <w:instrText xml:space="preserve"> HYPERLINK \l _Toc2070 </w:instrText>
      </w:r>
      <w:r>
        <w:rPr>
          <w:smallCaps/>
          <w:szCs w:val="20"/>
        </w:rPr>
        <w:fldChar w:fldCharType="separate"/>
      </w:r>
      <w:r>
        <w:rPr>
          <w:rFonts w:hint="eastAsia" w:ascii="黑体" w:eastAsia="黑体" w:cs="Times New Roman"/>
          <w:bCs w:val="0"/>
        </w:rPr>
        <w:t>二、收入决算表</w:t>
      </w:r>
      <w:r>
        <w:tab/>
      </w:r>
      <w:r>
        <w:fldChar w:fldCharType="begin"/>
      </w:r>
      <w:r>
        <w:instrText xml:space="preserve"> PAGEREF _Toc2070 \h </w:instrText>
      </w:r>
      <w:r>
        <w:fldChar w:fldCharType="separate"/>
      </w:r>
      <w:r>
        <w:t>25</w:t>
      </w:r>
      <w:r>
        <w:fldChar w:fldCharType="end"/>
      </w:r>
      <w:r>
        <w:rPr>
          <w:smallCaps/>
          <w:szCs w:val="20"/>
        </w:rPr>
        <w:fldChar w:fldCharType="end"/>
      </w:r>
    </w:p>
    <w:p w14:paraId="2AB86D75">
      <w:pPr>
        <w:pStyle w:val="16"/>
        <w:tabs>
          <w:tab w:val="right" w:leader="dot" w:pos="8845"/>
          <w:tab w:val="clear" w:pos="8296"/>
        </w:tabs>
      </w:pPr>
      <w:r>
        <w:rPr>
          <w:smallCaps/>
          <w:szCs w:val="20"/>
        </w:rPr>
        <w:fldChar w:fldCharType="begin"/>
      </w:r>
      <w:r>
        <w:rPr>
          <w:smallCaps/>
          <w:szCs w:val="20"/>
        </w:rPr>
        <w:instrText xml:space="preserve"> HYPERLINK \l _Toc6353 </w:instrText>
      </w:r>
      <w:r>
        <w:rPr>
          <w:smallCaps/>
          <w:szCs w:val="20"/>
        </w:rPr>
        <w:fldChar w:fldCharType="separate"/>
      </w:r>
      <w:r>
        <w:rPr>
          <w:rFonts w:hint="eastAsia" w:ascii="黑体" w:eastAsia="黑体" w:cs="Times New Roman"/>
          <w:bCs w:val="0"/>
        </w:rPr>
        <w:t>三、支出决算表</w:t>
      </w:r>
      <w:r>
        <w:tab/>
      </w:r>
      <w:r>
        <w:fldChar w:fldCharType="begin"/>
      </w:r>
      <w:r>
        <w:instrText xml:space="preserve"> PAGEREF _Toc6353 \h </w:instrText>
      </w:r>
      <w:r>
        <w:fldChar w:fldCharType="separate"/>
      </w:r>
      <w:r>
        <w:t>25</w:t>
      </w:r>
      <w:r>
        <w:fldChar w:fldCharType="end"/>
      </w:r>
      <w:r>
        <w:rPr>
          <w:smallCaps/>
          <w:szCs w:val="20"/>
        </w:rPr>
        <w:fldChar w:fldCharType="end"/>
      </w:r>
    </w:p>
    <w:p w14:paraId="03339FEB">
      <w:pPr>
        <w:pStyle w:val="16"/>
        <w:tabs>
          <w:tab w:val="right" w:leader="dot" w:pos="8845"/>
          <w:tab w:val="clear" w:pos="8296"/>
        </w:tabs>
      </w:pPr>
      <w:r>
        <w:rPr>
          <w:smallCaps/>
          <w:szCs w:val="20"/>
        </w:rPr>
        <w:fldChar w:fldCharType="begin"/>
      </w:r>
      <w:r>
        <w:rPr>
          <w:smallCaps/>
          <w:szCs w:val="20"/>
        </w:rPr>
        <w:instrText xml:space="preserve"> HYPERLINK \l _Toc15047 </w:instrText>
      </w:r>
      <w:r>
        <w:rPr>
          <w:smallCaps/>
          <w:szCs w:val="20"/>
        </w:rPr>
        <w:fldChar w:fldCharType="separate"/>
      </w:r>
      <w:r>
        <w:rPr>
          <w:rFonts w:hint="eastAsia" w:ascii="黑体" w:eastAsia="黑体" w:cs="Times New Roman"/>
          <w:bCs w:val="0"/>
        </w:rPr>
        <w:t>四、财政拨款收入支出决算总表</w:t>
      </w:r>
      <w:r>
        <w:tab/>
      </w:r>
      <w:r>
        <w:fldChar w:fldCharType="begin"/>
      </w:r>
      <w:r>
        <w:instrText xml:space="preserve"> PAGEREF _Toc15047 \h </w:instrText>
      </w:r>
      <w:r>
        <w:fldChar w:fldCharType="separate"/>
      </w:r>
      <w:r>
        <w:t>25</w:t>
      </w:r>
      <w:r>
        <w:fldChar w:fldCharType="end"/>
      </w:r>
      <w:r>
        <w:rPr>
          <w:smallCaps/>
          <w:szCs w:val="20"/>
        </w:rPr>
        <w:fldChar w:fldCharType="end"/>
      </w:r>
    </w:p>
    <w:p w14:paraId="2FC5646B">
      <w:pPr>
        <w:pStyle w:val="16"/>
        <w:tabs>
          <w:tab w:val="right" w:leader="dot" w:pos="8845"/>
          <w:tab w:val="clear" w:pos="8296"/>
        </w:tabs>
      </w:pPr>
      <w:r>
        <w:rPr>
          <w:smallCaps/>
          <w:szCs w:val="20"/>
        </w:rPr>
        <w:fldChar w:fldCharType="begin"/>
      </w:r>
      <w:r>
        <w:rPr>
          <w:smallCaps/>
          <w:szCs w:val="20"/>
        </w:rPr>
        <w:instrText xml:space="preserve"> HYPERLINK \l _Toc7394 </w:instrText>
      </w:r>
      <w:r>
        <w:rPr>
          <w:smallCaps/>
          <w:szCs w:val="20"/>
        </w:rPr>
        <w:fldChar w:fldCharType="separate"/>
      </w:r>
      <w:r>
        <w:rPr>
          <w:rFonts w:hint="eastAsia" w:ascii="黑体" w:eastAsia="黑体" w:cs="Times New Roman"/>
          <w:bCs w:val="0"/>
        </w:rPr>
        <w:t>五、财政拨款支出决算明细表</w:t>
      </w:r>
      <w:r>
        <w:tab/>
      </w:r>
      <w:r>
        <w:fldChar w:fldCharType="begin"/>
      </w:r>
      <w:r>
        <w:instrText xml:space="preserve"> PAGEREF _Toc7394 \h </w:instrText>
      </w:r>
      <w:r>
        <w:fldChar w:fldCharType="separate"/>
      </w:r>
      <w:r>
        <w:t>25</w:t>
      </w:r>
      <w:r>
        <w:fldChar w:fldCharType="end"/>
      </w:r>
      <w:r>
        <w:rPr>
          <w:smallCaps/>
          <w:szCs w:val="20"/>
        </w:rPr>
        <w:fldChar w:fldCharType="end"/>
      </w:r>
    </w:p>
    <w:p w14:paraId="59E8E8A1">
      <w:pPr>
        <w:pStyle w:val="16"/>
        <w:tabs>
          <w:tab w:val="right" w:leader="dot" w:pos="8845"/>
          <w:tab w:val="clear" w:pos="8296"/>
        </w:tabs>
      </w:pPr>
      <w:r>
        <w:rPr>
          <w:smallCaps/>
          <w:szCs w:val="20"/>
        </w:rPr>
        <w:fldChar w:fldCharType="begin"/>
      </w:r>
      <w:r>
        <w:rPr>
          <w:smallCaps/>
          <w:szCs w:val="20"/>
        </w:rPr>
        <w:instrText xml:space="preserve"> HYPERLINK \l _Toc4427 </w:instrText>
      </w:r>
      <w:r>
        <w:rPr>
          <w:smallCaps/>
          <w:szCs w:val="20"/>
        </w:rPr>
        <w:fldChar w:fldCharType="separate"/>
      </w:r>
      <w:r>
        <w:rPr>
          <w:rFonts w:hint="eastAsia" w:ascii="黑体" w:eastAsia="黑体" w:cs="Times New Roman"/>
          <w:bCs w:val="0"/>
        </w:rPr>
        <w:t>六、一般公共预算财政拨款支出决算表</w:t>
      </w:r>
      <w:r>
        <w:tab/>
      </w:r>
      <w:r>
        <w:fldChar w:fldCharType="begin"/>
      </w:r>
      <w:r>
        <w:instrText xml:space="preserve"> PAGEREF _Toc4427 \h </w:instrText>
      </w:r>
      <w:r>
        <w:fldChar w:fldCharType="separate"/>
      </w:r>
      <w:r>
        <w:t>25</w:t>
      </w:r>
      <w:r>
        <w:fldChar w:fldCharType="end"/>
      </w:r>
      <w:r>
        <w:rPr>
          <w:smallCaps/>
          <w:szCs w:val="20"/>
        </w:rPr>
        <w:fldChar w:fldCharType="end"/>
      </w:r>
    </w:p>
    <w:p w14:paraId="261FC072">
      <w:pPr>
        <w:pStyle w:val="16"/>
        <w:tabs>
          <w:tab w:val="right" w:leader="dot" w:pos="8845"/>
          <w:tab w:val="clear" w:pos="8296"/>
        </w:tabs>
      </w:pPr>
      <w:r>
        <w:rPr>
          <w:smallCaps/>
          <w:szCs w:val="20"/>
        </w:rPr>
        <w:fldChar w:fldCharType="begin"/>
      </w:r>
      <w:r>
        <w:rPr>
          <w:smallCaps/>
          <w:szCs w:val="20"/>
        </w:rPr>
        <w:instrText xml:space="preserve"> HYPERLINK \l _Toc19411 </w:instrText>
      </w:r>
      <w:r>
        <w:rPr>
          <w:smallCaps/>
          <w:szCs w:val="20"/>
        </w:rPr>
        <w:fldChar w:fldCharType="separate"/>
      </w:r>
      <w:r>
        <w:rPr>
          <w:rFonts w:hint="eastAsia" w:ascii="黑体" w:eastAsia="黑体" w:cs="Times New Roman"/>
          <w:bCs w:val="0"/>
        </w:rPr>
        <w:t>七、一般公共预算财政拨款支出决算明细表</w:t>
      </w:r>
      <w:r>
        <w:tab/>
      </w:r>
      <w:r>
        <w:fldChar w:fldCharType="begin"/>
      </w:r>
      <w:r>
        <w:instrText xml:space="preserve"> PAGEREF _Toc19411 \h </w:instrText>
      </w:r>
      <w:r>
        <w:fldChar w:fldCharType="separate"/>
      </w:r>
      <w:r>
        <w:t>25</w:t>
      </w:r>
      <w:r>
        <w:fldChar w:fldCharType="end"/>
      </w:r>
      <w:r>
        <w:rPr>
          <w:smallCaps/>
          <w:szCs w:val="20"/>
        </w:rPr>
        <w:fldChar w:fldCharType="end"/>
      </w:r>
    </w:p>
    <w:p w14:paraId="55D25B3F">
      <w:pPr>
        <w:pStyle w:val="16"/>
        <w:tabs>
          <w:tab w:val="right" w:leader="dot" w:pos="8845"/>
          <w:tab w:val="clear" w:pos="8296"/>
        </w:tabs>
      </w:pPr>
      <w:r>
        <w:rPr>
          <w:smallCaps/>
          <w:szCs w:val="20"/>
        </w:rPr>
        <w:fldChar w:fldCharType="begin"/>
      </w:r>
      <w:r>
        <w:rPr>
          <w:smallCaps/>
          <w:szCs w:val="20"/>
        </w:rPr>
        <w:instrText xml:space="preserve"> HYPERLINK \l _Toc23840 </w:instrText>
      </w:r>
      <w:r>
        <w:rPr>
          <w:smallCaps/>
          <w:szCs w:val="20"/>
        </w:rPr>
        <w:fldChar w:fldCharType="separate"/>
      </w:r>
      <w:r>
        <w:rPr>
          <w:rFonts w:hint="eastAsia" w:ascii="黑体" w:eastAsia="黑体" w:cs="Times New Roman"/>
          <w:bCs w:val="0"/>
        </w:rPr>
        <w:t>八、一般公共预算财政拨款基本支出决算表</w:t>
      </w:r>
      <w:r>
        <w:tab/>
      </w:r>
      <w:r>
        <w:fldChar w:fldCharType="begin"/>
      </w:r>
      <w:r>
        <w:instrText xml:space="preserve"> PAGEREF _Toc23840 \h </w:instrText>
      </w:r>
      <w:r>
        <w:fldChar w:fldCharType="separate"/>
      </w:r>
      <w:r>
        <w:t>25</w:t>
      </w:r>
      <w:r>
        <w:fldChar w:fldCharType="end"/>
      </w:r>
      <w:r>
        <w:rPr>
          <w:smallCaps/>
          <w:szCs w:val="20"/>
        </w:rPr>
        <w:fldChar w:fldCharType="end"/>
      </w:r>
    </w:p>
    <w:p w14:paraId="3B4DA442">
      <w:pPr>
        <w:pStyle w:val="16"/>
        <w:tabs>
          <w:tab w:val="right" w:leader="dot" w:pos="8845"/>
          <w:tab w:val="clear" w:pos="8296"/>
        </w:tabs>
      </w:pPr>
      <w:r>
        <w:rPr>
          <w:smallCaps/>
          <w:szCs w:val="20"/>
        </w:rPr>
        <w:fldChar w:fldCharType="begin"/>
      </w:r>
      <w:r>
        <w:rPr>
          <w:smallCaps/>
          <w:szCs w:val="20"/>
        </w:rPr>
        <w:instrText xml:space="preserve"> HYPERLINK \l _Toc3583 </w:instrText>
      </w:r>
      <w:r>
        <w:rPr>
          <w:smallCaps/>
          <w:szCs w:val="20"/>
        </w:rPr>
        <w:fldChar w:fldCharType="separate"/>
      </w:r>
      <w:r>
        <w:rPr>
          <w:rFonts w:hint="eastAsia" w:ascii="黑体" w:eastAsia="黑体" w:cs="Times New Roman"/>
          <w:bCs w:val="0"/>
        </w:rPr>
        <w:t>九、一般公共预算财政拨款项目支出决算表</w:t>
      </w:r>
      <w:r>
        <w:tab/>
      </w:r>
      <w:r>
        <w:fldChar w:fldCharType="begin"/>
      </w:r>
      <w:r>
        <w:instrText xml:space="preserve"> PAGEREF _Toc3583 \h </w:instrText>
      </w:r>
      <w:r>
        <w:fldChar w:fldCharType="separate"/>
      </w:r>
      <w:r>
        <w:t>25</w:t>
      </w:r>
      <w:r>
        <w:fldChar w:fldCharType="end"/>
      </w:r>
      <w:r>
        <w:rPr>
          <w:smallCaps/>
          <w:szCs w:val="20"/>
        </w:rPr>
        <w:fldChar w:fldCharType="end"/>
      </w:r>
    </w:p>
    <w:p w14:paraId="34E1E432">
      <w:pPr>
        <w:pStyle w:val="16"/>
        <w:tabs>
          <w:tab w:val="right" w:leader="dot" w:pos="8845"/>
          <w:tab w:val="clear" w:pos="8296"/>
        </w:tabs>
      </w:pPr>
      <w:r>
        <w:rPr>
          <w:smallCaps/>
          <w:szCs w:val="20"/>
        </w:rPr>
        <w:fldChar w:fldCharType="begin"/>
      </w:r>
      <w:r>
        <w:rPr>
          <w:smallCaps/>
          <w:szCs w:val="20"/>
        </w:rPr>
        <w:instrText xml:space="preserve"> HYPERLINK \l _Toc5822 </w:instrText>
      </w:r>
      <w:r>
        <w:rPr>
          <w:smallCaps/>
          <w:szCs w:val="20"/>
        </w:rPr>
        <w:fldChar w:fldCharType="separate"/>
      </w:r>
      <w:r>
        <w:rPr>
          <w:rFonts w:hint="eastAsia" w:ascii="黑体" w:eastAsia="黑体" w:cs="Times New Roman"/>
          <w:bCs w:val="0"/>
        </w:rPr>
        <w:t>十、政府性基金预算财政拨款收入支出决算表</w:t>
      </w:r>
      <w:r>
        <w:tab/>
      </w:r>
      <w:r>
        <w:fldChar w:fldCharType="begin"/>
      </w:r>
      <w:r>
        <w:instrText xml:space="preserve"> PAGEREF _Toc5822 \h </w:instrText>
      </w:r>
      <w:r>
        <w:fldChar w:fldCharType="separate"/>
      </w:r>
      <w:r>
        <w:t>25</w:t>
      </w:r>
      <w:r>
        <w:fldChar w:fldCharType="end"/>
      </w:r>
      <w:r>
        <w:rPr>
          <w:smallCaps/>
          <w:szCs w:val="20"/>
        </w:rPr>
        <w:fldChar w:fldCharType="end"/>
      </w:r>
    </w:p>
    <w:p w14:paraId="6C645BBB">
      <w:pPr>
        <w:pStyle w:val="16"/>
        <w:tabs>
          <w:tab w:val="right" w:leader="dot" w:pos="8845"/>
          <w:tab w:val="clear" w:pos="8296"/>
        </w:tabs>
      </w:pPr>
      <w:r>
        <w:rPr>
          <w:smallCaps/>
          <w:szCs w:val="20"/>
        </w:rPr>
        <w:fldChar w:fldCharType="begin"/>
      </w:r>
      <w:r>
        <w:rPr>
          <w:smallCaps/>
          <w:szCs w:val="20"/>
        </w:rPr>
        <w:instrText xml:space="preserve"> HYPERLINK \l _Toc3420 </w:instrText>
      </w:r>
      <w:r>
        <w:rPr>
          <w:smallCaps/>
          <w:szCs w:val="20"/>
        </w:rPr>
        <w:fldChar w:fldCharType="separate"/>
      </w:r>
      <w:r>
        <w:rPr>
          <w:rFonts w:hint="eastAsia" w:ascii="黑体" w:eastAsia="黑体" w:cs="Times New Roman"/>
          <w:bCs w:val="0"/>
        </w:rPr>
        <w:t>十一、国有资本经营预算财政拨款收入支出决算表</w:t>
      </w:r>
      <w:r>
        <w:tab/>
      </w:r>
      <w:r>
        <w:fldChar w:fldCharType="begin"/>
      </w:r>
      <w:r>
        <w:instrText xml:space="preserve"> PAGEREF _Toc3420 \h </w:instrText>
      </w:r>
      <w:r>
        <w:fldChar w:fldCharType="separate"/>
      </w:r>
      <w:r>
        <w:t>25</w:t>
      </w:r>
      <w:r>
        <w:fldChar w:fldCharType="end"/>
      </w:r>
      <w:r>
        <w:rPr>
          <w:smallCaps/>
          <w:szCs w:val="20"/>
        </w:rPr>
        <w:fldChar w:fldCharType="end"/>
      </w:r>
    </w:p>
    <w:p w14:paraId="19B0BC22">
      <w:pPr>
        <w:pStyle w:val="16"/>
        <w:tabs>
          <w:tab w:val="right" w:leader="dot" w:pos="8845"/>
          <w:tab w:val="clear" w:pos="8296"/>
        </w:tabs>
      </w:pPr>
      <w:r>
        <w:rPr>
          <w:smallCaps/>
          <w:szCs w:val="20"/>
        </w:rPr>
        <w:fldChar w:fldCharType="begin"/>
      </w:r>
      <w:r>
        <w:rPr>
          <w:smallCaps/>
          <w:szCs w:val="20"/>
        </w:rPr>
        <w:instrText xml:space="preserve"> HYPERLINK \l _Toc3616 </w:instrText>
      </w:r>
      <w:r>
        <w:rPr>
          <w:smallCaps/>
          <w:szCs w:val="20"/>
        </w:rPr>
        <w:fldChar w:fldCharType="separate"/>
      </w:r>
      <w:r>
        <w:rPr>
          <w:rFonts w:hint="eastAsia" w:ascii="黑体" w:eastAsia="黑体" w:cs="Times New Roman"/>
          <w:bCs w:val="0"/>
        </w:rPr>
        <w:t>十二、国有资本经营预算财政拨款支出决算表</w:t>
      </w:r>
      <w:r>
        <w:tab/>
      </w:r>
      <w:r>
        <w:fldChar w:fldCharType="begin"/>
      </w:r>
      <w:r>
        <w:instrText xml:space="preserve"> PAGEREF _Toc3616 \h </w:instrText>
      </w:r>
      <w:r>
        <w:fldChar w:fldCharType="separate"/>
      </w:r>
      <w:r>
        <w:t>25</w:t>
      </w:r>
      <w:r>
        <w:fldChar w:fldCharType="end"/>
      </w:r>
      <w:r>
        <w:rPr>
          <w:smallCaps/>
          <w:szCs w:val="20"/>
        </w:rPr>
        <w:fldChar w:fldCharType="end"/>
      </w:r>
    </w:p>
    <w:p w14:paraId="1F468885">
      <w:pPr>
        <w:pStyle w:val="16"/>
        <w:tabs>
          <w:tab w:val="right" w:leader="dot" w:pos="8845"/>
          <w:tab w:val="clear" w:pos="8296"/>
        </w:tabs>
      </w:pPr>
      <w:r>
        <w:rPr>
          <w:smallCaps/>
          <w:szCs w:val="20"/>
        </w:rPr>
        <w:fldChar w:fldCharType="begin"/>
      </w:r>
      <w:r>
        <w:rPr>
          <w:smallCaps/>
          <w:szCs w:val="20"/>
        </w:rPr>
        <w:instrText xml:space="preserve"> HYPERLINK \l _Toc22641 </w:instrText>
      </w:r>
      <w:r>
        <w:rPr>
          <w:smallCaps/>
          <w:szCs w:val="20"/>
        </w:rPr>
        <w:fldChar w:fldCharType="separate"/>
      </w:r>
      <w:r>
        <w:rPr>
          <w:rFonts w:hint="eastAsia" w:ascii="黑体" w:eastAsia="黑体" w:cs="Times New Roman"/>
          <w:bCs w:val="0"/>
        </w:rPr>
        <w:t>十三、财政拨款“三公”经费支出决算表</w:t>
      </w:r>
      <w:r>
        <w:tab/>
      </w:r>
      <w:r>
        <w:fldChar w:fldCharType="begin"/>
      </w:r>
      <w:r>
        <w:instrText xml:space="preserve"> PAGEREF _Toc22641 \h </w:instrText>
      </w:r>
      <w:r>
        <w:fldChar w:fldCharType="separate"/>
      </w:r>
      <w:r>
        <w:t>25</w:t>
      </w:r>
      <w:r>
        <w:fldChar w:fldCharType="end"/>
      </w:r>
      <w:r>
        <w:rPr>
          <w:smallCaps/>
          <w:szCs w:val="20"/>
        </w:rPr>
        <w:fldChar w:fldCharType="end"/>
      </w:r>
    </w:p>
    <w:p w14:paraId="7C99EFF7">
      <w:pPr>
        <w:pStyle w:val="7"/>
      </w:pPr>
      <w:r>
        <w:rPr>
          <w:smallCaps/>
          <w:szCs w:val="20"/>
        </w:rPr>
        <w:fldChar w:fldCharType="end"/>
      </w:r>
    </w:p>
    <w:p w14:paraId="3309B0A4">
      <w:pPr>
        <w:pStyle w:val="4"/>
        <w:spacing w:before="0" w:after="0" w:line="560" w:lineRule="exact"/>
        <w:jc w:val="center"/>
        <w:rPr>
          <w:rFonts w:ascii="黑体" w:hAnsi="黑体" w:eastAsia="黑体" w:cs="黑体"/>
          <w:b w:val="0"/>
          <w:bCs w:val="0"/>
        </w:rPr>
      </w:pPr>
      <w:bookmarkStart w:id="13" w:name="_Toc111208495"/>
      <w:bookmarkStart w:id="14" w:name="_Toc5029"/>
      <w:r>
        <w:rPr>
          <w:rFonts w:hint="eastAsia" w:ascii="黑体" w:hAnsi="黑体" w:eastAsia="黑体" w:cs="黑体"/>
        </w:rPr>
        <w:t xml:space="preserve">第一部分 </w:t>
      </w:r>
      <w:r>
        <w:rPr>
          <w:rStyle w:val="31"/>
          <w:rFonts w:hint="eastAsia" w:ascii="黑体" w:hAnsi="黑体" w:eastAsia="黑体" w:cs="黑体"/>
          <w:b/>
          <w:bCs w:val="0"/>
        </w:rPr>
        <w:t>部门概况</w:t>
      </w:r>
      <w:bookmarkEnd w:id="12"/>
      <w:bookmarkEnd w:id="13"/>
      <w:bookmarkEnd w:id="14"/>
    </w:p>
    <w:p w14:paraId="62ADD547">
      <w:pPr>
        <w:pStyle w:val="5"/>
        <w:spacing w:before="0" w:after="0" w:line="560" w:lineRule="exact"/>
        <w:ind w:firstLine="643" w:firstLineChars="200"/>
        <w:rPr>
          <w:rFonts w:ascii="黑体" w:eastAsia="黑体" w:cs="Times New Roman"/>
          <w:bCs w:val="0"/>
          <w:color w:val="000000"/>
        </w:rPr>
      </w:pPr>
      <w:bookmarkStart w:id="15" w:name="_Toc4186"/>
      <w:bookmarkStart w:id="16" w:name="_Toc111208496"/>
      <w:bookmarkStart w:id="17" w:name="_Toc113981010"/>
      <w:bookmarkStart w:id="18" w:name="_Toc15377197"/>
      <w:bookmarkStart w:id="19" w:name="_Toc15377204"/>
      <w:r>
        <w:rPr>
          <w:rFonts w:hint="eastAsia" w:ascii="黑体" w:eastAsia="黑体" w:cs="Times New Roman"/>
          <w:bCs w:val="0"/>
          <w:color w:val="000000"/>
        </w:rPr>
        <w:t>一、基本职能及主要工作</w:t>
      </w:r>
      <w:bookmarkEnd w:id="15"/>
      <w:bookmarkEnd w:id="16"/>
      <w:bookmarkEnd w:id="17"/>
      <w:bookmarkEnd w:id="18"/>
      <w:bookmarkStart w:id="20" w:name="_Toc15378445"/>
      <w:bookmarkStart w:id="21" w:name="_Toc15377198"/>
    </w:p>
    <w:p w14:paraId="20D3B873">
      <w:pPr>
        <w:spacing w:line="560" w:lineRule="exact"/>
        <w:ind w:firstLine="643" w:firstLineChars="200"/>
        <w:outlineLvl w:val="2"/>
        <w:rPr>
          <w:rFonts w:ascii="仿宋" w:hAnsi="仿宋" w:eastAsia="仿宋"/>
          <w:b/>
          <w:color w:val="000000"/>
          <w:sz w:val="32"/>
          <w:szCs w:val="32"/>
        </w:rPr>
      </w:pPr>
      <w:r>
        <w:rPr>
          <w:rFonts w:hint="eastAsia" w:ascii="仿宋" w:hAnsi="仿宋" w:eastAsia="仿宋"/>
          <w:b/>
          <w:color w:val="000000"/>
          <w:sz w:val="32"/>
          <w:szCs w:val="32"/>
        </w:rPr>
        <w:t>（一）主要职能</w:t>
      </w:r>
      <w:bookmarkEnd w:id="20"/>
      <w:bookmarkEnd w:id="21"/>
    </w:p>
    <w:p w14:paraId="4DCFDBAC">
      <w:pPr>
        <w:spacing w:line="580" w:lineRule="exact"/>
        <w:ind w:firstLine="640" w:firstLineChars="200"/>
        <w:rPr>
          <w:rFonts w:ascii="仿宋" w:hAnsi="仿宋" w:eastAsia="仿宋" w:cs="仿宋_GB2312"/>
          <w:sz w:val="32"/>
          <w:szCs w:val="32"/>
        </w:rPr>
      </w:pPr>
      <w:bookmarkStart w:id="22" w:name="_Toc15378446"/>
      <w:bookmarkStart w:id="23" w:name="_Toc15377199"/>
      <w:r>
        <w:rPr>
          <w:rFonts w:hint="eastAsia" w:ascii="仿宋" w:hAnsi="仿宋" w:eastAsia="仿宋"/>
          <w:sz w:val="32"/>
          <w:szCs w:val="32"/>
        </w:rPr>
        <w:t>（</w:t>
      </w:r>
      <w:r>
        <w:rPr>
          <w:rFonts w:hint="eastAsia" w:ascii="仿宋" w:hAnsi="仿宋" w:eastAsia="仿宋" w:cs="仿宋_GB2312"/>
          <w:sz w:val="32"/>
          <w:szCs w:val="32"/>
        </w:rPr>
        <w:t>1）负责建立健全生态环境保护监督管理制度。贯彻落实生态环境保护方面的法律法规和国家、省、州标准，拟定县域生态环境保护规范性文件，会同有关部门编制并监督实施全县重点区域、流域、饮用水水源地生态环境规划和水功能区划。负责生态环境监测工作。贯彻执行生态环境监测制度、规范和有关标准。会同有关部门统一规划生态环境质量监测站点设置。组织实施生态环境质量监测、污染源监督性监测、温室气体减排监测、应急监测。组织开展生态环境质量状况的调查评价、预警预测。依法公开环境质量、环境监测等环境信息。协助县生态环境局提出生态环境保护领域固定资产投资规模和方向的建议，配合有关部门做好组织实施和监督工作。参与指导推动循环经济和生态环保产业发展。完成阿坝州生态环境局和金川县委、县政府交办的其他事项。</w:t>
      </w:r>
    </w:p>
    <w:p w14:paraId="275A6BD8">
      <w:pPr>
        <w:spacing w:line="560" w:lineRule="exact"/>
        <w:ind w:firstLine="640" w:firstLineChars="200"/>
        <w:outlineLvl w:val="2"/>
        <w:rPr>
          <w:rFonts w:hint="eastAsia" w:ascii="仿宋" w:hAnsi="仿宋" w:eastAsia="仿宋" w:cs="仿宋"/>
          <w:sz w:val="32"/>
          <w:szCs w:val="32"/>
        </w:rPr>
      </w:pPr>
      <w:r>
        <w:rPr>
          <w:rFonts w:hint="eastAsia" w:ascii="仿宋" w:hAnsi="仿宋" w:eastAsia="仿宋" w:cs="仿宋"/>
          <w:sz w:val="32"/>
          <w:szCs w:val="32"/>
        </w:rPr>
        <w:t>（2）完成州生态环境局及州生态环境监测中心站交办的其他任务。</w:t>
      </w:r>
    </w:p>
    <w:p w14:paraId="0F026557">
      <w:pPr>
        <w:spacing w:line="560" w:lineRule="exact"/>
        <w:ind w:firstLine="643" w:firstLineChars="200"/>
        <w:outlineLvl w:val="2"/>
        <w:rPr>
          <w:rFonts w:ascii="仿宋" w:hAnsi="仿宋" w:eastAsia="仿宋"/>
          <w:b/>
          <w:color w:val="000000"/>
          <w:sz w:val="32"/>
          <w:szCs w:val="32"/>
        </w:rPr>
      </w:pPr>
      <w:r>
        <w:rPr>
          <w:rFonts w:hint="eastAsia" w:ascii="仿宋" w:hAnsi="仿宋" w:eastAsia="仿宋"/>
          <w:b/>
          <w:color w:val="000000"/>
          <w:sz w:val="32"/>
          <w:szCs w:val="32"/>
        </w:rPr>
        <w:t>（二）</w:t>
      </w:r>
      <w:r>
        <w:rPr>
          <w:rFonts w:ascii="仿宋" w:hAnsi="仿宋" w:eastAsia="仿宋"/>
          <w:b/>
          <w:color w:val="000000"/>
          <w:sz w:val="32"/>
          <w:szCs w:val="32"/>
        </w:rPr>
        <w:t>202</w:t>
      </w:r>
      <w:r>
        <w:rPr>
          <w:rFonts w:hint="eastAsia" w:ascii="仿宋" w:hAnsi="仿宋" w:eastAsia="仿宋"/>
          <w:b/>
          <w:color w:val="000000"/>
          <w:sz w:val="32"/>
          <w:szCs w:val="32"/>
          <w:lang w:val="en-US" w:eastAsia="zh-CN"/>
        </w:rPr>
        <w:t>5</w:t>
      </w:r>
      <w:r>
        <w:rPr>
          <w:rFonts w:hint="eastAsia" w:ascii="仿宋" w:hAnsi="仿宋" w:eastAsia="仿宋"/>
          <w:b/>
          <w:color w:val="000000"/>
          <w:sz w:val="32"/>
          <w:szCs w:val="32"/>
        </w:rPr>
        <w:t>重点工作完成情况</w:t>
      </w:r>
      <w:bookmarkEnd w:id="22"/>
      <w:bookmarkEnd w:id="23"/>
      <w:bookmarkStart w:id="24" w:name="_Toc15377200"/>
    </w:p>
    <w:p w14:paraId="718D9FD3">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仿宋" w:hAnsi="仿宋" w:eastAsia="仿宋" w:cs="仿宋"/>
          <w:sz w:val="32"/>
          <w:szCs w:val="32"/>
          <w:lang w:val="en-US" w:eastAsia="zh-CN"/>
        </w:rPr>
        <w:sectPr>
          <w:pgSz w:w="11906" w:h="16838"/>
          <w:pgMar w:top="2098" w:right="1474" w:bottom="1984" w:left="1587" w:header="851" w:footer="992" w:gutter="0"/>
          <w:pgNumType w:fmt="decimal"/>
          <w:cols w:space="720" w:num="1"/>
          <w:docGrid w:type="lines" w:linePitch="312" w:charSpace="0"/>
        </w:sectPr>
      </w:pPr>
      <w:bookmarkStart w:id="25" w:name="_Toc113981011"/>
      <w:bookmarkStart w:id="26" w:name="_Toc111208497"/>
      <w:r>
        <w:rPr>
          <w:rFonts w:hint="eastAsia" w:ascii="仿宋" w:hAnsi="仿宋" w:eastAsia="仿宋" w:cs="仿宋"/>
          <w:b/>
          <w:bCs/>
          <w:sz w:val="32"/>
          <w:szCs w:val="32"/>
          <w:lang w:val="en-US" w:eastAsia="zh-CN"/>
        </w:rPr>
        <w:t>1.全面加强党的领导和党的建设：</w:t>
      </w:r>
    </w:p>
    <w:p w14:paraId="20AC4E05">
      <w:pPr>
        <w:keepNext w:val="0"/>
        <w:keepLines w:val="0"/>
        <w:pageBreakBefore w:val="0"/>
        <w:widowControl w:val="0"/>
        <w:kinsoku/>
        <w:wordWrap/>
        <w:overflowPunct/>
        <w:topLinePunct w:val="0"/>
        <w:autoSpaceDE/>
        <w:autoSpaceDN/>
        <w:bidi w:val="0"/>
        <w:adjustRightInd/>
        <w:snapToGrid/>
        <w:spacing w:line="576" w:lineRule="exact"/>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一是加强政治建设。</w:t>
      </w:r>
      <w:r>
        <w:rPr>
          <w:rFonts w:hint="eastAsia" w:ascii="仿宋" w:hAnsi="仿宋" w:eastAsia="仿宋" w:cs="仿宋"/>
          <w:sz w:val="32"/>
          <w:szCs w:val="32"/>
          <w:lang w:val="en-US" w:eastAsia="zh-CN"/>
        </w:rPr>
        <w:t>召开贯彻落实党的二十届三中全会精神和中央八项规定精神专题集中学习20余次、讲党课4次。开展“四不”问题专项整治，查找整改班子问题6个、班子成员问题30个。制定《落实县委第七轮巡察第二巡察组反馈意见的整改方案》。</w:t>
      </w:r>
      <w:r>
        <w:rPr>
          <w:rFonts w:hint="eastAsia" w:ascii="仿宋" w:hAnsi="仿宋" w:eastAsia="仿宋" w:cs="仿宋"/>
          <w:b/>
          <w:bCs/>
          <w:sz w:val="32"/>
          <w:szCs w:val="32"/>
          <w:lang w:val="en-US" w:eastAsia="zh-CN"/>
        </w:rPr>
        <w:t>二是加强组织建设。</w:t>
      </w:r>
      <w:r>
        <w:rPr>
          <w:rFonts w:hint="eastAsia" w:ascii="仿宋" w:hAnsi="仿宋" w:eastAsia="仿宋" w:cs="仿宋"/>
          <w:sz w:val="32"/>
          <w:szCs w:val="32"/>
          <w:lang w:val="en-US" w:eastAsia="zh-CN"/>
        </w:rPr>
        <w:t>从严落实组织生活制度，按照“三会一课”制度，召开支部会议12次、党员大会4次、开展固定党日＋主题党日活动12次，讲党课4次、谈心谈话20余人次。</w:t>
      </w:r>
      <w:r>
        <w:rPr>
          <w:rFonts w:hint="eastAsia" w:ascii="仿宋" w:hAnsi="仿宋" w:eastAsia="仿宋" w:cs="仿宋"/>
          <w:b/>
          <w:bCs/>
          <w:sz w:val="32"/>
          <w:szCs w:val="32"/>
          <w:lang w:val="en-US" w:eastAsia="zh-CN"/>
        </w:rPr>
        <w:t>三是加强廉政建设。</w:t>
      </w:r>
      <w:r>
        <w:rPr>
          <w:rFonts w:hint="eastAsia" w:ascii="仿宋" w:hAnsi="仿宋" w:eastAsia="仿宋" w:cs="仿宋"/>
          <w:sz w:val="32"/>
          <w:szCs w:val="32"/>
          <w:lang w:val="en-US" w:eastAsia="zh-CN"/>
        </w:rPr>
        <w:t>建立“分管领导牵头抓、责任科室具体抓、相关责任人直接抓”防控机制，严防廉政风险；通过集中观看警示教育片、典型案例专题研讨会等活动，以案为鉴，营造风清气正机关环境。</w:t>
      </w:r>
      <w:r>
        <w:rPr>
          <w:rFonts w:hint="eastAsia" w:ascii="仿宋" w:hAnsi="仿宋" w:eastAsia="仿宋" w:cs="仿宋"/>
          <w:b/>
          <w:bCs/>
          <w:sz w:val="32"/>
          <w:szCs w:val="32"/>
          <w:lang w:val="en-US" w:eastAsia="zh-CN"/>
        </w:rPr>
        <w:t>四是加强（网络）意识形态建设。</w:t>
      </w:r>
      <w:r>
        <w:rPr>
          <w:rFonts w:hint="eastAsia" w:ascii="仿宋" w:hAnsi="仿宋" w:eastAsia="仿宋" w:cs="仿宋"/>
          <w:sz w:val="32"/>
          <w:szCs w:val="32"/>
          <w:lang w:val="en-US" w:eastAsia="zh-CN"/>
        </w:rPr>
        <w:t>制发《2025年金川生态环境局（网络）意识形态工作要点》等方案，完成2025年四个季度主体责任落实情况报告、年度工作总结，组织开展党组理论学习中心组集中学习研讨会议12次，撰写舆情信息10期。</w:t>
      </w:r>
      <w:r>
        <w:rPr>
          <w:rFonts w:hint="eastAsia" w:ascii="仿宋" w:hAnsi="仿宋" w:eastAsia="仿宋" w:cs="仿宋"/>
          <w:b/>
          <w:bCs/>
          <w:sz w:val="32"/>
          <w:szCs w:val="32"/>
          <w:lang w:val="en-US" w:eastAsia="zh-CN"/>
        </w:rPr>
        <w:t>五是加强干部队伍建设。</w:t>
      </w:r>
      <w:r>
        <w:rPr>
          <w:rFonts w:hint="eastAsia" w:ascii="仿宋" w:hAnsi="仿宋" w:eastAsia="仿宋" w:cs="仿宋"/>
          <w:sz w:val="32"/>
          <w:szCs w:val="32"/>
          <w:lang w:val="en-US" w:eastAsia="zh-CN"/>
        </w:rPr>
        <w:t>按照全州监测、监察能力提升三年行动计划要求，选派3名执法和3名监测人员到先进地区开展跟岗学习。选派2名执法业务骨干参加全州执法竞赛比武，取得团体第2，个人第2、第9名的优异成绩。</w:t>
      </w:r>
    </w:p>
    <w:p w14:paraId="1BEABD74">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2.扎实推进生态保护重点工作</w:t>
      </w:r>
    </w:p>
    <w:p w14:paraId="7E0BC45D">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一是深化治污攻坚，持续改善生态环境质量。</w:t>
      </w:r>
      <w:r>
        <w:rPr>
          <w:rFonts w:hint="eastAsia" w:ascii="仿宋" w:hAnsi="仿宋" w:eastAsia="仿宋" w:cs="仿宋"/>
          <w:sz w:val="32"/>
          <w:szCs w:val="32"/>
          <w:lang w:val="en-US" w:eastAsia="zh-CN"/>
        </w:rPr>
        <w:t>完成2024年度大气污染源排放清单更新工作，督促40余家单位完成在线信息填报，积极推进4家加油站油气处置装置安装。紧盯移动污染源污染，组织非道路移动机械登记备案培训1次，检查8个重点施工工地非道路移动机械使用、备案情况。全力保障水环境安全。对118个入河排污口实施“一口一策”监督管理，开展3轮现场核查，委托第三方公司对满足采样的56个排污口进行了采样监测。加强土壤污染状况调查。督促奥伊诺矿业有限公司开展隐患排查、自行监测、信息公开、土壤污染状况调查、风险评估等工作；督促奥伊诺、德鑫矿业做好地下水监测井设置。有序推进固废非法倾倒专项整治，排查点位10余个；全覆盖开展尾矿库环境问题排查整治，不断强化危险废物环境监管，督促100余家危险废物产废单位完成2025年度危险废物管理计划备案，完成2025年度危险废物规范化管理评估工作。</w:t>
      </w:r>
      <w:r>
        <w:rPr>
          <w:rFonts w:hint="eastAsia" w:ascii="仿宋" w:hAnsi="仿宋" w:eastAsia="仿宋" w:cs="仿宋"/>
          <w:b/>
          <w:bCs/>
          <w:sz w:val="32"/>
          <w:szCs w:val="32"/>
          <w:lang w:val="en-US" w:eastAsia="zh-CN"/>
        </w:rPr>
        <w:t>二是实化问题整改，全力保障生态环境安全。</w:t>
      </w:r>
      <w:r>
        <w:rPr>
          <w:rFonts w:hint="eastAsia" w:ascii="仿宋" w:hAnsi="仿宋" w:eastAsia="仿宋" w:cs="仿宋"/>
          <w:sz w:val="32"/>
          <w:szCs w:val="32"/>
          <w:lang w:val="en-US" w:eastAsia="zh-CN"/>
        </w:rPr>
        <w:t>坚持问题导向，深化举一反三，以突出生态问题整改全力保障生态环境安全。成立迎检工作专班，全力做好迎检工作的指挥调度、组织推进、协调保障和督办落实。加快推进督察问题整改，各级各类反馈我县问题330项，整改完成318项，完成率96.4%。全力推进奥伊诺矿山“四化”建设。严格按照中央生态环境保护督察问题整改要求，加快推进奥伊诺矿山问题整改及“四化”矿山建设。目前，绿色矿山建设方面12项任务已完成8项，正在整改4项；安全矿山建设方面8项任务已全部完成；智慧矿山、标准矿山建设方面各1项任务已完成。</w:t>
      </w:r>
      <w:r>
        <w:rPr>
          <w:rFonts w:hint="eastAsia" w:ascii="仿宋" w:hAnsi="仿宋" w:eastAsia="仿宋" w:cs="仿宋"/>
          <w:b/>
          <w:bCs/>
          <w:sz w:val="32"/>
          <w:szCs w:val="32"/>
          <w:lang w:val="en-US" w:eastAsia="zh-CN"/>
        </w:rPr>
        <w:t>三是优化环保服务，助推经济社会高质量发展。</w:t>
      </w:r>
      <w:r>
        <w:rPr>
          <w:rFonts w:hint="eastAsia" w:ascii="仿宋" w:hAnsi="仿宋" w:eastAsia="仿宋" w:cs="仿宋"/>
          <w:sz w:val="32"/>
          <w:szCs w:val="32"/>
          <w:lang w:val="en-US" w:eastAsia="zh-CN"/>
        </w:rPr>
        <w:t>实行主动服务，提前介入，及时与上级部门沟通协调，解决重点项目在办理环保审批工作中遇到的困难和问题，切实为项目建设提供优质服务。完成建设项目环境影响报告表审批6个，环境影响登记表网上备案101个。督促完成了养殖业、酒厂等16家企业排污许可登记管理，推动企业履行生态环境保护主体责任。督促县域8家持证排污企业完成了固定污染源监测数据上报工作，积极开展2024年企业环境信用评价，完成1家企业省级环境信用评价初评及2家企业州级评价县级审查。</w:t>
      </w:r>
    </w:p>
    <w:p w14:paraId="786D53B2">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3.加快构建生态环境治理体系</w:t>
      </w:r>
    </w:p>
    <w:p w14:paraId="32916D69">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lang w:val="en-US" w:eastAsia="zh-CN"/>
        </w:rPr>
        <w:t>一是加强项目建设和储备。</w:t>
      </w:r>
      <w:r>
        <w:rPr>
          <w:rFonts w:hint="eastAsia" w:ascii="仿宋" w:hAnsi="仿宋" w:eastAsia="仿宋" w:cs="仿宋"/>
          <w:sz w:val="32"/>
          <w:szCs w:val="32"/>
          <w:lang w:val="en-US" w:eastAsia="zh-CN"/>
        </w:rPr>
        <w:t>组织开展“十五五”生态环境保护规划编制工作；完成2025年金川县农村生活污水治理“千村示范工程”建设，正在实施金川县2022年农村生活污水治理项目（二期），预计2026年1月竣工验收；实施金川县集中式饮用水水源地规范化建设项目、金川县入河排污口规范化建设项目，预计2026年6月竣工验收；储备金川县大金川河流域（安宁段）生态缓冲带建设项目，预算总投资3384万元，目前已纳入四川省生态环保专项资金项目库；储备金川县乡镇生活垃圾收转运体系建设项目，预算总投资2008万元，目前已完成可研报告编制，后续将申报入四川省生态环保专项资金项目库；储备金川县农村生活污水治理项目，预算总投资5854万元，目前已完成可研报告编制及立项，下一步将申报中央预算内资金。</w:t>
      </w:r>
      <w:r>
        <w:rPr>
          <w:rFonts w:hint="eastAsia" w:ascii="仿宋" w:hAnsi="仿宋" w:eastAsia="仿宋" w:cs="仿宋"/>
          <w:b/>
          <w:bCs/>
          <w:sz w:val="32"/>
          <w:szCs w:val="32"/>
          <w:lang w:val="en-US" w:eastAsia="zh-CN"/>
        </w:rPr>
        <w:t>二是不断提升执法监管。</w:t>
      </w:r>
      <w:r>
        <w:rPr>
          <w:rFonts w:hint="eastAsia" w:ascii="仿宋" w:hAnsi="仿宋" w:eastAsia="仿宋" w:cs="仿宋"/>
          <w:sz w:val="32"/>
          <w:szCs w:val="32"/>
          <w:lang w:val="en-US" w:eastAsia="zh-CN"/>
        </w:rPr>
        <w:t>聘请环保管家全面排查全县生态环境问题，发现问题99个，涉及企事业单位23家，下达问题整改提示单25份。出动执法人员85余批次170余人次，执法检查企事业单位85余家次，作出行政处罚5起，罚款金额89.93万元，（免予处罚1起，免罚金额22万元，1起未缴纳罚款9.99万元），移送公安机关案件2起，拘留6人，立案调查1起，提醒函21份、限期整改通知书2份，约谈企业1次，严厉打击生态环境违法行为，保障环境安全。积极主动化解生态环境领域社会矛盾，受理投诉8件（省级环保督察转办1件），调查处理率100%。</w:t>
      </w:r>
      <w:r>
        <w:rPr>
          <w:rFonts w:hint="eastAsia" w:ascii="仿宋" w:hAnsi="仿宋" w:eastAsia="仿宋" w:cs="仿宋"/>
          <w:b/>
          <w:bCs/>
          <w:sz w:val="32"/>
          <w:szCs w:val="32"/>
          <w:lang w:val="en-US" w:eastAsia="zh-CN"/>
        </w:rPr>
        <w:t>三是稳步推进环境监测。</w:t>
      </w:r>
      <w:r>
        <w:rPr>
          <w:rFonts w:hint="eastAsia" w:ascii="仿宋" w:hAnsi="仿宋" w:eastAsia="仿宋" w:cs="仿宋"/>
          <w:sz w:val="32"/>
          <w:szCs w:val="32"/>
          <w:lang w:val="en-US" w:eastAsia="zh-CN"/>
        </w:rPr>
        <w:t>持续开展自主监测，完成11个农村污水处理设施出水口水质监测，审核监测方案4份，出具监测报告3份；协助三方监测公司及驻州站开展监测采样50余次，组织监测站开展监测采样16批次。配合执法开展噪声、水质等投诉、执法、信访监测采样7次。四是深入开展宣传引导。以宣传教育为抓手，不断提升群众环保意识，开展六五环境日、节能低碳日、生物多样性日、“文明阿坝·你我同行”等主题宣传活动，提升群众生态环境保护意识，为美丽金川建设营造氛围。</w:t>
      </w:r>
    </w:p>
    <w:p w14:paraId="1B61289B">
      <w:pPr>
        <w:pStyle w:val="5"/>
        <w:spacing w:before="0" w:after="0" w:line="560" w:lineRule="exact"/>
        <w:ind w:firstLine="643" w:firstLineChars="200"/>
        <w:rPr>
          <w:rFonts w:ascii="黑体" w:eastAsia="黑体" w:cs="Times New Roman"/>
          <w:bCs w:val="0"/>
          <w:color w:val="000000"/>
        </w:rPr>
      </w:pPr>
      <w:bookmarkStart w:id="27" w:name="_Toc29291"/>
      <w:r>
        <w:rPr>
          <w:rFonts w:hint="eastAsia" w:ascii="黑体" w:eastAsia="黑体" w:cs="Times New Roman"/>
          <w:bCs w:val="0"/>
          <w:color w:val="000000"/>
        </w:rPr>
        <w:t>二、机构设置</w:t>
      </w:r>
      <w:bookmarkEnd w:id="24"/>
      <w:bookmarkEnd w:id="25"/>
      <w:bookmarkEnd w:id="26"/>
      <w:bookmarkEnd w:id="27"/>
    </w:p>
    <w:p w14:paraId="35CC37DF">
      <w:pPr>
        <w:spacing w:line="560" w:lineRule="exact"/>
        <w:ind w:firstLine="640" w:firstLineChars="200"/>
        <w:rPr>
          <w:rFonts w:hint="eastAsia" w:ascii="仿宋" w:hAnsi="仿宋" w:eastAsia="仿宋"/>
          <w:color w:val="000000"/>
          <w:sz w:val="32"/>
          <w:szCs w:val="32"/>
        </w:rPr>
      </w:pPr>
      <w:r>
        <w:rPr>
          <w:rFonts w:ascii="仿宋" w:hAnsi="仿宋" w:eastAsia="仿宋"/>
          <w:color w:val="000000"/>
          <w:sz w:val="32"/>
          <w:szCs w:val="32"/>
        </w:rPr>
        <w:t>阿坝州</w:t>
      </w:r>
      <w:r>
        <w:rPr>
          <w:rFonts w:hint="eastAsia" w:ascii="仿宋" w:hAnsi="仿宋" w:eastAsia="仿宋"/>
          <w:color w:val="000000"/>
          <w:sz w:val="32"/>
          <w:szCs w:val="32"/>
        </w:rPr>
        <w:t>金川</w:t>
      </w:r>
      <w:r>
        <w:rPr>
          <w:rFonts w:ascii="仿宋" w:hAnsi="仿宋" w:eastAsia="仿宋"/>
          <w:color w:val="000000"/>
          <w:sz w:val="32"/>
          <w:szCs w:val="32"/>
        </w:rPr>
        <w:t>环境监测站无下设机构，事业编制数</w:t>
      </w:r>
      <w:r>
        <w:rPr>
          <w:rFonts w:hint="eastAsia" w:ascii="仿宋" w:hAnsi="仿宋" w:eastAsia="仿宋"/>
          <w:color w:val="000000"/>
          <w:sz w:val="32"/>
          <w:szCs w:val="32"/>
        </w:rPr>
        <w:t>10</w:t>
      </w:r>
      <w:r>
        <w:rPr>
          <w:rFonts w:ascii="仿宋" w:hAnsi="仿宋" w:eastAsia="仿宋"/>
          <w:color w:val="000000"/>
          <w:sz w:val="32"/>
          <w:szCs w:val="32"/>
        </w:rPr>
        <w:t>人，目前专业技术人员</w:t>
      </w:r>
      <w:r>
        <w:rPr>
          <w:rFonts w:hint="eastAsia" w:ascii="仿宋" w:hAnsi="仿宋" w:eastAsia="仿宋"/>
          <w:color w:val="000000"/>
          <w:sz w:val="32"/>
          <w:szCs w:val="32"/>
          <w:lang w:val="en-US" w:eastAsia="zh-CN"/>
        </w:rPr>
        <w:t>9</w:t>
      </w:r>
      <w:r>
        <w:rPr>
          <w:rFonts w:ascii="仿宋" w:hAnsi="仿宋" w:eastAsia="仿宋"/>
          <w:color w:val="000000"/>
          <w:sz w:val="32"/>
          <w:szCs w:val="32"/>
        </w:rPr>
        <w:t>人，</w:t>
      </w:r>
      <w:r>
        <w:rPr>
          <w:rFonts w:hint="eastAsia" w:ascii="仿宋" w:hAnsi="仿宋" w:eastAsia="仿宋"/>
          <w:color w:val="000000"/>
          <w:sz w:val="32"/>
          <w:szCs w:val="32"/>
          <w:lang w:eastAsia="zh-CN"/>
        </w:rPr>
        <w:t>管理八级</w:t>
      </w:r>
      <w:r>
        <w:rPr>
          <w:rFonts w:hint="eastAsia" w:ascii="仿宋" w:hAnsi="仿宋" w:eastAsia="仿宋"/>
          <w:color w:val="000000"/>
          <w:sz w:val="32"/>
          <w:szCs w:val="32"/>
          <w:lang w:val="en-US" w:eastAsia="zh-CN"/>
        </w:rPr>
        <w:t>1人</w:t>
      </w:r>
      <w:r>
        <w:rPr>
          <w:rFonts w:ascii="仿宋" w:hAnsi="仿宋" w:eastAsia="仿宋"/>
          <w:color w:val="000000"/>
          <w:sz w:val="32"/>
          <w:szCs w:val="32"/>
        </w:rPr>
        <w:t>。</w:t>
      </w:r>
    </w:p>
    <w:p w14:paraId="14EF73F2">
      <w:pPr>
        <w:snapToGrid w:val="0"/>
        <w:spacing w:line="520" w:lineRule="exact"/>
        <w:ind w:firstLine="640" w:firstLineChars="200"/>
        <w:rPr>
          <w:rFonts w:hint="eastAsia" w:ascii="仿宋" w:hAnsi="仿宋" w:eastAsia="仿宋"/>
          <w:color w:val="000000"/>
          <w:sz w:val="32"/>
          <w:szCs w:val="32"/>
        </w:rPr>
      </w:pPr>
      <w:r>
        <w:rPr>
          <w:rFonts w:hint="eastAsia" w:ascii="仿宋" w:hAnsi="仿宋" w:eastAsia="仿宋"/>
          <w:color w:val="000000"/>
          <w:sz w:val="32"/>
          <w:szCs w:val="32"/>
        </w:rPr>
        <w:t>本单位本年度纳入</w:t>
      </w:r>
      <w:r>
        <w:rPr>
          <w:rFonts w:hint="eastAsia" w:ascii="仿宋" w:hAnsi="仿宋" w:eastAsia="仿宋"/>
          <w:color w:val="000000"/>
          <w:sz w:val="32"/>
          <w:szCs w:val="32"/>
          <w:lang w:eastAsia="zh-CN"/>
        </w:rPr>
        <w:t>本级</w:t>
      </w:r>
      <w:r>
        <w:rPr>
          <w:rFonts w:hint="eastAsia" w:ascii="仿宋" w:hAnsi="仿宋" w:eastAsia="仿宋"/>
          <w:color w:val="000000"/>
          <w:sz w:val="32"/>
          <w:szCs w:val="32"/>
        </w:rPr>
        <w:t>决算编制范围的独立编制机构数共1个，比上年增加0个；独立核算机构数共1个，比上年增加0个。</w:t>
      </w:r>
    </w:p>
    <w:p w14:paraId="66F52D19">
      <w:pPr>
        <w:pStyle w:val="7"/>
      </w:pPr>
    </w:p>
    <w:p w14:paraId="70924447">
      <w:pPr>
        <w:widowControl/>
        <w:jc w:val="left"/>
        <w:rPr>
          <w:rFonts w:ascii="仿宋_GB2312" w:hAnsi="黑体" w:eastAsia="仿宋_GB2312"/>
          <w:b/>
          <w:bCs/>
          <w:color w:val="000000"/>
          <w:kern w:val="44"/>
          <w:sz w:val="44"/>
          <w:szCs w:val="44"/>
        </w:rPr>
      </w:pPr>
      <w:r>
        <w:rPr>
          <w:rFonts w:ascii="仿宋_GB2312" w:hAnsi="黑体" w:eastAsia="仿宋_GB2312"/>
          <w:color w:val="000000"/>
        </w:rPr>
        <w:br w:type="page"/>
      </w:r>
    </w:p>
    <w:p w14:paraId="7EB3E2F2">
      <w:pPr>
        <w:pStyle w:val="4"/>
        <w:spacing w:line="560" w:lineRule="exact"/>
        <w:jc w:val="center"/>
        <w:rPr>
          <w:rFonts w:ascii="黑体" w:hAnsi="黑体" w:eastAsia="黑体" w:cs="黑体"/>
        </w:rPr>
      </w:pPr>
      <w:bookmarkStart w:id="28" w:name="_Toc111208498"/>
      <w:bookmarkStart w:id="29" w:name="_Toc21658"/>
      <w:r>
        <w:rPr>
          <w:rFonts w:hint="eastAsia" w:ascii="黑体" w:hAnsi="黑体" w:eastAsia="黑体" w:cs="黑体"/>
        </w:rPr>
        <w:t>第二部分</w:t>
      </w:r>
      <w:r>
        <w:rPr>
          <w:rFonts w:ascii="黑体" w:hAnsi="黑体" w:eastAsia="黑体" w:cs="黑体"/>
        </w:rPr>
        <w:t xml:space="preserve"> </w:t>
      </w:r>
      <w:r>
        <w:rPr>
          <w:rFonts w:hint="eastAsia" w:ascii="黑体" w:hAnsi="黑体" w:eastAsia="黑体" w:cs="黑体"/>
        </w:rPr>
        <w:t>202</w:t>
      </w:r>
      <w:r>
        <w:rPr>
          <w:rFonts w:hint="eastAsia" w:ascii="黑体" w:hAnsi="黑体" w:eastAsia="黑体" w:cs="黑体"/>
          <w:lang w:val="en-US" w:eastAsia="zh-CN"/>
        </w:rPr>
        <w:t>5</w:t>
      </w:r>
      <w:r>
        <w:rPr>
          <w:rFonts w:ascii="黑体" w:hAnsi="黑体" w:eastAsia="黑体" w:cs="黑体"/>
        </w:rPr>
        <w:t>年度部门决算情况说明</w:t>
      </w:r>
      <w:bookmarkEnd w:id="19"/>
      <w:bookmarkEnd w:id="28"/>
      <w:bookmarkEnd w:id="29"/>
    </w:p>
    <w:p w14:paraId="34195228">
      <w:pPr>
        <w:pStyle w:val="5"/>
        <w:spacing w:line="560" w:lineRule="exact"/>
        <w:ind w:firstLine="643" w:firstLineChars="200"/>
        <w:rPr>
          <w:rFonts w:ascii="黑体" w:eastAsia="黑体" w:cs="Times New Roman"/>
          <w:bCs w:val="0"/>
          <w:color w:val="000000"/>
        </w:rPr>
      </w:pPr>
      <w:bookmarkStart w:id="30" w:name="_Toc15377205"/>
      <w:bookmarkStart w:id="31" w:name="_Toc8727"/>
      <w:bookmarkStart w:id="32" w:name="_Toc111208499"/>
      <w:r>
        <w:rPr>
          <w:rFonts w:hint="eastAsia" w:ascii="黑体" w:eastAsia="黑体" w:cs="Times New Roman"/>
          <w:bCs w:val="0"/>
          <w:color w:val="000000"/>
        </w:rPr>
        <w:t>一、收入支出决算总体情况说</w:t>
      </w:r>
      <w:bookmarkEnd w:id="30"/>
      <w:r>
        <w:rPr>
          <w:rFonts w:hint="eastAsia" w:ascii="黑体" w:eastAsia="黑体" w:cs="Times New Roman"/>
          <w:bCs w:val="0"/>
          <w:color w:val="000000"/>
        </w:rPr>
        <w:t>明</w:t>
      </w:r>
      <w:bookmarkEnd w:id="31"/>
      <w:bookmarkEnd w:id="32"/>
    </w:p>
    <w:p w14:paraId="76CF7A34">
      <w:pPr>
        <w:spacing w:line="56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年度收入总计</w:t>
      </w:r>
      <w:r>
        <w:rPr>
          <w:rFonts w:hint="eastAsia" w:ascii="仿宋" w:hAnsi="仿宋" w:eastAsia="仿宋"/>
          <w:color w:val="000000"/>
          <w:sz w:val="32"/>
          <w:lang w:val="en-US" w:eastAsia="zh-CN"/>
        </w:rPr>
        <w:t>171.12</w:t>
      </w:r>
      <w:r>
        <w:rPr>
          <w:rFonts w:ascii="仿宋" w:hAnsi="仿宋" w:eastAsia="仿宋"/>
          <w:color w:val="000000"/>
          <w:sz w:val="32"/>
        </w:rPr>
        <w:t>万元，支出总计</w:t>
      </w:r>
      <w:r>
        <w:rPr>
          <w:rFonts w:hint="eastAsia" w:ascii="仿宋" w:hAnsi="仿宋" w:eastAsia="仿宋"/>
          <w:color w:val="000000"/>
          <w:sz w:val="32"/>
          <w:lang w:val="en-US" w:eastAsia="zh-CN"/>
        </w:rPr>
        <w:t>179.09</w:t>
      </w:r>
      <w:r>
        <w:rPr>
          <w:rFonts w:ascii="仿宋" w:hAnsi="仿宋" w:eastAsia="仿宋"/>
          <w:color w:val="000000"/>
          <w:sz w:val="32"/>
        </w:rPr>
        <w:t>万元。与</w:t>
      </w:r>
      <w:r>
        <w:rPr>
          <w:rFonts w:hint="eastAsia" w:ascii="仿宋" w:hAnsi="仿宋" w:eastAsia="仿宋"/>
          <w:color w:val="000000"/>
          <w:sz w:val="32"/>
          <w:szCs w:val="32"/>
        </w:rPr>
        <w:t>202</w:t>
      </w:r>
      <w:r>
        <w:rPr>
          <w:rFonts w:hint="eastAsia" w:ascii="仿宋" w:hAnsi="仿宋" w:eastAsia="仿宋"/>
          <w:color w:val="000000"/>
          <w:sz w:val="32"/>
          <w:szCs w:val="32"/>
          <w:lang w:val="en-US" w:eastAsia="zh-CN"/>
        </w:rPr>
        <w:t>4</w:t>
      </w:r>
      <w:r>
        <w:rPr>
          <w:rFonts w:hint="eastAsia" w:ascii="仿宋" w:hAnsi="仿宋" w:eastAsia="仿宋"/>
          <w:color w:val="000000"/>
          <w:sz w:val="32"/>
          <w:szCs w:val="32"/>
        </w:rPr>
        <w:t>年相比，收入总计</w:t>
      </w:r>
      <w:r>
        <w:rPr>
          <w:rFonts w:hint="eastAsia" w:ascii="仿宋" w:hAnsi="仿宋" w:eastAsia="仿宋"/>
          <w:color w:val="000000"/>
          <w:sz w:val="32"/>
          <w:lang w:val="en-US" w:eastAsia="zh-CN"/>
        </w:rPr>
        <w:t>减少12.03</w:t>
      </w:r>
      <w:r>
        <w:rPr>
          <w:rFonts w:ascii="仿宋" w:hAnsi="仿宋" w:eastAsia="仿宋"/>
          <w:color w:val="000000"/>
          <w:sz w:val="32"/>
        </w:rPr>
        <w:t>万元，</w:t>
      </w:r>
      <w:r>
        <w:rPr>
          <w:rFonts w:hint="eastAsia" w:ascii="仿宋" w:hAnsi="仿宋" w:eastAsia="仿宋"/>
          <w:color w:val="000000"/>
          <w:sz w:val="32"/>
        </w:rPr>
        <w:t>减少</w:t>
      </w:r>
      <w:r>
        <w:rPr>
          <w:rFonts w:hint="eastAsia" w:ascii="仿宋" w:hAnsi="仿宋" w:eastAsia="仿宋"/>
          <w:color w:val="000000"/>
          <w:sz w:val="32"/>
          <w:lang w:val="en-US" w:eastAsia="zh-CN"/>
        </w:rPr>
        <w:t>6.57</w:t>
      </w:r>
      <w:r>
        <w:rPr>
          <w:rFonts w:ascii="仿宋" w:hAnsi="仿宋" w:eastAsia="仿宋"/>
          <w:color w:val="000000"/>
          <w:sz w:val="32"/>
        </w:rPr>
        <w:t>%，</w:t>
      </w:r>
      <w:r>
        <w:rPr>
          <w:rFonts w:hint="eastAsia" w:ascii="仿宋" w:hAnsi="仿宋" w:eastAsia="仿宋"/>
          <w:color w:val="000000"/>
          <w:sz w:val="32"/>
          <w:szCs w:val="32"/>
        </w:rPr>
        <w:t>主要变动原因是202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w:t>
      </w:r>
      <w:r>
        <w:rPr>
          <w:rFonts w:hint="eastAsia" w:ascii="仿宋" w:hAnsi="仿宋" w:eastAsia="仿宋"/>
          <w:color w:val="000000"/>
          <w:sz w:val="32"/>
          <w:szCs w:val="32"/>
          <w:lang w:val="en-US" w:eastAsia="zh-CN"/>
        </w:rPr>
        <w:t>年初预算比2024年少一个人</w:t>
      </w:r>
      <w:r>
        <w:rPr>
          <w:rFonts w:hint="eastAsia" w:ascii="仿宋" w:hAnsi="仿宋" w:eastAsia="仿宋"/>
          <w:color w:val="000000"/>
          <w:sz w:val="32"/>
          <w:szCs w:val="32"/>
        </w:rPr>
        <w:t>；</w:t>
      </w:r>
      <w:r>
        <w:rPr>
          <w:rFonts w:ascii="仿宋" w:hAnsi="仿宋" w:eastAsia="仿宋"/>
          <w:color w:val="000000"/>
          <w:sz w:val="32"/>
        </w:rPr>
        <w:t>支出总计</w:t>
      </w:r>
      <w:r>
        <w:rPr>
          <w:rFonts w:hint="eastAsia" w:ascii="仿宋" w:hAnsi="仿宋" w:eastAsia="仿宋"/>
          <w:color w:val="000000"/>
          <w:sz w:val="32"/>
        </w:rPr>
        <w:t>增加</w:t>
      </w:r>
      <w:r>
        <w:rPr>
          <w:rFonts w:hint="eastAsia" w:ascii="仿宋" w:hAnsi="仿宋" w:eastAsia="仿宋"/>
          <w:color w:val="000000"/>
          <w:sz w:val="32"/>
          <w:lang w:val="en-US" w:eastAsia="zh-CN"/>
        </w:rPr>
        <w:t>11.26</w:t>
      </w:r>
      <w:r>
        <w:rPr>
          <w:rFonts w:ascii="仿宋" w:hAnsi="仿宋" w:eastAsia="仿宋"/>
          <w:color w:val="000000"/>
          <w:sz w:val="32"/>
        </w:rPr>
        <w:t>万元，</w:t>
      </w:r>
      <w:r>
        <w:rPr>
          <w:rFonts w:hint="eastAsia" w:ascii="仿宋" w:hAnsi="仿宋" w:eastAsia="仿宋"/>
          <w:color w:val="000000"/>
          <w:sz w:val="32"/>
        </w:rPr>
        <w:t>增加</w:t>
      </w:r>
      <w:r>
        <w:rPr>
          <w:rFonts w:hint="eastAsia" w:ascii="仿宋" w:hAnsi="仿宋" w:eastAsia="仿宋"/>
          <w:color w:val="000000"/>
          <w:sz w:val="32"/>
          <w:lang w:val="en-US" w:eastAsia="zh-CN"/>
        </w:rPr>
        <w:t>6.71</w:t>
      </w:r>
      <w:r>
        <w:rPr>
          <w:rFonts w:ascii="仿宋" w:hAnsi="仿宋" w:eastAsia="仿宋"/>
          <w:color w:val="000000"/>
          <w:sz w:val="32"/>
        </w:rPr>
        <w:t>%</w:t>
      </w:r>
      <w:r>
        <w:rPr>
          <w:rFonts w:hint="eastAsia" w:ascii="仿宋" w:hAnsi="仿宋" w:eastAsia="仿宋"/>
          <w:color w:val="000000"/>
          <w:sz w:val="32"/>
        </w:rPr>
        <w:t>，</w:t>
      </w:r>
      <w:r>
        <w:rPr>
          <w:rFonts w:hint="eastAsia" w:ascii="仿宋" w:hAnsi="仿宋" w:eastAsia="仿宋"/>
          <w:color w:val="000000"/>
          <w:sz w:val="32"/>
          <w:szCs w:val="32"/>
        </w:rPr>
        <w:t>主要变动原因是</w:t>
      </w:r>
      <w:r>
        <w:rPr>
          <w:rFonts w:hint="eastAsia" w:ascii="仿宋" w:hAnsi="仿宋" w:eastAsia="仿宋"/>
          <w:color w:val="000000"/>
          <w:sz w:val="32"/>
          <w:szCs w:val="32"/>
          <w:lang w:val="en-US" w:eastAsia="zh-CN"/>
        </w:rPr>
        <w:t>2025年新进一人，追加预算</w:t>
      </w:r>
      <w:r>
        <w:rPr>
          <w:rFonts w:hint="eastAsia" w:ascii="仿宋" w:hAnsi="仿宋" w:eastAsia="仿宋"/>
          <w:color w:val="000000"/>
          <w:sz w:val="32"/>
          <w:szCs w:val="32"/>
        </w:rPr>
        <w:t xml:space="preserve">。 </w:t>
      </w:r>
    </w:p>
    <w:p w14:paraId="6008C8AC">
      <w:pPr>
        <w:pStyle w:val="7"/>
        <w:spacing w:line="560" w:lineRule="exact"/>
      </w:pPr>
    </w:p>
    <w:p w14:paraId="6E4BAB04">
      <w:pPr>
        <w:spacing w:line="560" w:lineRule="exact"/>
        <w:ind w:firstLine="640" w:firstLineChars="200"/>
        <w:jc w:val="center"/>
        <w:rPr>
          <w:rFonts w:ascii="仿宋_GB2312" w:eastAsia="仿宋_GB2312"/>
          <w:color w:val="000000"/>
          <w:sz w:val="28"/>
          <w:szCs w:val="28"/>
        </w:rPr>
      </w:pPr>
      <w:r>
        <w:rPr>
          <w:rFonts w:hint="eastAsia" w:ascii="仿宋" w:hAnsi="仿宋" w:eastAsia="仿宋"/>
          <w:color w:val="000000"/>
          <w:sz w:val="32"/>
          <w:szCs w:val="32"/>
        </w:rPr>
        <w:t>（图1：收、支决算总计变动情况图）</w:t>
      </w:r>
    </w:p>
    <w:p w14:paraId="2EE1543E">
      <w:pPr>
        <w:pStyle w:val="7"/>
        <w:ind w:firstLine="0"/>
      </w:pPr>
      <w:r>
        <w:drawing>
          <wp:inline distT="0" distB="0" distL="0" distR="0">
            <wp:extent cx="5274310" cy="3076575"/>
            <wp:effectExtent l="19050" t="0" r="21590" b="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7BC860EC">
      <w:pPr>
        <w:pStyle w:val="5"/>
        <w:ind w:firstLine="643" w:firstLineChars="200"/>
        <w:rPr>
          <w:rFonts w:ascii="黑体" w:eastAsia="黑体" w:cs="Times New Roman"/>
          <w:bCs w:val="0"/>
          <w:color w:val="000000"/>
        </w:rPr>
      </w:pPr>
      <w:bookmarkStart w:id="33" w:name="_Toc15377206"/>
      <w:bookmarkStart w:id="34" w:name="_Toc30190"/>
      <w:bookmarkStart w:id="35" w:name="_Toc111208500"/>
      <w:r>
        <w:rPr>
          <w:rFonts w:hint="eastAsia" w:ascii="黑体" w:eastAsia="黑体" w:cs="Times New Roman"/>
          <w:bCs w:val="0"/>
          <w:color w:val="000000"/>
        </w:rPr>
        <w:t>二、收入决算情况说明</w:t>
      </w:r>
      <w:bookmarkEnd w:id="33"/>
      <w:bookmarkEnd w:id="34"/>
      <w:bookmarkEnd w:id="35"/>
    </w:p>
    <w:p w14:paraId="7A9BDB20">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202</w:t>
      </w:r>
      <w:r>
        <w:rPr>
          <w:rFonts w:hint="eastAsia" w:ascii="仿宋" w:hAnsi="仿宋" w:eastAsia="仿宋"/>
          <w:color w:val="000000"/>
          <w:sz w:val="32"/>
          <w:szCs w:val="32"/>
          <w:lang w:val="en-US" w:eastAsia="zh-CN"/>
        </w:rPr>
        <w:t>5</w:t>
      </w:r>
      <w:r>
        <w:rPr>
          <w:rFonts w:ascii="仿宋" w:hAnsi="仿宋" w:eastAsia="仿宋"/>
          <w:color w:val="000000"/>
          <w:sz w:val="32"/>
        </w:rPr>
        <w:t>年本年收入合计</w:t>
      </w:r>
      <w:r>
        <w:rPr>
          <w:rFonts w:hint="eastAsia" w:ascii="仿宋" w:hAnsi="仿宋" w:eastAsia="仿宋"/>
          <w:color w:val="000000"/>
          <w:sz w:val="32"/>
          <w:lang w:val="en-US" w:eastAsia="zh-CN"/>
        </w:rPr>
        <w:t>171.12</w:t>
      </w:r>
      <w:r>
        <w:rPr>
          <w:rFonts w:ascii="仿宋" w:hAnsi="仿宋" w:eastAsia="仿宋"/>
          <w:color w:val="000000"/>
          <w:sz w:val="32"/>
        </w:rPr>
        <w:t>万元，其中：一般公共预算财政拨款收入</w:t>
      </w:r>
      <w:r>
        <w:rPr>
          <w:rFonts w:hint="eastAsia" w:ascii="仿宋" w:hAnsi="仿宋" w:eastAsia="仿宋"/>
          <w:color w:val="000000"/>
          <w:sz w:val="32"/>
          <w:lang w:val="en-US" w:eastAsia="zh-CN"/>
        </w:rPr>
        <w:t>171.12</w:t>
      </w:r>
      <w:r>
        <w:rPr>
          <w:rFonts w:ascii="仿宋" w:hAnsi="仿宋" w:eastAsia="仿宋"/>
          <w:color w:val="000000"/>
          <w:sz w:val="32"/>
        </w:rPr>
        <w:t>万元，占</w:t>
      </w:r>
      <w:r>
        <w:rPr>
          <w:rFonts w:hint="eastAsia" w:ascii="仿宋" w:hAnsi="仿宋" w:eastAsia="仿宋"/>
          <w:color w:val="000000"/>
          <w:sz w:val="32"/>
          <w:szCs w:val="32"/>
        </w:rPr>
        <w:t>100.00</w:t>
      </w:r>
      <w:r>
        <w:rPr>
          <w:rFonts w:ascii="仿宋" w:hAnsi="仿宋" w:eastAsia="仿宋"/>
          <w:color w:val="000000"/>
          <w:sz w:val="32"/>
        </w:rPr>
        <w:t>%；政府性基金预算财政拨款收入0.00万元，占0.00%；国有资本经营预算财政拨款收入0.00万元，占0.00%；上级补助收入0.00万元，占0.00%；事业收入0.00万元，占%；经营收入0.00万元，占0.00%；附属单位上缴收入0.00万元，占0.00%；其他收入0.00万元，占0.00%。</w:t>
      </w:r>
    </w:p>
    <w:p w14:paraId="07CE9BCF">
      <w:pPr>
        <w:spacing w:line="600" w:lineRule="exact"/>
        <w:ind w:firstLine="640" w:firstLineChars="200"/>
        <w:jc w:val="center"/>
        <w:rPr>
          <w:rFonts w:ascii="仿宋" w:hAnsi="仿宋" w:eastAsia="仿宋"/>
          <w:color w:val="000000"/>
          <w:sz w:val="32"/>
          <w:szCs w:val="32"/>
        </w:rPr>
      </w:pPr>
      <w:r>
        <w:rPr>
          <w:rFonts w:hint="eastAsia" w:ascii="仿宋" w:hAnsi="仿宋" w:eastAsia="仿宋"/>
          <w:color w:val="000000"/>
          <w:sz w:val="32"/>
          <w:szCs w:val="32"/>
        </w:rPr>
        <w:t>（图2：收入决算结构图）</w:t>
      </w:r>
    </w:p>
    <w:p w14:paraId="53CEEEB1">
      <w:pPr>
        <w:pStyle w:val="15"/>
        <w:ind w:left="0" w:leftChars="0" w:firstLine="0" w:firstLineChars="0"/>
      </w:pPr>
      <w:r>
        <w:drawing>
          <wp:inline distT="0" distB="0" distL="0" distR="0">
            <wp:extent cx="5274310" cy="3076575"/>
            <wp:effectExtent l="19050" t="0" r="21590" b="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49FBA948">
      <w:pPr>
        <w:pStyle w:val="5"/>
        <w:ind w:firstLine="643" w:firstLineChars="200"/>
        <w:rPr>
          <w:rFonts w:ascii="黑体" w:eastAsia="黑体" w:cs="Times New Roman"/>
          <w:bCs w:val="0"/>
          <w:color w:val="000000"/>
        </w:rPr>
      </w:pPr>
      <w:bookmarkStart w:id="36" w:name="_Toc111208501"/>
      <w:bookmarkStart w:id="37" w:name="_Toc15377207"/>
      <w:bookmarkStart w:id="38" w:name="_Toc15408"/>
      <w:r>
        <w:rPr>
          <w:rFonts w:hint="eastAsia" w:ascii="黑体" w:eastAsia="黑体" w:cs="Times New Roman"/>
          <w:bCs w:val="0"/>
          <w:color w:val="000000"/>
        </w:rPr>
        <w:t>三、支出决算情况说明</w:t>
      </w:r>
      <w:bookmarkEnd w:id="36"/>
      <w:bookmarkEnd w:id="37"/>
      <w:bookmarkEnd w:id="38"/>
    </w:p>
    <w:p w14:paraId="59C42F40">
      <w:pPr>
        <w:pStyle w:val="7"/>
        <w:rPr>
          <w:rFonts w:ascii="仿宋" w:hAnsi="仿宋" w:eastAsia="仿宋"/>
          <w:color w:val="000000"/>
          <w:sz w:val="32"/>
          <w:szCs w:val="32"/>
        </w:rPr>
      </w:pPr>
      <w:r>
        <w:rPr>
          <w:rFonts w:hint="eastAsia" w:ascii="仿宋" w:hAnsi="仿宋" w:eastAsia="仿宋"/>
          <w:color w:val="000000"/>
          <w:sz w:val="32"/>
          <w:szCs w:val="32"/>
        </w:rPr>
        <w:t>202</w:t>
      </w:r>
      <w:r>
        <w:rPr>
          <w:rFonts w:hint="eastAsia" w:ascii="仿宋" w:hAnsi="仿宋" w:eastAsia="仿宋"/>
          <w:color w:val="000000"/>
          <w:sz w:val="32"/>
          <w:szCs w:val="32"/>
          <w:lang w:val="en-US" w:eastAsia="zh-CN"/>
        </w:rPr>
        <w:t>5</w:t>
      </w:r>
      <w:r>
        <w:rPr>
          <w:rFonts w:ascii="仿宋" w:hAnsi="仿宋" w:eastAsia="仿宋"/>
          <w:color w:val="000000"/>
          <w:sz w:val="32"/>
          <w:szCs w:val="32"/>
        </w:rPr>
        <w:t>年本年支出合计</w:t>
      </w:r>
      <w:r>
        <w:rPr>
          <w:rFonts w:hint="eastAsia" w:ascii="仿宋" w:hAnsi="仿宋" w:eastAsia="仿宋"/>
          <w:color w:val="000000"/>
          <w:sz w:val="32"/>
          <w:lang w:val="en-US" w:eastAsia="zh-CN"/>
        </w:rPr>
        <w:t>179.09</w:t>
      </w:r>
      <w:r>
        <w:rPr>
          <w:rFonts w:ascii="仿宋" w:hAnsi="仿宋" w:eastAsia="仿宋"/>
          <w:color w:val="000000"/>
          <w:sz w:val="32"/>
          <w:szCs w:val="32"/>
        </w:rPr>
        <w:t>万元，其中：基本支出</w:t>
      </w:r>
      <w:r>
        <w:rPr>
          <w:rFonts w:hint="eastAsia" w:ascii="仿宋" w:hAnsi="仿宋" w:eastAsia="仿宋"/>
          <w:color w:val="000000"/>
          <w:sz w:val="32"/>
          <w:lang w:val="en-US" w:eastAsia="zh-CN"/>
        </w:rPr>
        <w:t>179.09</w:t>
      </w:r>
      <w:r>
        <w:rPr>
          <w:rFonts w:ascii="仿宋" w:hAnsi="仿宋" w:eastAsia="仿宋"/>
          <w:color w:val="000000"/>
          <w:sz w:val="32"/>
          <w:szCs w:val="32"/>
        </w:rPr>
        <w:t>万元，占</w:t>
      </w:r>
      <w:r>
        <w:rPr>
          <w:rFonts w:hint="eastAsia" w:ascii="仿宋" w:hAnsi="仿宋" w:eastAsia="仿宋"/>
          <w:color w:val="000000"/>
          <w:sz w:val="32"/>
          <w:szCs w:val="32"/>
        </w:rPr>
        <w:t>100.00</w:t>
      </w:r>
      <w:r>
        <w:rPr>
          <w:rFonts w:ascii="仿宋" w:hAnsi="仿宋" w:eastAsia="仿宋"/>
          <w:color w:val="000000"/>
          <w:sz w:val="32"/>
          <w:szCs w:val="32"/>
        </w:rPr>
        <w:t>%；项目支出</w:t>
      </w:r>
      <w:r>
        <w:rPr>
          <w:rFonts w:hint="eastAsia" w:ascii="仿宋" w:hAnsi="仿宋" w:eastAsia="仿宋"/>
          <w:color w:val="000000"/>
          <w:sz w:val="32"/>
          <w:szCs w:val="32"/>
        </w:rPr>
        <w:t>0.00</w:t>
      </w:r>
      <w:r>
        <w:rPr>
          <w:rFonts w:ascii="仿宋" w:hAnsi="仿宋" w:eastAsia="仿宋"/>
          <w:color w:val="000000"/>
          <w:sz w:val="32"/>
          <w:szCs w:val="32"/>
        </w:rPr>
        <w:t>万元，占</w:t>
      </w:r>
      <w:r>
        <w:rPr>
          <w:rFonts w:hint="eastAsia" w:ascii="仿宋" w:hAnsi="仿宋" w:eastAsia="仿宋"/>
          <w:color w:val="000000"/>
          <w:sz w:val="32"/>
          <w:szCs w:val="32"/>
        </w:rPr>
        <w:t>0.00</w:t>
      </w:r>
      <w:r>
        <w:rPr>
          <w:rFonts w:ascii="仿宋" w:hAnsi="仿宋" w:eastAsia="仿宋"/>
          <w:color w:val="000000"/>
          <w:sz w:val="32"/>
          <w:szCs w:val="32"/>
        </w:rPr>
        <w:t>%；上缴上级支出</w:t>
      </w:r>
      <w:r>
        <w:rPr>
          <w:rFonts w:hint="eastAsia" w:ascii="仿宋" w:hAnsi="仿宋" w:eastAsia="仿宋"/>
          <w:color w:val="000000"/>
          <w:sz w:val="32"/>
          <w:szCs w:val="32"/>
        </w:rPr>
        <w:t>0.00</w:t>
      </w:r>
      <w:r>
        <w:rPr>
          <w:rFonts w:ascii="仿宋" w:hAnsi="仿宋" w:eastAsia="仿宋"/>
          <w:color w:val="000000"/>
          <w:sz w:val="32"/>
          <w:szCs w:val="32"/>
        </w:rPr>
        <w:t>万元，占</w:t>
      </w:r>
      <w:r>
        <w:rPr>
          <w:rFonts w:hint="eastAsia" w:ascii="仿宋" w:hAnsi="仿宋" w:eastAsia="仿宋"/>
          <w:color w:val="000000"/>
          <w:sz w:val="32"/>
          <w:szCs w:val="32"/>
        </w:rPr>
        <w:t>0.00</w:t>
      </w:r>
      <w:r>
        <w:rPr>
          <w:rFonts w:ascii="仿宋" w:hAnsi="仿宋" w:eastAsia="仿宋"/>
          <w:color w:val="000000"/>
          <w:sz w:val="32"/>
          <w:szCs w:val="32"/>
        </w:rPr>
        <w:t>%；经营支出</w:t>
      </w:r>
      <w:r>
        <w:rPr>
          <w:rFonts w:hint="eastAsia" w:ascii="仿宋" w:hAnsi="仿宋" w:eastAsia="仿宋"/>
          <w:color w:val="000000"/>
          <w:sz w:val="32"/>
          <w:szCs w:val="32"/>
        </w:rPr>
        <w:t>0.00</w:t>
      </w:r>
      <w:r>
        <w:rPr>
          <w:rFonts w:ascii="仿宋" w:hAnsi="仿宋" w:eastAsia="仿宋"/>
          <w:color w:val="000000"/>
          <w:sz w:val="32"/>
          <w:szCs w:val="32"/>
        </w:rPr>
        <w:t>万元，占</w:t>
      </w:r>
      <w:r>
        <w:rPr>
          <w:rFonts w:hint="eastAsia" w:ascii="仿宋" w:hAnsi="仿宋" w:eastAsia="仿宋"/>
          <w:color w:val="000000"/>
          <w:sz w:val="32"/>
          <w:szCs w:val="32"/>
        </w:rPr>
        <w:t>0.00</w:t>
      </w:r>
      <w:r>
        <w:rPr>
          <w:rFonts w:ascii="仿宋" w:hAnsi="仿宋" w:eastAsia="仿宋"/>
          <w:color w:val="000000"/>
          <w:sz w:val="32"/>
          <w:szCs w:val="32"/>
        </w:rPr>
        <w:t>%；对附属单位补助支出</w:t>
      </w:r>
      <w:r>
        <w:rPr>
          <w:rFonts w:hint="eastAsia" w:ascii="仿宋" w:hAnsi="仿宋" w:eastAsia="仿宋"/>
          <w:color w:val="000000"/>
          <w:sz w:val="32"/>
          <w:szCs w:val="32"/>
        </w:rPr>
        <w:t>0.00</w:t>
      </w:r>
      <w:r>
        <w:rPr>
          <w:rFonts w:ascii="仿宋" w:hAnsi="仿宋" w:eastAsia="仿宋"/>
          <w:color w:val="000000"/>
          <w:sz w:val="32"/>
          <w:szCs w:val="32"/>
        </w:rPr>
        <w:t>万元，占</w:t>
      </w:r>
      <w:r>
        <w:rPr>
          <w:rFonts w:hint="eastAsia" w:ascii="仿宋" w:hAnsi="仿宋" w:eastAsia="仿宋"/>
          <w:color w:val="000000"/>
          <w:sz w:val="32"/>
          <w:szCs w:val="32"/>
        </w:rPr>
        <w:t>0.00</w:t>
      </w:r>
      <w:r>
        <w:rPr>
          <w:rFonts w:ascii="仿宋" w:hAnsi="仿宋" w:eastAsia="仿宋"/>
          <w:color w:val="000000"/>
          <w:sz w:val="32"/>
          <w:szCs w:val="32"/>
        </w:rPr>
        <w:t>%。</w:t>
      </w:r>
    </w:p>
    <w:p w14:paraId="2F2C5367">
      <w:pPr>
        <w:spacing w:line="600" w:lineRule="exact"/>
        <w:ind w:firstLine="640" w:firstLineChars="200"/>
        <w:rPr>
          <w:rFonts w:ascii="仿宋" w:hAnsi="仿宋" w:eastAsia="仿宋"/>
          <w:color w:val="000000"/>
          <w:sz w:val="32"/>
          <w:szCs w:val="32"/>
        </w:rPr>
      </w:pPr>
    </w:p>
    <w:p w14:paraId="1F627D67">
      <w:pPr>
        <w:spacing w:line="600" w:lineRule="exact"/>
        <w:ind w:firstLine="640" w:firstLineChars="200"/>
        <w:rPr>
          <w:rFonts w:ascii="仿宋" w:hAnsi="仿宋" w:eastAsia="仿宋"/>
          <w:color w:val="000000"/>
          <w:sz w:val="32"/>
          <w:szCs w:val="32"/>
        </w:rPr>
      </w:pPr>
    </w:p>
    <w:p w14:paraId="4086DB95">
      <w:pPr>
        <w:spacing w:line="600" w:lineRule="exact"/>
        <w:ind w:firstLine="640" w:firstLineChars="200"/>
        <w:rPr>
          <w:rFonts w:ascii="仿宋" w:hAnsi="仿宋" w:eastAsia="仿宋"/>
          <w:color w:val="000000"/>
          <w:sz w:val="32"/>
          <w:szCs w:val="32"/>
        </w:rPr>
      </w:pPr>
    </w:p>
    <w:p w14:paraId="71AD2EF5">
      <w:pPr>
        <w:spacing w:line="600" w:lineRule="exact"/>
        <w:ind w:firstLine="640" w:firstLineChars="200"/>
        <w:rPr>
          <w:rFonts w:ascii="仿宋" w:hAnsi="仿宋" w:eastAsia="仿宋"/>
          <w:color w:val="000000"/>
          <w:sz w:val="32"/>
          <w:szCs w:val="32"/>
        </w:rPr>
      </w:pPr>
    </w:p>
    <w:p w14:paraId="3CBF50E5">
      <w:pPr>
        <w:spacing w:line="600" w:lineRule="exact"/>
        <w:ind w:firstLine="2560" w:firstLineChars="800"/>
        <w:rPr>
          <w:rFonts w:ascii="仿宋" w:hAnsi="仿宋" w:eastAsia="仿宋"/>
          <w:color w:val="000000"/>
          <w:sz w:val="32"/>
          <w:szCs w:val="32"/>
        </w:rPr>
      </w:pPr>
      <w:r>
        <w:rPr>
          <w:rFonts w:hint="eastAsia" w:ascii="仿宋" w:hAnsi="仿宋" w:eastAsia="仿宋"/>
          <w:color w:val="000000"/>
          <w:sz w:val="32"/>
          <w:szCs w:val="32"/>
        </w:rPr>
        <w:t>（图3：支出决算结构图）</w:t>
      </w:r>
    </w:p>
    <w:p w14:paraId="3080AFDE">
      <w:pPr>
        <w:jc w:val="center"/>
        <w:rPr>
          <w:rFonts w:ascii="仿宋_GB2312" w:eastAsia="仿宋_GB2312"/>
          <w:color w:val="FF0000"/>
          <w:sz w:val="32"/>
          <w:szCs w:val="32"/>
        </w:rPr>
      </w:pPr>
      <w:r>
        <w:rPr>
          <w:rFonts w:ascii="仿宋_GB2312" w:eastAsia="仿宋_GB2312"/>
          <w:color w:val="FF0000"/>
          <w:sz w:val="32"/>
          <w:szCs w:val="32"/>
        </w:rPr>
        <w:drawing>
          <wp:inline distT="0" distB="0" distL="0" distR="0">
            <wp:extent cx="5274310" cy="3076575"/>
            <wp:effectExtent l="19050" t="0" r="21590" b="0"/>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2B95AF6">
      <w:pPr>
        <w:pStyle w:val="7"/>
      </w:pPr>
    </w:p>
    <w:p w14:paraId="6B053B16">
      <w:pPr>
        <w:pStyle w:val="5"/>
        <w:ind w:firstLine="643" w:firstLineChars="200"/>
        <w:rPr>
          <w:rFonts w:ascii="黑体" w:eastAsia="黑体" w:cs="Times New Roman"/>
          <w:bCs w:val="0"/>
          <w:color w:val="000000"/>
        </w:rPr>
      </w:pPr>
      <w:bookmarkStart w:id="39" w:name="_Toc15377208"/>
      <w:bookmarkStart w:id="40" w:name="_Toc8"/>
      <w:bookmarkStart w:id="41" w:name="_Toc111208502"/>
      <w:r>
        <w:rPr>
          <w:rFonts w:hint="eastAsia" w:ascii="黑体" w:eastAsia="黑体" w:cs="Times New Roman"/>
          <w:bCs w:val="0"/>
          <w:color w:val="000000"/>
        </w:rPr>
        <w:t>四、财政拨款收入支出决算总体情况说明</w:t>
      </w:r>
      <w:bookmarkEnd w:id="39"/>
      <w:bookmarkEnd w:id="40"/>
      <w:bookmarkEnd w:id="41"/>
    </w:p>
    <w:p w14:paraId="2ECCFAB3">
      <w:pPr>
        <w:spacing w:line="56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年度收入总计</w:t>
      </w:r>
      <w:r>
        <w:rPr>
          <w:rFonts w:hint="eastAsia" w:ascii="仿宋" w:hAnsi="仿宋" w:eastAsia="仿宋"/>
          <w:color w:val="000000"/>
          <w:sz w:val="32"/>
          <w:lang w:val="en-US" w:eastAsia="zh-CN"/>
        </w:rPr>
        <w:t>171.12</w:t>
      </w:r>
      <w:r>
        <w:rPr>
          <w:rFonts w:ascii="仿宋" w:hAnsi="仿宋" w:eastAsia="仿宋"/>
          <w:color w:val="000000"/>
          <w:sz w:val="32"/>
        </w:rPr>
        <w:t>万元，支出总计</w:t>
      </w:r>
      <w:r>
        <w:rPr>
          <w:rFonts w:hint="eastAsia" w:ascii="仿宋" w:hAnsi="仿宋" w:eastAsia="仿宋"/>
          <w:color w:val="000000"/>
          <w:sz w:val="32"/>
          <w:lang w:val="en-US" w:eastAsia="zh-CN"/>
        </w:rPr>
        <w:t>179.09</w:t>
      </w:r>
      <w:r>
        <w:rPr>
          <w:rFonts w:ascii="仿宋" w:hAnsi="仿宋" w:eastAsia="仿宋"/>
          <w:color w:val="000000"/>
          <w:sz w:val="32"/>
        </w:rPr>
        <w:t>万元。与</w:t>
      </w:r>
      <w:r>
        <w:rPr>
          <w:rFonts w:hint="eastAsia" w:ascii="仿宋" w:hAnsi="仿宋" w:eastAsia="仿宋"/>
          <w:color w:val="000000"/>
          <w:sz w:val="32"/>
          <w:szCs w:val="32"/>
        </w:rPr>
        <w:t>202</w:t>
      </w:r>
      <w:r>
        <w:rPr>
          <w:rFonts w:hint="eastAsia" w:ascii="仿宋" w:hAnsi="仿宋" w:eastAsia="仿宋"/>
          <w:color w:val="000000"/>
          <w:sz w:val="32"/>
          <w:szCs w:val="32"/>
          <w:lang w:val="en-US" w:eastAsia="zh-CN"/>
        </w:rPr>
        <w:t>4</w:t>
      </w:r>
      <w:r>
        <w:rPr>
          <w:rFonts w:hint="eastAsia" w:ascii="仿宋" w:hAnsi="仿宋" w:eastAsia="仿宋"/>
          <w:color w:val="000000"/>
          <w:sz w:val="32"/>
          <w:szCs w:val="32"/>
        </w:rPr>
        <w:t>年相比，收入总计</w:t>
      </w:r>
      <w:r>
        <w:rPr>
          <w:rFonts w:hint="eastAsia" w:ascii="仿宋" w:hAnsi="仿宋" w:eastAsia="仿宋"/>
          <w:color w:val="000000"/>
          <w:sz w:val="32"/>
          <w:lang w:val="en-US" w:eastAsia="zh-CN"/>
        </w:rPr>
        <w:t>减少12.03</w:t>
      </w:r>
      <w:r>
        <w:rPr>
          <w:rFonts w:ascii="仿宋" w:hAnsi="仿宋" w:eastAsia="仿宋"/>
          <w:color w:val="000000"/>
          <w:sz w:val="32"/>
        </w:rPr>
        <w:t>万元，</w:t>
      </w:r>
      <w:r>
        <w:rPr>
          <w:rFonts w:hint="eastAsia" w:ascii="仿宋" w:hAnsi="仿宋" w:eastAsia="仿宋"/>
          <w:color w:val="000000"/>
          <w:sz w:val="32"/>
        </w:rPr>
        <w:t>减少</w:t>
      </w:r>
      <w:r>
        <w:rPr>
          <w:rFonts w:hint="eastAsia" w:ascii="仿宋" w:hAnsi="仿宋" w:eastAsia="仿宋"/>
          <w:color w:val="000000"/>
          <w:sz w:val="32"/>
          <w:lang w:val="en-US" w:eastAsia="zh-CN"/>
        </w:rPr>
        <w:t>6.57</w:t>
      </w:r>
      <w:r>
        <w:rPr>
          <w:rFonts w:ascii="仿宋" w:hAnsi="仿宋" w:eastAsia="仿宋"/>
          <w:color w:val="000000"/>
          <w:sz w:val="32"/>
        </w:rPr>
        <w:t>%，</w:t>
      </w:r>
      <w:r>
        <w:rPr>
          <w:rFonts w:hint="eastAsia" w:ascii="仿宋" w:hAnsi="仿宋" w:eastAsia="仿宋"/>
          <w:color w:val="000000"/>
          <w:sz w:val="32"/>
          <w:szCs w:val="32"/>
        </w:rPr>
        <w:t>主要变动原因是202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w:t>
      </w:r>
      <w:r>
        <w:rPr>
          <w:rFonts w:hint="eastAsia" w:ascii="仿宋" w:hAnsi="仿宋" w:eastAsia="仿宋"/>
          <w:color w:val="000000"/>
          <w:sz w:val="32"/>
          <w:szCs w:val="32"/>
          <w:lang w:val="en-US" w:eastAsia="zh-CN"/>
        </w:rPr>
        <w:t>年初预算比2024年少一个人</w:t>
      </w:r>
      <w:r>
        <w:rPr>
          <w:rFonts w:hint="eastAsia" w:ascii="仿宋" w:hAnsi="仿宋" w:eastAsia="仿宋"/>
          <w:color w:val="000000"/>
          <w:sz w:val="32"/>
          <w:szCs w:val="32"/>
        </w:rPr>
        <w:t>；</w:t>
      </w:r>
      <w:r>
        <w:rPr>
          <w:rFonts w:ascii="仿宋" w:hAnsi="仿宋" w:eastAsia="仿宋"/>
          <w:color w:val="000000"/>
          <w:sz w:val="32"/>
        </w:rPr>
        <w:t>支出总计</w:t>
      </w:r>
      <w:r>
        <w:rPr>
          <w:rFonts w:hint="eastAsia" w:ascii="仿宋" w:hAnsi="仿宋" w:eastAsia="仿宋"/>
          <w:color w:val="000000"/>
          <w:sz w:val="32"/>
        </w:rPr>
        <w:t>增加</w:t>
      </w:r>
      <w:r>
        <w:rPr>
          <w:rFonts w:hint="eastAsia" w:ascii="仿宋" w:hAnsi="仿宋" w:eastAsia="仿宋"/>
          <w:color w:val="000000"/>
          <w:sz w:val="32"/>
          <w:lang w:val="en-US" w:eastAsia="zh-CN"/>
        </w:rPr>
        <w:t>11.26</w:t>
      </w:r>
      <w:r>
        <w:rPr>
          <w:rFonts w:ascii="仿宋" w:hAnsi="仿宋" w:eastAsia="仿宋"/>
          <w:color w:val="000000"/>
          <w:sz w:val="32"/>
        </w:rPr>
        <w:t>万元，</w:t>
      </w:r>
      <w:r>
        <w:rPr>
          <w:rFonts w:hint="eastAsia" w:ascii="仿宋" w:hAnsi="仿宋" w:eastAsia="仿宋"/>
          <w:color w:val="000000"/>
          <w:sz w:val="32"/>
        </w:rPr>
        <w:t>增加</w:t>
      </w:r>
      <w:r>
        <w:rPr>
          <w:rFonts w:hint="eastAsia" w:ascii="仿宋" w:hAnsi="仿宋" w:eastAsia="仿宋"/>
          <w:color w:val="000000"/>
          <w:sz w:val="32"/>
          <w:lang w:val="en-US" w:eastAsia="zh-CN"/>
        </w:rPr>
        <w:t>6.71</w:t>
      </w:r>
      <w:r>
        <w:rPr>
          <w:rFonts w:ascii="仿宋" w:hAnsi="仿宋" w:eastAsia="仿宋"/>
          <w:color w:val="000000"/>
          <w:sz w:val="32"/>
        </w:rPr>
        <w:t>%</w:t>
      </w:r>
      <w:r>
        <w:rPr>
          <w:rFonts w:hint="eastAsia" w:ascii="仿宋" w:hAnsi="仿宋" w:eastAsia="仿宋"/>
          <w:color w:val="000000"/>
          <w:sz w:val="32"/>
        </w:rPr>
        <w:t>，</w:t>
      </w:r>
      <w:r>
        <w:rPr>
          <w:rFonts w:hint="eastAsia" w:ascii="仿宋" w:hAnsi="仿宋" w:eastAsia="仿宋"/>
          <w:color w:val="000000"/>
          <w:sz w:val="32"/>
          <w:szCs w:val="32"/>
        </w:rPr>
        <w:t>主要变动原因是</w:t>
      </w:r>
      <w:r>
        <w:rPr>
          <w:rFonts w:hint="eastAsia" w:ascii="仿宋" w:hAnsi="仿宋" w:eastAsia="仿宋"/>
          <w:color w:val="000000"/>
          <w:sz w:val="32"/>
          <w:szCs w:val="32"/>
          <w:lang w:val="en-US" w:eastAsia="zh-CN"/>
        </w:rPr>
        <w:t>2025年新进一人，追加预算</w:t>
      </w:r>
      <w:r>
        <w:rPr>
          <w:rFonts w:hint="eastAsia" w:ascii="仿宋" w:hAnsi="仿宋" w:eastAsia="仿宋"/>
          <w:color w:val="000000"/>
          <w:sz w:val="32"/>
          <w:szCs w:val="32"/>
        </w:rPr>
        <w:t xml:space="preserve">。 </w:t>
      </w:r>
    </w:p>
    <w:p w14:paraId="7AADB5D9">
      <w:pPr>
        <w:spacing w:line="600" w:lineRule="exact"/>
        <w:ind w:firstLine="640" w:firstLineChars="200"/>
        <w:rPr>
          <w:rFonts w:ascii="仿宋" w:hAnsi="仿宋" w:eastAsia="仿宋"/>
          <w:color w:val="000000"/>
          <w:sz w:val="32"/>
          <w:szCs w:val="32"/>
        </w:rPr>
      </w:pPr>
    </w:p>
    <w:p w14:paraId="42E80746">
      <w:pPr>
        <w:spacing w:line="600" w:lineRule="exact"/>
        <w:ind w:firstLine="640" w:firstLineChars="200"/>
        <w:rPr>
          <w:rFonts w:ascii="仿宋" w:hAnsi="仿宋" w:eastAsia="仿宋"/>
          <w:color w:val="000000"/>
          <w:sz w:val="32"/>
          <w:szCs w:val="32"/>
        </w:rPr>
      </w:pPr>
    </w:p>
    <w:p w14:paraId="503638B7">
      <w:pPr>
        <w:pStyle w:val="2"/>
        <w:rPr>
          <w:rFonts w:ascii="仿宋" w:hAnsi="仿宋" w:eastAsia="仿宋"/>
          <w:color w:val="000000"/>
          <w:sz w:val="32"/>
          <w:szCs w:val="32"/>
        </w:rPr>
      </w:pPr>
    </w:p>
    <w:p w14:paraId="35BFFABF">
      <w:pPr>
        <w:rPr>
          <w:rFonts w:ascii="仿宋" w:hAnsi="仿宋" w:eastAsia="仿宋"/>
          <w:color w:val="000000"/>
          <w:sz w:val="32"/>
          <w:szCs w:val="32"/>
        </w:rPr>
      </w:pPr>
    </w:p>
    <w:p w14:paraId="60C01A4F">
      <w:pPr>
        <w:pStyle w:val="2"/>
      </w:pPr>
    </w:p>
    <w:p w14:paraId="0F8A4881">
      <w:pPr>
        <w:spacing w:line="600" w:lineRule="exact"/>
        <w:rPr>
          <w:rFonts w:ascii="仿宋" w:hAnsi="仿宋" w:eastAsia="仿宋"/>
          <w:color w:val="000000"/>
          <w:sz w:val="32"/>
          <w:szCs w:val="32"/>
        </w:rPr>
      </w:pPr>
    </w:p>
    <w:p w14:paraId="00F50DCA">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（图4：财政拨款收、支决算总计变动情况）</w:t>
      </w:r>
    </w:p>
    <w:p w14:paraId="241AA893">
      <w:pPr>
        <w:pStyle w:val="7"/>
        <w:ind w:firstLine="0"/>
      </w:pPr>
      <w:r>
        <w:drawing>
          <wp:inline distT="0" distB="0" distL="0" distR="0">
            <wp:extent cx="5274310" cy="3076575"/>
            <wp:effectExtent l="19050" t="0" r="21590" b="0"/>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85A1BF9">
      <w:pPr>
        <w:pStyle w:val="7"/>
        <w:ind w:firstLine="0"/>
        <w:jc w:val="left"/>
      </w:pPr>
    </w:p>
    <w:p w14:paraId="742A5DA3">
      <w:pPr>
        <w:pStyle w:val="7"/>
        <w:jc w:val="center"/>
      </w:pPr>
    </w:p>
    <w:p w14:paraId="51BCC0E4">
      <w:pPr>
        <w:pStyle w:val="5"/>
        <w:ind w:firstLine="643" w:firstLineChars="200"/>
        <w:rPr>
          <w:rFonts w:ascii="黑体" w:eastAsia="黑体" w:cs="Times New Roman"/>
          <w:bCs w:val="0"/>
          <w:color w:val="000000"/>
        </w:rPr>
      </w:pPr>
      <w:bookmarkStart w:id="42" w:name="_Toc15377209"/>
      <w:bookmarkStart w:id="43" w:name="_Toc7383"/>
      <w:bookmarkStart w:id="44" w:name="_Toc111208503"/>
      <w:r>
        <w:rPr>
          <w:rFonts w:hint="eastAsia" w:ascii="黑体" w:eastAsia="黑体" w:cs="Times New Roman"/>
          <w:bCs w:val="0"/>
          <w:color w:val="000000"/>
        </w:rPr>
        <w:t>五、一般公共预算财政拨款支出决算情况说</w:t>
      </w:r>
      <w:bookmarkEnd w:id="42"/>
      <w:r>
        <w:rPr>
          <w:rFonts w:hint="eastAsia" w:ascii="黑体" w:eastAsia="黑体" w:cs="Times New Roman"/>
          <w:bCs w:val="0"/>
          <w:color w:val="000000"/>
        </w:rPr>
        <w:t>明</w:t>
      </w:r>
      <w:bookmarkEnd w:id="43"/>
      <w:bookmarkEnd w:id="44"/>
    </w:p>
    <w:p w14:paraId="048BD7AA">
      <w:pPr>
        <w:spacing w:line="600" w:lineRule="exact"/>
        <w:ind w:firstLine="643" w:firstLineChars="200"/>
        <w:outlineLvl w:val="2"/>
        <w:rPr>
          <w:rFonts w:ascii="仿宋" w:hAnsi="仿宋" w:eastAsia="仿宋"/>
          <w:b/>
          <w:color w:val="000000"/>
          <w:sz w:val="32"/>
          <w:szCs w:val="32"/>
        </w:rPr>
      </w:pPr>
      <w:bookmarkStart w:id="45" w:name="_Toc15377210"/>
      <w:r>
        <w:rPr>
          <w:rFonts w:hint="eastAsia" w:ascii="仿宋" w:hAnsi="仿宋" w:eastAsia="仿宋"/>
          <w:b/>
          <w:color w:val="000000"/>
          <w:sz w:val="32"/>
          <w:szCs w:val="32"/>
        </w:rPr>
        <w:t>（一）一般公共预算财政拨款支出决算总体情况</w:t>
      </w:r>
      <w:bookmarkEnd w:id="45"/>
    </w:p>
    <w:p w14:paraId="7F0FD5C2">
      <w:pPr>
        <w:spacing w:line="560" w:lineRule="exact"/>
        <w:ind w:firstLine="640" w:firstLineChars="200"/>
        <w:rPr>
          <w:rFonts w:ascii="仿宋" w:hAnsi="仿宋" w:eastAsia="仿宋"/>
          <w:color w:val="000000"/>
          <w:sz w:val="32"/>
          <w:szCs w:val="32"/>
        </w:rPr>
      </w:pPr>
      <w:bookmarkStart w:id="46" w:name="_Toc15377211"/>
      <w:r>
        <w:rPr>
          <w:rFonts w:hint="eastAsia" w:ascii="仿宋" w:hAnsi="仿宋" w:eastAsia="仿宋"/>
          <w:color w:val="000000"/>
          <w:sz w:val="32"/>
          <w:szCs w:val="32"/>
        </w:rPr>
        <w:t>202</w:t>
      </w:r>
      <w:r>
        <w:rPr>
          <w:rFonts w:hint="eastAsia" w:ascii="仿宋" w:hAnsi="仿宋" w:eastAsia="仿宋"/>
          <w:color w:val="000000"/>
          <w:sz w:val="32"/>
          <w:szCs w:val="32"/>
          <w:lang w:val="en-US" w:eastAsia="zh-CN"/>
        </w:rPr>
        <w:t>5</w:t>
      </w:r>
      <w:r>
        <w:rPr>
          <w:rFonts w:ascii="仿宋" w:hAnsi="仿宋" w:eastAsia="仿宋"/>
          <w:color w:val="000000"/>
          <w:sz w:val="32"/>
        </w:rPr>
        <w:t>年一般公共预算财政拨款支出</w:t>
      </w:r>
      <w:r>
        <w:rPr>
          <w:rFonts w:hint="eastAsia" w:ascii="仿宋" w:hAnsi="仿宋" w:eastAsia="仿宋"/>
          <w:color w:val="000000"/>
          <w:sz w:val="32"/>
          <w:lang w:val="en-US" w:eastAsia="zh-CN"/>
        </w:rPr>
        <w:t>179.09</w:t>
      </w:r>
      <w:r>
        <w:rPr>
          <w:rFonts w:hint="eastAsia" w:ascii="仿宋" w:hAnsi="仿宋" w:eastAsia="仿宋"/>
          <w:color w:val="000000"/>
          <w:sz w:val="32"/>
          <w:szCs w:val="32"/>
        </w:rPr>
        <w:t>万元，占本年支出合计的</w:t>
      </w:r>
      <w:r>
        <w:rPr>
          <w:rFonts w:ascii="仿宋" w:hAnsi="仿宋" w:eastAsia="仿宋"/>
          <w:color w:val="000000"/>
          <w:sz w:val="32"/>
        </w:rPr>
        <w:t>100.00</w:t>
      </w:r>
      <w:r>
        <w:rPr>
          <w:rFonts w:hint="eastAsia" w:ascii="仿宋" w:hAnsi="仿宋" w:eastAsia="仿宋"/>
          <w:color w:val="000000"/>
          <w:sz w:val="32"/>
          <w:szCs w:val="32"/>
        </w:rPr>
        <w:t>%。与</w:t>
      </w:r>
      <w:r>
        <w:rPr>
          <w:rFonts w:hint="eastAsia" w:ascii="仿宋" w:hAnsi="仿宋" w:eastAsia="仿宋"/>
          <w:color w:val="000000"/>
          <w:sz w:val="32"/>
        </w:rPr>
        <w:t>202</w:t>
      </w:r>
      <w:r>
        <w:rPr>
          <w:rFonts w:hint="eastAsia" w:ascii="仿宋" w:hAnsi="仿宋" w:eastAsia="仿宋"/>
          <w:color w:val="000000"/>
          <w:sz w:val="32"/>
          <w:lang w:val="en-US" w:eastAsia="zh-CN"/>
        </w:rPr>
        <w:t>4</w:t>
      </w:r>
      <w:r>
        <w:rPr>
          <w:rFonts w:ascii="仿宋" w:hAnsi="仿宋" w:eastAsia="仿宋"/>
          <w:color w:val="000000"/>
          <w:sz w:val="32"/>
        </w:rPr>
        <w:t>相比，一般公共预算财政拨款</w:t>
      </w:r>
      <w:r>
        <w:rPr>
          <w:rFonts w:hint="eastAsia" w:ascii="仿宋" w:hAnsi="仿宋" w:eastAsia="仿宋"/>
          <w:color w:val="000000"/>
          <w:sz w:val="32"/>
        </w:rPr>
        <w:t>增加</w:t>
      </w:r>
      <w:r>
        <w:rPr>
          <w:rFonts w:hint="eastAsia" w:ascii="仿宋" w:hAnsi="仿宋" w:eastAsia="仿宋"/>
          <w:color w:val="000000"/>
          <w:sz w:val="32"/>
          <w:lang w:val="en-US" w:eastAsia="zh-CN"/>
        </w:rPr>
        <w:t>11.26</w:t>
      </w:r>
      <w:r>
        <w:rPr>
          <w:rFonts w:ascii="仿宋" w:hAnsi="仿宋" w:eastAsia="仿宋"/>
          <w:color w:val="000000"/>
          <w:sz w:val="32"/>
        </w:rPr>
        <w:t>万元，</w:t>
      </w:r>
      <w:r>
        <w:rPr>
          <w:rFonts w:hint="eastAsia" w:ascii="仿宋" w:hAnsi="仿宋" w:eastAsia="仿宋"/>
          <w:color w:val="000000"/>
          <w:sz w:val="32"/>
        </w:rPr>
        <w:t>增加</w:t>
      </w:r>
      <w:r>
        <w:rPr>
          <w:rFonts w:hint="eastAsia" w:ascii="仿宋" w:hAnsi="仿宋" w:eastAsia="仿宋"/>
          <w:color w:val="000000"/>
          <w:sz w:val="32"/>
          <w:lang w:val="en-US" w:eastAsia="zh-CN"/>
        </w:rPr>
        <w:t>6.71</w:t>
      </w:r>
      <w:r>
        <w:rPr>
          <w:rFonts w:hint="eastAsia" w:ascii="仿宋" w:hAnsi="仿宋" w:eastAsia="仿宋"/>
          <w:color w:val="000000"/>
          <w:sz w:val="32"/>
          <w:szCs w:val="32"/>
        </w:rPr>
        <w:t>%。主要变动原因是</w:t>
      </w:r>
      <w:r>
        <w:rPr>
          <w:rFonts w:hint="eastAsia" w:ascii="仿宋" w:hAnsi="仿宋" w:eastAsia="仿宋"/>
          <w:color w:val="000000"/>
          <w:sz w:val="32"/>
          <w:szCs w:val="32"/>
          <w:lang w:val="en-US" w:eastAsia="zh-CN"/>
        </w:rPr>
        <w:t>2025年新进一人，追加预算</w:t>
      </w:r>
      <w:r>
        <w:rPr>
          <w:rFonts w:hint="eastAsia" w:ascii="仿宋" w:hAnsi="仿宋" w:eastAsia="仿宋"/>
          <w:color w:val="000000"/>
          <w:sz w:val="32"/>
          <w:szCs w:val="32"/>
        </w:rPr>
        <w:t xml:space="preserve">。 </w:t>
      </w:r>
    </w:p>
    <w:p w14:paraId="2F5AF4E2">
      <w:pPr>
        <w:pStyle w:val="7"/>
        <w:rPr>
          <w:rFonts w:ascii="仿宋" w:hAnsi="仿宋" w:eastAsia="仿宋"/>
          <w:color w:val="000000"/>
          <w:sz w:val="32"/>
        </w:rPr>
      </w:pPr>
    </w:p>
    <w:p w14:paraId="2FB776B9">
      <w:pPr>
        <w:pStyle w:val="7"/>
        <w:rPr>
          <w:rFonts w:ascii="仿宋" w:hAnsi="仿宋" w:eastAsia="仿宋"/>
          <w:color w:val="000000"/>
          <w:sz w:val="32"/>
        </w:rPr>
      </w:pPr>
    </w:p>
    <w:p w14:paraId="1D72EEED">
      <w:pPr>
        <w:pStyle w:val="7"/>
        <w:rPr>
          <w:rFonts w:ascii="仿宋" w:hAnsi="仿宋" w:eastAsia="仿宋"/>
          <w:color w:val="000000"/>
          <w:sz w:val="32"/>
        </w:rPr>
      </w:pPr>
    </w:p>
    <w:p w14:paraId="4CD6DF12">
      <w:pPr>
        <w:pStyle w:val="7"/>
        <w:rPr>
          <w:rFonts w:ascii="仿宋" w:hAnsi="仿宋" w:eastAsia="仿宋"/>
          <w:color w:val="000000"/>
          <w:sz w:val="32"/>
        </w:rPr>
      </w:pPr>
    </w:p>
    <w:p w14:paraId="4FCDC416">
      <w:pPr>
        <w:pStyle w:val="7"/>
        <w:rPr>
          <w:rFonts w:ascii="仿宋" w:hAnsi="仿宋" w:eastAsia="仿宋"/>
          <w:color w:val="000000"/>
          <w:sz w:val="32"/>
        </w:rPr>
      </w:pPr>
    </w:p>
    <w:p w14:paraId="01F5B7D7">
      <w:pPr>
        <w:spacing w:line="600" w:lineRule="exact"/>
        <w:ind w:firstLine="640" w:firstLineChars="200"/>
        <w:rPr>
          <w:rFonts w:ascii="仿宋_GB2312" w:hAnsi="仿宋" w:eastAsia="仿宋_GB2312"/>
          <w:b/>
          <w:color w:val="000000"/>
          <w:sz w:val="32"/>
          <w:szCs w:val="32"/>
        </w:rPr>
      </w:pPr>
      <w:r>
        <w:rPr>
          <w:rFonts w:hint="eastAsia" w:ascii="仿宋" w:hAnsi="仿宋" w:eastAsia="仿宋"/>
          <w:color w:val="000000"/>
          <w:sz w:val="32"/>
          <w:szCs w:val="32"/>
        </w:rPr>
        <w:t>（图5：一般公共预算财政拨款支出决算变动情况）</w:t>
      </w:r>
    </w:p>
    <w:p w14:paraId="50E9A3FC">
      <w:pPr>
        <w:pStyle w:val="7"/>
        <w:ind w:firstLine="0"/>
        <w:rPr>
          <w:rFonts w:ascii="仿宋_GB2312" w:hAnsi="仿宋" w:eastAsia="仿宋_GB2312"/>
          <w:b/>
          <w:color w:val="000000"/>
          <w:sz w:val="32"/>
          <w:szCs w:val="32"/>
        </w:rPr>
      </w:pPr>
      <w:r>
        <w:rPr>
          <w:rFonts w:hint="eastAsia" w:ascii="仿宋_GB2312" w:hAnsi="仿宋" w:eastAsia="仿宋_GB2312"/>
          <w:b/>
          <w:color w:val="000000"/>
          <w:sz w:val="32"/>
          <w:szCs w:val="32"/>
        </w:rPr>
        <w:t xml:space="preserve">   </w:t>
      </w:r>
    </w:p>
    <w:p w14:paraId="4B48E10E">
      <w:pPr>
        <w:pStyle w:val="7"/>
        <w:ind w:firstLine="0"/>
        <w:rPr>
          <w:rFonts w:ascii="仿宋_GB2312" w:hAnsi="仿宋" w:eastAsia="仿宋_GB2312"/>
          <w:b/>
          <w:color w:val="000000"/>
          <w:sz w:val="32"/>
          <w:szCs w:val="32"/>
        </w:rPr>
      </w:pPr>
      <w:r>
        <w:rPr>
          <w:rFonts w:ascii="仿宋_GB2312" w:hAnsi="仿宋" w:eastAsia="仿宋_GB2312"/>
          <w:b/>
          <w:color w:val="000000"/>
          <w:sz w:val="32"/>
          <w:szCs w:val="32"/>
        </w:rPr>
        <w:drawing>
          <wp:inline distT="0" distB="0" distL="0" distR="0">
            <wp:extent cx="5274310" cy="3076575"/>
            <wp:effectExtent l="19050" t="0" r="21590" b="0"/>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8A7B4ED">
      <w:pPr>
        <w:spacing w:line="600" w:lineRule="exact"/>
        <w:ind w:firstLine="643" w:firstLineChars="200"/>
        <w:outlineLvl w:val="2"/>
        <w:rPr>
          <w:rFonts w:ascii="仿宋" w:hAnsi="仿宋" w:eastAsia="仿宋"/>
          <w:b/>
          <w:color w:val="000000"/>
          <w:sz w:val="32"/>
          <w:szCs w:val="32"/>
        </w:rPr>
      </w:pPr>
      <w:r>
        <w:rPr>
          <w:rFonts w:hint="eastAsia" w:ascii="仿宋" w:hAnsi="仿宋" w:eastAsia="仿宋"/>
          <w:b/>
          <w:color w:val="000000"/>
          <w:sz w:val="32"/>
          <w:szCs w:val="32"/>
        </w:rPr>
        <w:t>（二）一般公共预算财政拨款支出决算结构情况</w:t>
      </w:r>
      <w:bookmarkEnd w:id="46"/>
      <w:r>
        <w:rPr>
          <w:rFonts w:hint="eastAsia" w:ascii="仿宋" w:hAnsi="仿宋" w:eastAsia="仿宋"/>
          <w:b/>
          <w:color w:val="000000"/>
          <w:sz w:val="32"/>
          <w:szCs w:val="32"/>
        </w:rPr>
        <w:t>（一般公共预算收支表）</w:t>
      </w:r>
    </w:p>
    <w:p w14:paraId="5540B8B6">
      <w:pPr>
        <w:spacing w:line="600" w:lineRule="exact"/>
        <w:ind w:firstLine="640" w:firstLineChars="200"/>
        <w:rPr>
          <w:rFonts w:ascii="仿宋_GB2312" w:hAnsi="仿宋" w:eastAsia="仿宋_GB2312"/>
          <w:color w:val="000000" w:themeColor="text1"/>
          <w:sz w:val="32"/>
          <w:szCs w:val="32"/>
          <w14:textFill>
            <w14:solidFill>
              <w14:schemeClr w14:val="tx1"/>
            </w14:solidFill>
          </w14:textFill>
        </w:rPr>
      </w:pPr>
      <w:r>
        <w:rPr>
          <w:rFonts w:hint="eastAsia" w:ascii="仿宋" w:hAnsi="仿宋" w:eastAsia="仿宋"/>
          <w:color w:val="000000"/>
          <w:sz w:val="32"/>
          <w:szCs w:val="32"/>
        </w:rPr>
        <w:t>202</w:t>
      </w:r>
      <w:r>
        <w:rPr>
          <w:rFonts w:hint="eastAsia" w:ascii="仿宋" w:hAnsi="仿宋" w:eastAsia="仿宋"/>
          <w:color w:val="000000"/>
          <w:sz w:val="32"/>
          <w:szCs w:val="32"/>
          <w:lang w:val="en-US" w:eastAsia="zh-CN"/>
        </w:rPr>
        <w:t>5</w:t>
      </w:r>
      <w:r>
        <w:rPr>
          <w:rFonts w:ascii="仿宋" w:hAnsi="仿宋" w:eastAsia="仿宋"/>
          <w:color w:val="000000"/>
          <w:sz w:val="32"/>
        </w:rPr>
        <w:t>年一般公共预算财政拨款支出</w:t>
      </w:r>
      <w:r>
        <w:rPr>
          <w:rFonts w:hint="eastAsia" w:ascii="仿宋" w:hAnsi="仿宋" w:eastAsia="仿宋"/>
          <w:color w:val="000000"/>
          <w:sz w:val="32"/>
          <w:lang w:val="en-US" w:eastAsia="zh-CN"/>
        </w:rPr>
        <w:t>179.09</w:t>
      </w:r>
      <w:r>
        <w:rPr>
          <w:rFonts w:hint="eastAsia" w:ascii="仿宋" w:hAnsi="仿宋" w:eastAsia="仿宋"/>
          <w:color w:val="000000"/>
          <w:sz w:val="32"/>
          <w:szCs w:val="32"/>
        </w:rPr>
        <w:t>万元，主要用于以下方面</w:t>
      </w:r>
      <w:r>
        <w:rPr>
          <w:rFonts w:hint="eastAsia" w:ascii="仿宋" w:hAnsi="仿宋" w:eastAsia="仿宋"/>
          <w:color w:val="000000"/>
          <w:sz w:val="32"/>
          <w:szCs w:val="32"/>
          <w:lang w:eastAsia="zh-CN"/>
        </w:rPr>
        <w:t>：</w:t>
      </w:r>
      <w:r>
        <w:rPr>
          <w:rFonts w:hint="eastAsia" w:ascii="仿宋" w:hAnsi="仿宋" w:eastAsia="仿宋"/>
          <w:color w:val="000000"/>
          <w:sz w:val="32"/>
          <w:szCs w:val="32"/>
        </w:rPr>
        <w:t xml:space="preserve"> </w:t>
      </w:r>
      <w:r>
        <w:rPr>
          <w:rFonts w:ascii="仿宋" w:hAnsi="仿宋" w:eastAsia="仿宋"/>
          <w:color w:val="000000"/>
          <w:sz w:val="32"/>
        </w:rPr>
        <w:t>社会保障和就业支出</w:t>
      </w:r>
      <w:r>
        <w:rPr>
          <w:rFonts w:hint="eastAsia" w:ascii="仿宋" w:hAnsi="仿宋" w:eastAsia="仿宋"/>
          <w:color w:val="000000"/>
          <w:sz w:val="32"/>
          <w:lang w:val="en-US" w:eastAsia="zh-CN"/>
        </w:rPr>
        <w:t>28.37</w:t>
      </w:r>
      <w:r>
        <w:rPr>
          <w:rFonts w:ascii="仿宋" w:hAnsi="仿宋" w:eastAsia="仿宋"/>
          <w:color w:val="000000"/>
          <w:sz w:val="32"/>
        </w:rPr>
        <w:t>万元，占</w:t>
      </w:r>
      <w:r>
        <w:rPr>
          <w:rFonts w:hint="eastAsia" w:ascii="仿宋" w:hAnsi="仿宋" w:eastAsia="仿宋"/>
          <w:color w:val="000000"/>
          <w:sz w:val="32"/>
        </w:rPr>
        <w:t>1</w:t>
      </w:r>
      <w:r>
        <w:rPr>
          <w:rFonts w:hint="eastAsia" w:ascii="仿宋" w:hAnsi="仿宋" w:eastAsia="仿宋"/>
          <w:color w:val="000000"/>
          <w:sz w:val="32"/>
          <w:lang w:val="en-US" w:eastAsia="zh-CN"/>
        </w:rPr>
        <w:t>5.84</w:t>
      </w:r>
      <w:r>
        <w:rPr>
          <w:rFonts w:ascii="仿宋" w:hAnsi="仿宋" w:eastAsia="仿宋"/>
          <w:color w:val="000000"/>
          <w:sz w:val="32"/>
        </w:rPr>
        <w:t>%；卫生健康支出</w:t>
      </w:r>
      <w:r>
        <w:rPr>
          <w:rFonts w:hint="eastAsia" w:ascii="仿宋" w:hAnsi="仿宋" w:eastAsia="仿宋"/>
          <w:color w:val="000000"/>
          <w:sz w:val="32"/>
        </w:rPr>
        <w:t>11.</w:t>
      </w:r>
      <w:r>
        <w:rPr>
          <w:rFonts w:hint="eastAsia" w:ascii="仿宋" w:hAnsi="仿宋" w:eastAsia="仿宋"/>
          <w:color w:val="000000"/>
          <w:sz w:val="32"/>
          <w:lang w:val="en-US" w:eastAsia="zh-CN"/>
        </w:rPr>
        <w:t>06</w:t>
      </w:r>
      <w:r>
        <w:rPr>
          <w:rFonts w:ascii="仿宋" w:hAnsi="仿宋" w:eastAsia="仿宋"/>
          <w:color w:val="000000"/>
          <w:sz w:val="32"/>
        </w:rPr>
        <w:t>万元，占</w:t>
      </w:r>
      <w:r>
        <w:rPr>
          <w:rFonts w:hint="eastAsia" w:ascii="仿宋" w:hAnsi="仿宋" w:eastAsia="仿宋"/>
          <w:color w:val="000000"/>
          <w:sz w:val="32"/>
        </w:rPr>
        <w:t>6.</w:t>
      </w:r>
      <w:r>
        <w:rPr>
          <w:rFonts w:hint="eastAsia" w:ascii="仿宋" w:hAnsi="仿宋" w:eastAsia="仿宋"/>
          <w:color w:val="000000"/>
          <w:sz w:val="32"/>
          <w:lang w:val="en-US" w:eastAsia="zh-CN"/>
        </w:rPr>
        <w:t>18</w:t>
      </w:r>
      <w:r>
        <w:rPr>
          <w:rFonts w:ascii="仿宋" w:hAnsi="仿宋" w:eastAsia="仿宋"/>
          <w:color w:val="000000"/>
          <w:sz w:val="32"/>
        </w:rPr>
        <w:t>%；节能环保支出</w:t>
      </w:r>
      <w:r>
        <w:rPr>
          <w:rFonts w:hint="eastAsia" w:ascii="仿宋" w:hAnsi="仿宋" w:eastAsia="仿宋"/>
          <w:color w:val="000000"/>
          <w:sz w:val="32"/>
        </w:rPr>
        <w:t>1</w:t>
      </w:r>
      <w:r>
        <w:rPr>
          <w:rFonts w:hint="eastAsia" w:ascii="仿宋" w:hAnsi="仿宋" w:eastAsia="仿宋"/>
          <w:color w:val="000000"/>
          <w:sz w:val="32"/>
          <w:lang w:val="en-US" w:eastAsia="zh-CN"/>
        </w:rPr>
        <w:t>23.34</w:t>
      </w:r>
      <w:r>
        <w:rPr>
          <w:rFonts w:ascii="仿宋" w:hAnsi="仿宋" w:eastAsia="仿宋"/>
          <w:color w:val="000000"/>
          <w:sz w:val="32"/>
        </w:rPr>
        <w:t>万元，占</w:t>
      </w:r>
      <w:r>
        <w:rPr>
          <w:rFonts w:hint="eastAsia" w:ascii="仿宋" w:hAnsi="仿宋" w:eastAsia="仿宋"/>
          <w:color w:val="000000"/>
          <w:sz w:val="32"/>
        </w:rPr>
        <w:t>6</w:t>
      </w:r>
      <w:r>
        <w:rPr>
          <w:rFonts w:hint="eastAsia" w:ascii="仿宋" w:hAnsi="仿宋" w:eastAsia="仿宋"/>
          <w:color w:val="000000"/>
          <w:sz w:val="32"/>
          <w:lang w:val="en-US" w:eastAsia="zh-CN"/>
        </w:rPr>
        <w:t>8.87</w:t>
      </w:r>
      <w:r>
        <w:rPr>
          <w:rFonts w:ascii="仿宋" w:hAnsi="仿宋" w:eastAsia="仿宋"/>
          <w:color w:val="000000"/>
          <w:sz w:val="32"/>
        </w:rPr>
        <w:t>%；住房保障支出</w:t>
      </w:r>
      <w:r>
        <w:rPr>
          <w:rFonts w:hint="eastAsia" w:ascii="仿宋" w:hAnsi="仿宋" w:eastAsia="仿宋"/>
          <w:color w:val="000000"/>
          <w:sz w:val="32"/>
        </w:rPr>
        <w:t>1</w:t>
      </w:r>
      <w:r>
        <w:rPr>
          <w:rFonts w:hint="eastAsia" w:ascii="仿宋" w:hAnsi="仿宋" w:eastAsia="仿宋"/>
          <w:color w:val="000000"/>
          <w:sz w:val="32"/>
          <w:lang w:val="en-US" w:eastAsia="zh-CN"/>
        </w:rPr>
        <w:t>6.33</w:t>
      </w:r>
      <w:r>
        <w:rPr>
          <w:rFonts w:ascii="仿宋" w:hAnsi="仿宋" w:eastAsia="仿宋"/>
          <w:color w:val="000000"/>
          <w:sz w:val="32"/>
        </w:rPr>
        <w:t>万元，占</w:t>
      </w:r>
      <w:r>
        <w:rPr>
          <w:rFonts w:hint="eastAsia" w:ascii="仿宋" w:hAnsi="仿宋" w:eastAsia="仿宋"/>
          <w:color w:val="000000"/>
          <w:sz w:val="32"/>
          <w:lang w:val="en-US" w:eastAsia="zh-CN"/>
        </w:rPr>
        <w:t>9.12</w:t>
      </w:r>
      <w:r>
        <w:rPr>
          <w:rFonts w:ascii="仿宋" w:hAnsi="仿宋" w:eastAsia="仿宋"/>
          <w:color w:val="000000"/>
          <w:sz w:val="32"/>
        </w:rPr>
        <w:t>%。</w:t>
      </w:r>
    </w:p>
    <w:p w14:paraId="58CAD24E">
      <w:pPr>
        <w:spacing w:line="600" w:lineRule="exact"/>
        <w:ind w:firstLine="640" w:firstLineChars="200"/>
        <w:rPr>
          <w:rFonts w:ascii="仿宋" w:hAnsi="仿宋" w:eastAsia="仿宋"/>
          <w:color w:val="000000"/>
          <w:sz w:val="32"/>
          <w:szCs w:val="32"/>
        </w:rPr>
      </w:pPr>
    </w:p>
    <w:p w14:paraId="04F853B2">
      <w:pPr>
        <w:spacing w:line="600" w:lineRule="exact"/>
        <w:ind w:firstLine="640" w:firstLineChars="200"/>
        <w:rPr>
          <w:rFonts w:ascii="仿宋" w:hAnsi="仿宋" w:eastAsia="仿宋"/>
          <w:color w:val="000000"/>
          <w:sz w:val="32"/>
          <w:szCs w:val="32"/>
        </w:rPr>
      </w:pPr>
    </w:p>
    <w:p w14:paraId="5FE526C9">
      <w:pPr>
        <w:pStyle w:val="22"/>
        <w:rPr>
          <w:rFonts w:ascii="仿宋" w:hAnsi="仿宋" w:eastAsia="仿宋"/>
          <w:color w:val="000000"/>
          <w:sz w:val="32"/>
          <w:szCs w:val="32"/>
        </w:rPr>
      </w:pPr>
    </w:p>
    <w:p w14:paraId="57C08217">
      <w:pPr>
        <w:pStyle w:val="22"/>
        <w:rPr>
          <w:rFonts w:ascii="仿宋" w:hAnsi="仿宋" w:eastAsia="仿宋"/>
          <w:color w:val="000000"/>
          <w:sz w:val="32"/>
          <w:szCs w:val="32"/>
        </w:rPr>
      </w:pPr>
    </w:p>
    <w:p w14:paraId="3E6A9BB4">
      <w:pPr>
        <w:spacing w:line="600" w:lineRule="exact"/>
        <w:ind w:firstLine="640" w:firstLineChars="200"/>
        <w:rPr>
          <w:rFonts w:ascii="仿宋" w:hAnsi="仿宋" w:eastAsia="仿宋"/>
          <w:color w:val="000000"/>
          <w:sz w:val="32"/>
          <w:szCs w:val="32"/>
        </w:rPr>
      </w:pPr>
    </w:p>
    <w:p w14:paraId="4DBB9140">
      <w:pPr>
        <w:spacing w:line="600" w:lineRule="exact"/>
        <w:ind w:firstLine="640" w:firstLineChars="200"/>
        <w:rPr>
          <w:rFonts w:ascii="仿宋" w:hAnsi="仿宋" w:eastAsia="仿宋"/>
          <w:color w:val="000000"/>
          <w:sz w:val="32"/>
          <w:szCs w:val="32"/>
        </w:rPr>
      </w:pPr>
    </w:p>
    <w:p w14:paraId="2A276CFD">
      <w:pPr>
        <w:spacing w:line="600" w:lineRule="exact"/>
        <w:ind w:firstLine="640" w:firstLineChars="200"/>
        <w:rPr>
          <w:rFonts w:ascii="仿宋" w:hAnsi="仿宋" w:eastAsia="仿宋"/>
          <w:color w:val="000000"/>
          <w:sz w:val="32"/>
          <w:szCs w:val="32"/>
        </w:rPr>
      </w:pPr>
    </w:p>
    <w:p w14:paraId="16D1516E">
      <w:pPr>
        <w:spacing w:line="600" w:lineRule="exact"/>
        <w:ind w:firstLine="960" w:firstLineChars="300"/>
        <w:rPr>
          <w:rFonts w:ascii="仿宋" w:hAnsi="仿宋" w:eastAsia="仿宋"/>
          <w:color w:val="000000"/>
          <w:sz w:val="32"/>
          <w:szCs w:val="32"/>
        </w:rPr>
      </w:pPr>
      <w:r>
        <w:rPr>
          <w:rFonts w:hint="eastAsia" w:ascii="仿宋" w:hAnsi="仿宋" w:eastAsia="仿宋"/>
          <w:color w:val="000000"/>
          <w:sz w:val="32"/>
          <w:szCs w:val="32"/>
        </w:rPr>
        <w:t>（图6：一般公共预算财政拨款支出决算结构）</w:t>
      </w:r>
      <w:bookmarkStart w:id="47" w:name="_Toc15377212"/>
    </w:p>
    <w:p w14:paraId="7E9058B5">
      <w:pPr>
        <w:pStyle w:val="7"/>
      </w:pPr>
      <w:r>
        <w:drawing>
          <wp:inline distT="0" distB="0" distL="0" distR="0">
            <wp:extent cx="5274310" cy="3076575"/>
            <wp:effectExtent l="19050" t="0" r="21590" b="0"/>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F16E3AE">
      <w:pPr>
        <w:spacing w:line="560" w:lineRule="exact"/>
        <w:ind w:firstLine="643" w:firstLineChars="200"/>
        <w:outlineLvl w:val="2"/>
        <w:rPr>
          <w:rFonts w:ascii="仿宋" w:hAnsi="仿宋" w:eastAsia="仿宋"/>
          <w:b/>
          <w:color w:val="000000"/>
          <w:sz w:val="32"/>
          <w:szCs w:val="32"/>
        </w:rPr>
      </w:pPr>
      <w:r>
        <w:rPr>
          <w:rFonts w:hint="eastAsia" w:ascii="仿宋" w:hAnsi="仿宋" w:eastAsia="仿宋"/>
          <w:b/>
          <w:color w:val="000000"/>
          <w:sz w:val="32"/>
          <w:szCs w:val="32"/>
        </w:rPr>
        <w:t>（三）一般公共预算财政拨款支出决算具体情况</w:t>
      </w:r>
      <w:bookmarkEnd w:id="47"/>
    </w:p>
    <w:p w14:paraId="17B03E17">
      <w:pPr>
        <w:spacing w:line="560" w:lineRule="exact"/>
        <w:ind w:firstLine="640"/>
        <w:rPr>
          <w:rFonts w:ascii="仿宋" w:hAnsi="仿宋" w:eastAsia="仿宋"/>
          <w:color w:val="000000"/>
          <w:sz w:val="32"/>
          <w:szCs w:val="32"/>
        </w:rPr>
      </w:pPr>
      <w:bookmarkStart w:id="48" w:name="_Toc15377213"/>
      <w:bookmarkStart w:id="49" w:name="_Toc15378460"/>
      <w:bookmarkStart w:id="50" w:name="_Toc15377444"/>
      <w:r>
        <w:rPr>
          <w:rFonts w:hint="eastAsia" w:ascii="仿宋" w:hAnsi="仿宋" w:eastAsia="仿宋"/>
          <w:color w:val="000000"/>
          <w:sz w:val="32"/>
          <w:szCs w:val="32"/>
        </w:rPr>
        <w:t>202</w:t>
      </w:r>
      <w:r>
        <w:rPr>
          <w:rFonts w:hint="eastAsia" w:ascii="仿宋" w:hAnsi="仿宋" w:eastAsia="仿宋"/>
          <w:color w:val="000000"/>
          <w:sz w:val="32"/>
          <w:szCs w:val="32"/>
          <w:lang w:val="en-US" w:eastAsia="zh-CN"/>
        </w:rPr>
        <w:t>5</w:t>
      </w:r>
      <w:r>
        <w:rPr>
          <w:rFonts w:ascii="仿宋" w:hAnsi="仿宋" w:eastAsia="仿宋"/>
          <w:color w:val="000000"/>
          <w:sz w:val="32"/>
        </w:rPr>
        <w:t>年一般公共预算支出决算数为</w:t>
      </w:r>
      <w:r>
        <w:rPr>
          <w:rFonts w:hint="eastAsia" w:ascii="仿宋" w:hAnsi="仿宋" w:eastAsia="仿宋"/>
          <w:color w:val="000000"/>
          <w:sz w:val="32"/>
          <w:lang w:val="en-US" w:eastAsia="zh-CN"/>
        </w:rPr>
        <w:t>179.09</w:t>
      </w:r>
      <w:r>
        <w:rPr>
          <w:rFonts w:hint="eastAsia" w:ascii="仿宋" w:hAnsi="仿宋" w:eastAsia="仿宋"/>
          <w:color w:val="000000"/>
          <w:sz w:val="32"/>
          <w:szCs w:val="32"/>
        </w:rPr>
        <w:t>万元，完成预算100%。其中：</w:t>
      </w:r>
      <w:bookmarkEnd w:id="48"/>
      <w:bookmarkEnd w:id="49"/>
      <w:bookmarkEnd w:id="50"/>
    </w:p>
    <w:p w14:paraId="7791A6B2">
      <w:pPr>
        <w:spacing w:line="560" w:lineRule="exact"/>
        <w:ind w:firstLine="640"/>
        <w:rPr>
          <w:rFonts w:hint="eastAsia" w:ascii="仿宋" w:hAnsi="仿宋" w:eastAsia="仿宋"/>
          <w:color w:val="000000"/>
          <w:sz w:val="32"/>
          <w:szCs w:val="32"/>
        </w:rPr>
      </w:pPr>
      <w:r>
        <w:rPr>
          <w:rFonts w:hint="eastAsia" w:ascii="仿宋" w:hAnsi="仿宋" w:eastAsia="仿宋"/>
          <w:color w:val="000000"/>
          <w:sz w:val="32"/>
          <w:szCs w:val="32"/>
        </w:rPr>
        <w:t>1.社会保障和就业支出（208）行政事业单位养老支出（20805）机关事业单位基本养老保险缴费支出（2080505）支出决算</w:t>
      </w:r>
      <w:r>
        <w:rPr>
          <w:rFonts w:hint="eastAsia" w:ascii="仿宋" w:hAnsi="仿宋" w:eastAsia="仿宋"/>
          <w:color w:val="000000"/>
          <w:sz w:val="32"/>
          <w:szCs w:val="32"/>
          <w:lang w:val="en-US" w:eastAsia="zh-CN"/>
        </w:rPr>
        <w:t>18.91</w:t>
      </w:r>
      <w:r>
        <w:rPr>
          <w:rFonts w:hint="eastAsia" w:ascii="仿宋" w:hAnsi="仿宋" w:eastAsia="仿宋"/>
          <w:color w:val="000000"/>
          <w:sz w:val="32"/>
          <w:szCs w:val="32"/>
        </w:rPr>
        <w:t>万元，完成预算100%。</w:t>
      </w:r>
      <w:r>
        <w:rPr>
          <w:rFonts w:hint="eastAsia" w:ascii="仿宋" w:hAnsi="仿宋" w:eastAsia="仿宋"/>
          <w:color w:val="000000"/>
          <w:sz w:val="32"/>
          <w:szCs w:val="32"/>
        </w:rPr>
        <w:cr/>
      </w:r>
      <w:r>
        <w:rPr>
          <w:rFonts w:hint="eastAsia" w:ascii="仿宋" w:hAnsi="仿宋" w:eastAsia="仿宋"/>
          <w:color w:val="000000"/>
          <w:sz w:val="32"/>
          <w:szCs w:val="32"/>
        </w:rPr>
        <w:t xml:space="preserve">    2.社会保障和就业支出（208）行政事业单位养老支出（20805）机关事业单位职业年金缴费支出（2080506）支出决算9.46万元，完成预算100%。</w:t>
      </w:r>
      <w:r>
        <w:rPr>
          <w:rFonts w:hint="eastAsia" w:ascii="仿宋" w:hAnsi="仿宋" w:eastAsia="仿宋"/>
          <w:color w:val="000000"/>
          <w:sz w:val="32"/>
          <w:szCs w:val="32"/>
        </w:rPr>
        <w:cr/>
      </w:r>
      <w:r>
        <w:rPr>
          <w:rFonts w:hint="eastAsia" w:ascii="仿宋" w:hAnsi="仿宋" w:eastAsia="仿宋"/>
          <w:color w:val="000000"/>
          <w:sz w:val="32"/>
          <w:szCs w:val="32"/>
        </w:rPr>
        <w:t xml:space="preserve">    3.卫生健康支出（210）行政事业单位医疗（21011）事业单位医疗（2101102）支出决算9.28万元，完成预算100%。</w:t>
      </w:r>
      <w:r>
        <w:rPr>
          <w:rFonts w:hint="eastAsia" w:ascii="仿宋" w:hAnsi="仿宋" w:eastAsia="仿宋"/>
          <w:color w:val="000000"/>
          <w:sz w:val="32"/>
          <w:szCs w:val="32"/>
        </w:rPr>
        <w:cr/>
      </w:r>
      <w:r>
        <w:rPr>
          <w:rFonts w:hint="eastAsia" w:ascii="仿宋" w:hAnsi="仿宋" w:eastAsia="仿宋"/>
          <w:color w:val="000000"/>
          <w:sz w:val="32"/>
          <w:szCs w:val="32"/>
        </w:rPr>
        <w:t xml:space="preserve">    4.节能环保支出（211）环境监测与监察（21102）其他环境监测与监察支出（2110299）支出决算123.34万元，完成预算100%。</w:t>
      </w:r>
    </w:p>
    <w:p w14:paraId="1584F021">
      <w:pPr>
        <w:spacing w:line="560" w:lineRule="exact"/>
        <w:ind w:firstLine="640"/>
        <w:rPr>
          <w:rFonts w:ascii="仿宋" w:hAnsi="仿宋" w:eastAsia="仿宋"/>
          <w:color w:val="000000"/>
          <w:sz w:val="32"/>
          <w:szCs w:val="32"/>
        </w:rPr>
      </w:pPr>
      <w:r>
        <w:rPr>
          <w:rFonts w:hint="eastAsia" w:ascii="仿宋" w:hAnsi="仿宋" w:eastAsia="仿宋"/>
          <w:color w:val="000000"/>
          <w:sz w:val="32"/>
          <w:szCs w:val="32"/>
        </w:rPr>
        <w:t>5. 卫生健康支出（210）行政事业单位医疗（21011）其他行政事业单位医疗支出（2111199）支出决算1.77万元，完成预算100%。</w:t>
      </w:r>
      <w:r>
        <w:rPr>
          <w:rFonts w:hint="eastAsia" w:ascii="仿宋" w:hAnsi="仿宋" w:eastAsia="仿宋"/>
          <w:color w:val="000000"/>
          <w:sz w:val="32"/>
          <w:szCs w:val="32"/>
        </w:rPr>
        <w:cr/>
      </w:r>
      <w:r>
        <w:rPr>
          <w:rFonts w:hint="eastAsia" w:ascii="仿宋" w:hAnsi="仿宋" w:eastAsia="仿宋"/>
          <w:color w:val="000000"/>
          <w:sz w:val="32"/>
          <w:szCs w:val="32"/>
        </w:rPr>
        <w:t xml:space="preserve">    5.住房保障支出（221）住房改革支出（22102）住房公积金（2210201）支出决算16.33万元，完成预算100%。</w:t>
      </w:r>
    </w:p>
    <w:p w14:paraId="78483DD1">
      <w:pPr>
        <w:pStyle w:val="5"/>
        <w:spacing w:line="560" w:lineRule="exact"/>
        <w:ind w:firstLine="643" w:firstLineChars="200"/>
        <w:rPr>
          <w:rFonts w:ascii="黑体" w:eastAsia="黑体" w:cs="Times New Roman"/>
          <w:b w:val="0"/>
          <w:color w:val="000000"/>
        </w:rPr>
      </w:pPr>
      <w:bookmarkStart w:id="51" w:name="_Toc15377214"/>
      <w:bookmarkStart w:id="52" w:name="_Toc111208504"/>
      <w:bookmarkStart w:id="53" w:name="_Toc18644"/>
      <w:r>
        <w:rPr>
          <w:rFonts w:hint="eastAsia" w:ascii="黑体" w:eastAsia="黑体" w:cs="Times New Roman"/>
          <w:bCs w:val="0"/>
          <w:color w:val="000000"/>
        </w:rPr>
        <w:t>六、一般公共预算财政拨款基本支出决算情况说</w:t>
      </w:r>
      <w:bookmarkEnd w:id="51"/>
      <w:r>
        <w:rPr>
          <w:rFonts w:hint="eastAsia" w:ascii="黑体" w:eastAsia="黑体" w:cs="Times New Roman"/>
          <w:bCs w:val="0"/>
          <w:color w:val="000000"/>
        </w:rPr>
        <w:t>明</w:t>
      </w:r>
      <w:bookmarkEnd w:id="52"/>
      <w:bookmarkEnd w:id="53"/>
    </w:p>
    <w:p w14:paraId="12972639">
      <w:pPr>
        <w:spacing w:line="560" w:lineRule="exact"/>
        <w:ind w:firstLine="640"/>
        <w:rPr>
          <w:rFonts w:ascii="仿宋" w:hAnsi="仿宋" w:eastAsia="仿宋"/>
          <w:color w:val="000000"/>
          <w:sz w:val="32"/>
          <w:szCs w:val="32"/>
        </w:rPr>
      </w:pPr>
      <w:r>
        <w:rPr>
          <w:rFonts w:hint="eastAsia" w:ascii="仿宋" w:hAnsi="仿宋" w:eastAsia="仿宋"/>
          <w:color w:val="000000"/>
          <w:sz w:val="32"/>
          <w:szCs w:val="32"/>
        </w:rPr>
        <w:t>202</w:t>
      </w:r>
      <w:r>
        <w:rPr>
          <w:rFonts w:hint="eastAsia" w:ascii="仿宋" w:hAnsi="仿宋" w:eastAsia="仿宋"/>
          <w:color w:val="000000"/>
          <w:sz w:val="32"/>
          <w:szCs w:val="32"/>
          <w:lang w:val="en-US" w:eastAsia="zh-CN"/>
        </w:rPr>
        <w:t>5</w:t>
      </w:r>
      <w:r>
        <w:rPr>
          <w:rFonts w:ascii="仿宋" w:hAnsi="仿宋" w:eastAsia="仿宋"/>
          <w:color w:val="000000"/>
          <w:sz w:val="32"/>
        </w:rPr>
        <w:t>年一般公共预算财政拨款基本支出</w:t>
      </w:r>
      <w:r>
        <w:rPr>
          <w:rFonts w:hint="eastAsia" w:ascii="仿宋" w:hAnsi="仿宋" w:eastAsia="仿宋"/>
          <w:color w:val="000000"/>
          <w:sz w:val="32"/>
          <w:lang w:val="en-US" w:eastAsia="zh-CN"/>
        </w:rPr>
        <w:t>179.09</w:t>
      </w:r>
      <w:r>
        <w:rPr>
          <w:rFonts w:hint="eastAsia" w:ascii="仿宋" w:hAnsi="仿宋" w:eastAsia="仿宋"/>
          <w:color w:val="000000"/>
          <w:sz w:val="32"/>
          <w:szCs w:val="32"/>
        </w:rPr>
        <w:t>万元，其中：</w:t>
      </w:r>
    </w:p>
    <w:p w14:paraId="66455AD3">
      <w:pPr>
        <w:spacing w:line="560" w:lineRule="exact"/>
        <w:ind w:firstLine="640"/>
        <w:rPr>
          <w:rFonts w:ascii="仿宋" w:hAnsi="仿宋" w:eastAsia="仿宋"/>
          <w:color w:val="000000"/>
          <w:sz w:val="32"/>
          <w:szCs w:val="32"/>
        </w:rPr>
      </w:pPr>
      <w:r>
        <w:rPr>
          <w:rFonts w:hint="eastAsia" w:ascii="仿宋" w:hAnsi="仿宋" w:eastAsia="仿宋"/>
          <w:color w:val="000000"/>
          <w:sz w:val="32"/>
          <w:szCs w:val="32"/>
        </w:rPr>
        <w:t>人员经费</w:t>
      </w:r>
      <w:r>
        <w:rPr>
          <w:rFonts w:hint="eastAsia" w:ascii="仿宋" w:hAnsi="仿宋" w:eastAsia="仿宋"/>
          <w:color w:val="000000"/>
          <w:sz w:val="32"/>
        </w:rPr>
        <w:t>156.51</w:t>
      </w:r>
      <w:r>
        <w:rPr>
          <w:rFonts w:hint="eastAsia" w:ascii="仿宋" w:hAnsi="仿宋" w:eastAsia="仿宋"/>
          <w:color w:val="000000"/>
          <w:sz w:val="32"/>
          <w:szCs w:val="32"/>
        </w:rPr>
        <w:t>万元，主要包括：</w:t>
      </w:r>
      <w:r>
        <w:rPr>
          <w:rFonts w:ascii="仿宋" w:hAnsi="仿宋" w:eastAsia="仿宋"/>
          <w:color w:val="000000"/>
          <w:sz w:val="32"/>
        </w:rPr>
        <w:t>基本工资</w:t>
      </w:r>
      <w:r>
        <w:rPr>
          <w:rFonts w:hint="eastAsia" w:ascii="仿宋" w:hAnsi="仿宋" w:eastAsia="仿宋"/>
          <w:color w:val="000000"/>
          <w:sz w:val="32"/>
        </w:rPr>
        <w:t>49.39</w:t>
      </w:r>
      <w:r>
        <w:rPr>
          <w:rFonts w:ascii="仿宋" w:hAnsi="仿宋" w:eastAsia="仿宋"/>
          <w:color w:val="000000"/>
          <w:sz w:val="32"/>
        </w:rPr>
        <w:t>万元、津贴补贴</w:t>
      </w:r>
      <w:r>
        <w:rPr>
          <w:rFonts w:hint="eastAsia" w:ascii="仿宋" w:hAnsi="仿宋" w:eastAsia="仿宋"/>
          <w:color w:val="000000"/>
          <w:sz w:val="32"/>
        </w:rPr>
        <w:t>18.37</w:t>
      </w:r>
      <w:r>
        <w:rPr>
          <w:rFonts w:ascii="仿宋" w:hAnsi="仿宋" w:eastAsia="仿宋"/>
          <w:color w:val="000000"/>
          <w:sz w:val="32"/>
        </w:rPr>
        <w:t>万元、绩效工资</w:t>
      </w:r>
      <w:r>
        <w:rPr>
          <w:rFonts w:hint="eastAsia" w:ascii="仿宋" w:hAnsi="仿宋" w:eastAsia="仿宋"/>
          <w:color w:val="000000"/>
          <w:sz w:val="32"/>
        </w:rPr>
        <w:t>32.03</w:t>
      </w:r>
      <w:r>
        <w:rPr>
          <w:rFonts w:ascii="仿宋" w:hAnsi="仿宋" w:eastAsia="仿宋"/>
          <w:color w:val="000000"/>
          <w:sz w:val="32"/>
        </w:rPr>
        <w:t>万元、机关事业单位基本养老保险缴费</w:t>
      </w:r>
      <w:r>
        <w:rPr>
          <w:rFonts w:hint="eastAsia" w:ascii="仿宋" w:hAnsi="仿宋" w:eastAsia="仿宋"/>
          <w:color w:val="000000"/>
          <w:sz w:val="32"/>
        </w:rPr>
        <w:t>18.91</w:t>
      </w:r>
      <w:r>
        <w:rPr>
          <w:rFonts w:ascii="仿宋" w:hAnsi="仿宋" w:eastAsia="仿宋"/>
          <w:color w:val="000000"/>
          <w:sz w:val="32"/>
        </w:rPr>
        <w:t>万元、职业年金缴费</w:t>
      </w:r>
      <w:r>
        <w:rPr>
          <w:rFonts w:hint="eastAsia" w:ascii="仿宋" w:hAnsi="仿宋" w:eastAsia="仿宋"/>
          <w:color w:val="000000"/>
          <w:sz w:val="32"/>
        </w:rPr>
        <w:t>9.46</w:t>
      </w:r>
      <w:r>
        <w:rPr>
          <w:rFonts w:ascii="仿宋" w:hAnsi="仿宋" w:eastAsia="仿宋"/>
          <w:color w:val="000000"/>
          <w:sz w:val="32"/>
        </w:rPr>
        <w:t>万元、职工基本医疗保险缴费</w:t>
      </w:r>
      <w:r>
        <w:rPr>
          <w:rFonts w:hint="eastAsia" w:ascii="仿宋" w:hAnsi="仿宋" w:eastAsia="仿宋"/>
          <w:color w:val="000000"/>
          <w:sz w:val="32"/>
        </w:rPr>
        <w:t>9.28</w:t>
      </w:r>
      <w:r>
        <w:rPr>
          <w:rFonts w:ascii="仿宋" w:hAnsi="仿宋" w:eastAsia="仿宋"/>
          <w:color w:val="000000"/>
          <w:sz w:val="32"/>
        </w:rPr>
        <w:t>万元、其他社会保障缴费</w:t>
      </w:r>
      <w:r>
        <w:rPr>
          <w:rFonts w:hint="eastAsia" w:ascii="仿宋" w:hAnsi="仿宋" w:eastAsia="仿宋"/>
          <w:color w:val="000000"/>
          <w:sz w:val="32"/>
          <w:lang w:val="en-US" w:eastAsia="zh-CN"/>
        </w:rPr>
        <w:t>2.75</w:t>
      </w:r>
      <w:r>
        <w:rPr>
          <w:rFonts w:ascii="仿宋" w:hAnsi="仿宋" w:eastAsia="仿宋"/>
          <w:color w:val="000000"/>
          <w:sz w:val="32"/>
        </w:rPr>
        <w:t>万元、住房公积金</w:t>
      </w:r>
      <w:r>
        <w:rPr>
          <w:rFonts w:hint="eastAsia" w:ascii="仿宋" w:hAnsi="仿宋" w:eastAsia="仿宋"/>
          <w:color w:val="000000"/>
          <w:sz w:val="32"/>
          <w:lang w:val="en-US" w:eastAsia="zh-CN"/>
        </w:rPr>
        <w:t>16.33</w:t>
      </w:r>
      <w:r>
        <w:rPr>
          <w:rFonts w:ascii="仿宋" w:hAnsi="仿宋" w:eastAsia="仿宋"/>
          <w:color w:val="000000"/>
          <w:sz w:val="32"/>
        </w:rPr>
        <w:t>万元、</w:t>
      </w:r>
      <w:r>
        <w:rPr>
          <w:rFonts w:hint="eastAsia" w:ascii="仿宋" w:hAnsi="仿宋" w:eastAsia="仿宋"/>
          <w:color w:val="000000"/>
          <w:sz w:val="32"/>
        </w:rPr>
        <w:t>对个人和家庭的补助0.84</w:t>
      </w:r>
      <w:r>
        <w:rPr>
          <w:rFonts w:ascii="仿宋" w:hAnsi="仿宋" w:eastAsia="仿宋"/>
          <w:color w:val="000000"/>
          <w:sz w:val="32"/>
        </w:rPr>
        <w:t>万元。</w:t>
      </w:r>
    </w:p>
    <w:p w14:paraId="1920D147">
      <w:pPr>
        <w:spacing w:line="560" w:lineRule="exact"/>
        <w:ind w:firstLine="640"/>
        <w:rPr>
          <w:rFonts w:ascii="仿宋" w:hAnsi="仿宋" w:eastAsia="仿宋"/>
          <w:color w:val="000000"/>
          <w:sz w:val="32"/>
          <w:szCs w:val="32"/>
        </w:rPr>
      </w:pPr>
      <w:r>
        <w:rPr>
          <w:rFonts w:hint="eastAsia" w:ascii="仿宋" w:hAnsi="仿宋" w:eastAsia="仿宋"/>
          <w:color w:val="000000"/>
          <w:sz w:val="32"/>
          <w:szCs w:val="32"/>
        </w:rPr>
        <w:t>公用经费</w:t>
      </w:r>
      <w:r>
        <w:rPr>
          <w:rFonts w:hint="eastAsia" w:ascii="仿宋" w:hAnsi="仿宋" w:eastAsia="仿宋"/>
          <w:color w:val="000000"/>
          <w:sz w:val="32"/>
        </w:rPr>
        <w:t>22.58</w:t>
      </w:r>
      <w:r>
        <w:rPr>
          <w:rFonts w:hint="eastAsia" w:ascii="仿宋" w:hAnsi="仿宋" w:eastAsia="仿宋"/>
          <w:color w:val="000000"/>
          <w:sz w:val="32"/>
          <w:szCs w:val="32"/>
        </w:rPr>
        <w:t>万元，主要包括：</w:t>
      </w:r>
      <w:r>
        <w:rPr>
          <w:rFonts w:ascii="仿宋" w:hAnsi="仿宋" w:eastAsia="仿宋"/>
          <w:color w:val="000000"/>
          <w:sz w:val="32"/>
        </w:rPr>
        <w:t>办公费</w:t>
      </w:r>
      <w:r>
        <w:rPr>
          <w:rFonts w:hint="eastAsia" w:ascii="仿宋" w:hAnsi="仿宋" w:eastAsia="仿宋"/>
          <w:color w:val="000000"/>
          <w:sz w:val="32"/>
        </w:rPr>
        <w:t>3.73</w:t>
      </w:r>
      <w:r>
        <w:rPr>
          <w:rFonts w:ascii="仿宋" w:hAnsi="仿宋" w:eastAsia="仿宋"/>
          <w:color w:val="000000"/>
          <w:sz w:val="32"/>
        </w:rPr>
        <w:t>万元、</w:t>
      </w:r>
      <w:r>
        <w:rPr>
          <w:rFonts w:hint="eastAsia" w:ascii="仿宋" w:hAnsi="仿宋" w:eastAsia="仿宋"/>
          <w:color w:val="000000"/>
          <w:sz w:val="32"/>
        </w:rPr>
        <w:t>水费</w:t>
      </w:r>
      <w:r>
        <w:rPr>
          <w:rFonts w:hint="eastAsia" w:ascii="仿宋" w:hAnsi="仿宋" w:eastAsia="仿宋"/>
          <w:color w:val="000000"/>
          <w:sz w:val="32"/>
          <w:lang w:val="en-US" w:eastAsia="zh-CN"/>
        </w:rPr>
        <w:t>0.29</w:t>
      </w:r>
      <w:r>
        <w:rPr>
          <w:rFonts w:hint="eastAsia" w:ascii="仿宋" w:hAnsi="仿宋" w:eastAsia="仿宋"/>
          <w:color w:val="000000"/>
          <w:sz w:val="32"/>
        </w:rPr>
        <w:t>万元、电费1.39万元、</w:t>
      </w:r>
      <w:r>
        <w:rPr>
          <w:rFonts w:ascii="仿宋" w:hAnsi="仿宋" w:eastAsia="仿宋"/>
          <w:color w:val="000000"/>
          <w:sz w:val="32"/>
        </w:rPr>
        <w:t>邮电费</w:t>
      </w:r>
      <w:r>
        <w:rPr>
          <w:rFonts w:hint="eastAsia" w:ascii="仿宋" w:hAnsi="仿宋" w:eastAsia="仿宋"/>
          <w:color w:val="000000"/>
          <w:sz w:val="32"/>
        </w:rPr>
        <w:t>2.9</w:t>
      </w:r>
      <w:r>
        <w:rPr>
          <w:rFonts w:ascii="仿宋" w:hAnsi="仿宋" w:eastAsia="仿宋"/>
          <w:color w:val="000000"/>
          <w:sz w:val="32"/>
        </w:rPr>
        <w:t>万元、差旅费</w:t>
      </w:r>
      <w:r>
        <w:rPr>
          <w:rFonts w:hint="eastAsia" w:ascii="仿宋" w:hAnsi="仿宋" w:eastAsia="仿宋"/>
          <w:color w:val="000000"/>
          <w:sz w:val="32"/>
        </w:rPr>
        <w:t>5.35</w:t>
      </w:r>
      <w:r>
        <w:rPr>
          <w:rFonts w:ascii="仿宋" w:hAnsi="仿宋" w:eastAsia="仿宋"/>
          <w:color w:val="000000"/>
          <w:sz w:val="32"/>
        </w:rPr>
        <w:t>万元、</w:t>
      </w:r>
      <w:r>
        <w:rPr>
          <w:rFonts w:hint="eastAsia" w:ascii="仿宋" w:hAnsi="仿宋" w:eastAsia="仿宋"/>
          <w:color w:val="000000"/>
          <w:sz w:val="32"/>
        </w:rPr>
        <w:t>维修（护）费1.70万元、</w:t>
      </w:r>
      <w:r>
        <w:rPr>
          <w:rFonts w:ascii="仿宋" w:hAnsi="仿宋" w:eastAsia="仿宋"/>
          <w:color w:val="000000"/>
          <w:sz w:val="32"/>
        </w:rPr>
        <w:t>培训费</w:t>
      </w:r>
      <w:r>
        <w:rPr>
          <w:rFonts w:hint="eastAsia" w:ascii="仿宋" w:hAnsi="仿宋" w:eastAsia="仿宋"/>
          <w:color w:val="000000"/>
          <w:sz w:val="32"/>
          <w:lang w:val="en-US" w:eastAsia="zh-CN"/>
        </w:rPr>
        <w:t>1.</w:t>
      </w:r>
      <w:r>
        <w:rPr>
          <w:rFonts w:hint="eastAsia" w:ascii="仿宋" w:hAnsi="仿宋" w:eastAsia="仿宋"/>
          <w:color w:val="000000"/>
          <w:sz w:val="32"/>
        </w:rPr>
        <w:t>5</w:t>
      </w:r>
      <w:r>
        <w:rPr>
          <w:rFonts w:ascii="仿宋" w:hAnsi="仿宋" w:eastAsia="仿宋"/>
          <w:color w:val="000000"/>
          <w:sz w:val="32"/>
        </w:rPr>
        <w:t>万元、</w:t>
      </w:r>
      <w:r>
        <w:rPr>
          <w:rFonts w:hint="eastAsia" w:ascii="仿宋" w:hAnsi="仿宋" w:eastAsia="仿宋"/>
          <w:color w:val="000000"/>
          <w:sz w:val="32"/>
        </w:rPr>
        <w:t>其他交通费用1</w:t>
      </w:r>
      <w:r>
        <w:rPr>
          <w:rFonts w:ascii="仿宋" w:hAnsi="仿宋" w:eastAsia="仿宋"/>
          <w:color w:val="000000"/>
          <w:sz w:val="32"/>
        </w:rPr>
        <w:t>万元</w:t>
      </w:r>
      <w:r>
        <w:rPr>
          <w:rFonts w:hint="eastAsia" w:ascii="仿宋" w:hAnsi="仿宋" w:eastAsia="仿宋"/>
          <w:color w:val="000000"/>
          <w:sz w:val="32"/>
        </w:rPr>
        <w:t>、福利费2.49万元</w:t>
      </w:r>
      <w:r>
        <w:rPr>
          <w:rFonts w:hint="eastAsia" w:ascii="仿宋" w:hAnsi="仿宋" w:eastAsia="仿宋"/>
          <w:color w:val="000000"/>
          <w:sz w:val="32"/>
          <w:lang w:eastAsia="zh-CN"/>
        </w:rPr>
        <w:t>、其他商品与服务支出2.</w:t>
      </w:r>
      <w:r>
        <w:rPr>
          <w:rFonts w:hint="eastAsia" w:ascii="仿宋" w:hAnsi="仿宋" w:eastAsia="仿宋"/>
          <w:color w:val="000000"/>
          <w:sz w:val="32"/>
          <w:lang w:val="en-US" w:eastAsia="zh-CN"/>
        </w:rPr>
        <w:t>24</w:t>
      </w:r>
      <w:r>
        <w:rPr>
          <w:rFonts w:hint="eastAsia" w:ascii="仿宋" w:hAnsi="仿宋" w:eastAsia="仿宋"/>
          <w:color w:val="000000"/>
          <w:sz w:val="32"/>
          <w:lang w:eastAsia="zh-CN"/>
        </w:rPr>
        <w:t>万元</w:t>
      </w:r>
      <w:r>
        <w:rPr>
          <w:rFonts w:hint="eastAsia" w:ascii="仿宋" w:hAnsi="仿宋" w:eastAsia="仿宋"/>
          <w:color w:val="000000"/>
          <w:sz w:val="32"/>
          <w:szCs w:val="32"/>
        </w:rPr>
        <w:t>。</w:t>
      </w:r>
    </w:p>
    <w:p w14:paraId="6A468C4F">
      <w:pPr>
        <w:pStyle w:val="5"/>
        <w:spacing w:line="560" w:lineRule="exact"/>
        <w:ind w:firstLine="643" w:firstLineChars="200"/>
        <w:rPr>
          <w:rFonts w:ascii="黑体" w:eastAsia="黑体" w:cs="Times New Roman"/>
          <w:bCs w:val="0"/>
          <w:color w:val="000000"/>
        </w:rPr>
      </w:pPr>
      <w:bookmarkStart w:id="54" w:name="_Toc19286"/>
      <w:bookmarkStart w:id="55" w:name="_Toc15377215"/>
      <w:bookmarkStart w:id="56" w:name="_Toc111208505"/>
      <w:r>
        <w:rPr>
          <w:rFonts w:hint="eastAsia" w:ascii="黑体" w:eastAsia="黑体" w:cs="Times New Roman"/>
          <w:bCs w:val="0"/>
          <w:color w:val="000000"/>
        </w:rPr>
        <w:t>七、“三公”经费财政拨款支出决算情况说明</w:t>
      </w:r>
      <w:bookmarkEnd w:id="54"/>
      <w:bookmarkEnd w:id="55"/>
      <w:bookmarkEnd w:id="56"/>
    </w:p>
    <w:p w14:paraId="150C1460">
      <w:pPr>
        <w:spacing w:line="560" w:lineRule="exact"/>
        <w:ind w:firstLine="643" w:firstLineChars="200"/>
        <w:outlineLvl w:val="2"/>
        <w:rPr>
          <w:rFonts w:ascii="仿宋" w:hAnsi="仿宋" w:eastAsia="仿宋"/>
          <w:b/>
          <w:color w:val="000000"/>
          <w:sz w:val="32"/>
          <w:szCs w:val="32"/>
        </w:rPr>
      </w:pPr>
      <w:bookmarkStart w:id="57" w:name="_Toc15377216"/>
      <w:r>
        <w:rPr>
          <w:rFonts w:hint="eastAsia" w:ascii="仿宋" w:hAnsi="仿宋" w:eastAsia="仿宋"/>
          <w:b/>
          <w:color w:val="000000"/>
          <w:sz w:val="32"/>
          <w:szCs w:val="32"/>
        </w:rPr>
        <w:t>（一）“三公”经费财政拨款支出决算总体情况说明</w:t>
      </w:r>
      <w:bookmarkEnd w:id="57"/>
    </w:p>
    <w:p w14:paraId="784C3320">
      <w:pPr>
        <w:spacing w:line="560" w:lineRule="exact"/>
        <w:ind w:firstLine="640"/>
        <w:rPr>
          <w:rFonts w:ascii="仿宋" w:hAnsi="仿宋" w:eastAsia="仿宋"/>
          <w:color w:val="000000"/>
          <w:sz w:val="32"/>
          <w:szCs w:val="32"/>
        </w:rPr>
      </w:pPr>
      <w:r>
        <w:rPr>
          <w:rFonts w:hint="eastAsia" w:ascii="仿宋" w:hAnsi="仿宋" w:eastAsia="仿宋"/>
          <w:color w:val="000000"/>
          <w:sz w:val="32"/>
          <w:szCs w:val="32"/>
        </w:rPr>
        <w:t>202</w:t>
      </w:r>
      <w:r>
        <w:rPr>
          <w:rFonts w:hint="eastAsia" w:ascii="仿宋" w:hAnsi="仿宋" w:eastAsia="仿宋"/>
          <w:color w:val="000000"/>
          <w:sz w:val="32"/>
          <w:szCs w:val="32"/>
          <w:lang w:val="en-US" w:eastAsia="zh-CN"/>
        </w:rPr>
        <w:t>5</w:t>
      </w:r>
      <w:r>
        <w:rPr>
          <w:rFonts w:ascii="仿宋" w:hAnsi="仿宋" w:eastAsia="仿宋"/>
          <w:color w:val="000000"/>
          <w:sz w:val="32"/>
        </w:rPr>
        <w:t>年“三公”经费财政拨款支出决算为</w:t>
      </w:r>
      <w:r>
        <w:rPr>
          <w:rFonts w:hint="eastAsia" w:ascii="仿宋" w:hAnsi="仿宋" w:eastAsia="仿宋"/>
          <w:color w:val="000000"/>
          <w:sz w:val="32"/>
          <w:lang w:val="en-US" w:eastAsia="zh-CN"/>
        </w:rPr>
        <w:t>0</w:t>
      </w:r>
      <w:r>
        <w:rPr>
          <w:rFonts w:hint="eastAsia" w:ascii="仿宋" w:hAnsi="仿宋" w:eastAsia="仿宋"/>
          <w:color w:val="000000"/>
          <w:sz w:val="32"/>
          <w:szCs w:val="32"/>
        </w:rPr>
        <w:t>万元，完成预算10</w:t>
      </w:r>
      <w:r>
        <w:rPr>
          <w:rFonts w:ascii="仿宋" w:hAnsi="仿宋" w:eastAsia="仿宋"/>
          <w:color w:val="000000"/>
          <w:sz w:val="32"/>
        </w:rPr>
        <w:t>0.00</w:t>
      </w:r>
      <w:r>
        <w:rPr>
          <w:rFonts w:hint="eastAsia" w:ascii="仿宋" w:hAnsi="仿宋" w:eastAsia="仿宋"/>
          <w:color w:val="000000"/>
          <w:sz w:val="32"/>
          <w:szCs w:val="32"/>
        </w:rPr>
        <w:t>%。</w:t>
      </w:r>
      <w:bookmarkStart w:id="58" w:name="_Toc15377217"/>
    </w:p>
    <w:p w14:paraId="3C08D8C2">
      <w:pPr>
        <w:spacing w:line="560" w:lineRule="exact"/>
        <w:ind w:firstLine="643" w:firstLineChars="200"/>
        <w:outlineLvl w:val="2"/>
        <w:rPr>
          <w:rFonts w:ascii="仿宋" w:hAnsi="仿宋" w:eastAsia="仿宋"/>
          <w:b/>
          <w:color w:val="000000"/>
          <w:sz w:val="32"/>
          <w:szCs w:val="32"/>
        </w:rPr>
      </w:pPr>
      <w:r>
        <w:rPr>
          <w:rFonts w:hint="eastAsia" w:ascii="仿宋" w:hAnsi="仿宋" w:eastAsia="仿宋"/>
          <w:b/>
          <w:color w:val="000000"/>
          <w:sz w:val="32"/>
          <w:szCs w:val="32"/>
        </w:rPr>
        <w:t>（二）“三公”经费财政拨款支出决算具体情况说明</w:t>
      </w:r>
      <w:bookmarkEnd w:id="58"/>
    </w:p>
    <w:p w14:paraId="74D02981">
      <w:pPr>
        <w:spacing w:line="560" w:lineRule="exact"/>
        <w:ind w:firstLine="640"/>
        <w:rPr>
          <w:rFonts w:ascii="仿宋_GB2312" w:hAnsi="仿宋" w:eastAsia="仿宋_GB2312"/>
          <w:color w:val="000000"/>
          <w:sz w:val="32"/>
          <w:szCs w:val="32"/>
        </w:rPr>
      </w:pPr>
      <w:r>
        <w:rPr>
          <w:rFonts w:hint="eastAsia" w:ascii="仿宋" w:hAnsi="仿宋" w:eastAsia="仿宋"/>
          <w:color w:val="000000"/>
          <w:sz w:val="32"/>
          <w:szCs w:val="32"/>
        </w:rPr>
        <w:t>202</w:t>
      </w:r>
      <w:r>
        <w:rPr>
          <w:rFonts w:hint="eastAsia" w:ascii="仿宋" w:hAnsi="仿宋" w:eastAsia="仿宋"/>
          <w:color w:val="000000"/>
          <w:sz w:val="32"/>
          <w:szCs w:val="32"/>
          <w:lang w:val="en-US" w:eastAsia="zh-CN"/>
        </w:rPr>
        <w:t>5</w:t>
      </w:r>
      <w:r>
        <w:rPr>
          <w:rFonts w:ascii="仿宋" w:hAnsi="仿宋" w:eastAsia="仿宋"/>
          <w:color w:val="000000"/>
          <w:sz w:val="32"/>
        </w:rPr>
        <w:t>年“三公”经费财政拨款支出</w:t>
      </w:r>
      <w:r>
        <w:rPr>
          <w:rFonts w:hint="eastAsia" w:ascii="仿宋" w:hAnsi="仿宋" w:eastAsia="仿宋"/>
          <w:color w:val="000000"/>
          <w:sz w:val="32"/>
          <w:lang w:val="en-US" w:eastAsia="zh-CN"/>
        </w:rPr>
        <w:t>0</w:t>
      </w:r>
      <w:r>
        <w:rPr>
          <w:rFonts w:hint="eastAsia" w:ascii="仿宋" w:hAnsi="仿宋" w:eastAsia="仿宋"/>
          <w:color w:val="000000"/>
          <w:sz w:val="32"/>
          <w:szCs w:val="32"/>
        </w:rPr>
        <w:t>万元，因公出国（境）费支出决算</w:t>
      </w:r>
      <w:r>
        <w:rPr>
          <w:rFonts w:ascii="仿宋" w:hAnsi="仿宋" w:eastAsia="仿宋"/>
          <w:color w:val="000000"/>
          <w:sz w:val="32"/>
        </w:rPr>
        <w:t>0.00</w:t>
      </w:r>
      <w:r>
        <w:rPr>
          <w:rFonts w:hint="eastAsia" w:ascii="仿宋" w:hAnsi="仿宋" w:eastAsia="仿宋"/>
          <w:color w:val="000000"/>
          <w:sz w:val="32"/>
          <w:szCs w:val="32"/>
        </w:rPr>
        <w:t>万元，占</w:t>
      </w:r>
      <w:r>
        <w:rPr>
          <w:rFonts w:ascii="仿宋" w:hAnsi="仿宋" w:eastAsia="仿宋"/>
          <w:color w:val="000000"/>
          <w:sz w:val="32"/>
        </w:rPr>
        <w:t>0.00</w:t>
      </w:r>
      <w:r>
        <w:rPr>
          <w:rFonts w:hint="eastAsia" w:ascii="仿宋" w:hAnsi="仿宋" w:eastAsia="仿宋"/>
          <w:color w:val="000000"/>
          <w:sz w:val="32"/>
          <w:szCs w:val="32"/>
        </w:rPr>
        <w:t>%；公务用车购置及运行维护费支出决算</w:t>
      </w:r>
      <w:r>
        <w:rPr>
          <w:rFonts w:ascii="仿宋" w:hAnsi="仿宋" w:eastAsia="仿宋"/>
          <w:color w:val="000000"/>
          <w:sz w:val="32"/>
        </w:rPr>
        <w:t>0.00</w:t>
      </w:r>
      <w:r>
        <w:rPr>
          <w:rFonts w:hint="eastAsia" w:ascii="仿宋" w:hAnsi="仿宋" w:eastAsia="仿宋"/>
          <w:color w:val="000000"/>
          <w:sz w:val="32"/>
          <w:szCs w:val="32"/>
        </w:rPr>
        <w:t>万元，占</w:t>
      </w:r>
      <w:r>
        <w:rPr>
          <w:rFonts w:ascii="仿宋" w:hAnsi="仿宋" w:eastAsia="仿宋"/>
          <w:color w:val="000000"/>
          <w:sz w:val="32"/>
        </w:rPr>
        <w:t>0.00</w:t>
      </w:r>
      <w:r>
        <w:rPr>
          <w:rFonts w:hint="eastAsia" w:ascii="仿宋" w:hAnsi="仿宋" w:eastAsia="仿宋"/>
          <w:color w:val="000000"/>
          <w:sz w:val="32"/>
          <w:szCs w:val="32"/>
        </w:rPr>
        <w:t>%；公务接待费支出决算</w:t>
      </w:r>
      <w:r>
        <w:rPr>
          <w:rFonts w:hint="eastAsia" w:ascii="仿宋" w:hAnsi="仿宋" w:eastAsia="仿宋"/>
          <w:color w:val="000000"/>
          <w:sz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rPr>
        <w:t>100</w:t>
      </w:r>
      <w:r>
        <w:rPr>
          <w:rFonts w:hint="eastAsia" w:ascii="仿宋" w:hAnsi="仿宋" w:eastAsia="仿宋"/>
          <w:color w:val="000000"/>
          <w:sz w:val="32"/>
          <w:szCs w:val="32"/>
        </w:rPr>
        <w:t>%。</w:t>
      </w:r>
    </w:p>
    <w:p w14:paraId="72C9FC83">
      <w:pPr>
        <w:spacing w:line="560" w:lineRule="exact"/>
        <w:ind w:firstLine="640"/>
        <w:rPr>
          <w:rFonts w:ascii="仿宋" w:hAnsi="仿宋" w:eastAsia="仿宋"/>
          <w:color w:val="000000"/>
          <w:sz w:val="32"/>
          <w:szCs w:val="32"/>
        </w:rPr>
      </w:pPr>
      <w:r>
        <w:rPr>
          <w:rFonts w:hint="eastAsia" w:ascii="仿宋" w:hAnsi="仿宋" w:eastAsia="仿宋"/>
          <w:color w:val="000000"/>
          <w:sz w:val="32"/>
          <w:szCs w:val="32"/>
        </w:rPr>
        <w:t>1.因公出国（境）经费支出</w:t>
      </w:r>
      <w:r>
        <w:rPr>
          <w:rFonts w:ascii="仿宋" w:hAnsi="仿宋" w:eastAsia="仿宋"/>
          <w:color w:val="000000"/>
          <w:sz w:val="32"/>
        </w:rPr>
        <w:t>0.00</w:t>
      </w:r>
      <w:r>
        <w:rPr>
          <w:rFonts w:hint="eastAsia" w:ascii="仿宋" w:hAnsi="仿宋" w:eastAsia="仿宋"/>
          <w:color w:val="000000"/>
          <w:sz w:val="32"/>
          <w:szCs w:val="32"/>
        </w:rPr>
        <w:t>万元</w:t>
      </w:r>
      <w:r>
        <w:rPr>
          <w:rFonts w:hint="eastAsia" w:ascii="仿宋" w:hAnsi="仿宋" w:eastAsia="仿宋"/>
          <w:color w:val="000000"/>
          <w:sz w:val="32"/>
          <w:szCs w:val="32"/>
          <w:lang w:eastAsia="zh-CN"/>
        </w:rPr>
        <w:t>，</w:t>
      </w:r>
      <w:r>
        <w:rPr>
          <w:rFonts w:hint="eastAsia" w:ascii="仿宋" w:hAnsi="仿宋" w:eastAsia="仿宋"/>
          <w:color w:val="000000"/>
          <w:sz w:val="32"/>
          <w:szCs w:val="32"/>
        </w:rPr>
        <w:t>完成预算100%。全年安排因公出国（境）团组</w:t>
      </w:r>
      <w:r>
        <w:rPr>
          <w:rFonts w:ascii="仿宋" w:hAnsi="仿宋" w:eastAsia="仿宋"/>
          <w:color w:val="000000"/>
          <w:sz w:val="32"/>
        </w:rPr>
        <w:t>0</w:t>
      </w:r>
      <w:r>
        <w:rPr>
          <w:rFonts w:hint="eastAsia" w:ascii="仿宋" w:hAnsi="仿宋" w:eastAsia="仿宋"/>
          <w:color w:val="000000"/>
          <w:sz w:val="32"/>
          <w:szCs w:val="32"/>
        </w:rPr>
        <w:t>次，出国（境）</w:t>
      </w:r>
      <w:r>
        <w:rPr>
          <w:rFonts w:ascii="仿宋" w:hAnsi="仿宋" w:eastAsia="仿宋"/>
          <w:color w:val="000000"/>
          <w:sz w:val="32"/>
        </w:rPr>
        <w:t>0</w:t>
      </w:r>
      <w:r>
        <w:rPr>
          <w:rFonts w:hint="eastAsia" w:ascii="仿宋" w:hAnsi="仿宋" w:eastAsia="仿宋"/>
          <w:color w:val="000000"/>
          <w:sz w:val="32"/>
          <w:szCs w:val="32"/>
        </w:rPr>
        <w:t>人。因公出国（境）支出决算比</w:t>
      </w:r>
      <w:r>
        <w:rPr>
          <w:rFonts w:hint="eastAsia" w:ascii="仿宋" w:hAnsi="仿宋" w:eastAsia="仿宋"/>
          <w:color w:val="000000"/>
          <w:sz w:val="32"/>
        </w:rPr>
        <w:t>202</w:t>
      </w:r>
      <w:r>
        <w:rPr>
          <w:rFonts w:hint="eastAsia" w:ascii="仿宋" w:hAnsi="仿宋" w:eastAsia="仿宋"/>
          <w:color w:val="000000"/>
          <w:sz w:val="32"/>
          <w:lang w:val="en-US" w:eastAsia="zh-CN"/>
        </w:rPr>
        <w:t>4</w:t>
      </w:r>
      <w:r>
        <w:rPr>
          <w:rFonts w:ascii="仿宋" w:hAnsi="仿宋" w:eastAsia="仿宋"/>
          <w:color w:val="000000"/>
          <w:sz w:val="32"/>
        </w:rPr>
        <w:t>年增加0.00</w:t>
      </w:r>
      <w:r>
        <w:rPr>
          <w:rFonts w:hint="eastAsia" w:ascii="仿宋" w:hAnsi="仿宋" w:eastAsia="仿宋"/>
          <w:color w:val="000000"/>
          <w:sz w:val="32"/>
          <w:szCs w:val="32"/>
        </w:rPr>
        <w:t>万元，</w:t>
      </w:r>
      <w:r>
        <w:rPr>
          <w:rFonts w:ascii="仿宋" w:hAnsi="仿宋" w:eastAsia="仿宋"/>
          <w:color w:val="000000"/>
          <w:sz w:val="32"/>
        </w:rPr>
        <w:t>增加100.00</w:t>
      </w:r>
      <w:r>
        <w:rPr>
          <w:rFonts w:hint="eastAsia" w:ascii="仿宋" w:hAnsi="仿宋" w:eastAsia="仿宋"/>
          <w:color w:val="000000"/>
          <w:sz w:val="32"/>
          <w:szCs w:val="32"/>
        </w:rPr>
        <w:t xml:space="preserve"> %。</w:t>
      </w:r>
      <w:r>
        <w:rPr>
          <w:rFonts w:ascii="仿宋" w:hAnsi="仿宋" w:eastAsia="仿宋"/>
          <w:color w:val="000000"/>
          <w:sz w:val="32"/>
        </w:rPr>
        <w:t xml:space="preserve"> </w:t>
      </w:r>
    </w:p>
    <w:p w14:paraId="7E5B0E8C">
      <w:pPr>
        <w:spacing w:line="560" w:lineRule="exact"/>
        <w:ind w:firstLine="640"/>
        <w:rPr>
          <w:rFonts w:ascii="仿宋" w:hAnsi="仿宋" w:eastAsia="仿宋"/>
          <w:color w:val="000000"/>
          <w:sz w:val="32"/>
          <w:szCs w:val="32"/>
        </w:rPr>
      </w:pPr>
      <w:r>
        <w:rPr>
          <w:rFonts w:hint="eastAsia" w:ascii="仿宋" w:hAnsi="仿宋" w:eastAsia="仿宋"/>
          <w:color w:val="000000"/>
          <w:sz w:val="32"/>
          <w:szCs w:val="32"/>
        </w:rPr>
        <w:t>2.公务用车购置及运行维护费支出</w:t>
      </w:r>
      <w:r>
        <w:rPr>
          <w:rFonts w:ascii="仿宋" w:hAnsi="仿宋" w:eastAsia="仿宋"/>
          <w:color w:val="000000"/>
          <w:sz w:val="32"/>
        </w:rPr>
        <w:t>0.00</w:t>
      </w:r>
      <w:r>
        <w:rPr>
          <w:rFonts w:hint="eastAsia" w:ascii="仿宋" w:hAnsi="仿宋" w:eastAsia="仿宋"/>
          <w:color w:val="000000"/>
          <w:sz w:val="32"/>
          <w:szCs w:val="32"/>
        </w:rPr>
        <w:t>万元</w:t>
      </w:r>
      <w:r>
        <w:rPr>
          <w:rFonts w:hint="eastAsia" w:ascii="仿宋" w:hAnsi="仿宋" w:eastAsia="仿宋"/>
          <w:color w:val="000000"/>
          <w:sz w:val="32"/>
          <w:szCs w:val="32"/>
          <w:lang w:eastAsia="zh-CN"/>
        </w:rPr>
        <w:t>，</w:t>
      </w:r>
      <w:r>
        <w:rPr>
          <w:rFonts w:hint="eastAsia" w:ascii="仿宋" w:hAnsi="仿宋" w:eastAsia="仿宋"/>
          <w:color w:val="000000"/>
          <w:sz w:val="32"/>
          <w:szCs w:val="32"/>
        </w:rPr>
        <w:t>完成预算</w:t>
      </w:r>
      <w:r>
        <w:rPr>
          <w:rFonts w:ascii="仿宋" w:hAnsi="仿宋" w:eastAsia="仿宋"/>
          <w:color w:val="000000"/>
          <w:sz w:val="32"/>
        </w:rPr>
        <w:t>0.00</w:t>
      </w:r>
      <w:r>
        <w:rPr>
          <w:rFonts w:hint="eastAsia" w:ascii="仿宋" w:hAnsi="仿宋" w:eastAsia="仿宋"/>
          <w:color w:val="000000"/>
          <w:sz w:val="32"/>
          <w:szCs w:val="32"/>
        </w:rPr>
        <w:t>%。公务用车购置及运行维护费支出决算比</w:t>
      </w:r>
      <w:r>
        <w:rPr>
          <w:rFonts w:hint="eastAsia" w:ascii="仿宋" w:hAnsi="仿宋" w:eastAsia="仿宋"/>
          <w:color w:val="000000"/>
          <w:sz w:val="32"/>
        </w:rPr>
        <w:t>202</w:t>
      </w:r>
      <w:r>
        <w:rPr>
          <w:rFonts w:hint="eastAsia" w:ascii="仿宋" w:hAnsi="仿宋" w:eastAsia="仿宋"/>
          <w:color w:val="000000"/>
          <w:sz w:val="32"/>
          <w:lang w:val="en-US" w:eastAsia="zh-CN"/>
        </w:rPr>
        <w:t>4</w:t>
      </w:r>
      <w:r>
        <w:rPr>
          <w:rFonts w:ascii="仿宋" w:hAnsi="仿宋" w:eastAsia="仿宋"/>
          <w:color w:val="000000"/>
          <w:sz w:val="32"/>
        </w:rPr>
        <w:t>年增加0.00</w:t>
      </w:r>
      <w:r>
        <w:rPr>
          <w:rFonts w:hint="eastAsia" w:ascii="仿宋" w:hAnsi="仿宋" w:eastAsia="仿宋"/>
          <w:color w:val="000000"/>
          <w:sz w:val="32"/>
          <w:szCs w:val="32"/>
        </w:rPr>
        <w:t>万元，</w:t>
      </w:r>
      <w:r>
        <w:rPr>
          <w:rFonts w:ascii="仿宋" w:hAnsi="仿宋" w:eastAsia="仿宋"/>
          <w:color w:val="000000"/>
          <w:sz w:val="32"/>
        </w:rPr>
        <w:t>增加0</w:t>
      </w:r>
      <w:r>
        <w:rPr>
          <w:rFonts w:hint="eastAsia" w:ascii="仿宋" w:hAnsi="仿宋" w:eastAsia="仿宋"/>
          <w:color w:val="000000"/>
          <w:sz w:val="32"/>
          <w:szCs w:val="32"/>
        </w:rPr>
        <w:t>%。 监测站无车编因此无车辆维护费支出。</w:t>
      </w:r>
    </w:p>
    <w:p w14:paraId="198B2E98">
      <w:pPr>
        <w:spacing w:line="560" w:lineRule="exact"/>
        <w:ind w:firstLine="640"/>
        <w:rPr>
          <w:rFonts w:ascii="仿宋" w:hAnsi="仿宋" w:eastAsia="仿宋"/>
          <w:color w:val="000000"/>
          <w:sz w:val="32"/>
          <w:szCs w:val="32"/>
        </w:rPr>
      </w:pPr>
      <w:r>
        <w:rPr>
          <w:rFonts w:hint="eastAsia" w:ascii="仿宋" w:hAnsi="仿宋" w:eastAsia="仿宋"/>
          <w:color w:val="000000"/>
          <w:sz w:val="32"/>
          <w:szCs w:val="32"/>
        </w:rPr>
        <w:t>其中：公务用车购置支出</w:t>
      </w:r>
      <w:r>
        <w:rPr>
          <w:rFonts w:ascii="仿宋" w:hAnsi="仿宋" w:eastAsia="仿宋"/>
          <w:color w:val="000000"/>
          <w:sz w:val="32"/>
        </w:rPr>
        <w:t>0.00万元。全年按规定更新购置公务用车0辆，其中：轿车0辆、金额0.00万元，越野车0辆、金额0.00万元，载客汽车0辆、金额0.00万元。截至</w:t>
      </w:r>
      <w:r>
        <w:rPr>
          <w:rFonts w:hint="eastAsia"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w:t>
      </w:r>
      <w:r>
        <w:rPr>
          <w:rFonts w:ascii="仿宋" w:hAnsi="仿宋" w:eastAsia="仿宋"/>
          <w:color w:val="000000"/>
          <w:sz w:val="32"/>
          <w:szCs w:val="32"/>
        </w:rPr>
        <w:t>12</w:t>
      </w:r>
      <w:r>
        <w:rPr>
          <w:rFonts w:hint="eastAsia" w:ascii="仿宋" w:hAnsi="仿宋" w:eastAsia="仿宋"/>
          <w:color w:val="000000"/>
          <w:sz w:val="32"/>
          <w:szCs w:val="32"/>
        </w:rPr>
        <w:t>月底，单位共有公务用车</w:t>
      </w:r>
      <w:r>
        <w:rPr>
          <w:rFonts w:ascii="仿宋" w:hAnsi="仿宋" w:eastAsia="仿宋"/>
          <w:color w:val="000000"/>
          <w:sz w:val="32"/>
        </w:rPr>
        <w:t>0</w:t>
      </w:r>
      <w:r>
        <w:rPr>
          <w:rFonts w:hint="eastAsia" w:ascii="仿宋" w:hAnsi="仿宋" w:eastAsia="仿宋"/>
          <w:color w:val="000000"/>
          <w:sz w:val="32"/>
          <w:szCs w:val="32"/>
        </w:rPr>
        <w:t>辆，其中：轿车</w:t>
      </w:r>
      <w:r>
        <w:rPr>
          <w:rFonts w:ascii="仿宋" w:hAnsi="仿宋" w:eastAsia="仿宋"/>
          <w:color w:val="000000"/>
          <w:sz w:val="32"/>
        </w:rPr>
        <w:t>0辆、越野车0辆、载客汽车0辆。</w:t>
      </w:r>
      <w:r>
        <w:rPr>
          <w:rFonts w:hint="eastAsia" w:ascii="仿宋" w:hAnsi="仿宋" w:eastAsia="仿宋"/>
          <w:color w:val="000000"/>
          <w:sz w:val="32"/>
          <w:szCs w:val="32"/>
        </w:rPr>
        <w:t>监测站无车编因此无车辆维护费支出。</w:t>
      </w:r>
    </w:p>
    <w:p w14:paraId="1BDD0400">
      <w:pPr>
        <w:spacing w:line="560" w:lineRule="exact"/>
        <w:ind w:firstLine="640"/>
        <w:rPr>
          <w:rFonts w:ascii="仿宋" w:hAnsi="仿宋" w:eastAsia="仿宋"/>
          <w:color w:val="000000"/>
          <w:sz w:val="32"/>
          <w:szCs w:val="32"/>
        </w:rPr>
      </w:pPr>
      <w:r>
        <w:rPr>
          <w:rFonts w:hint="eastAsia" w:ascii="仿宋" w:hAnsi="仿宋" w:eastAsia="仿宋"/>
          <w:color w:val="000000"/>
          <w:sz w:val="32"/>
          <w:szCs w:val="32"/>
        </w:rPr>
        <w:t>公务用车运行维护费支出</w:t>
      </w:r>
      <w:r>
        <w:rPr>
          <w:rFonts w:ascii="仿宋" w:hAnsi="仿宋" w:eastAsia="仿宋"/>
          <w:color w:val="000000"/>
          <w:sz w:val="32"/>
        </w:rPr>
        <w:t>0.00</w:t>
      </w:r>
      <w:r>
        <w:rPr>
          <w:rFonts w:hint="eastAsia" w:ascii="仿宋" w:hAnsi="仿宋" w:eastAsia="仿宋"/>
          <w:color w:val="000000"/>
          <w:sz w:val="32"/>
          <w:szCs w:val="32"/>
        </w:rPr>
        <w:t>万元。监测站无车编因此无车辆维护费支出。</w:t>
      </w:r>
      <w:r>
        <w:rPr>
          <w:rFonts w:ascii="仿宋" w:hAnsi="仿宋" w:eastAsia="仿宋"/>
          <w:color w:val="000000"/>
          <w:sz w:val="32"/>
        </w:rPr>
        <w:t xml:space="preserve"> </w:t>
      </w:r>
    </w:p>
    <w:p w14:paraId="3B894DB8">
      <w:pPr>
        <w:spacing w:line="560" w:lineRule="exact"/>
        <w:ind w:firstLine="640"/>
        <w:rPr>
          <w:rFonts w:ascii="仿宋" w:hAnsi="仿宋" w:eastAsia="仿宋"/>
          <w:color w:val="000000"/>
          <w:sz w:val="32"/>
          <w:szCs w:val="32"/>
        </w:rPr>
      </w:pPr>
      <w:r>
        <w:rPr>
          <w:rFonts w:hint="eastAsia" w:ascii="仿宋" w:hAnsi="仿宋" w:eastAsia="仿宋"/>
          <w:color w:val="000000"/>
          <w:sz w:val="32"/>
          <w:szCs w:val="32"/>
        </w:rPr>
        <w:t>3.公务接待费支出</w:t>
      </w:r>
      <w:r>
        <w:rPr>
          <w:rFonts w:hint="eastAsia" w:ascii="仿宋" w:hAnsi="仿宋" w:eastAsia="仿宋"/>
          <w:color w:val="000000"/>
          <w:sz w:val="32"/>
          <w:lang w:val="en-US" w:eastAsia="zh-CN"/>
        </w:rPr>
        <w:t>0</w:t>
      </w:r>
      <w:r>
        <w:rPr>
          <w:rFonts w:ascii="仿宋" w:hAnsi="仿宋" w:eastAsia="仿宋"/>
          <w:color w:val="000000"/>
          <w:sz w:val="32"/>
        </w:rPr>
        <w:t>万元，完成预算</w:t>
      </w:r>
      <w:r>
        <w:rPr>
          <w:rFonts w:hint="eastAsia" w:ascii="仿宋" w:hAnsi="仿宋" w:eastAsia="仿宋"/>
          <w:color w:val="000000"/>
          <w:sz w:val="32"/>
        </w:rPr>
        <w:t>100</w:t>
      </w:r>
      <w:r>
        <w:rPr>
          <w:rFonts w:hint="eastAsia" w:ascii="仿宋" w:hAnsi="仿宋" w:eastAsia="仿宋"/>
          <w:color w:val="000000"/>
          <w:sz w:val="32"/>
          <w:szCs w:val="32"/>
        </w:rPr>
        <w:t>%。公务接待费支出决算</w:t>
      </w:r>
      <w:r>
        <w:rPr>
          <w:rFonts w:hint="eastAsia" w:ascii="仿宋" w:hAnsi="仿宋" w:eastAsia="仿宋"/>
          <w:sz w:val="32"/>
          <w:szCs w:val="32"/>
        </w:rPr>
        <w:t>相比上年度减少0.</w:t>
      </w:r>
      <w:r>
        <w:rPr>
          <w:rFonts w:hint="eastAsia" w:ascii="仿宋" w:hAnsi="仿宋" w:eastAsia="仿宋"/>
          <w:sz w:val="32"/>
          <w:szCs w:val="32"/>
          <w:lang w:val="en-US" w:eastAsia="zh-CN"/>
        </w:rPr>
        <w:t>31</w:t>
      </w:r>
      <w:r>
        <w:rPr>
          <w:rFonts w:hint="eastAsia" w:ascii="仿宋" w:hAnsi="仿宋" w:eastAsia="仿宋"/>
          <w:sz w:val="32"/>
          <w:szCs w:val="32"/>
        </w:rPr>
        <w:t>万元，主要原因为</w:t>
      </w:r>
      <w:bookmarkStart w:id="59" w:name="_Toc15377218"/>
      <w:r>
        <w:rPr>
          <w:rFonts w:hint="eastAsia" w:ascii="仿宋" w:hAnsi="仿宋" w:eastAsia="仿宋"/>
          <w:sz w:val="32"/>
          <w:szCs w:val="32"/>
        </w:rPr>
        <w:t>由于公务接待有扫码支付，2025年的接待费用在局里面报销，监测站未使用接待费。</w:t>
      </w:r>
      <w:r>
        <w:rPr>
          <w:rFonts w:hint="eastAsia" w:ascii="仿宋" w:hAnsi="仿宋" w:eastAsia="仿宋"/>
          <w:color w:val="000000"/>
          <w:sz w:val="32"/>
          <w:szCs w:val="32"/>
        </w:rPr>
        <w:t>国内公务接待支出</w:t>
      </w:r>
      <w:r>
        <w:rPr>
          <w:rFonts w:ascii="仿宋" w:hAnsi="仿宋" w:eastAsia="仿宋"/>
          <w:color w:val="000000"/>
          <w:sz w:val="32"/>
        </w:rPr>
        <w:t>0.00万元。国内公务接待0批次，0人次（不包括陪同人员），共计支出0.00万元。</w:t>
      </w:r>
    </w:p>
    <w:p w14:paraId="064C6D20">
      <w:pPr>
        <w:pStyle w:val="7"/>
        <w:spacing w:line="560" w:lineRule="exact"/>
        <w:rPr>
          <w:rFonts w:ascii="仿宋" w:hAnsi="仿宋" w:eastAsia="仿宋"/>
          <w:color w:val="000000"/>
          <w:sz w:val="32"/>
          <w:szCs w:val="32"/>
        </w:rPr>
      </w:pPr>
      <w:r>
        <w:rPr>
          <w:rFonts w:hint="eastAsia" w:ascii="仿宋" w:hAnsi="仿宋" w:eastAsia="仿宋"/>
          <w:color w:val="000000"/>
          <w:sz w:val="32"/>
          <w:szCs w:val="32"/>
        </w:rPr>
        <w:t>外事接待支出</w:t>
      </w:r>
      <w:r>
        <w:rPr>
          <w:rFonts w:ascii="仿宋" w:hAnsi="仿宋" w:eastAsia="仿宋"/>
          <w:color w:val="000000"/>
          <w:sz w:val="32"/>
        </w:rPr>
        <w:t>0.00万元，外事接待0批次，0人，共计支出0.00万元。</w:t>
      </w:r>
    </w:p>
    <w:p w14:paraId="2B7610EE">
      <w:pPr>
        <w:pStyle w:val="5"/>
        <w:spacing w:line="560" w:lineRule="exact"/>
        <w:ind w:firstLine="643" w:firstLineChars="200"/>
        <w:rPr>
          <w:rFonts w:ascii="黑体" w:eastAsia="黑体" w:cs="Times New Roman"/>
          <w:bCs w:val="0"/>
          <w:color w:val="000000"/>
        </w:rPr>
      </w:pPr>
      <w:bookmarkStart w:id="60" w:name="_Toc111208506"/>
      <w:bookmarkStart w:id="61" w:name="_Toc18260"/>
      <w:r>
        <w:rPr>
          <w:rFonts w:hint="eastAsia" w:ascii="黑体" w:eastAsia="黑体" w:cs="Times New Roman"/>
          <w:bCs w:val="0"/>
          <w:color w:val="000000"/>
        </w:rPr>
        <w:t>八、政府性基金预算支出决算情况说明</w:t>
      </w:r>
      <w:bookmarkEnd w:id="59"/>
      <w:bookmarkEnd w:id="60"/>
      <w:bookmarkEnd w:id="61"/>
    </w:p>
    <w:p w14:paraId="3FF3E0A8">
      <w:pPr>
        <w:spacing w:line="560" w:lineRule="exact"/>
        <w:ind w:firstLine="640"/>
        <w:rPr>
          <w:rFonts w:ascii="仿宋" w:hAnsi="仿宋" w:eastAsia="仿宋"/>
        </w:rPr>
      </w:pPr>
      <w:r>
        <w:rPr>
          <w:rFonts w:hint="eastAsia" w:ascii="仿宋" w:hAnsi="仿宋" w:eastAsia="仿宋"/>
          <w:color w:val="000000"/>
          <w:sz w:val="32"/>
          <w:szCs w:val="32"/>
        </w:rPr>
        <w:t>202</w:t>
      </w:r>
      <w:r>
        <w:rPr>
          <w:rFonts w:hint="eastAsia" w:ascii="仿宋" w:hAnsi="仿宋" w:eastAsia="仿宋"/>
          <w:color w:val="000000"/>
          <w:sz w:val="32"/>
          <w:szCs w:val="32"/>
          <w:lang w:val="en-US" w:eastAsia="zh-CN"/>
        </w:rPr>
        <w:t>5</w:t>
      </w:r>
      <w:r>
        <w:rPr>
          <w:rFonts w:ascii="仿宋" w:hAnsi="仿宋" w:eastAsia="仿宋"/>
          <w:color w:val="000000"/>
          <w:sz w:val="32"/>
        </w:rPr>
        <w:t>年政府性基金预算拨款支出0.00</w:t>
      </w:r>
      <w:r>
        <w:rPr>
          <w:rFonts w:hint="eastAsia" w:ascii="仿宋" w:hAnsi="仿宋" w:eastAsia="仿宋"/>
          <w:color w:val="000000"/>
          <w:sz w:val="32"/>
          <w:szCs w:val="32"/>
        </w:rPr>
        <w:t>万元。</w:t>
      </w:r>
      <w:bookmarkStart w:id="62" w:name="_Toc15377219"/>
      <w:r>
        <w:rPr>
          <w:rFonts w:hint="eastAsia" w:ascii="仿宋" w:hAnsi="仿宋" w:eastAsia="仿宋"/>
          <w:color w:val="000000"/>
          <w:sz w:val="32"/>
          <w:szCs w:val="32"/>
        </w:rPr>
        <w:t>我单位不涉及</w:t>
      </w:r>
      <w:r>
        <w:rPr>
          <w:rFonts w:hint="eastAsia" w:ascii="仿宋" w:hAnsi="仿宋" w:eastAsia="仿宋"/>
          <w:color w:val="000000"/>
          <w:sz w:val="32"/>
          <w:szCs w:val="32"/>
          <w:lang w:eastAsia="zh-CN"/>
        </w:rPr>
        <w:t>政府性基金预算</w:t>
      </w:r>
      <w:r>
        <w:rPr>
          <w:rFonts w:hint="eastAsia" w:ascii="仿宋" w:hAnsi="仿宋" w:eastAsia="仿宋"/>
          <w:color w:val="000000"/>
          <w:sz w:val="32"/>
          <w:szCs w:val="32"/>
        </w:rPr>
        <w:t>拨款支出。</w:t>
      </w:r>
    </w:p>
    <w:p w14:paraId="0FE3442B">
      <w:pPr>
        <w:pStyle w:val="5"/>
        <w:spacing w:line="560" w:lineRule="exact"/>
        <w:ind w:firstLine="643" w:firstLineChars="200"/>
        <w:rPr>
          <w:rFonts w:ascii="黑体" w:eastAsia="黑体" w:cs="Times New Roman"/>
          <w:bCs w:val="0"/>
          <w:color w:val="000000"/>
        </w:rPr>
      </w:pPr>
      <w:bookmarkStart w:id="63" w:name="_Toc111208507"/>
      <w:bookmarkStart w:id="64" w:name="_Toc17401"/>
      <w:r>
        <w:rPr>
          <w:rFonts w:hint="eastAsia" w:ascii="黑体" w:eastAsia="黑体" w:cs="Times New Roman"/>
          <w:bCs w:val="0"/>
          <w:color w:val="000000"/>
        </w:rPr>
        <w:t>九、国有资本经营预算支出决算情况说明</w:t>
      </w:r>
      <w:bookmarkEnd w:id="62"/>
      <w:bookmarkEnd w:id="63"/>
      <w:bookmarkEnd w:id="64"/>
    </w:p>
    <w:p w14:paraId="09D3282B">
      <w:pPr>
        <w:spacing w:line="560" w:lineRule="exact"/>
        <w:ind w:firstLine="640"/>
        <w:rPr>
          <w:rFonts w:ascii="仿宋" w:hAnsi="仿宋" w:eastAsia="仿宋"/>
        </w:rPr>
      </w:pPr>
      <w:r>
        <w:rPr>
          <w:rFonts w:hint="eastAsia" w:ascii="仿宋" w:hAnsi="仿宋" w:eastAsia="仿宋"/>
          <w:color w:val="000000"/>
          <w:sz w:val="32"/>
          <w:szCs w:val="32"/>
        </w:rPr>
        <w:t>202</w:t>
      </w:r>
      <w:r>
        <w:rPr>
          <w:rFonts w:hint="eastAsia" w:ascii="仿宋" w:hAnsi="仿宋" w:eastAsia="仿宋"/>
          <w:color w:val="000000"/>
          <w:sz w:val="32"/>
          <w:szCs w:val="32"/>
          <w:lang w:val="en-US" w:eastAsia="zh-CN"/>
        </w:rPr>
        <w:t>5</w:t>
      </w:r>
      <w:r>
        <w:rPr>
          <w:rFonts w:ascii="仿宋" w:hAnsi="仿宋" w:eastAsia="仿宋"/>
          <w:color w:val="000000"/>
          <w:sz w:val="32"/>
        </w:rPr>
        <w:t>年国有资本经营预算拨款支出0.00</w:t>
      </w:r>
      <w:r>
        <w:rPr>
          <w:rFonts w:hint="eastAsia" w:ascii="仿宋" w:hAnsi="仿宋" w:eastAsia="仿宋"/>
          <w:color w:val="000000"/>
          <w:sz w:val="32"/>
          <w:szCs w:val="32"/>
        </w:rPr>
        <w:t>万元。我单位不涉及国有资本经营预算拨款支出。</w:t>
      </w:r>
    </w:p>
    <w:p w14:paraId="2ABE5DC1">
      <w:pPr>
        <w:spacing w:line="560" w:lineRule="exact"/>
        <w:ind w:firstLine="640"/>
        <w:rPr>
          <w:rFonts w:ascii="仿宋" w:hAnsi="仿宋" w:eastAsia="仿宋"/>
        </w:rPr>
      </w:pPr>
    </w:p>
    <w:p w14:paraId="457535D9">
      <w:pPr>
        <w:pStyle w:val="5"/>
        <w:spacing w:line="560" w:lineRule="exact"/>
        <w:ind w:firstLine="643" w:firstLineChars="200"/>
        <w:rPr>
          <w:rFonts w:ascii="黑体" w:eastAsia="黑体" w:cs="Times New Roman"/>
          <w:bCs w:val="0"/>
          <w:color w:val="000000"/>
        </w:rPr>
      </w:pPr>
      <w:bookmarkStart w:id="65" w:name="_Toc111208508"/>
      <w:bookmarkStart w:id="66" w:name="_Toc19096"/>
      <w:bookmarkStart w:id="67" w:name="_Toc15377221"/>
      <w:r>
        <w:rPr>
          <w:rFonts w:hint="eastAsia" w:ascii="黑体" w:eastAsia="黑体" w:cs="Times New Roman"/>
          <w:bCs w:val="0"/>
          <w:color w:val="000000"/>
        </w:rPr>
        <w:t>十、其他重要事项的情况说明</w:t>
      </w:r>
      <w:bookmarkEnd w:id="65"/>
      <w:bookmarkEnd w:id="66"/>
      <w:bookmarkEnd w:id="67"/>
    </w:p>
    <w:p w14:paraId="70226734">
      <w:pPr>
        <w:spacing w:line="560" w:lineRule="exact"/>
        <w:ind w:firstLine="643" w:firstLineChars="200"/>
        <w:outlineLvl w:val="2"/>
        <w:rPr>
          <w:rFonts w:ascii="仿宋" w:hAnsi="仿宋" w:eastAsia="仿宋"/>
          <w:b/>
          <w:color w:val="000000"/>
          <w:sz w:val="32"/>
          <w:szCs w:val="32"/>
        </w:rPr>
      </w:pPr>
      <w:bookmarkStart w:id="68" w:name="_Toc15377222"/>
      <w:r>
        <w:rPr>
          <w:rFonts w:hint="eastAsia" w:ascii="仿宋" w:hAnsi="仿宋" w:eastAsia="仿宋"/>
          <w:b/>
          <w:color w:val="000000"/>
          <w:sz w:val="32"/>
          <w:szCs w:val="32"/>
        </w:rPr>
        <w:t>（一）机关运行经费支出情况</w:t>
      </w:r>
      <w:bookmarkEnd w:id="68"/>
    </w:p>
    <w:p w14:paraId="5A457281">
      <w:pPr>
        <w:spacing w:line="560" w:lineRule="exact"/>
        <w:ind w:firstLine="640"/>
        <w:rPr>
          <w:rFonts w:ascii="仿宋" w:hAnsi="仿宋" w:eastAsia="仿宋"/>
          <w:color w:val="000000"/>
          <w:sz w:val="32"/>
          <w:szCs w:val="32"/>
        </w:rPr>
      </w:pPr>
      <w:r>
        <w:rPr>
          <w:rFonts w:hint="eastAsia" w:ascii="仿宋" w:hAnsi="仿宋" w:eastAsia="仿宋"/>
          <w:color w:val="000000"/>
          <w:sz w:val="32"/>
          <w:szCs w:val="32"/>
        </w:rPr>
        <w:t>202</w:t>
      </w:r>
      <w:r>
        <w:rPr>
          <w:rFonts w:hint="eastAsia" w:ascii="仿宋" w:hAnsi="仿宋" w:eastAsia="仿宋"/>
          <w:color w:val="000000"/>
          <w:sz w:val="32"/>
          <w:szCs w:val="32"/>
          <w:lang w:val="en-US" w:eastAsia="zh-CN"/>
        </w:rPr>
        <w:t>5</w:t>
      </w:r>
      <w:r>
        <w:rPr>
          <w:rFonts w:ascii="仿宋" w:hAnsi="仿宋" w:eastAsia="仿宋"/>
          <w:color w:val="000000"/>
          <w:sz w:val="32"/>
        </w:rPr>
        <w:t>年，机关运行经费支出0.00</w:t>
      </w:r>
      <w:r>
        <w:rPr>
          <w:rFonts w:hint="eastAsia" w:ascii="仿宋" w:hAnsi="仿宋" w:eastAsia="仿宋"/>
          <w:color w:val="000000"/>
          <w:sz w:val="32"/>
          <w:szCs w:val="32"/>
        </w:rPr>
        <w:t>万元，比</w:t>
      </w:r>
      <w:r>
        <w:rPr>
          <w:rFonts w:hint="eastAsia" w:ascii="仿宋" w:hAnsi="仿宋" w:eastAsia="仿宋"/>
          <w:color w:val="000000"/>
          <w:sz w:val="32"/>
        </w:rPr>
        <w:t>202</w:t>
      </w:r>
      <w:r>
        <w:rPr>
          <w:rFonts w:hint="eastAsia" w:ascii="仿宋" w:hAnsi="仿宋" w:eastAsia="仿宋"/>
          <w:color w:val="000000"/>
          <w:sz w:val="32"/>
          <w:lang w:val="en-US" w:eastAsia="zh-CN"/>
        </w:rPr>
        <w:t>4</w:t>
      </w:r>
      <w:r>
        <w:rPr>
          <w:rFonts w:ascii="仿宋" w:hAnsi="仿宋" w:eastAsia="仿宋"/>
          <w:color w:val="000000"/>
          <w:sz w:val="32"/>
        </w:rPr>
        <w:t>年增加0.00</w:t>
      </w:r>
      <w:r>
        <w:rPr>
          <w:rFonts w:hint="eastAsia" w:ascii="仿宋" w:hAnsi="仿宋" w:eastAsia="仿宋"/>
          <w:color w:val="000000"/>
          <w:sz w:val="32"/>
          <w:szCs w:val="32"/>
        </w:rPr>
        <w:t>万元，</w:t>
      </w:r>
      <w:r>
        <w:rPr>
          <w:rFonts w:ascii="仿宋" w:hAnsi="仿宋" w:eastAsia="仿宋"/>
          <w:color w:val="000000"/>
          <w:sz w:val="32"/>
        </w:rPr>
        <w:t xml:space="preserve">增加100.00 %。 </w:t>
      </w:r>
    </w:p>
    <w:p w14:paraId="483AB9DF">
      <w:pPr>
        <w:spacing w:line="560" w:lineRule="exact"/>
        <w:ind w:firstLine="643" w:firstLineChars="200"/>
        <w:outlineLvl w:val="2"/>
        <w:rPr>
          <w:rFonts w:ascii="仿宋" w:hAnsi="仿宋" w:eastAsia="仿宋"/>
          <w:b/>
          <w:color w:val="000000"/>
          <w:sz w:val="32"/>
          <w:szCs w:val="32"/>
        </w:rPr>
      </w:pPr>
      <w:bookmarkStart w:id="69" w:name="_Toc15377223"/>
      <w:r>
        <w:rPr>
          <w:rFonts w:hint="eastAsia" w:ascii="仿宋" w:hAnsi="仿宋" w:eastAsia="仿宋"/>
          <w:b/>
          <w:color w:val="000000"/>
          <w:sz w:val="32"/>
          <w:szCs w:val="32"/>
        </w:rPr>
        <w:t>（二）政府采购支出情况</w:t>
      </w:r>
      <w:bookmarkEnd w:id="69"/>
      <w:r>
        <w:rPr>
          <w:rFonts w:hint="eastAsia" w:ascii="仿宋" w:hAnsi="仿宋" w:eastAsia="仿宋"/>
          <w:b/>
          <w:color w:val="000000"/>
          <w:sz w:val="32"/>
          <w:szCs w:val="32"/>
          <w:lang w:eastAsia="zh-CN"/>
        </w:rPr>
        <w:t>（</w:t>
      </w:r>
      <w:r>
        <w:rPr>
          <w:rFonts w:hint="eastAsia" w:ascii="仿宋" w:hAnsi="仿宋" w:eastAsia="仿宋"/>
          <w:b/>
          <w:color w:val="000000"/>
          <w:sz w:val="32"/>
          <w:szCs w:val="32"/>
        </w:rPr>
        <w:t>机构运行信息表</w:t>
      </w:r>
      <w:r>
        <w:rPr>
          <w:rFonts w:hint="eastAsia" w:ascii="仿宋" w:hAnsi="仿宋" w:eastAsia="仿宋"/>
          <w:b/>
          <w:color w:val="000000"/>
          <w:sz w:val="32"/>
          <w:szCs w:val="32"/>
          <w:lang w:eastAsia="zh-CN"/>
        </w:rPr>
        <w:t>）</w:t>
      </w:r>
    </w:p>
    <w:p w14:paraId="18E541AC">
      <w:pPr>
        <w:spacing w:line="560" w:lineRule="exact"/>
        <w:ind w:firstLine="640"/>
        <w:rPr>
          <w:rFonts w:ascii="仿宋_GB2312" w:eastAsia="仿宋_GB2312"/>
          <w:color w:val="000000"/>
          <w:sz w:val="32"/>
          <w:szCs w:val="32"/>
        </w:rPr>
      </w:pPr>
      <w:r>
        <w:rPr>
          <w:rFonts w:hint="eastAsia" w:ascii="仿宋" w:hAnsi="仿宋" w:eastAsia="仿宋"/>
          <w:color w:val="000000"/>
          <w:sz w:val="32"/>
          <w:szCs w:val="32"/>
        </w:rPr>
        <w:t>202</w:t>
      </w:r>
      <w:r>
        <w:rPr>
          <w:rFonts w:hint="eastAsia" w:ascii="仿宋" w:hAnsi="仿宋" w:eastAsia="仿宋"/>
          <w:color w:val="000000"/>
          <w:sz w:val="32"/>
          <w:szCs w:val="32"/>
          <w:lang w:val="en-US" w:eastAsia="zh-CN"/>
        </w:rPr>
        <w:t>5</w:t>
      </w:r>
      <w:r>
        <w:rPr>
          <w:rFonts w:ascii="仿宋" w:hAnsi="仿宋" w:eastAsia="仿宋"/>
          <w:color w:val="000000"/>
          <w:sz w:val="32"/>
        </w:rPr>
        <w:t>年，政府采购支出总额0.00</w:t>
      </w:r>
      <w:r>
        <w:rPr>
          <w:rFonts w:hint="eastAsia" w:ascii="仿宋" w:hAnsi="仿宋" w:eastAsia="仿宋"/>
          <w:color w:val="000000"/>
          <w:sz w:val="32"/>
          <w:szCs w:val="32"/>
        </w:rPr>
        <w:t>万元，其中：政府采购货物支出</w:t>
      </w:r>
      <w:r>
        <w:rPr>
          <w:rFonts w:ascii="仿宋" w:hAnsi="仿宋" w:eastAsia="仿宋"/>
          <w:color w:val="000000"/>
          <w:sz w:val="32"/>
        </w:rPr>
        <w:t>0.00</w:t>
      </w:r>
      <w:r>
        <w:rPr>
          <w:rFonts w:hint="eastAsia" w:ascii="仿宋" w:hAnsi="仿宋" w:eastAsia="仿宋"/>
          <w:color w:val="000000"/>
          <w:sz w:val="32"/>
          <w:szCs w:val="32"/>
        </w:rPr>
        <w:t>万元、政府采购工程支出</w:t>
      </w:r>
      <w:r>
        <w:rPr>
          <w:rFonts w:ascii="仿宋" w:hAnsi="仿宋" w:eastAsia="仿宋"/>
          <w:color w:val="000000"/>
          <w:sz w:val="32"/>
        </w:rPr>
        <w:t>0.00</w:t>
      </w:r>
      <w:r>
        <w:rPr>
          <w:rFonts w:hint="eastAsia" w:ascii="仿宋" w:hAnsi="仿宋" w:eastAsia="仿宋"/>
          <w:color w:val="000000"/>
          <w:sz w:val="32"/>
          <w:szCs w:val="32"/>
        </w:rPr>
        <w:t>万元、政府采购服务支出</w:t>
      </w:r>
      <w:r>
        <w:rPr>
          <w:rFonts w:ascii="仿宋" w:hAnsi="仿宋" w:eastAsia="仿宋"/>
          <w:color w:val="000000"/>
          <w:sz w:val="32"/>
        </w:rPr>
        <w:t>0.00</w:t>
      </w:r>
      <w:r>
        <w:rPr>
          <w:rFonts w:hint="eastAsia" w:ascii="仿宋" w:hAnsi="仿宋" w:eastAsia="仿宋"/>
          <w:color w:val="000000"/>
          <w:sz w:val="32"/>
          <w:szCs w:val="32"/>
        </w:rPr>
        <w:t>万元。授予中小企业合同金额</w:t>
      </w:r>
      <w:r>
        <w:rPr>
          <w:rFonts w:ascii="仿宋" w:hAnsi="仿宋" w:eastAsia="仿宋"/>
          <w:color w:val="000000"/>
          <w:sz w:val="32"/>
        </w:rPr>
        <w:t>0.00</w:t>
      </w:r>
      <w:r>
        <w:rPr>
          <w:rFonts w:hint="eastAsia" w:ascii="仿宋" w:hAnsi="仿宋" w:eastAsia="仿宋"/>
          <w:color w:val="000000"/>
          <w:sz w:val="32"/>
          <w:szCs w:val="32"/>
        </w:rPr>
        <w:t>万元，其中：授予小微企业合同金额</w:t>
      </w:r>
      <w:r>
        <w:rPr>
          <w:rFonts w:ascii="仿宋" w:hAnsi="仿宋" w:eastAsia="仿宋"/>
          <w:color w:val="000000"/>
          <w:sz w:val="32"/>
        </w:rPr>
        <w:t>0.00</w:t>
      </w:r>
      <w:r>
        <w:rPr>
          <w:rFonts w:hint="eastAsia" w:ascii="仿宋" w:hAnsi="仿宋" w:eastAsia="仿宋"/>
          <w:color w:val="000000"/>
          <w:sz w:val="32"/>
          <w:szCs w:val="32"/>
        </w:rPr>
        <w:t>万元，占总合同的</w:t>
      </w:r>
      <w:r>
        <w:rPr>
          <w:rFonts w:ascii="仿宋" w:hAnsi="仿宋" w:eastAsia="仿宋"/>
          <w:color w:val="000000"/>
          <w:sz w:val="32"/>
        </w:rPr>
        <w:t>0.00</w:t>
      </w:r>
      <w:r>
        <w:rPr>
          <w:rFonts w:hint="eastAsia" w:ascii="仿宋" w:hAnsi="仿宋" w:eastAsia="仿宋"/>
          <w:color w:val="000000"/>
          <w:sz w:val="32"/>
          <w:szCs w:val="32"/>
        </w:rPr>
        <w:t>%。</w:t>
      </w:r>
    </w:p>
    <w:p w14:paraId="40FFD66D">
      <w:pPr>
        <w:spacing w:line="560" w:lineRule="exact"/>
        <w:ind w:firstLine="643" w:firstLineChars="200"/>
        <w:outlineLvl w:val="2"/>
        <w:rPr>
          <w:rFonts w:ascii="仿宋" w:hAnsi="仿宋" w:eastAsia="仿宋"/>
          <w:b/>
          <w:color w:val="000000"/>
          <w:sz w:val="32"/>
          <w:szCs w:val="32"/>
        </w:rPr>
      </w:pPr>
      <w:bookmarkStart w:id="70" w:name="_Toc15377224"/>
      <w:r>
        <w:rPr>
          <w:rFonts w:hint="eastAsia" w:ascii="仿宋" w:hAnsi="仿宋" w:eastAsia="仿宋"/>
          <w:b/>
          <w:color w:val="000000"/>
          <w:sz w:val="32"/>
          <w:szCs w:val="32"/>
        </w:rPr>
        <w:t>（三）国有资产占有使用情况</w:t>
      </w:r>
      <w:bookmarkEnd w:id="70"/>
    </w:p>
    <w:p w14:paraId="537D7728">
      <w:pPr>
        <w:spacing w:line="560" w:lineRule="exact"/>
        <w:ind w:firstLine="640"/>
        <w:rPr>
          <w:rFonts w:ascii="仿宋" w:hAnsi="仿宋" w:eastAsia="仿宋"/>
          <w:color w:val="000000"/>
          <w:sz w:val="32"/>
          <w:szCs w:val="32"/>
        </w:rPr>
      </w:pPr>
      <w:r>
        <w:rPr>
          <w:rFonts w:hint="eastAsia" w:ascii="仿宋" w:hAnsi="仿宋" w:eastAsia="仿宋"/>
          <w:color w:val="000000"/>
          <w:sz w:val="32"/>
          <w:szCs w:val="32"/>
        </w:rPr>
        <w:t>截至</w:t>
      </w:r>
      <w:r>
        <w:rPr>
          <w:rFonts w:hint="eastAsia" w:ascii="仿宋" w:hAnsi="仿宋" w:eastAsia="仿宋"/>
          <w:color w:val="000000"/>
          <w:sz w:val="32"/>
        </w:rPr>
        <w:t>202</w:t>
      </w:r>
      <w:r>
        <w:rPr>
          <w:rFonts w:hint="eastAsia" w:ascii="仿宋" w:hAnsi="仿宋" w:eastAsia="仿宋"/>
          <w:color w:val="000000"/>
          <w:sz w:val="32"/>
          <w:lang w:val="en-US" w:eastAsia="zh-CN"/>
        </w:rPr>
        <w:t>5</w:t>
      </w:r>
      <w:r>
        <w:rPr>
          <w:rFonts w:ascii="仿宋" w:hAnsi="仿宋" w:eastAsia="仿宋"/>
          <w:color w:val="000000"/>
          <w:sz w:val="32"/>
        </w:rPr>
        <w:t>年</w:t>
      </w:r>
      <w:r>
        <w:rPr>
          <w:rFonts w:ascii="仿宋" w:hAnsi="仿宋" w:eastAsia="仿宋"/>
          <w:color w:val="000000"/>
          <w:sz w:val="32"/>
          <w:szCs w:val="32"/>
        </w:rPr>
        <w:t>12</w:t>
      </w:r>
      <w:r>
        <w:rPr>
          <w:rFonts w:hint="eastAsia" w:ascii="仿宋" w:hAnsi="仿宋" w:eastAsia="仿宋"/>
          <w:color w:val="000000"/>
          <w:sz w:val="32"/>
          <w:szCs w:val="32"/>
        </w:rPr>
        <w:t>月</w:t>
      </w:r>
      <w:r>
        <w:rPr>
          <w:rFonts w:ascii="仿宋" w:hAnsi="仿宋" w:eastAsia="仿宋"/>
          <w:color w:val="000000"/>
          <w:sz w:val="32"/>
          <w:szCs w:val="32"/>
        </w:rPr>
        <w:t>31</w:t>
      </w:r>
      <w:r>
        <w:rPr>
          <w:rFonts w:hint="eastAsia" w:ascii="仿宋" w:hAnsi="仿宋" w:eastAsia="仿宋"/>
          <w:color w:val="000000"/>
          <w:sz w:val="32"/>
          <w:szCs w:val="32"/>
        </w:rPr>
        <w:t>日，共有车辆</w:t>
      </w:r>
      <w:r>
        <w:rPr>
          <w:rFonts w:ascii="仿宋" w:hAnsi="仿宋" w:eastAsia="仿宋"/>
          <w:color w:val="000000"/>
          <w:sz w:val="32"/>
        </w:rPr>
        <w:t>0辆，其中：主要领导干部用车0</w:t>
      </w:r>
      <w:r>
        <w:rPr>
          <w:rFonts w:hint="eastAsia" w:ascii="仿宋" w:hAnsi="仿宋" w:eastAsia="仿宋"/>
          <w:color w:val="000000"/>
          <w:sz w:val="32"/>
          <w:szCs w:val="32"/>
        </w:rPr>
        <w:t>辆、机要通信用车</w:t>
      </w:r>
      <w:r>
        <w:rPr>
          <w:rFonts w:ascii="仿宋" w:hAnsi="仿宋" w:eastAsia="仿宋"/>
          <w:color w:val="000000"/>
          <w:sz w:val="32"/>
        </w:rPr>
        <w:t>0</w:t>
      </w:r>
      <w:r>
        <w:rPr>
          <w:rFonts w:hint="eastAsia" w:ascii="仿宋" w:hAnsi="仿宋" w:eastAsia="仿宋"/>
          <w:color w:val="000000"/>
          <w:sz w:val="32"/>
          <w:szCs w:val="32"/>
        </w:rPr>
        <w:t>辆、应急保障用车</w:t>
      </w:r>
      <w:r>
        <w:rPr>
          <w:rFonts w:ascii="仿宋" w:hAnsi="仿宋" w:eastAsia="仿宋"/>
          <w:color w:val="000000"/>
          <w:sz w:val="32"/>
        </w:rPr>
        <w:t>0</w:t>
      </w:r>
      <w:r>
        <w:rPr>
          <w:rFonts w:hint="eastAsia" w:ascii="仿宋" w:hAnsi="仿宋" w:eastAsia="仿宋"/>
          <w:color w:val="000000"/>
          <w:sz w:val="32"/>
          <w:szCs w:val="32"/>
        </w:rPr>
        <w:t>辆、其他用车</w:t>
      </w:r>
      <w:r>
        <w:rPr>
          <w:rFonts w:ascii="仿宋" w:hAnsi="仿宋" w:eastAsia="仿宋"/>
          <w:color w:val="000000"/>
          <w:sz w:val="32"/>
        </w:rPr>
        <w:t>0</w:t>
      </w:r>
      <w:r>
        <w:rPr>
          <w:rFonts w:hint="eastAsia" w:ascii="仿宋" w:hAnsi="仿宋" w:eastAsia="仿宋"/>
          <w:color w:val="000000"/>
          <w:sz w:val="32"/>
          <w:szCs w:val="32"/>
        </w:rPr>
        <w:t>辆。单价</w:t>
      </w:r>
      <w:r>
        <w:rPr>
          <w:rFonts w:ascii="仿宋" w:hAnsi="仿宋" w:eastAsia="仿宋"/>
          <w:color w:val="000000"/>
          <w:sz w:val="32"/>
          <w:szCs w:val="32"/>
        </w:rPr>
        <w:t>100</w:t>
      </w:r>
      <w:r>
        <w:rPr>
          <w:rFonts w:hint="eastAsia" w:ascii="仿宋" w:hAnsi="仿宋" w:eastAsia="仿宋"/>
          <w:color w:val="000000"/>
          <w:sz w:val="32"/>
          <w:szCs w:val="32"/>
        </w:rPr>
        <w:t>万元以上专用设备</w:t>
      </w:r>
      <w:r>
        <w:rPr>
          <w:rFonts w:ascii="仿宋" w:hAnsi="仿宋" w:eastAsia="仿宋"/>
          <w:color w:val="000000"/>
          <w:sz w:val="32"/>
        </w:rPr>
        <w:t>0</w:t>
      </w:r>
      <w:r>
        <w:rPr>
          <w:rFonts w:hint="eastAsia" w:ascii="仿宋" w:hAnsi="仿宋" w:eastAsia="仿宋"/>
          <w:color w:val="000000"/>
          <w:sz w:val="32"/>
          <w:szCs w:val="32"/>
        </w:rPr>
        <w:t>台（套）。</w:t>
      </w:r>
    </w:p>
    <w:p w14:paraId="4B372EF0">
      <w:pPr>
        <w:spacing w:line="560" w:lineRule="exact"/>
        <w:ind w:firstLine="643" w:firstLineChars="200"/>
        <w:outlineLvl w:val="2"/>
      </w:pPr>
      <w:r>
        <w:rPr>
          <w:rFonts w:hint="eastAsia" w:ascii="仿宋" w:hAnsi="仿宋" w:eastAsia="仿宋"/>
          <w:b/>
          <w:color w:val="000000"/>
          <w:sz w:val="32"/>
          <w:szCs w:val="32"/>
        </w:rPr>
        <w:t>（四）预算绩效管理情况</w:t>
      </w:r>
    </w:p>
    <w:p w14:paraId="01B6D0FB">
      <w:pPr>
        <w:widowControl/>
        <w:spacing w:line="560" w:lineRule="exact"/>
        <w:ind w:firstLine="640" w:firstLineChars="200"/>
        <w:jc w:val="left"/>
        <w:rPr>
          <w:rFonts w:hint="eastAsia" w:ascii="仿宋" w:hAnsi="仿宋" w:eastAsia="仿宋" w:cs="Times New Roman"/>
          <w:color w:val="000000"/>
          <w:spacing w:val="-11"/>
          <w:kern w:val="0"/>
          <w:sz w:val="32"/>
          <w:szCs w:val="32"/>
          <w:shd w:val="clear" w:color="auto" w:fill="FFFFFF"/>
          <w:lang w:val="zh-CN"/>
        </w:rPr>
      </w:pPr>
      <w:r>
        <w:rPr>
          <w:rFonts w:ascii="仿宋" w:hAnsi="仿宋" w:eastAsia="仿宋" w:cs="Times New Roman"/>
          <w:sz w:val="32"/>
          <w:szCs w:val="32"/>
        </w:rPr>
        <w:t>按照州财政安排和要求，我单位根据实际情况对</w:t>
      </w:r>
      <w:r>
        <w:rPr>
          <w:rFonts w:hint="eastAsia" w:ascii="仿宋" w:hAnsi="仿宋" w:eastAsia="仿宋" w:cs="Times New Roman"/>
          <w:sz w:val="32"/>
          <w:szCs w:val="32"/>
        </w:rPr>
        <w:t>202</w:t>
      </w:r>
      <w:r>
        <w:rPr>
          <w:rFonts w:hint="eastAsia" w:ascii="仿宋" w:hAnsi="仿宋" w:eastAsia="仿宋" w:cs="Times New Roman"/>
          <w:sz w:val="32"/>
          <w:szCs w:val="32"/>
          <w:lang w:val="en-US" w:eastAsia="zh-CN"/>
        </w:rPr>
        <w:t>5</w:t>
      </w:r>
      <w:r>
        <w:rPr>
          <w:rFonts w:ascii="仿宋" w:hAnsi="仿宋" w:eastAsia="仿宋" w:cs="Times New Roman"/>
          <w:sz w:val="32"/>
          <w:szCs w:val="32"/>
        </w:rPr>
        <w:t>年部门基本支出进行了预算编制，并按时提交了预算草案经</w:t>
      </w:r>
      <w:r>
        <w:rPr>
          <w:rFonts w:hint="eastAsia" w:ascii="仿宋" w:hAnsi="仿宋" w:eastAsia="仿宋" w:cs="Times New Roman"/>
          <w:sz w:val="32"/>
          <w:szCs w:val="32"/>
          <w:lang w:eastAsia="zh-CN"/>
        </w:rPr>
        <w:t>主管部门</w:t>
      </w:r>
      <w:r>
        <w:rPr>
          <w:rFonts w:ascii="仿宋" w:hAnsi="仿宋" w:eastAsia="仿宋" w:cs="Times New Roman"/>
          <w:sz w:val="32"/>
          <w:szCs w:val="32"/>
        </w:rPr>
        <w:t>及州财</w:t>
      </w:r>
      <w:r>
        <w:rPr>
          <w:rFonts w:hint="eastAsia" w:ascii="仿宋" w:hAnsi="仿宋" w:eastAsia="仿宋" w:cs="Times New Roman"/>
          <w:sz w:val="32"/>
          <w:szCs w:val="32"/>
          <w:lang w:eastAsia="zh-CN"/>
        </w:rPr>
        <w:t>政局</w:t>
      </w:r>
      <w:r>
        <w:rPr>
          <w:rFonts w:ascii="仿宋" w:hAnsi="仿宋" w:eastAsia="仿宋" w:cs="Times New Roman"/>
          <w:sz w:val="32"/>
          <w:szCs w:val="32"/>
        </w:rPr>
        <w:t>审查，做到预算编制及时、准确。支出也完全按照预算安排支出，</w:t>
      </w:r>
      <w:r>
        <w:rPr>
          <w:rFonts w:ascii="仿宋" w:hAnsi="仿宋" w:eastAsia="仿宋" w:cs="Times New Roman"/>
          <w:color w:val="000000"/>
          <w:kern w:val="0"/>
          <w:sz w:val="32"/>
          <w:szCs w:val="32"/>
          <w:shd w:val="clear" w:color="auto" w:fill="FFFFFF"/>
          <w:lang w:val="zh-CN"/>
        </w:rPr>
        <w:t>支出控制严格，</w:t>
      </w:r>
      <w:r>
        <w:rPr>
          <w:rFonts w:hint="eastAsia" w:ascii="仿宋" w:hAnsi="仿宋" w:eastAsia="仿宋" w:cs="Times New Roman"/>
          <w:color w:val="000000"/>
          <w:kern w:val="0"/>
          <w:sz w:val="32"/>
          <w:szCs w:val="32"/>
          <w:shd w:val="clear" w:color="auto" w:fill="FFFFFF"/>
        </w:rPr>
        <w:t>202</w:t>
      </w:r>
      <w:r>
        <w:rPr>
          <w:rFonts w:hint="eastAsia" w:ascii="仿宋" w:hAnsi="仿宋" w:eastAsia="仿宋" w:cs="Times New Roman"/>
          <w:color w:val="000000"/>
          <w:kern w:val="0"/>
          <w:sz w:val="32"/>
          <w:szCs w:val="32"/>
          <w:shd w:val="clear" w:color="auto" w:fill="FFFFFF"/>
          <w:lang w:val="en-US" w:eastAsia="zh-CN"/>
        </w:rPr>
        <w:t>5</w:t>
      </w:r>
      <w:r>
        <w:rPr>
          <w:rFonts w:ascii="仿宋" w:hAnsi="仿宋" w:eastAsia="仿宋" w:cs="Times New Roman"/>
          <w:color w:val="000000"/>
          <w:kern w:val="0"/>
          <w:sz w:val="32"/>
          <w:szCs w:val="32"/>
          <w:shd w:val="clear" w:color="auto" w:fill="FFFFFF"/>
          <w:lang w:val="zh-CN"/>
        </w:rPr>
        <w:t>年我</w:t>
      </w:r>
      <w:r>
        <w:rPr>
          <w:rFonts w:ascii="仿宋" w:hAnsi="仿宋" w:eastAsia="仿宋" w:cs="Times New Roman"/>
          <w:color w:val="000000"/>
          <w:kern w:val="0"/>
          <w:sz w:val="32"/>
          <w:szCs w:val="32"/>
          <w:shd w:val="clear" w:color="auto" w:fill="FFFFFF"/>
        </w:rPr>
        <w:t>单位</w:t>
      </w:r>
      <w:r>
        <w:rPr>
          <w:rFonts w:ascii="仿宋" w:hAnsi="仿宋" w:eastAsia="仿宋" w:cs="Times New Roman"/>
          <w:color w:val="000000"/>
          <w:kern w:val="0"/>
          <w:sz w:val="32"/>
          <w:szCs w:val="32"/>
          <w:shd w:val="clear" w:color="auto" w:fill="FFFFFF"/>
          <w:lang w:val="zh-CN"/>
        </w:rPr>
        <w:t>基本支出和项目支出</w:t>
      </w:r>
      <w:r>
        <w:rPr>
          <w:rFonts w:ascii="仿宋" w:hAnsi="仿宋" w:eastAsia="仿宋" w:cs="Times New Roman"/>
          <w:color w:val="000000"/>
          <w:spacing w:val="-11"/>
          <w:kern w:val="0"/>
          <w:sz w:val="32"/>
          <w:szCs w:val="32"/>
          <w:shd w:val="clear" w:color="auto" w:fill="FFFFFF"/>
          <w:lang w:val="zh-CN"/>
        </w:rPr>
        <w:t>按照每月实际报销金额进行支付进度申请，保质保量完成支付使用。</w:t>
      </w:r>
    </w:p>
    <w:p w14:paraId="5FFE783F">
      <w:pPr>
        <w:pStyle w:val="7"/>
        <w:rPr>
          <w:rFonts w:hint="eastAsia"/>
          <w:lang w:val="zh-CN"/>
        </w:rPr>
      </w:pPr>
    </w:p>
    <w:p w14:paraId="1C12032F">
      <w:pPr>
        <w:pStyle w:val="7"/>
        <w:rPr>
          <w:rFonts w:hint="eastAsia"/>
          <w:lang w:val="zh-CN"/>
        </w:rPr>
      </w:pPr>
    </w:p>
    <w:p w14:paraId="2977452F">
      <w:pPr>
        <w:pStyle w:val="7"/>
        <w:rPr>
          <w:rFonts w:hint="eastAsia"/>
          <w:lang w:val="zh-CN"/>
        </w:rPr>
      </w:pPr>
    </w:p>
    <w:p w14:paraId="414633F6">
      <w:pPr>
        <w:pStyle w:val="7"/>
        <w:rPr>
          <w:rFonts w:hint="eastAsia"/>
          <w:lang w:val="zh-CN"/>
        </w:rPr>
      </w:pPr>
    </w:p>
    <w:p w14:paraId="243E8555">
      <w:pPr>
        <w:pStyle w:val="7"/>
        <w:rPr>
          <w:rFonts w:hint="eastAsia"/>
          <w:lang w:val="zh-CN"/>
        </w:rPr>
      </w:pPr>
    </w:p>
    <w:p w14:paraId="6D878378">
      <w:pPr>
        <w:pStyle w:val="7"/>
        <w:rPr>
          <w:rFonts w:hint="eastAsia"/>
          <w:lang w:val="zh-CN"/>
        </w:rPr>
      </w:pPr>
    </w:p>
    <w:p w14:paraId="0A479EC9">
      <w:pPr>
        <w:pStyle w:val="7"/>
        <w:rPr>
          <w:rFonts w:hint="eastAsia"/>
          <w:lang w:val="zh-CN"/>
        </w:rPr>
      </w:pPr>
    </w:p>
    <w:p w14:paraId="5E7DF99E">
      <w:pPr>
        <w:pStyle w:val="7"/>
        <w:rPr>
          <w:rFonts w:hint="eastAsia"/>
          <w:lang w:val="zh-CN"/>
        </w:rPr>
      </w:pPr>
    </w:p>
    <w:p w14:paraId="4558AA6F">
      <w:pPr>
        <w:pStyle w:val="7"/>
        <w:rPr>
          <w:rFonts w:hint="eastAsia"/>
          <w:lang w:val="zh-CN"/>
        </w:rPr>
      </w:pPr>
    </w:p>
    <w:p w14:paraId="5819678C">
      <w:pPr>
        <w:pStyle w:val="7"/>
        <w:rPr>
          <w:rFonts w:hint="eastAsia"/>
          <w:lang w:val="zh-CN"/>
        </w:rPr>
      </w:pPr>
    </w:p>
    <w:p w14:paraId="76A838E0">
      <w:pPr>
        <w:pStyle w:val="7"/>
        <w:rPr>
          <w:rFonts w:hint="eastAsia"/>
          <w:lang w:val="zh-CN"/>
        </w:rPr>
      </w:pPr>
    </w:p>
    <w:p w14:paraId="441713F0">
      <w:pPr>
        <w:pStyle w:val="7"/>
        <w:rPr>
          <w:rFonts w:hint="eastAsia"/>
          <w:lang w:val="zh-CN"/>
        </w:rPr>
      </w:pPr>
    </w:p>
    <w:p w14:paraId="62E35D84">
      <w:pPr>
        <w:pStyle w:val="7"/>
        <w:rPr>
          <w:rFonts w:hint="eastAsia"/>
          <w:lang w:val="zh-CN"/>
        </w:rPr>
      </w:pPr>
    </w:p>
    <w:p w14:paraId="7EA0A14D">
      <w:pPr>
        <w:pStyle w:val="7"/>
        <w:rPr>
          <w:rFonts w:hint="eastAsia"/>
          <w:lang w:val="zh-CN"/>
        </w:rPr>
      </w:pPr>
    </w:p>
    <w:p w14:paraId="1185933B">
      <w:pPr>
        <w:pStyle w:val="7"/>
        <w:rPr>
          <w:rFonts w:hint="eastAsia"/>
          <w:lang w:val="zh-CN"/>
        </w:rPr>
      </w:pPr>
    </w:p>
    <w:p w14:paraId="431D9914">
      <w:pPr>
        <w:pStyle w:val="7"/>
        <w:rPr>
          <w:rFonts w:hint="eastAsia"/>
          <w:lang w:val="zh-CN"/>
        </w:rPr>
      </w:pPr>
    </w:p>
    <w:p w14:paraId="26EC7AFB">
      <w:pPr>
        <w:pStyle w:val="7"/>
        <w:rPr>
          <w:rFonts w:hint="eastAsia"/>
          <w:lang w:val="zh-CN"/>
        </w:rPr>
      </w:pPr>
    </w:p>
    <w:p w14:paraId="0111224F">
      <w:pPr>
        <w:pStyle w:val="7"/>
        <w:rPr>
          <w:rFonts w:hint="eastAsia"/>
          <w:lang w:val="zh-CN"/>
        </w:rPr>
      </w:pPr>
    </w:p>
    <w:p w14:paraId="2E0BA994">
      <w:pPr>
        <w:pStyle w:val="7"/>
        <w:rPr>
          <w:rFonts w:hint="eastAsia"/>
          <w:lang w:val="zh-CN"/>
        </w:rPr>
      </w:pPr>
    </w:p>
    <w:p w14:paraId="18FC6F8C">
      <w:pPr>
        <w:pStyle w:val="7"/>
        <w:rPr>
          <w:rFonts w:hint="eastAsia"/>
          <w:lang w:val="zh-CN"/>
        </w:rPr>
      </w:pPr>
    </w:p>
    <w:p w14:paraId="34B98137">
      <w:pPr>
        <w:pStyle w:val="7"/>
        <w:rPr>
          <w:rFonts w:hint="eastAsia"/>
          <w:lang w:val="zh-CN"/>
        </w:rPr>
      </w:pPr>
    </w:p>
    <w:p w14:paraId="4272AA86">
      <w:pPr>
        <w:pStyle w:val="7"/>
        <w:rPr>
          <w:rFonts w:hint="eastAsia"/>
          <w:lang w:val="zh-CN"/>
        </w:rPr>
      </w:pPr>
    </w:p>
    <w:p w14:paraId="7A014DDD">
      <w:pPr>
        <w:pStyle w:val="7"/>
        <w:rPr>
          <w:rFonts w:hint="eastAsia"/>
          <w:lang w:val="zh-CN"/>
        </w:rPr>
      </w:pPr>
    </w:p>
    <w:p w14:paraId="7EA47746">
      <w:pPr>
        <w:pStyle w:val="7"/>
        <w:rPr>
          <w:rFonts w:hint="eastAsia"/>
          <w:lang w:val="zh-CN"/>
        </w:rPr>
      </w:pPr>
    </w:p>
    <w:p w14:paraId="0F937784">
      <w:pPr>
        <w:pStyle w:val="7"/>
        <w:rPr>
          <w:rFonts w:hint="eastAsia"/>
          <w:lang w:val="zh-CN"/>
        </w:rPr>
      </w:pPr>
    </w:p>
    <w:p w14:paraId="453A4330">
      <w:pPr>
        <w:pStyle w:val="7"/>
        <w:rPr>
          <w:rFonts w:hint="eastAsia"/>
          <w:lang w:val="zh-CN"/>
        </w:rPr>
      </w:pPr>
    </w:p>
    <w:p w14:paraId="4BEF2127">
      <w:pPr>
        <w:pStyle w:val="7"/>
        <w:rPr>
          <w:rFonts w:hint="eastAsia"/>
          <w:lang w:val="zh-CN"/>
        </w:rPr>
      </w:pPr>
    </w:p>
    <w:p w14:paraId="3F8B24B5">
      <w:pPr>
        <w:pStyle w:val="7"/>
        <w:rPr>
          <w:rFonts w:hint="eastAsia"/>
          <w:lang w:val="zh-CN"/>
        </w:rPr>
      </w:pPr>
    </w:p>
    <w:p w14:paraId="6C11CD3E">
      <w:pPr>
        <w:pStyle w:val="7"/>
        <w:rPr>
          <w:rFonts w:hint="eastAsia"/>
          <w:lang w:val="zh-CN"/>
        </w:rPr>
      </w:pPr>
    </w:p>
    <w:p w14:paraId="36B8D855">
      <w:pPr>
        <w:pStyle w:val="7"/>
        <w:rPr>
          <w:rFonts w:hint="eastAsia"/>
          <w:lang w:val="zh-CN"/>
        </w:rPr>
      </w:pPr>
    </w:p>
    <w:p w14:paraId="7239F975">
      <w:pPr>
        <w:pStyle w:val="7"/>
        <w:rPr>
          <w:rFonts w:hint="eastAsia"/>
          <w:lang w:val="zh-CN"/>
        </w:rPr>
      </w:pPr>
    </w:p>
    <w:p w14:paraId="704D7CF4">
      <w:pPr>
        <w:pStyle w:val="7"/>
        <w:rPr>
          <w:rFonts w:hint="eastAsia"/>
          <w:lang w:val="zh-CN"/>
        </w:rPr>
      </w:pPr>
    </w:p>
    <w:p w14:paraId="16A1A4A7">
      <w:pPr>
        <w:pStyle w:val="7"/>
        <w:rPr>
          <w:rFonts w:hint="eastAsia"/>
          <w:lang w:val="zh-CN"/>
        </w:rPr>
      </w:pPr>
    </w:p>
    <w:p w14:paraId="4E1404E7">
      <w:pPr>
        <w:pStyle w:val="7"/>
        <w:rPr>
          <w:lang w:val="zh-CN"/>
        </w:rPr>
      </w:pPr>
    </w:p>
    <w:p w14:paraId="37ADC200">
      <w:pPr>
        <w:pStyle w:val="4"/>
        <w:spacing w:line="560" w:lineRule="exact"/>
        <w:jc w:val="center"/>
        <w:rPr>
          <w:rFonts w:ascii="黑体" w:hAnsi="黑体" w:eastAsia="黑体" w:cs="黑体"/>
        </w:rPr>
      </w:pPr>
      <w:bookmarkStart w:id="71" w:name="_Toc5573"/>
      <w:bookmarkStart w:id="72" w:name="_Toc111208509"/>
      <w:bookmarkStart w:id="73" w:name="_Toc15377225"/>
      <w:r>
        <w:rPr>
          <w:rFonts w:hint="eastAsia" w:ascii="黑体" w:hAnsi="黑体" w:eastAsia="黑体" w:cs="黑体"/>
        </w:rPr>
        <w:t>第三部分 名词解释</w:t>
      </w:r>
      <w:bookmarkEnd w:id="71"/>
      <w:bookmarkEnd w:id="72"/>
      <w:bookmarkEnd w:id="73"/>
    </w:p>
    <w:p w14:paraId="3BCE2C9C">
      <w:pPr>
        <w:spacing w:line="560" w:lineRule="exact"/>
        <w:ind w:firstLine="640"/>
        <w:rPr>
          <w:rFonts w:ascii="仿宋" w:hAnsi="仿宋" w:eastAsia="仿宋"/>
          <w:color w:val="000000"/>
          <w:sz w:val="32"/>
          <w:szCs w:val="32"/>
        </w:rPr>
      </w:pPr>
      <w:r>
        <w:rPr>
          <w:rFonts w:ascii="仿宋" w:hAnsi="仿宋" w:eastAsia="仿宋"/>
          <w:color w:val="000000"/>
          <w:sz w:val="32"/>
          <w:szCs w:val="32"/>
        </w:rPr>
        <w:t>1.</w:t>
      </w:r>
      <w:r>
        <w:rPr>
          <w:rFonts w:hint="eastAsia" w:ascii="仿宋" w:hAnsi="仿宋" w:eastAsia="仿宋"/>
          <w:color w:val="000000"/>
          <w:sz w:val="32"/>
          <w:szCs w:val="32"/>
        </w:rPr>
        <w:t>财政拨款收入：指单位从同级财政部门取得的财政预算资金。</w:t>
      </w:r>
    </w:p>
    <w:p w14:paraId="79409D06">
      <w:pPr>
        <w:spacing w:line="560" w:lineRule="exact"/>
        <w:ind w:firstLine="640"/>
        <w:rPr>
          <w:rFonts w:ascii="仿宋" w:hAnsi="仿宋" w:eastAsia="仿宋"/>
          <w:color w:val="000000"/>
          <w:sz w:val="32"/>
          <w:szCs w:val="32"/>
        </w:rPr>
      </w:pPr>
      <w:r>
        <w:rPr>
          <w:rFonts w:ascii="仿宋" w:hAnsi="仿宋" w:eastAsia="仿宋"/>
          <w:color w:val="000000"/>
          <w:sz w:val="32"/>
          <w:szCs w:val="32"/>
        </w:rPr>
        <w:t>2.</w:t>
      </w:r>
      <w:r>
        <w:rPr>
          <w:rFonts w:hint="eastAsia" w:ascii="仿宋" w:hAnsi="仿宋" w:eastAsia="仿宋"/>
          <w:color w:val="000000"/>
          <w:sz w:val="32"/>
          <w:szCs w:val="32"/>
        </w:rPr>
        <w:t>事业收入：指事业单位开展专业业务活动及辅助活动取得的收入。</w:t>
      </w:r>
    </w:p>
    <w:p w14:paraId="4D7A575C">
      <w:pPr>
        <w:spacing w:line="560" w:lineRule="exact"/>
        <w:ind w:firstLine="640"/>
        <w:rPr>
          <w:rFonts w:ascii="仿宋" w:hAnsi="仿宋" w:eastAsia="仿宋"/>
          <w:color w:val="000000"/>
          <w:sz w:val="32"/>
          <w:szCs w:val="32"/>
        </w:rPr>
      </w:pPr>
      <w:r>
        <w:rPr>
          <w:rFonts w:ascii="仿宋" w:hAnsi="仿宋" w:eastAsia="仿宋"/>
          <w:color w:val="000000"/>
          <w:sz w:val="32"/>
          <w:szCs w:val="32"/>
        </w:rPr>
        <w:t>3.</w:t>
      </w:r>
      <w:r>
        <w:rPr>
          <w:rFonts w:hint="eastAsia" w:ascii="仿宋" w:hAnsi="仿宋" w:eastAsia="仿宋"/>
          <w:color w:val="000000"/>
          <w:sz w:val="32"/>
          <w:szCs w:val="32"/>
        </w:rPr>
        <w:t>经营收入：指事业单位在专业业务活动及其辅助活动之外开展非独立核算经营活动取得的收入</w:t>
      </w:r>
    </w:p>
    <w:p w14:paraId="1C67E2C3">
      <w:pPr>
        <w:spacing w:line="560" w:lineRule="exact"/>
        <w:ind w:firstLine="640"/>
        <w:rPr>
          <w:rFonts w:ascii="仿宋" w:hAnsi="仿宋" w:eastAsia="仿宋"/>
          <w:color w:val="000000"/>
          <w:sz w:val="32"/>
          <w:szCs w:val="32"/>
        </w:rPr>
      </w:pPr>
      <w:r>
        <w:rPr>
          <w:rFonts w:ascii="仿宋" w:hAnsi="仿宋" w:eastAsia="仿宋"/>
          <w:color w:val="000000"/>
          <w:sz w:val="32"/>
          <w:szCs w:val="32"/>
        </w:rPr>
        <w:t>4.</w:t>
      </w:r>
      <w:r>
        <w:rPr>
          <w:rFonts w:hint="eastAsia" w:ascii="仿宋" w:hAnsi="仿宋" w:eastAsia="仿宋"/>
          <w:color w:val="000000"/>
          <w:sz w:val="32"/>
          <w:szCs w:val="32"/>
        </w:rPr>
        <w:t>其他收入：指单位取得的除上述收入以外的各项收入。</w:t>
      </w:r>
    </w:p>
    <w:p w14:paraId="06673E96">
      <w:pPr>
        <w:spacing w:line="560" w:lineRule="exact"/>
        <w:ind w:firstLine="640"/>
        <w:rPr>
          <w:rFonts w:ascii="仿宋" w:hAnsi="仿宋" w:eastAsia="仿宋"/>
          <w:color w:val="000000"/>
          <w:sz w:val="32"/>
          <w:szCs w:val="32"/>
        </w:rPr>
      </w:pPr>
      <w:r>
        <w:rPr>
          <w:rFonts w:ascii="仿宋" w:hAnsi="仿宋" w:eastAsia="仿宋"/>
          <w:color w:val="000000"/>
          <w:sz w:val="32"/>
          <w:szCs w:val="32"/>
        </w:rPr>
        <w:t>5.</w:t>
      </w:r>
      <w:r>
        <w:rPr>
          <w:rFonts w:hint="eastAsia" w:ascii="仿宋" w:hAnsi="仿宋" w:eastAsia="仿宋"/>
          <w:color w:val="000000"/>
          <w:sz w:val="32"/>
          <w:szCs w:val="32"/>
        </w:rPr>
        <w:t>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r>
        <w:rPr>
          <w:rFonts w:ascii="仿宋" w:hAnsi="仿宋" w:eastAsia="仿宋"/>
          <w:color w:val="000000"/>
          <w:sz w:val="32"/>
          <w:szCs w:val="32"/>
        </w:rPr>
        <w:t xml:space="preserve"> </w:t>
      </w:r>
    </w:p>
    <w:p w14:paraId="0B61E0A9">
      <w:pPr>
        <w:spacing w:line="560" w:lineRule="exact"/>
        <w:ind w:firstLine="640"/>
        <w:rPr>
          <w:rFonts w:ascii="仿宋" w:hAnsi="仿宋" w:eastAsia="仿宋"/>
          <w:color w:val="000000"/>
          <w:sz w:val="32"/>
          <w:szCs w:val="32"/>
        </w:rPr>
      </w:pPr>
      <w:r>
        <w:rPr>
          <w:rFonts w:ascii="仿宋" w:hAnsi="仿宋" w:eastAsia="仿宋"/>
          <w:color w:val="000000"/>
          <w:sz w:val="32"/>
          <w:szCs w:val="32"/>
        </w:rPr>
        <w:t>6.</w:t>
      </w:r>
      <w:r>
        <w:rPr>
          <w:rFonts w:hint="eastAsia" w:ascii="仿宋" w:hAnsi="仿宋" w:eastAsia="仿宋"/>
          <w:color w:val="000000"/>
          <w:sz w:val="32"/>
          <w:szCs w:val="32"/>
        </w:rPr>
        <w:t>年初结转和结余：指以前年度尚未完成、结转到本年按有关规定继续使用的资金。</w:t>
      </w:r>
      <w:r>
        <w:rPr>
          <w:rFonts w:ascii="仿宋" w:hAnsi="仿宋" w:eastAsia="仿宋"/>
          <w:color w:val="000000"/>
          <w:sz w:val="32"/>
          <w:szCs w:val="32"/>
        </w:rPr>
        <w:t xml:space="preserve"> </w:t>
      </w:r>
    </w:p>
    <w:p w14:paraId="3DF9B83A">
      <w:pPr>
        <w:spacing w:line="560" w:lineRule="exact"/>
        <w:ind w:firstLine="640"/>
        <w:rPr>
          <w:rFonts w:ascii="仿宋" w:hAnsi="仿宋" w:eastAsia="仿宋"/>
          <w:color w:val="000000"/>
          <w:sz w:val="32"/>
          <w:szCs w:val="32"/>
        </w:rPr>
      </w:pPr>
      <w:r>
        <w:rPr>
          <w:rFonts w:ascii="仿宋" w:hAnsi="仿宋" w:eastAsia="仿宋"/>
          <w:color w:val="000000"/>
          <w:sz w:val="32"/>
          <w:szCs w:val="32"/>
        </w:rPr>
        <w:t>7.</w:t>
      </w:r>
      <w:r>
        <w:rPr>
          <w:rFonts w:hint="eastAsia" w:ascii="仿宋" w:hAnsi="仿宋" w:eastAsia="仿宋"/>
          <w:color w:val="000000"/>
          <w:sz w:val="32"/>
          <w:szCs w:val="32"/>
        </w:rPr>
        <w:t>结余分配：指事业单位按照事业单位会计制度的规定从非财政补助结余中分配的事业基金和职工福利基金等。</w:t>
      </w:r>
    </w:p>
    <w:p w14:paraId="286DEEEF">
      <w:pPr>
        <w:spacing w:line="560" w:lineRule="exact"/>
        <w:ind w:firstLine="640"/>
        <w:rPr>
          <w:rFonts w:ascii="仿宋" w:hAnsi="仿宋" w:eastAsia="仿宋"/>
          <w:color w:val="000000"/>
          <w:sz w:val="32"/>
          <w:szCs w:val="32"/>
        </w:rPr>
      </w:pPr>
      <w:r>
        <w:rPr>
          <w:rFonts w:ascii="仿宋" w:hAnsi="仿宋" w:eastAsia="仿宋"/>
          <w:color w:val="000000"/>
          <w:sz w:val="32"/>
          <w:szCs w:val="32"/>
        </w:rPr>
        <w:t>8</w:t>
      </w:r>
      <w:r>
        <w:rPr>
          <w:rFonts w:hint="eastAsia" w:ascii="仿宋" w:hAnsi="仿宋" w:eastAsia="仿宋"/>
          <w:color w:val="000000"/>
          <w:sz w:val="32"/>
          <w:szCs w:val="32"/>
        </w:rPr>
        <w:t>.年末结转和结余：指单位按有关规定结转到下年或以后年度继续使用的资金。</w:t>
      </w:r>
    </w:p>
    <w:p w14:paraId="52BF7C75">
      <w:pPr>
        <w:spacing w:line="560" w:lineRule="exact"/>
        <w:ind w:firstLine="640"/>
        <w:rPr>
          <w:rFonts w:ascii="仿宋" w:hAnsi="仿宋" w:eastAsia="仿宋"/>
          <w:color w:val="000000"/>
          <w:sz w:val="32"/>
          <w:szCs w:val="32"/>
        </w:rPr>
      </w:pPr>
      <w:r>
        <w:rPr>
          <w:rFonts w:hint="eastAsia" w:ascii="仿宋" w:hAnsi="仿宋" w:eastAsia="仿宋"/>
          <w:color w:val="000000"/>
          <w:sz w:val="32"/>
          <w:szCs w:val="32"/>
        </w:rPr>
        <w:t>9.社会保障和就业支出（208）行政事业单位养老支出（20805）机关事业单位基本养老保险缴费支出（2080505）：反映机关事业单位实施养老保险制度由单位缴纳的基本养老保险费支出。</w:t>
      </w:r>
      <w:r>
        <w:rPr>
          <w:rFonts w:hint="eastAsia" w:ascii="仿宋" w:hAnsi="仿宋" w:eastAsia="仿宋"/>
          <w:color w:val="000000"/>
          <w:sz w:val="32"/>
          <w:szCs w:val="32"/>
        </w:rPr>
        <w:cr/>
      </w:r>
      <w:r>
        <w:rPr>
          <w:rFonts w:hint="eastAsia" w:ascii="仿宋" w:hAnsi="仿宋" w:eastAsia="仿宋"/>
          <w:color w:val="000000"/>
          <w:sz w:val="32"/>
          <w:szCs w:val="32"/>
        </w:rPr>
        <w:t xml:space="preserve">    10.社会保障和就业支出（208）行政事业单位养老支出（20805）机关事业单位职业年金缴费支出（2080506）：反映机关事业单位实施养老保险制度由单位实际缴纳的职业年金支出。</w:t>
      </w:r>
      <w:r>
        <w:rPr>
          <w:rFonts w:hint="eastAsia" w:ascii="仿宋" w:hAnsi="仿宋" w:eastAsia="仿宋"/>
          <w:color w:val="000000"/>
          <w:sz w:val="32"/>
          <w:szCs w:val="32"/>
        </w:rPr>
        <w:cr/>
      </w:r>
      <w:r>
        <w:rPr>
          <w:rFonts w:hint="eastAsia" w:ascii="仿宋" w:hAnsi="仿宋" w:eastAsia="仿宋"/>
          <w:color w:val="000000"/>
          <w:sz w:val="32"/>
          <w:szCs w:val="32"/>
        </w:rPr>
        <w:t xml:space="preserve">    11.卫生健康支出（210）行政事业单位医疗（21011）事业单位医疗（2101102）：反映财政部门安排的事业单位基本医疗保险缴费经费，未参加医疗保险的事业单位的公费医疗经费，按国家规定享受离休人员待遇的医疗经费。</w:t>
      </w:r>
      <w:r>
        <w:rPr>
          <w:rFonts w:hint="eastAsia" w:ascii="仿宋" w:hAnsi="仿宋" w:eastAsia="仿宋"/>
          <w:color w:val="000000"/>
          <w:sz w:val="32"/>
          <w:szCs w:val="32"/>
        </w:rPr>
        <w:cr/>
      </w:r>
      <w:r>
        <w:rPr>
          <w:rFonts w:hint="eastAsia" w:ascii="仿宋" w:hAnsi="仿宋" w:eastAsia="仿宋"/>
          <w:color w:val="000000"/>
          <w:sz w:val="32"/>
          <w:szCs w:val="32"/>
        </w:rPr>
        <w:t xml:space="preserve">    12.节能环保支出（211）环境监测与监察（21102）其他环境监测与监察支出（2110299）：反映除上述项目以外其他用于环境监测与监察方面的支出。</w:t>
      </w:r>
      <w:r>
        <w:rPr>
          <w:rFonts w:hint="eastAsia" w:ascii="仿宋" w:hAnsi="仿宋" w:eastAsia="仿宋"/>
          <w:color w:val="000000"/>
          <w:sz w:val="32"/>
          <w:szCs w:val="32"/>
        </w:rPr>
        <w:cr/>
      </w:r>
      <w:r>
        <w:rPr>
          <w:rFonts w:hint="eastAsia" w:ascii="仿宋" w:hAnsi="仿宋" w:eastAsia="仿宋"/>
          <w:color w:val="000000"/>
          <w:sz w:val="32"/>
          <w:szCs w:val="32"/>
        </w:rPr>
        <w:t xml:space="preserve">    13.住房保障支出（221）住房改革支出（22102）住房公积金（2210201）：反映行政事业单位按人力资源和社会保障部、财政部规定的基本工资和津贴补贴以及规定比例为职工缴纳的住房公积金。</w:t>
      </w:r>
    </w:p>
    <w:p w14:paraId="509D0193">
      <w:pPr>
        <w:spacing w:line="560" w:lineRule="exact"/>
        <w:ind w:firstLine="640"/>
        <w:rPr>
          <w:rFonts w:ascii="仿宋" w:hAnsi="仿宋" w:eastAsia="仿宋"/>
          <w:color w:val="000000"/>
          <w:sz w:val="32"/>
          <w:szCs w:val="32"/>
        </w:rPr>
      </w:pPr>
      <w:r>
        <w:rPr>
          <w:rFonts w:hint="eastAsia" w:ascii="仿宋" w:hAnsi="仿宋" w:eastAsia="仿宋"/>
          <w:color w:val="000000"/>
          <w:sz w:val="32"/>
          <w:szCs w:val="32"/>
        </w:rPr>
        <w:t>14.基本支出：指为保障机构正常运转、完成日常工作任务而发生的人员支出和公用支出。</w:t>
      </w:r>
    </w:p>
    <w:p w14:paraId="7E6A652A">
      <w:pPr>
        <w:spacing w:line="560" w:lineRule="exact"/>
        <w:ind w:firstLine="640"/>
        <w:rPr>
          <w:rFonts w:ascii="仿宋" w:hAnsi="仿宋" w:eastAsia="仿宋"/>
          <w:color w:val="000000"/>
          <w:sz w:val="32"/>
          <w:szCs w:val="32"/>
        </w:rPr>
      </w:pPr>
      <w:r>
        <w:rPr>
          <w:rFonts w:hint="eastAsia" w:ascii="仿宋" w:hAnsi="仿宋" w:eastAsia="仿宋"/>
          <w:color w:val="000000"/>
          <w:sz w:val="32"/>
          <w:szCs w:val="32"/>
        </w:rPr>
        <w:t xml:space="preserve">15.项目支出：指在基本支出之外为完成特定行政任务和事业发展目标所发生的支出。 </w:t>
      </w:r>
    </w:p>
    <w:p w14:paraId="4DC848B4">
      <w:pPr>
        <w:spacing w:line="560" w:lineRule="exact"/>
        <w:ind w:firstLine="640"/>
        <w:rPr>
          <w:rFonts w:ascii="仿宋" w:hAnsi="仿宋" w:eastAsia="仿宋"/>
          <w:color w:val="000000"/>
          <w:sz w:val="32"/>
          <w:szCs w:val="32"/>
        </w:rPr>
      </w:pPr>
      <w:r>
        <w:rPr>
          <w:rFonts w:hint="eastAsia" w:ascii="仿宋" w:hAnsi="仿宋" w:eastAsia="仿宋"/>
          <w:color w:val="000000"/>
          <w:sz w:val="32"/>
          <w:szCs w:val="32"/>
        </w:rPr>
        <w:t>16.经营支出：指事业单位在专业业务活动及其辅助活动之外开展非独立核算经营活动发生的支出。</w:t>
      </w:r>
    </w:p>
    <w:p w14:paraId="2ADB0D4F">
      <w:pPr>
        <w:spacing w:line="560" w:lineRule="exact"/>
        <w:ind w:firstLine="640"/>
        <w:rPr>
          <w:rFonts w:ascii="仿宋" w:hAnsi="仿宋" w:eastAsia="仿宋"/>
          <w:color w:val="000000"/>
          <w:sz w:val="32"/>
          <w:szCs w:val="32"/>
        </w:rPr>
      </w:pPr>
      <w:r>
        <w:rPr>
          <w:rFonts w:hint="eastAsia" w:ascii="仿宋" w:hAnsi="仿宋" w:eastAsia="仿宋"/>
          <w:color w:val="000000"/>
          <w:sz w:val="32"/>
          <w:szCs w:val="32"/>
        </w:rPr>
        <w:t>17.“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61D5239">
      <w:pPr>
        <w:spacing w:line="560" w:lineRule="exact"/>
        <w:ind w:firstLine="640"/>
        <w:rPr>
          <w:rFonts w:ascii="仿宋" w:hAnsi="仿宋" w:eastAsia="仿宋"/>
          <w:color w:val="000000"/>
          <w:sz w:val="32"/>
          <w:szCs w:val="32"/>
        </w:rPr>
      </w:pPr>
      <w:r>
        <w:rPr>
          <w:rFonts w:hint="eastAsia" w:ascii="仿宋" w:hAnsi="仿宋" w:eastAsia="仿宋"/>
          <w:color w:val="000000"/>
          <w:sz w:val="32"/>
          <w:szCs w:val="32"/>
        </w:rPr>
        <w:t>18.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CCB5652">
      <w:pPr>
        <w:spacing w:line="560" w:lineRule="exact"/>
        <w:ind w:firstLine="640" w:firstLineChars="200"/>
        <w:rPr>
          <w:rFonts w:ascii="仿宋_GB2312" w:eastAsia="仿宋_GB2312" w:cs="黑体"/>
          <w:sz w:val="32"/>
          <w:szCs w:val="32"/>
        </w:rPr>
      </w:pPr>
      <w:r>
        <w:rPr>
          <w:rFonts w:hint="eastAsia" w:ascii="仿宋" w:hAnsi="仿宋" w:eastAsia="仿宋"/>
          <w:color w:val="000000"/>
          <w:sz w:val="32"/>
          <w:szCs w:val="32"/>
        </w:rPr>
        <w:t>财政应返还额度：为行政事业单位会计核算科目，用于核算实行国库集中支付的行政事业单位应收财政返还的资金额度。</w:t>
      </w:r>
    </w:p>
    <w:p w14:paraId="6CF58EBF">
      <w:pPr>
        <w:widowControl/>
        <w:spacing w:line="560" w:lineRule="exact"/>
        <w:jc w:val="left"/>
        <w:rPr>
          <w:rStyle w:val="31"/>
          <w:rFonts w:ascii="黑体" w:hAnsi="黑体" w:eastAsia="黑体"/>
        </w:rPr>
      </w:pPr>
      <w:r>
        <w:rPr>
          <w:rStyle w:val="31"/>
          <w:rFonts w:ascii="黑体" w:hAnsi="黑体" w:eastAsia="黑体"/>
        </w:rPr>
        <w:br w:type="page"/>
      </w:r>
    </w:p>
    <w:p w14:paraId="74261547">
      <w:pPr>
        <w:pStyle w:val="4"/>
        <w:jc w:val="center"/>
        <w:rPr>
          <w:rFonts w:ascii="黑体" w:hAnsi="黑体" w:eastAsia="黑体" w:cs="黑体"/>
        </w:rPr>
      </w:pPr>
      <w:bookmarkStart w:id="74" w:name="_Toc22807"/>
      <w:bookmarkStart w:id="75" w:name="_Toc111208510"/>
      <w:r>
        <w:rPr>
          <w:rFonts w:hint="eastAsia" w:ascii="黑体" w:hAnsi="黑体" w:eastAsia="黑体" w:cs="黑体"/>
        </w:rPr>
        <w:t>第四部分 附件</w:t>
      </w:r>
      <w:bookmarkEnd w:id="74"/>
      <w:bookmarkEnd w:id="75"/>
    </w:p>
    <w:p w14:paraId="1CD67745">
      <w:pPr>
        <w:tabs>
          <w:tab w:val="left" w:pos="5685"/>
        </w:tabs>
        <w:rPr>
          <w:rFonts w:hint="eastAsia"/>
        </w:rPr>
      </w:pPr>
    </w:p>
    <w:tbl>
      <w:tblPr>
        <w:tblStyle w:val="17"/>
        <w:tblW w:w="5000" w:type="pct"/>
        <w:tblInd w:w="0" w:type="dxa"/>
        <w:tblLayout w:type="autofit"/>
        <w:tblCellMar>
          <w:top w:w="0" w:type="dxa"/>
          <w:left w:w="108" w:type="dxa"/>
          <w:bottom w:w="0" w:type="dxa"/>
          <w:right w:w="108" w:type="dxa"/>
        </w:tblCellMar>
      </w:tblPr>
      <w:tblGrid>
        <w:gridCol w:w="576"/>
        <w:gridCol w:w="996"/>
        <w:gridCol w:w="923"/>
        <w:gridCol w:w="1308"/>
        <w:gridCol w:w="396"/>
        <w:gridCol w:w="819"/>
        <w:gridCol w:w="396"/>
        <w:gridCol w:w="846"/>
        <w:gridCol w:w="486"/>
        <w:gridCol w:w="486"/>
        <w:gridCol w:w="1290"/>
      </w:tblGrid>
      <w:tr w14:paraId="27CD9EFB">
        <w:tblPrEx>
          <w:tblCellMar>
            <w:top w:w="0" w:type="dxa"/>
            <w:left w:w="108" w:type="dxa"/>
            <w:bottom w:w="0" w:type="dxa"/>
            <w:right w:w="108" w:type="dxa"/>
          </w:tblCellMar>
        </w:tblPrEx>
        <w:trPr>
          <w:trHeight w:val="904" w:hRule="atLeast"/>
        </w:trPr>
        <w:tc>
          <w:tcPr>
            <w:tcW w:w="852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B6FA972">
            <w:pPr>
              <w:keepNext w:val="0"/>
              <w:keepLines w:val="0"/>
              <w:widowControl/>
              <w:suppressLineNumbers w:val="0"/>
              <w:jc w:val="center"/>
              <w:textAlignment w:val="center"/>
              <w:rPr>
                <w:rFonts w:ascii="黑体" w:hAnsi="黑体" w:eastAsia="黑体" w:cs="宋体"/>
                <w:b/>
                <w:bCs/>
                <w:color w:val="000000"/>
                <w:kern w:val="0"/>
                <w:sz w:val="30"/>
                <w:szCs w:val="30"/>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447CB3F">
        <w:tblPrEx>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BDF366">
            <w:pPr>
              <w:keepNext w:val="0"/>
              <w:keepLines w:val="0"/>
              <w:widowControl/>
              <w:suppressLineNumbers w:val="0"/>
              <w:jc w:val="left"/>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项目名称</w:t>
            </w:r>
          </w:p>
        </w:tc>
        <w:tc>
          <w:tcPr>
            <w:tcW w:w="6950" w:type="dxa"/>
            <w:gridSpan w:val="9"/>
            <w:tcBorders>
              <w:top w:val="single" w:color="000000" w:sz="4" w:space="0"/>
              <w:left w:val="nil"/>
              <w:bottom w:val="single" w:color="000000" w:sz="4" w:space="0"/>
              <w:right w:val="single" w:color="000000" w:sz="4" w:space="0"/>
            </w:tcBorders>
            <w:shd w:val="clear" w:color="auto" w:fill="auto"/>
            <w:vAlign w:val="center"/>
          </w:tcPr>
          <w:p w14:paraId="5719F59C">
            <w:pPr>
              <w:keepNext w:val="0"/>
              <w:keepLines w:val="0"/>
              <w:widowControl/>
              <w:suppressLineNumbers w:val="0"/>
              <w:jc w:val="left"/>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51320023R000009914893-工资性支出</w:t>
            </w:r>
          </w:p>
        </w:tc>
      </w:tr>
      <w:tr w14:paraId="1011AD3D">
        <w:tblPrEx>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44BA79">
            <w:pPr>
              <w:keepNext w:val="0"/>
              <w:keepLines w:val="0"/>
              <w:widowControl/>
              <w:suppressLineNumbers w:val="0"/>
              <w:jc w:val="left"/>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主管部门</w:t>
            </w:r>
          </w:p>
        </w:tc>
        <w:tc>
          <w:tcPr>
            <w:tcW w:w="3842" w:type="dxa"/>
            <w:gridSpan w:val="5"/>
            <w:tcBorders>
              <w:top w:val="single" w:color="000000" w:sz="4" w:space="0"/>
              <w:left w:val="nil"/>
              <w:bottom w:val="single" w:color="000000" w:sz="4" w:space="0"/>
              <w:right w:val="single" w:color="000000" w:sz="4" w:space="0"/>
            </w:tcBorders>
            <w:shd w:val="clear" w:color="auto" w:fill="auto"/>
            <w:vAlign w:val="center"/>
          </w:tcPr>
          <w:p w14:paraId="4638DCDA">
            <w:pPr>
              <w:keepNext w:val="0"/>
              <w:keepLines w:val="0"/>
              <w:widowControl/>
              <w:suppressLineNumbers w:val="0"/>
              <w:jc w:val="left"/>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州生态环境局部门</w:t>
            </w:r>
          </w:p>
        </w:tc>
        <w:tc>
          <w:tcPr>
            <w:tcW w:w="846" w:type="dxa"/>
            <w:tcBorders>
              <w:top w:val="nil"/>
              <w:left w:val="nil"/>
              <w:bottom w:val="nil"/>
              <w:right w:val="nil"/>
            </w:tcBorders>
            <w:shd w:val="clear" w:color="auto" w:fill="auto"/>
            <w:vAlign w:val="center"/>
          </w:tcPr>
          <w:p w14:paraId="04EC8E23">
            <w:pPr>
              <w:keepNext w:val="0"/>
              <w:keepLines w:val="0"/>
              <w:widowControl/>
              <w:suppressLineNumbers w:val="0"/>
              <w:jc w:val="left"/>
              <w:textAlignment w:val="center"/>
              <w:rPr>
                <w:rFonts w:ascii="Courier New" w:hAnsi="Courier New" w:cs="Courier New"/>
                <w:color w:val="000000"/>
                <w:kern w:val="0"/>
                <w:sz w:val="18"/>
                <w:szCs w:val="18"/>
              </w:rPr>
            </w:pPr>
            <w:r>
              <w:rPr>
                <w:rFonts w:hint="eastAsia" w:ascii="黑体" w:hAnsi="黑体" w:eastAsia="黑体" w:cs="黑体"/>
                <w:i w:val="0"/>
                <w:iCs w:val="0"/>
                <w:color w:val="000000"/>
                <w:kern w:val="0"/>
                <w:sz w:val="18"/>
                <w:szCs w:val="18"/>
                <w:u w:val="none"/>
                <w:lang w:val="en-US" w:eastAsia="zh-CN" w:bidi="ar"/>
              </w:rPr>
              <w:t>实施单位 （盖章）</w:t>
            </w:r>
          </w:p>
        </w:tc>
        <w:tc>
          <w:tcPr>
            <w:tcW w:w="22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23EF15">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金川县环境监测站</w:t>
            </w:r>
          </w:p>
        </w:tc>
      </w:tr>
      <w:tr w14:paraId="5C7FEE59">
        <w:tblPrEx>
          <w:tblCellMar>
            <w:top w:w="0" w:type="dxa"/>
            <w:left w:w="108" w:type="dxa"/>
            <w:bottom w:w="0" w:type="dxa"/>
            <w:right w:w="108" w:type="dxa"/>
          </w:tblCellMar>
        </w:tblPrEx>
        <w:trPr>
          <w:trHeight w:val="285" w:hRule="atLeast"/>
        </w:trPr>
        <w:tc>
          <w:tcPr>
            <w:tcW w:w="576" w:type="dxa"/>
            <w:vMerge w:val="restart"/>
            <w:tcBorders>
              <w:top w:val="nil"/>
              <w:left w:val="single" w:color="000000" w:sz="4" w:space="0"/>
              <w:bottom w:val="single" w:color="000000" w:sz="4" w:space="0"/>
              <w:right w:val="single" w:color="000000" w:sz="4" w:space="0"/>
            </w:tcBorders>
            <w:shd w:val="clear" w:color="auto" w:fill="auto"/>
            <w:vAlign w:val="center"/>
          </w:tcPr>
          <w:p w14:paraId="6F60B155">
            <w:pPr>
              <w:keepNext w:val="0"/>
              <w:keepLines w:val="0"/>
              <w:widowControl/>
              <w:suppressLineNumbers w:val="0"/>
              <w:jc w:val="left"/>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项目基本情况</w:t>
            </w:r>
          </w:p>
        </w:tc>
        <w:tc>
          <w:tcPr>
            <w:tcW w:w="996" w:type="dxa"/>
            <w:vMerge w:val="restart"/>
            <w:tcBorders>
              <w:top w:val="nil"/>
              <w:left w:val="single" w:color="000000" w:sz="4" w:space="0"/>
              <w:bottom w:val="single" w:color="000000" w:sz="4" w:space="0"/>
              <w:right w:val="single" w:color="000000" w:sz="4" w:space="0"/>
            </w:tcBorders>
            <w:shd w:val="clear" w:color="auto" w:fill="auto"/>
            <w:vAlign w:val="center"/>
          </w:tcPr>
          <w:p w14:paraId="3CBDA8D6">
            <w:pPr>
              <w:keepNext w:val="0"/>
              <w:keepLines w:val="0"/>
              <w:widowControl/>
              <w:suppressLineNumbers w:val="0"/>
              <w:jc w:val="left"/>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1.项目年度目标完成情况</w:t>
            </w:r>
          </w:p>
        </w:tc>
        <w:tc>
          <w:tcPr>
            <w:tcW w:w="3842" w:type="dxa"/>
            <w:gridSpan w:val="5"/>
            <w:tcBorders>
              <w:top w:val="single" w:color="000000" w:sz="4" w:space="0"/>
              <w:left w:val="nil"/>
              <w:bottom w:val="single" w:color="000000" w:sz="4" w:space="0"/>
              <w:right w:val="single" w:color="000000" w:sz="4" w:space="0"/>
            </w:tcBorders>
            <w:shd w:val="clear" w:color="auto" w:fill="auto"/>
            <w:vAlign w:val="center"/>
          </w:tcPr>
          <w:p w14:paraId="5D1ABBBA">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项目年度目标</w:t>
            </w:r>
          </w:p>
        </w:tc>
        <w:tc>
          <w:tcPr>
            <w:tcW w:w="3108" w:type="dxa"/>
            <w:gridSpan w:val="4"/>
            <w:tcBorders>
              <w:top w:val="single" w:color="000000" w:sz="4" w:space="0"/>
              <w:left w:val="nil"/>
              <w:bottom w:val="single" w:color="000000" w:sz="4" w:space="0"/>
              <w:right w:val="single" w:color="000000" w:sz="4" w:space="0"/>
            </w:tcBorders>
            <w:shd w:val="clear" w:color="auto" w:fill="auto"/>
            <w:vAlign w:val="center"/>
          </w:tcPr>
          <w:p w14:paraId="1002773D">
            <w:pPr>
              <w:keepNext w:val="0"/>
              <w:keepLines w:val="0"/>
              <w:widowControl/>
              <w:suppressLineNumbers w:val="0"/>
              <w:jc w:val="center"/>
              <w:textAlignment w:val="center"/>
              <w:rPr>
                <w:rFonts w:ascii="Courier New" w:hAnsi="Courier New" w:cs="Courier New"/>
                <w:color w:val="000000"/>
                <w:kern w:val="0"/>
                <w:sz w:val="18"/>
                <w:szCs w:val="18"/>
              </w:rPr>
            </w:pPr>
            <w:r>
              <w:rPr>
                <w:rFonts w:hint="eastAsia" w:ascii="黑体" w:hAnsi="黑体" w:eastAsia="黑体" w:cs="黑体"/>
                <w:i w:val="0"/>
                <w:iCs w:val="0"/>
                <w:color w:val="000000"/>
                <w:kern w:val="0"/>
                <w:sz w:val="18"/>
                <w:szCs w:val="18"/>
                <w:u w:val="none"/>
                <w:lang w:val="en-US" w:eastAsia="zh-CN" w:bidi="ar"/>
              </w:rPr>
              <w:t>年度目标完成情况</w:t>
            </w:r>
          </w:p>
        </w:tc>
      </w:tr>
      <w:tr w14:paraId="72D48127">
        <w:tblPrEx>
          <w:tblCellMar>
            <w:top w:w="0" w:type="dxa"/>
            <w:left w:w="108" w:type="dxa"/>
            <w:bottom w:w="0" w:type="dxa"/>
            <w:right w:w="108" w:type="dxa"/>
          </w:tblCellMar>
        </w:tblPrEx>
        <w:trPr>
          <w:trHeight w:val="709" w:hRule="atLeast"/>
        </w:trPr>
        <w:tc>
          <w:tcPr>
            <w:tcW w:w="576" w:type="dxa"/>
            <w:vMerge w:val="continue"/>
            <w:tcBorders>
              <w:top w:val="nil"/>
              <w:left w:val="single" w:color="000000" w:sz="4" w:space="0"/>
              <w:bottom w:val="single" w:color="000000" w:sz="4" w:space="0"/>
              <w:right w:val="single" w:color="000000" w:sz="4" w:space="0"/>
            </w:tcBorders>
            <w:vAlign w:val="center"/>
          </w:tcPr>
          <w:p w14:paraId="074B63A1">
            <w:pPr>
              <w:rPr>
                <w:rFonts w:ascii="宋体" w:hAnsi="宋体" w:cs="宋体"/>
                <w:color w:val="000000"/>
                <w:kern w:val="0"/>
                <w:sz w:val="18"/>
                <w:szCs w:val="18"/>
              </w:rPr>
            </w:pPr>
          </w:p>
        </w:tc>
        <w:tc>
          <w:tcPr>
            <w:tcW w:w="996" w:type="dxa"/>
            <w:vMerge w:val="continue"/>
            <w:tcBorders>
              <w:top w:val="nil"/>
              <w:left w:val="single" w:color="000000" w:sz="4" w:space="0"/>
              <w:bottom w:val="single" w:color="000000" w:sz="4" w:space="0"/>
              <w:right w:val="single" w:color="000000" w:sz="4" w:space="0"/>
            </w:tcBorders>
            <w:vAlign w:val="center"/>
          </w:tcPr>
          <w:p w14:paraId="7A845DC8">
            <w:pPr>
              <w:rPr>
                <w:rFonts w:ascii="宋体" w:hAnsi="宋体" w:cs="宋体"/>
                <w:color w:val="000000"/>
                <w:kern w:val="0"/>
                <w:sz w:val="18"/>
                <w:szCs w:val="18"/>
              </w:rPr>
            </w:pPr>
          </w:p>
        </w:tc>
        <w:tc>
          <w:tcPr>
            <w:tcW w:w="3842" w:type="dxa"/>
            <w:gridSpan w:val="5"/>
            <w:tcBorders>
              <w:top w:val="single" w:color="000000" w:sz="4" w:space="0"/>
              <w:left w:val="nil"/>
              <w:bottom w:val="single" w:color="000000" w:sz="4" w:space="0"/>
              <w:right w:val="single" w:color="000000" w:sz="4" w:space="0"/>
            </w:tcBorders>
            <w:shd w:val="clear" w:color="auto" w:fill="auto"/>
            <w:vAlign w:val="center"/>
          </w:tcPr>
          <w:p w14:paraId="4D0CC8BF">
            <w:pPr>
              <w:keepNext w:val="0"/>
              <w:keepLines w:val="0"/>
              <w:widowControl/>
              <w:suppressLineNumbers w:val="0"/>
              <w:jc w:val="left"/>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108" w:type="dxa"/>
            <w:gridSpan w:val="4"/>
            <w:tcBorders>
              <w:top w:val="single" w:color="000000" w:sz="4" w:space="0"/>
              <w:left w:val="nil"/>
              <w:bottom w:val="single" w:color="000000" w:sz="4" w:space="0"/>
              <w:right w:val="single" w:color="000000" w:sz="4" w:space="0"/>
            </w:tcBorders>
            <w:shd w:val="clear" w:color="auto" w:fill="auto"/>
            <w:vAlign w:val="center"/>
          </w:tcPr>
          <w:p w14:paraId="5C45228E">
            <w:pPr>
              <w:keepNext w:val="0"/>
              <w:keepLines w:val="0"/>
              <w:widowControl/>
              <w:suppressLineNumbers w:val="0"/>
              <w:jc w:val="left"/>
              <w:textAlignment w:val="center"/>
              <w:rPr>
                <w:rFonts w:ascii="Courier New" w:hAnsi="Courier New" w:cs="Courier New"/>
                <w:color w:val="000000"/>
                <w:kern w:val="0"/>
                <w:sz w:val="18"/>
                <w:szCs w:val="18"/>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6BA4045D">
        <w:tblPrEx>
          <w:tblCellMar>
            <w:top w:w="0" w:type="dxa"/>
            <w:left w:w="108" w:type="dxa"/>
            <w:bottom w:w="0" w:type="dxa"/>
            <w:right w:w="108" w:type="dxa"/>
          </w:tblCellMar>
        </w:tblPrEx>
        <w:trPr>
          <w:trHeight w:val="694" w:hRule="atLeast"/>
        </w:trPr>
        <w:tc>
          <w:tcPr>
            <w:tcW w:w="576" w:type="dxa"/>
            <w:vMerge w:val="continue"/>
            <w:tcBorders>
              <w:top w:val="nil"/>
              <w:left w:val="single" w:color="000000" w:sz="4" w:space="0"/>
              <w:bottom w:val="single" w:color="000000" w:sz="4" w:space="0"/>
              <w:right w:val="single" w:color="000000" w:sz="4" w:space="0"/>
            </w:tcBorders>
            <w:vAlign w:val="center"/>
          </w:tcPr>
          <w:p w14:paraId="2BE1661E">
            <w:pPr>
              <w:rPr>
                <w:rFonts w:ascii="宋体" w:hAnsi="宋体" w:cs="宋体"/>
                <w:color w:val="000000"/>
                <w:kern w:val="0"/>
                <w:sz w:val="18"/>
                <w:szCs w:val="18"/>
              </w:rPr>
            </w:pPr>
          </w:p>
        </w:tc>
        <w:tc>
          <w:tcPr>
            <w:tcW w:w="996" w:type="dxa"/>
            <w:tcBorders>
              <w:top w:val="nil"/>
              <w:left w:val="nil"/>
              <w:bottom w:val="single" w:color="000000" w:sz="4" w:space="0"/>
              <w:right w:val="single" w:color="000000" w:sz="4" w:space="0"/>
            </w:tcBorders>
            <w:shd w:val="clear" w:color="auto" w:fill="auto"/>
            <w:vAlign w:val="center"/>
          </w:tcPr>
          <w:p w14:paraId="053E2DE3">
            <w:pPr>
              <w:keepNext w:val="0"/>
              <w:keepLines w:val="0"/>
              <w:widowControl/>
              <w:suppressLineNumbers w:val="0"/>
              <w:jc w:val="left"/>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2.项目实施内容及过程概述</w:t>
            </w:r>
          </w:p>
        </w:tc>
        <w:tc>
          <w:tcPr>
            <w:tcW w:w="6950" w:type="dxa"/>
            <w:gridSpan w:val="9"/>
            <w:tcBorders>
              <w:top w:val="single" w:color="000000" w:sz="4" w:space="0"/>
              <w:left w:val="nil"/>
              <w:bottom w:val="single" w:color="000000" w:sz="4" w:space="0"/>
              <w:right w:val="single" w:color="000000" w:sz="4" w:space="0"/>
            </w:tcBorders>
            <w:shd w:val="clear" w:color="auto" w:fill="auto"/>
            <w:vAlign w:val="center"/>
          </w:tcPr>
          <w:p w14:paraId="20CD9D1A">
            <w:pPr>
              <w:rPr>
                <w:rFonts w:ascii="宋体" w:hAnsi="宋体" w:cs="宋体"/>
                <w:color w:val="000000"/>
                <w:kern w:val="0"/>
                <w:sz w:val="18"/>
                <w:szCs w:val="18"/>
              </w:rPr>
            </w:pPr>
          </w:p>
        </w:tc>
      </w:tr>
      <w:tr w14:paraId="6C419095">
        <w:tblPrEx>
          <w:tblCellMar>
            <w:top w:w="0" w:type="dxa"/>
            <w:left w:w="108" w:type="dxa"/>
            <w:bottom w:w="0" w:type="dxa"/>
            <w:right w:w="108" w:type="dxa"/>
          </w:tblCellMar>
        </w:tblPrEx>
        <w:trPr>
          <w:trHeight w:val="360" w:hRule="atLeast"/>
        </w:trPr>
        <w:tc>
          <w:tcPr>
            <w:tcW w:w="576" w:type="dxa"/>
            <w:vMerge w:val="restart"/>
            <w:tcBorders>
              <w:top w:val="nil"/>
              <w:left w:val="single" w:color="000000" w:sz="4" w:space="0"/>
              <w:bottom w:val="single" w:color="000000" w:sz="4" w:space="0"/>
              <w:right w:val="single" w:color="000000" w:sz="4" w:space="0"/>
            </w:tcBorders>
            <w:shd w:val="clear" w:color="auto" w:fill="auto"/>
            <w:vAlign w:val="center"/>
          </w:tcPr>
          <w:p w14:paraId="7EAACC08">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预算执行情况（10分）</w:t>
            </w:r>
          </w:p>
        </w:tc>
        <w:tc>
          <w:tcPr>
            <w:tcW w:w="996" w:type="dxa"/>
            <w:tcBorders>
              <w:top w:val="nil"/>
              <w:left w:val="nil"/>
              <w:bottom w:val="single" w:color="000000" w:sz="4" w:space="0"/>
              <w:right w:val="single" w:color="000000" w:sz="4" w:space="0"/>
            </w:tcBorders>
            <w:shd w:val="clear" w:color="auto" w:fill="auto"/>
            <w:vAlign w:val="center"/>
          </w:tcPr>
          <w:p w14:paraId="252199BB">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年度预算数（万元）</w:t>
            </w:r>
          </w:p>
        </w:tc>
        <w:tc>
          <w:tcPr>
            <w:tcW w:w="923" w:type="dxa"/>
            <w:tcBorders>
              <w:top w:val="nil"/>
              <w:left w:val="nil"/>
              <w:bottom w:val="single" w:color="000000" w:sz="4" w:space="0"/>
              <w:right w:val="single" w:color="000000" w:sz="4" w:space="0"/>
            </w:tcBorders>
            <w:shd w:val="clear" w:color="auto" w:fill="auto"/>
            <w:vAlign w:val="center"/>
          </w:tcPr>
          <w:p w14:paraId="7C60A9B5">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年初预算</w:t>
            </w:r>
          </w:p>
        </w:tc>
        <w:tc>
          <w:tcPr>
            <w:tcW w:w="1308" w:type="dxa"/>
            <w:tcBorders>
              <w:top w:val="nil"/>
              <w:left w:val="nil"/>
              <w:bottom w:val="single" w:color="000000" w:sz="4" w:space="0"/>
              <w:right w:val="single" w:color="000000" w:sz="4" w:space="0"/>
            </w:tcBorders>
            <w:shd w:val="clear" w:color="auto" w:fill="auto"/>
            <w:vAlign w:val="center"/>
          </w:tcPr>
          <w:p w14:paraId="575A7822">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调整后预算数</w:t>
            </w:r>
          </w:p>
        </w:tc>
        <w:tc>
          <w:tcPr>
            <w:tcW w:w="1611" w:type="dxa"/>
            <w:gridSpan w:val="3"/>
            <w:tcBorders>
              <w:top w:val="single" w:color="000000" w:sz="4" w:space="0"/>
              <w:left w:val="nil"/>
              <w:bottom w:val="single" w:color="000000" w:sz="4" w:space="0"/>
              <w:right w:val="single" w:color="000000" w:sz="4" w:space="0"/>
            </w:tcBorders>
            <w:shd w:val="clear" w:color="auto" w:fill="auto"/>
            <w:vAlign w:val="center"/>
          </w:tcPr>
          <w:p w14:paraId="016F2E97">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nil"/>
              <w:left w:val="nil"/>
              <w:bottom w:val="single" w:color="000000" w:sz="4" w:space="0"/>
              <w:right w:val="single" w:color="000000" w:sz="4" w:space="0"/>
            </w:tcBorders>
            <w:shd w:val="clear" w:color="auto" w:fill="auto"/>
            <w:vAlign w:val="center"/>
          </w:tcPr>
          <w:p w14:paraId="00321B14">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nil"/>
              <w:left w:val="nil"/>
              <w:bottom w:val="single" w:color="000000" w:sz="4" w:space="0"/>
              <w:right w:val="single" w:color="000000" w:sz="4" w:space="0"/>
            </w:tcBorders>
            <w:shd w:val="clear" w:color="auto" w:fill="auto"/>
            <w:vAlign w:val="center"/>
          </w:tcPr>
          <w:p w14:paraId="71B9EC8D">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权重</w:t>
            </w:r>
          </w:p>
        </w:tc>
        <w:tc>
          <w:tcPr>
            <w:tcW w:w="486" w:type="dxa"/>
            <w:tcBorders>
              <w:top w:val="nil"/>
              <w:left w:val="nil"/>
              <w:bottom w:val="single" w:color="000000" w:sz="4" w:space="0"/>
              <w:right w:val="single" w:color="000000" w:sz="4" w:space="0"/>
            </w:tcBorders>
            <w:shd w:val="clear" w:color="auto" w:fill="auto"/>
            <w:vAlign w:val="center"/>
          </w:tcPr>
          <w:p w14:paraId="6CA8CC3E">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得分</w:t>
            </w:r>
          </w:p>
        </w:tc>
        <w:tc>
          <w:tcPr>
            <w:tcW w:w="1290" w:type="dxa"/>
            <w:tcBorders>
              <w:top w:val="nil"/>
              <w:left w:val="nil"/>
              <w:bottom w:val="single" w:color="000000" w:sz="4" w:space="0"/>
              <w:right w:val="single" w:color="000000" w:sz="4" w:space="0"/>
            </w:tcBorders>
            <w:shd w:val="clear" w:color="auto" w:fill="auto"/>
            <w:vAlign w:val="center"/>
          </w:tcPr>
          <w:p w14:paraId="498E8E9C">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原因</w:t>
            </w:r>
          </w:p>
        </w:tc>
      </w:tr>
      <w:tr w14:paraId="449D3A36">
        <w:tblPrEx>
          <w:tblCellMar>
            <w:top w:w="0" w:type="dxa"/>
            <w:left w:w="108" w:type="dxa"/>
            <w:bottom w:w="0" w:type="dxa"/>
            <w:right w:w="108" w:type="dxa"/>
          </w:tblCellMar>
        </w:tblPrEx>
        <w:trPr>
          <w:trHeight w:val="345" w:hRule="atLeast"/>
        </w:trPr>
        <w:tc>
          <w:tcPr>
            <w:tcW w:w="576" w:type="dxa"/>
            <w:vMerge w:val="continue"/>
            <w:tcBorders>
              <w:top w:val="nil"/>
              <w:left w:val="single" w:color="000000" w:sz="4" w:space="0"/>
              <w:bottom w:val="single" w:color="000000" w:sz="4" w:space="0"/>
              <w:right w:val="single" w:color="000000" w:sz="4" w:space="0"/>
            </w:tcBorders>
            <w:vAlign w:val="center"/>
          </w:tcPr>
          <w:p w14:paraId="623936D4">
            <w:pPr>
              <w:jc w:val="center"/>
              <w:rPr>
                <w:rFonts w:ascii="宋体" w:hAnsi="宋体" w:cs="宋体"/>
                <w:color w:val="000000"/>
                <w:kern w:val="0"/>
                <w:sz w:val="18"/>
                <w:szCs w:val="18"/>
              </w:rPr>
            </w:pPr>
          </w:p>
        </w:tc>
        <w:tc>
          <w:tcPr>
            <w:tcW w:w="996" w:type="dxa"/>
            <w:tcBorders>
              <w:top w:val="nil"/>
              <w:left w:val="nil"/>
              <w:bottom w:val="single" w:color="000000" w:sz="4" w:space="0"/>
              <w:right w:val="single" w:color="000000" w:sz="4" w:space="0"/>
            </w:tcBorders>
            <w:shd w:val="clear" w:color="auto" w:fill="auto"/>
            <w:vAlign w:val="center"/>
          </w:tcPr>
          <w:p w14:paraId="276D7703">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总额</w:t>
            </w:r>
          </w:p>
        </w:tc>
        <w:tc>
          <w:tcPr>
            <w:tcW w:w="923" w:type="dxa"/>
            <w:tcBorders>
              <w:top w:val="nil"/>
              <w:left w:val="nil"/>
              <w:bottom w:val="single" w:color="000000" w:sz="4" w:space="0"/>
              <w:right w:val="single" w:color="000000" w:sz="4" w:space="0"/>
            </w:tcBorders>
            <w:shd w:val="clear" w:color="auto" w:fill="auto"/>
            <w:vAlign w:val="center"/>
          </w:tcPr>
          <w:p w14:paraId="3C0028EF">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86.80</w:t>
            </w:r>
          </w:p>
        </w:tc>
        <w:tc>
          <w:tcPr>
            <w:tcW w:w="1308" w:type="dxa"/>
            <w:tcBorders>
              <w:top w:val="nil"/>
              <w:left w:val="nil"/>
              <w:bottom w:val="single" w:color="000000" w:sz="4" w:space="0"/>
              <w:right w:val="single" w:color="000000" w:sz="4" w:space="0"/>
            </w:tcBorders>
            <w:shd w:val="clear" w:color="auto" w:fill="auto"/>
            <w:vAlign w:val="center"/>
          </w:tcPr>
          <w:p w14:paraId="208C71F9">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81.21</w:t>
            </w:r>
          </w:p>
        </w:tc>
        <w:tc>
          <w:tcPr>
            <w:tcW w:w="1611" w:type="dxa"/>
            <w:gridSpan w:val="3"/>
            <w:tcBorders>
              <w:top w:val="single" w:color="000000" w:sz="4" w:space="0"/>
              <w:left w:val="nil"/>
              <w:bottom w:val="single" w:color="000000" w:sz="4" w:space="0"/>
              <w:right w:val="single" w:color="000000" w:sz="4" w:space="0"/>
            </w:tcBorders>
            <w:shd w:val="clear" w:color="auto" w:fill="auto"/>
            <w:vAlign w:val="center"/>
          </w:tcPr>
          <w:p w14:paraId="2C1606F6">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81.21</w:t>
            </w:r>
          </w:p>
        </w:tc>
        <w:tc>
          <w:tcPr>
            <w:tcW w:w="846" w:type="dxa"/>
            <w:tcBorders>
              <w:top w:val="nil"/>
              <w:left w:val="nil"/>
              <w:bottom w:val="single" w:color="000000" w:sz="4" w:space="0"/>
              <w:right w:val="single" w:color="000000" w:sz="4" w:space="0"/>
            </w:tcBorders>
            <w:shd w:val="clear" w:color="auto" w:fill="auto"/>
            <w:vAlign w:val="center"/>
          </w:tcPr>
          <w:p w14:paraId="68D941AE">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100.00%</w:t>
            </w:r>
          </w:p>
        </w:tc>
        <w:tc>
          <w:tcPr>
            <w:tcW w:w="486" w:type="dxa"/>
            <w:tcBorders>
              <w:top w:val="nil"/>
              <w:left w:val="nil"/>
              <w:bottom w:val="single" w:color="000000" w:sz="4" w:space="0"/>
              <w:right w:val="single" w:color="000000" w:sz="4" w:space="0"/>
            </w:tcBorders>
            <w:shd w:val="clear" w:color="auto" w:fill="auto"/>
            <w:vAlign w:val="center"/>
          </w:tcPr>
          <w:p w14:paraId="5267508A">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10</w:t>
            </w:r>
          </w:p>
        </w:tc>
        <w:tc>
          <w:tcPr>
            <w:tcW w:w="486" w:type="dxa"/>
            <w:tcBorders>
              <w:top w:val="nil"/>
              <w:left w:val="nil"/>
              <w:bottom w:val="single" w:color="000000" w:sz="4" w:space="0"/>
              <w:right w:val="single" w:color="000000" w:sz="4" w:space="0"/>
            </w:tcBorders>
            <w:shd w:val="clear" w:color="auto" w:fill="auto"/>
            <w:vAlign w:val="center"/>
          </w:tcPr>
          <w:p w14:paraId="0EA98484">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10</w:t>
            </w:r>
          </w:p>
        </w:tc>
        <w:tc>
          <w:tcPr>
            <w:tcW w:w="1290" w:type="dxa"/>
            <w:vMerge w:val="restart"/>
            <w:tcBorders>
              <w:top w:val="nil"/>
              <w:left w:val="single" w:color="000000" w:sz="4" w:space="0"/>
              <w:bottom w:val="single" w:color="000000" w:sz="4" w:space="0"/>
              <w:right w:val="single" w:color="000000" w:sz="4" w:space="0"/>
            </w:tcBorders>
            <w:shd w:val="clear" w:color="auto" w:fill="auto"/>
            <w:vAlign w:val="center"/>
          </w:tcPr>
          <w:p w14:paraId="31462631">
            <w:pPr>
              <w:keepNext w:val="0"/>
              <w:keepLines w:val="0"/>
              <w:widowControl/>
              <w:suppressLineNumbers w:val="0"/>
              <w:jc w:val="left"/>
              <w:textAlignment w:val="center"/>
              <w:rPr>
                <w:rFonts w:ascii="Courier New" w:hAnsi="Courier New" w:cs="Courier New"/>
                <w:i/>
                <w:iCs/>
                <w:color w:val="000000"/>
                <w:kern w:val="0"/>
                <w:sz w:val="18"/>
                <w:szCs w:val="18"/>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813BAC0">
        <w:tblPrEx>
          <w:tblCellMar>
            <w:top w:w="0" w:type="dxa"/>
            <w:left w:w="108" w:type="dxa"/>
            <w:bottom w:w="0" w:type="dxa"/>
            <w:right w:w="108" w:type="dxa"/>
          </w:tblCellMar>
        </w:tblPrEx>
        <w:trPr>
          <w:trHeight w:val="390" w:hRule="atLeast"/>
        </w:trPr>
        <w:tc>
          <w:tcPr>
            <w:tcW w:w="576" w:type="dxa"/>
            <w:vMerge w:val="continue"/>
            <w:tcBorders>
              <w:top w:val="nil"/>
              <w:left w:val="single" w:color="000000" w:sz="4" w:space="0"/>
              <w:bottom w:val="single" w:color="000000" w:sz="4" w:space="0"/>
              <w:right w:val="single" w:color="000000" w:sz="4" w:space="0"/>
            </w:tcBorders>
            <w:vAlign w:val="center"/>
          </w:tcPr>
          <w:p w14:paraId="28F60FDC">
            <w:pPr>
              <w:jc w:val="center"/>
              <w:rPr>
                <w:rFonts w:ascii="宋体" w:hAnsi="宋体" w:cs="宋体"/>
                <w:color w:val="000000"/>
                <w:kern w:val="0"/>
                <w:sz w:val="18"/>
                <w:szCs w:val="18"/>
              </w:rPr>
            </w:pPr>
          </w:p>
        </w:tc>
        <w:tc>
          <w:tcPr>
            <w:tcW w:w="996" w:type="dxa"/>
            <w:tcBorders>
              <w:top w:val="nil"/>
              <w:left w:val="nil"/>
              <w:bottom w:val="single" w:color="000000" w:sz="4" w:space="0"/>
              <w:right w:val="single" w:color="000000" w:sz="4" w:space="0"/>
            </w:tcBorders>
            <w:shd w:val="clear" w:color="auto" w:fill="auto"/>
            <w:vAlign w:val="center"/>
          </w:tcPr>
          <w:p w14:paraId="511A5F35">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其中：财政资金</w:t>
            </w:r>
          </w:p>
        </w:tc>
        <w:tc>
          <w:tcPr>
            <w:tcW w:w="923" w:type="dxa"/>
            <w:tcBorders>
              <w:top w:val="nil"/>
              <w:left w:val="nil"/>
              <w:bottom w:val="single" w:color="000000" w:sz="4" w:space="0"/>
              <w:right w:val="single" w:color="000000" w:sz="4" w:space="0"/>
            </w:tcBorders>
            <w:shd w:val="clear" w:color="auto" w:fill="auto"/>
            <w:vAlign w:val="center"/>
          </w:tcPr>
          <w:p w14:paraId="56C5633A">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86.80</w:t>
            </w:r>
          </w:p>
        </w:tc>
        <w:tc>
          <w:tcPr>
            <w:tcW w:w="1308" w:type="dxa"/>
            <w:tcBorders>
              <w:top w:val="nil"/>
              <w:left w:val="nil"/>
              <w:bottom w:val="single" w:color="000000" w:sz="4" w:space="0"/>
              <w:right w:val="single" w:color="000000" w:sz="4" w:space="0"/>
            </w:tcBorders>
            <w:shd w:val="clear" w:color="auto" w:fill="auto"/>
            <w:vAlign w:val="center"/>
          </w:tcPr>
          <w:p w14:paraId="0B5E13FB">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81.21</w:t>
            </w:r>
          </w:p>
        </w:tc>
        <w:tc>
          <w:tcPr>
            <w:tcW w:w="1611" w:type="dxa"/>
            <w:gridSpan w:val="3"/>
            <w:tcBorders>
              <w:top w:val="single" w:color="000000" w:sz="4" w:space="0"/>
              <w:left w:val="nil"/>
              <w:bottom w:val="single" w:color="000000" w:sz="4" w:space="0"/>
              <w:right w:val="single" w:color="000000" w:sz="4" w:space="0"/>
            </w:tcBorders>
            <w:shd w:val="clear" w:color="auto" w:fill="auto"/>
            <w:vAlign w:val="center"/>
          </w:tcPr>
          <w:p w14:paraId="1BDCDB43">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81.21</w:t>
            </w:r>
          </w:p>
        </w:tc>
        <w:tc>
          <w:tcPr>
            <w:tcW w:w="846" w:type="dxa"/>
            <w:tcBorders>
              <w:top w:val="nil"/>
              <w:left w:val="nil"/>
              <w:bottom w:val="single" w:color="000000" w:sz="4" w:space="0"/>
              <w:right w:val="single" w:color="000000" w:sz="4" w:space="0"/>
            </w:tcBorders>
            <w:shd w:val="clear" w:color="auto" w:fill="auto"/>
            <w:vAlign w:val="center"/>
          </w:tcPr>
          <w:p w14:paraId="560E18E4">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100.00%</w:t>
            </w:r>
          </w:p>
        </w:tc>
        <w:tc>
          <w:tcPr>
            <w:tcW w:w="486" w:type="dxa"/>
            <w:tcBorders>
              <w:top w:val="nil"/>
              <w:left w:val="nil"/>
              <w:bottom w:val="single" w:color="000000" w:sz="4" w:space="0"/>
              <w:right w:val="single" w:color="000000" w:sz="4" w:space="0"/>
            </w:tcBorders>
            <w:shd w:val="clear" w:color="auto" w:fill="auto"/>
            <w:vAlign w:val="center"/>
          </w:tcPr>
          <w:p w14:paraId="20EFFA7B">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w:t>
            </w:r>
          </w:p>
        </w:tc>
        <w:tc>
          <w:tcPr>
            <w:tcW w:w="486" w:type="dxa"/>
            <w:tcBorders>
              <w:top w:val="nil"/>
              <w:left w:val="nil"/>
              <w:bottom w:val="single" w:color="000000" w:sz="4" w:space="0"/>
              <w:right w:val="single" w:color="000000" w:sz="4" w:space="0"/>
            </w:tcBorders>
            <w:shd w:val="clear" w:color="auto" w:fill="auto"/>
            <w:vAlign w:val="center"/>
          </w:tcPr>
          <w:p w14:paraId="7F8F2CA0">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w:t>
            </w:r>
          </w:p>
        </w:tc>
        <w:tc>
          <w:tcPr>
            <w:tcW w:w="1290" w:type="dxa"/>
            <w:vMerge w:val="continue"/>
            <w:tcBorders>
              <w:top w:val="nil"/>
              <w:left w:val="single" w:color="000000" w:sz="4" w:space="0"/>
              <w:bottom w:val="single" w:color="000000" w:sz="4" w:space="0"/>
              <w:right w:val="single" w:color="000000" w:sz="4" w:space="0"/>
            </w:tcBorders>
            <w:vAlign w:val="center"/>
          </w:tcPr>
          <w:p w14:paraId="6CF9F8DE">
            <w:pPr>
              <w:rPr>
                <w:rFonts w:ascii="Courier New" w:hAnsi="Courier New" w:cs="Courier New"/>
                <w:i/>
                <w:iCs/>
                <w:color w:val="000000"/>
                <w:kern w:val="0"/>
                <w:sz w:val="18"/>
                <w:szCs w:val="18"/>
              </w:rPr>
            </w:pPr>
          </w:p>
        </w:tc>
      </w:tr>
      <w:tr w14:paraId="12A15615">
        <w:tblPrEx>
          <w:tblCellMar>
            <w:top w:w="0" w:type="dxa"/>
            <w:left w:w="108" w:type="dxa"/>
            <w:bottom w:w="0" w:type="dxa"/>
            <w:right w:w="108" w:type="dxa"/>
          </w:tblCellMar>
        </w:tblPrEx>
        <w:trPr>
          <w:trHeight w:val="409" w:hRule="atLeast"/>
        </w:trPr>
        <w:tc>
          <w:tcPr>
            <w:tcW w:w="576" w:type="dxa"/>
            <w:vMerge w:val="continue"/>
            <w:tcBorders>
              <w:top w:val="nil"/>
              <w:left w:val="single" w:color="000000" w:sz="4" w:space="0"/>
              <w:bottom w:val="single" w:color="000000" w:sz="4" w:space="0"/>
              <w:right w:val="single" w:color="000000" w:sz="4" w:space="0"/>
            </w:tcBorders>
            <w:vAlign w:val="center"/>
          </w:tcPr>
          <w:p w14:paraId="4D0E4736">
            <w:pPr>
              <w:jc w:val="center"/>
              <w:rPr>
                <w:rFonts w:ascii="宋体" w:hAnsi="宋体" w:cs="宋体"/>
                <w:color w:val="000000"/>
                <w:kern w:val="0"/>
                <w:sz w:val="18"/>
                <w:szCs w:val="18"/>
              </w:rPr>
            </w:pPr>
          </w:p>
        </w:tc>
        <w:tc>
          <w:tcPr>
            <w:tcW w:w="996" w:type="dxa"/>
            <w:tcBorders>
              <w:top w:val="nil"/>
              <w:left w:val="nil"/>
              <w:bottom w:val="single" w:color="000000" w:sz="4" w:space="0"/>
              <w:right w:val="single" w:color="000000" w:sz="4" w:space="0"/>
            </w:tcBorders>
            <w:shd w:val="clear" w:color="auto" w:fill="auto"/>
            <w:vAlign w:val="center"/>
          </w:tcPr>
          <w:p w14:paraId="7A6E4589">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财政专户管理资金</w:t>
            </w:r>
          </w:p>
        </w:tc>
        <w:tc>
          <w:tcPr>
            <w:tcW w:w="923" w:type="dxa"/>
            <w:tcBorders>
              <w:top w:val="nil"/>
              <w:left w:val="nil"/>
              <w:bottom w:val="single" w:color="000000" w:sz="4" w:space="0"/>
              <w:right w:val="single" w:color="000000" w:sz="4" w:space="0"/>
            </w:tcBorders>
            <w:shd w:val="clear" w:color="auto" w:fill="auto"/>
            <w:vAlign w:val="center"/>
          </w:tcPr>
          <w:p w14:paraId="5E8ED5C8">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0.00</w:t>
            </w:r>
          </w:p>
        </w:tc>
        <w:tc>
          <w:tcPr>
            <w:tcW w:w="1308" w:type="dxa"/>
            <w:tcBorders>
              <w:top w:val="nil"/>
              <w:left w:val="nil"/>
              <w:bottom w:val="single" w:color="000000" w:sz="4" w:space="0"/>
              <w:right w:val="single" w:color="000000" w:sz="4" w:space="0"/>
            </w:tcBorders>
            <w:shd w:val="clear" w:color="auto" w:fill="auto"/>
            <w:vAlign w:val="center"/>
          </w:tcPr>
          <w:p w14:paraId="550D29B0">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0.00</w:t>
            </w:r>
          </w:p>
        </w:tc>
        <w:tc>
          <w:tcPr>
            <w:tcW w:w="1611" w:type="dxa"/>
            <w:gridSpan w:val="3"/>
            <w:tcBorders>
              <w:top w:val="single" w:color="000000" w:sz="4" w:space="0"/>
              <w:left w:val="nil"/>
              <w:bottom w:val="single" w:color="000000" w:sz="4" w:space="0"/>
              <w:right w:val="single" w:color="000000" w:sz="4" w:space="0"/>
            </w:tcBorders>
            <w:shd w:val="clear" w:color="auto" w:fill="auto"/>
            <w:vAlign w:val="center"/>
          </w:tcPr>
          <w:p w14:paraId="1CC77C70">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0.00</w:t>
            </w:r>
          </w:p>
        </w:tc>
        <w:tc>
          <w:tcPr>
            <w:tcW w:w="846" w:type="dxa"/>
            <w:tcBorders>
              <w:top w:val="nil"/>
              <w:left w:val="nil"/>
              <w:bottom w:val="single" w:color="000000" w:sz="4" w:space="0"/>
              <w:right w:val="single" w:color="000000" w:sz="4" w:space="0"/>
            </w:tcBorders>
            <w:shd w:val="clear" w:color="auto" w:fill="auto"/>
            <w:vAlign w:val="center"/>
          </w:tcPr>
          <w:p w14:paraId="06CF18E4">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0.00%</w:t>
            </w:r>
          </w:p>
        </w:tc>
        <w:tc>
          <w:tcPr>
            <w:tcW w:w="486" w:type="dxa"/>
            <w:tcBorders>
              <w:top w:val="nil"/>
              <w:left w:val="nil"/>
              <w:bottom w:val="single" w:color="000000" w:sz="4" w:space="0"/>
              <w:right w:val="single" w:color="000000" w:sz="4" w:space="0"/>
            </w:tcBorders>
            <w:shd w:val="clear" w:color="auto" w:fill="auto"/>
            <w:vAlign w:val="center"/>
          </w:tcPr>
          <w:p w14:paraId="059B74F9">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w:t>
            </w:r>
          </w:p>
        </w:tc>
        <w:tc>
          <w:tcPr>
            <w:tcW w:w="486" w:type="dxa"/>
            <w:tcBorders>
              <w:top w:val="nil"/>
              <w:left w:val="nil"/>
              <w:bottom w:val="single" w:color="000000" w:sz="4" w:space="0"/>
              <w:right w:val="single" w:color="000000" w:sz="4" w:space="0"/>
            </w:tcBorders>
            <w:shd w:val="clear" w:color="auto" w:fill="auto"/>
            <w:vAlign w:val="center"/>
          </w:tcPr>
          <w:p w14:paraId="378C693B">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w:t>
            </w:r>
          </w:p>
        </w:tc>
        <w:tc>
          <w:tcPr>
            <w:tcW w:w="1290" w:type="dxa"/>
            <w:vMerge w:val="continue"/>
            <w:tcBorders>
              <w:top w:val="nil"/>
              <w:left w:val="single" w:color="000000" w:sz="4" w:space="0"/>
              <w:bottom w:val="single" w:color="000000" w:sz="4" w:space="0"/>
              <w:right w:val="single" w:color="000000" w:sz="4" w:space="0"/>
            </w:tcBorders>
            <w:vAlign w:val="center"/>
          </w:tcPr>
          <w:p w14:paraId="01ABF2E8">
            <w:pPr>
              <w:rPr>
                <w:rFonts w:ascii="Courier New" w:hAnsi="Courier New" w:cs="Courier New"/>
                <w:i/>
                <w:iCs/>
                <w:color w:val="000000"/>
                <w:kern w:val="0"/>
                <w:sz w:val="18"/>
                <w:szCs w:val="18"/>
              </w:rPr>
            </w:pPr>
          </w:p>
        </w:tc>
      </w:tr>
      <w:tr w14:paraId="306546AD">
        <w:tblPrEx>
          <w:tblCellMar>
            <w:top w:w="0" w:type="dxa"/>
            <w:left w:w="108" w:type="dxa"/>
            <w:bottom w:w="0" w:type="dxa"/>
            <w:right w:w="108" w:type="dxa"/>
          </w:tblCellMar>
        </w:tblPrEx>
        <w:trPr>
          <w:trHeight w:val="360" w:hRule="atLeast"/>
        </w:trPr>
        <w:tc>
          <w:tcPr>
            <w:tcW w:w="576" w:type="dxa"/>
            <w:vMerge w:val="continue"/>
            <w:tcBorders>
              <w:top w:val="nil"/>
              <w:left w:val="single" w:color="000000" w:sz="4" w:space="0"/>
              <w:bottom w:val="single" w:color="000000" w:sz="4" w:space="0"/>
              <w:right w:val="single" w:color="000000" w:sz="4" w:space="0"/>
            </w:tcBorders>
            <w:vAlign w:val="center"/>
          </w:tcPr>
          <w:p w14:paraId="1DD5DE18">
            <w:pPr>
              <w:jc w:val="center"/>
              <w:rPr>
                <w:rFonts w:ascii="宋体" w:hAnsi="宋体" w:cs="宋体"/>
                <w:color w:val="000000"/>
                <w:kern w:val="0"/>
                <w:sz w:val="18"/>
                <w:szCs w:val="18"/>
              </w:rPr>
            </w:pPr>
          </w:p>
        </w:tc>
        <w:tc>
          <w:tcPr>
            <w:tcW w:w="996" w:type="dxa"/>
            <w:tcBorders>
              <w:top w:val="nil"/>
              <w:left w:val="nil"/>
              <w:bottom w:val="single" w:color="000000" w:sz="4" w:space="0"/>
              <w:right w:val="single" w:color="000000" w:sz="4" w:space="0"/>
            </w:tcBorders>
            <w:shd w:val="clear" w:color="auto" w:fill="auto"/>
            <w:vAlign w:val="center"/>
          </w:tcPr>
          <w:p w14:paraId="3B6B4C77">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单位资金</w:t>
            </w:r>
          </w:p>
        </w:tc>
        <w:tc>
          <w:tcPr>
            <w:tcW w:w="923" w:type="dxa"/>
            <w:tcBorders>
              <w:top w:val="nil"/>
              <w:left w:val="nil"/>
              <w:bottom w:val="single" w:color="000000" w:sz="4" w:space="0"/>
              <w:right w:val="single" w:color="000000" w:sz="4" w:space="0"/>
            </w:tcBorders>
            <w:shd w:val="clear" w:color="auto" w:fill="auto"/>
            <w:vAlign w:val="center"/>
          </w:tcPr>
          <w:p w14:paraId="35E394C6">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0.00</w:t>
            </w:r>
          </w:p>
        </w:tc>
        <w:tc>
          <w:tcPr>
            <w:tcW w:w="1308" w:type="dxa"/>
            <w:tcBorders>
              <w:top w:val="nil"/>
              <w:left w:val="nil"/>
              <w:bottom w:val="single" w:color="000000" w:sz="4" w:space="0"/>
              <w:right w:val="single" w:color="000000" w:sz="4" w:space="0"/>
            </w:tcBorders>
            <w:shd w:val="clear" w:color="auto" w:fill="auto"/>
            <w:vAlign w:val="center"/>
          </w:tcPr>
          <w:p w14:paraId="3621BD60">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0.00</w:t>
            </w:r>
          </w:p>
        </w:tc>
        <w:tc>
          <w:tcPr>
            <w:tcW w:w="1611" w:type="dxa"/>
            <w:gridSpan w:val="3"/>
            <w:tcBorders>
              <w:top w:val="single" w:color="000000" w:sz="4" w:space="0"/>
              <w:left w:val="nil"/>
              <w:bottom w:val="single" w:color="000000" w:sz="4" w:space="0"/>
              <w:right w:val="single" w:color="000000" w:sz="4" w:space="0"/>
            </w:tcBorders>
            <w:shd w:val="clear" w:color="auto" w:fill="auto"/>
            <w:vAlign w:val="center"/>
          </w:tcPr>
          <w:p w14:paraId="37A88F6F">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0.00</w:t>
            </w:r>
          </w:p>
        </w:tc>
        <w:tc>
          <w:tcPr>
            <w:tcW w:w="846" w:type="dxa"/>
            <w:tcBorders>
              <w:top w:val="nil"/>
              <w:left w:val="nil"/>
              <w:bottom w:val="single" w:color="000000" w:sz="4" w:space="0"/>
              <w:right w:val="single" w:color="000000" w:sz="4" w:space="0"/>
            </w:tcBorders>
            <w:shd w:val="clear" w:color="auto" w:fill="auto"/>
            <w:vAlign w:val="center"/>
          </w:tcPr>
          <w:p w14:paraId="6BB7F980">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0.00%</w:t>
            </w:r>
          </w:p>
        </w:tc>
        <w:tc>
          <w:tcPr>
            <w:tcW w:w="486" w:type="dxa"/>
            <w:tcBorders>
              <w:top w:val="nil"/>
              <w:left w:val="nil"/>
              <w:bottom w:val="single" w:color="000000" w:sz="4" w:space="0"/>
              <w:right w:val="single" w:color="000000" w:sz="4" w:space="0"/>
            </w:tcBorders>
            <w:shd w:val="clear" w:color="auto" w:fill="auto"/>
            <w:vAlign w:val="center"/>
          </w:tcPr>
          <w:p w14:paraId="7A169427">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w:t>
            </w:r>
          </w:p>
        </w:tc>
        <w:tc>
          <w:tcPr>
            <w:tcW w:w="486" w:type="dxa"/>
            <w:tcBorders>
              <w:top w:val="nil"/>
              <w:left w:val="nil"/>
              <w:bottom w:val="single" w:color="000000" w:sz="4" w:space="0"/>
              <w:right w:val="single" w:color="000000" w:sz="4" w:space="0"/>
            </w:tcBorders>
            <w:shd w:val="clear" w:color="auto" w:fill="auto"/>
            <w:vAlign w:val="center"/>
          </w:tcPr>
          <w:p w14:paraId="39593368">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w:t>
            </w:r>
          </w:p>
        </w:tc>
        <w:tc>
          <w:tcPr>
            <w:tcW w:w="1290" w:type="dxa"/>
            <w:vMerge w:val="continue"/>
            <w:tcBorders>
              <w:top w:val="nil"/>
              <w:left w:val="single" w:color="000000" w:sz="4" w:space="0"/>
              <w:bottom w:val="single" w:color="000000" w:sz="4" w:space="0"/>
              <w:right w:val="single" w:color="000000" w:sz="4" w:space="0"/>
            </w:tcBorders>
            <w:vAlign w:val="center"/>
          </w:tcPr>
          <w:p w14:paraId="566AEC7B">
            <w:pPr>
              <w:rPr>
                <w:rFonts w:ascii="Courier New" w:hAnsi="Courier New" w:cs="Courier New"/>
                <w:i/>
                <w:iCs/>
                <w:color w:val="000000"/>
                <w:kern w:val="0"/>
                <w:sz w:val="18"/>
                <w:szCs w:val="18"/>
              </w:rPr>
            </w:pPr>
          </w:p>
        </w:tc>
      </w:tr>
      <w:tr w14:paraId="08D904ED">
        <w:tblPrEx>
          <w:tblCellMar>
            <w:top w:w="0" w:type="dxa"/>
            <w:left w:w="108" w:type="dxa"/>
            <w:bottom w:w="0" w:type="dxa"/>
            <w:right w:w="108" w:type="dxa"/>
          </w:tblCellMar>
        </w:tblPrEx>
        <w:trPr>
          <w:trHeight w:val="338" w:hRule="atLeast"/>
        </w:trPr>
        <w:tc>
          <w:tcPr>
            <w:tcW w:w="576" w:type="dxa"/>
            <w:vMerge w:val="continue"/>
            <w:tcBorders>
              <w:top w:val="nil"/>
              <w:left w:val="single" w:color="000000" w:sz="4" w:space="0"/>
              <w:bottom w:val="single" w:color="000000" w:sz="4" w:space="0"/>
              <w:right w:val="single" w:color="000000" w:sz="4" w:space="0"/>
            </w:tcBorders>
            <w:vAlign w:val="center"/>
          </w:tcPr>
          <w:p w14:paraId="05733C39">
            <w:pPr>
              <w:jc w:val="center"/>
              <w:rPr>
                <w:rFonts w:ascii="宋体" w:hAnsi="宋体" w:cs="宋体"/>
                <w:color w:val="000000"/>
                <w:kern w:val="0"/>
                <w:sz w:val="18"/>
                <w:szCs w:val="18"/>
              </w:rPr>
            </w:pPr>
          </w:p>
        </w:tc>
        <w:tc>
          <w:tcPr>
            <w:tcW w:w="996" w:type="dxa"/>
            <w:tcBorders>
              <w:top w:val="nil"/>
              <w:left w:val="nil"/>
              <w:bottom w:val="single" w:color="000000" w:sz="4" w:space="0"/>
              <w:right w:val="single" w:color="000000" w:sz="4" w:space="0"/>
            </w:tcBorders>
            <w:shd w:val="clear" w:color="auto" w:fill="auto"/>
            <w:vAlign w:val="center"/>
          </w:tcPr>
          <w:p w14:paraId="0F307759">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其他资金</w:t>
            </w:r>
          </w:p>
        </w:tc>
        <w:tc>
          <w:tcPr>
            <w:tcW w:w="923" w:type="dxa"/>
            <w:tcBorders>
              <w:top w:val="nil"/>
              <w:left w:val="nil"/>
              <w:bottom w:val="single" w:color="000000" w:sz="4" w:space="0"/>
              <w:right w:val="single" w:color="000000" w:sz="4" w:space="0"/>
            </w:tcBorders>
            <w:shd w:val="clear" w:color="auto" w:fill="auto"/>
            <w:vAlign w:val="center"/>
          </w:tcPr>
          <w:p w14:paraId="122B0459">
            <w:pPr>
              <w:jc w:val="center"/>
              <w:rPr>
                <w:rFonts w:ascii="微软雅黑" w:hAnsi="微软雅黑" w:eastAsia="微软雅黑" w:cs="宋体"/>
                <w:i/>
                <w:iCs/>
                <w:color w:val="000000"/>
                <w:kern w:val="0"/>
                <w:sz w:val="16"/>
                <w:szCs w:val="16"/>
              </w:rPr>
            </w:pPr>
          </w:p>
        </w:tc>
        <w:tc>
          <w:tcPr>
            <w:tcW w:w="1308" w:type="dxa"/>
            <w:tcBorders>
              <w:top w:val="nil"/>
              <w:left w:val="nil"/>
              <w:bottom w:val="single" w:color="000000" w:sz="4" w:space="0"/>
              <w:right w:val="single" w:color="000000" w:sz="4" w:space="0"/>
            </w:tcBorders>
            <w:shd w:val="clear" w:color="auto" w:fill="auto"/>
            <w:vAlign w:val="center"/>
          </w:tcPr>
          <w:p w14:paraId="660C17C0">
            <w:pPr>
              <w:jc w:val="center"/>
              <w:rPr>
                <w:rFonts w:ascii="微软雅黑" w:hAnsi="微软雅黑" w:eastAsia="微软雅黑" w:cs="宋体"/>
                <w:i/>
                <w:iCs/>
                <w:color w:val="000000"/>
                <w:kern w:val="0"/>
                <w:sz w:val="16"/>
                <w:szCs w:val="16"/>
              </w:rPr>
            </w:pPr>
          </w:p>
        </w:tc>
        <w:tc>
          <w:tcPr>
            <w:tcW w:w="1611" w:type="dxa"/>
            <w:gridSpan w:val="3"/>
            <w:tcBorders>
              <w:top w:val="single" w:color="000000" w:sz="4" w:space="0"/>
              <w:left w:val="nil"/>
              <w:bottom w:val="single" w:color="000000" w:sz="4" w:space="0"/>
              <w:right w:val="single" w:color="000000" w:sz="4" w:space="0"/>
            </w:tcBorders>
            <w:shd w:val="clear" w:color="auto" w:fill="auto"/>
            <w:vAlign w:val="center"/>
          </w:tcPr>
          <w:p w14:paraId="70125D43">
            <w:pPr>
              <w:jc w:val="center"/>
              <w:rPr>
                <w:rFonts w:ascii="微软雅黑" w:hAnsi="微软雅黑" w:eastAsia="微软雅黑" w:cs="宋体"/>
                <w:i/>
                <w:iCs/>
                <w:color w:val="000000"/>
                <w:kern w:val="0"/>
                <w:sz w:val="16"/>
                <w:szCs w:val="16"/>
              </w:rPr>
            </w:pPr>
          </w:p>
        </w:tc>
        <w:tc>
          <w:tcPr>
            <w:tcW w:w="846" w:type="dxa"/>
            <w:tcBorders>
              <w:top w:val="nil"/>
              <w:left w:val="nil"/>
              <w:bottom w:val="single" w:color="000000" w:sz="4" w:space="0"/>
              <w:right w:val="single" w:color="000000" w:sz="4" w:space="0"/>
            </w:tcBorders>
            <w:shd w:val="clear" w:color="auto" w:fill="auto"/>
            <w:vAlign w:val="center"/>
          </w:tcPr>
          <w:p w14:paraId="30145537">
            <w:pPr>
              <w:jc w:val="center"/>
              <w:rPr>
                <w:rFonts w:ascii="微软雅黑" w:hAnsi="微软雅黑" w:eastAsia="微软雅黑" w:cs="宋体"/>
                <w:i/>
                <w:iCs/>
                <w:color w:val="000000"/>
                <w:kern w:val="0"/>
                <w:sz w:val="16"/>
                <w:szCs w:val="16"/>
              </w:rPr>
            </w:pPr>
          </w:p>
        </w:tc>
        <w:tc>
          <w:tcPr>
            <w:tcW w:w="486" w:type="dxa"/>
            <w:tcBorders>
              <w:top w:val="nil"/>
              <w:left w:val="nil"/>
              <w:bottom w:val="single" w:color="000000" w:sz="4" w:space="0"/>
              <w:right w:val="single" w:color="000000" w:sz="4" w:space="0"/>
            </w:tcBorders>
            <w:shd w:val="clear" w:color="auto" w:fill="auto"/>
            <w:vAlign w:val="center"/>
          </w:tcPr>
          <w:p w14:paraId="625B725D">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w:t>
            </w:r>
          </w:p>
        </w:tc>
        <w:tc>
          <w:tcPr>
            <w:tcW w:w="486" w:type="dxa"/>
            <w:tcBorders>
              <w:top w:val="nil"/>
              <w:left w:val="nil"/>
              <w:bottom w:val="single" w:color="000000" w:sz="4" w:space="0"/>
              <w:right w:val="single" w:color="000000" w:sz="4" w:space="0"/>
            </w:tcBorders>
            <w:shd w:val="clear" w:color="auto" w:fill="auto"/>
            <w:vAlign w:val="center"/>
          </w:tcPr>
          <w:p w14:paraId="1A0827BA">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w:t>
            </w:r>
          </w:p>
        </w:tc>
        <w:tc>
          <w:tcPr>
            <w:tcW w:w="1290" w:type="dxa"/>
            <w:vMerge w:val="continue"/>
            <w:tcBorders>
              <w:top w:val="nil"/>
              <w:left w:val="single" w:color="000000" w:sz="4" w:space="0"/>
              <w:bottom w:val="single" w:color="000000" w:sz="4" w:space="0"/>
              <w:right w:val="single" w:color="000000" w:sz="4" w:space="0"/>
            </w:tcBorders>
            <w:vAlign w:val="center"/>
          </w:tcPr>
          <w:p w14:paraId="3AE2C452">
            <w:pPr>
              <w:rPr>
                <w:rFonts w:ascii="Courier New" w:hAnsi="Courier New" w:cs="Courier New"/>
                <w:i/>
                <w:iCs/>
                <w:color w:val="000000"/>
                <w:kern w:val="0"/>
                <w:sz w:val="18"/>
                <w:szCs w:val="18"/>
              </w:rPr>
            </w:pPr>
          </w:p>
        </w:tc>
      </w:tr>
      <w:tr w14:paraId="7EDAED95">
        <w:tblPrEx>
          <w:tblCellMar>
            <w:top w:w="0" w:type="dxa"/>
            <w:left w:w="108" w:type="dxa"/>
            <w:bottom w:w="0" w:type="dxa"/>
            <w:right w:w="108" w:type="dxa"/>
          </w:tblCellMar>
        </w:tblPrEx>
        <w:trPr>
          <w:trHeight w:val="454" w:hRule="atLeast"/>
        </w:trPr>
        <w:tc>
          <w:tcPr>
            <w:tcW w:w="576" w:type="dxa"/>
            <w:vMerge w:val="restart"/>
            <w:tcBorders>
              <w:top w:val="nil"/>
              <w:left w:val="single" w:color="000000" w:sz="4" w:space="0"/>
              <w:bottom w:val="single" w:color="000000" w:sz="4" w:space="0"/>
              <w:right w:val="single" w:color="000000" w:sz="4" w:space="0"/>
            </w:tcBorders>
            <w:shd w:val="clear" w:color="auto" w:fill="auto"/>
            <w:vAlign w:val="center"/>
          </w:tcPr>
          <w:p w14:paraId="09201C92">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绩效指标（90分）</w:t>
            </w:r>
          </w:p>
        </w:tc>
        <w:tc>
          <w:tcPr>
            <w:tcW w:w="996" w:type="dxa"/>
            <w:tcBorders>
              <w:top w:val="nil"/>
              <w:left w:val="nil"/>
              <w:bottom w:val="single" w:color="000000" w:sz="4" w:space="0"/>
              <w:right w:val="single" w:color="000000" w:sz="4" w:space="0"/>
            </w:tcBorders>
            <w:shd w:val="clear" w:color="auto" w:fill="auto"/>
            <w:vAlign w:val="center"/>
          </w:tcPr>
          <w:p w14:paraId="53271CE6">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一级指标</w:t>
            </w:r>
          </w:p>
        </w:tc>
        <w:tc>
          <w:tcPr>
            <w:tcW w:w="923" w:type="dxa"/>
            <w:tcBorders>
              <w:top w:val="nil"/>
              <w:left w:val="nil"/>
              <w:bottom w:val="single" w:color="000000" w:sz="4" w:space="0"/>
              <w:right w:val="single" w:color="000000" w:sz="4" w:space="0"/>
            </w:tcBorders>
            <w:shd w:val="clear" w:color="auto" w:fill="auto"/>
            <w:vAlign w:val="center"/>
          </w:tcPr>
          <w:p w14:paraId="1785F16E">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二级指标</w:t>
            </w:r>
          </w:p>
        </w:tc>
        <w:tc>
          <w:tcPr>
            <w:tcW w:w="1308" w:type="dxa"/>
            <w:tcBorders>
              <w:top w:val="nil"/>
              <w:left w:val="nil"/>
              <w:bottom w:val="single" w:color="000000" w:sz="4" w:space="0"/>
              <w:right w:val="single" w:color="000000" w:sz="4" w:space="0"/>
            </w:tcBorders>
            <w:shd w:val="clear" w:color="auto" w:fill="auto"/>
            <w:vAlign w:val="center"/>
          </w:tcPr>
          <w:p w14:paraId="41113145">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三级指标</w:t>
            </w:r>
          </w:p>
        </w:tc>
        <w:tc>
          <w:tcPr>
            <w:tcW w:w="396" w:type="dxa"/>
            <w:tcBorders>
              <w:top w:val="nil"/>
              <w:left w:val="nil"/>
              <w:bottom w:val="single" w:color="000000" w:sz="4" w:space="0"/>
              <w:right w:val="single" w:color="000000" w:sz="4" w:space="0"/>
            </w:tcBorders>
            <w:shd w:val="clear" w:color="auto" w:fill="auto"/>
            <w:vAlign w:val="center"/>
          </w:tcPr>
          <w:p w14:paraId="669A9C43">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指标性质</w:t>
            </w:r>
          </w:p>
        </w:tc>
        <w:tc>
          <w:tcPr>
            <w:tcW w:w="819" w:type="dxa"/>
            <w:tcBorders>
              <w:top w:val="nil"/>
              <w:left w:val="nil"/>
              <w:bottom w:val="single" w:color="000000" w:sz="4" w:space="0"/>
              <w:right w:val="single" w:color="000000" w:sz="4" w:space="0"/>
            </w:tcBorders>
            <w:shd w:val="clear" w:color="auto" w:fill="auto"/>
            <w:vAlign w:val="center"/>
          </w:tcPr>
          <w:p w14:paraId="4530B0C6">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指标值</w:t>
            </w:r>
          </w:p>
        </w:tc>
        <w:tc>
          <w:tcPr>
            <w:tcW w:w="396" w:type="dxa"/>
            <w:tcBorders>
              <w:top w:val="nil"/>
              <w:left w:val="nil"/>
              <w:bottom w:val="single" w:color="000000" w:sz="4" w:space="0"/>
              <w:right w:val="single" w:color="000000" w:sz="4" w:space="0"/>
            </w:tcBorders>
            <w:shd w:val="clear" w:color="auto" w:fill="auto"/>
            <w:vAlign w:val="center"/>
          </w:tcPr>
          <w:p w14:paraId="42D37B0F">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nil"/>
              <w:left w:val="nil"/>
              <w:bottom w:val="single" w:color="000000" w:sz="4" w:space="0"/>
              <w:right w:val="single" w:color="000000" w:sz="4" w:space="0"/>
            </w:tcBorders>
            <w:shd w:val="clear" w:color="auto" w:fill="auto"/>
            <w:vAlign w:val="center"/>
          </w:tcPr>
          <w:p w14:paraId="17C36DBA">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完成值</w:t>
            </w:r>
          </w:p>
        </w:tc>
        <w:tc>
          <w:tcPr>
            <w:tcW w:w="486" w:type="dxa"/>
            <w:tcBorders>
              <w:top w:val="nil"/>
              <w:left w:val="nil"/>
              <w:bottom w:val="single" w:color="000000" w:sz="4" w:space="0"/>
              <w:right w:val="single" w:color="000000" w:sz="4" w:space="0"/>
            </w:tcBorders>
            <w:shd w:val="clear" w:color="auto" w:fill="auto"/>
            <w:vAlign w:val="center"/>
          </w:tcPr>
          <w:p w14:paraId="54CFAD6F">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权重</w:t>
            </w:r>
          </w:p>
        </w:tc>
        <w:tc>
          <w:tcPr>
            <w:tcW w:w="486" w:type="dxa"/>
            <w:tcBorders>
              <w:top w:val="nil"/>
              <w:left w:val="nil"/>
              <w:bottom w:val="single" w:color="000000" w:sz="4" w:space="0"/>
              <w:right w:val="single" w:color="000000" w:sz="4" w:space="0"/>
            </w:tcBorders>
            <w:shd w:val="clear" w:color="auto" w:fill="auto"/>
            <w:vAlign w:val="center"/>
          </w:tcPr>
          <w:p w14:paraId="337E9AE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290" w:type="dxa"/>
            <w:tcBorders>
              <w:top w:val="nil"/>
              <w:left w:val="nil"/>
              <w:bottom w:val="single" w:color="000000" w:sz="4" w:space="0"/>
              <w:right w:val="single" w:color="000000" w:sz="4" w:space="0"/>
            </w:tcBorders>
            <w:shd w:val="clear" w:color="auto" w:fill="auto"/>
            <w:vAlign w:val="center"/>
          </w:tcPr>
          <w:p w14:paraId="37A0E116">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未完成原因分析</w:t>
            </w:r>
          </w:p>
        </w:tc>
      </w:tr>
      <w:tr w14:paraId="739370BE">
        <w:tblPrEx>
          <w:tblCellMar>
            <w:top w:w="0" w:type="dxa"/>
            <w:left w:w="108" w:type="dxa"/>
            <w:bottom w:w="0" w:type="dxa"/>
            <w:right w:w="108" w:type="dxa"/>
          </w:tblCellMar>
        </w:tblPrEx>
        <w:trPr>
          <w:trHeight w:val="338" w:hRule="atLeast"/>
        </w:trPr>
        <w:tc>
          <w:tcPr>
            <w:tcW w:w="576" w:type="dxa"/>
            <w:vMerge w:val="continue"/>
            <w:tcBorders>
              <w:top w:val="nil"/>
              <w:left w:val="single" w:color="000000" w:sz="4" w:space="0"/>
              <w:bottom w:val="single" w:color="000000" w:sz="4" w:space="0"/>
              <w:right w:val="single" w:color="000000" w:sz="4" w:space="0"/>
            </w:tcBorders>
            <w:vAlign w:val="center"/>
          </w:tcPr>
          <w:p w14:paraId="4D4B1932">
            <w:pPr>
              <w:jc w:val="center"/>
              <w:rPr>
                <w:rFonts w:ascii="宋体" w:hAnsi="宋体" w:cs="宋体"/>
                <w:color w:val="000000"/>
                <w:kern w:val="0"/>
                <w:sz w:val="18"/>
                <w:szCs w:val="18"/>
              </w:rPr>
            </w:pPr>
          </w:p>
        </w:tc>
        <w:tc>
          <w:tcPr>
            <w:tcW w:w="996" w:type="dxa"/>
            <w:tcBorders>
              <w:top w:val="nil"/>
              <w:left w:val="nil"/>
              <w:bottom w:val="single" w:color="000000" w:sz="4" w:space="0"/>
              <w:right w:val="single" w:color="000000" w:sz="4" w:space="0"/>
            </w:tcBorders>
            <w:shd w:val="clear" w:color="auto" w:fill="auto"/>
            <w:vAlign w:val="center"/>
          </w:tcPr>
          <w:p w14:paraId="1EA6AC47">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产出指标</w:t>
            </w:r>
          </w:p>
        </w:tc>
        <w:tc>
          <w:tcPr>
            <w:tcW w:w="923" w:type="dxa"/>
            <w:tcBorders>
              <w:top w:val="nil"/>
              <w:left w:val="nil"/>
              <w:bottom w:val="single" w:color="000000" w:sz="4" w:space="0"/>
              <w:right w:val="single" w:color="000000" w:sz="4" w:space="0"/>
            </w:tcBorders>
            <w:shd w:val="clear" w:color="auto" w:fill="auto"/>
            <w:vAlign w:val="center"/>
          </w:tcPr>
          <w:p w14:paraId="2C15393F">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数量指标</w:t>
            </w:r>
          </w:p>
        </w:tc>
        <w:tc>
          <w:tcPr>
            <w:tcW w:w="1308" w:type="dxa"/>
            <w:tcBorders>
              <w:top w:val="nil"/>
              <w:left w:val="nil"/>
              <w:bottom w:val="single" w:color="000000" w:sz="4" w:space="0"/>
              <w:right w:val="single" w:color="000000" w:sz="4" w:space="0"/>
            </w:tcBorders>
            <w:shd w:val="clear" w:color="auto" w:fill="auto"/>
            <w:vAlign w:val="center"/>
          </w:tcPr>
          <w:p w14:paraId="4AEAD40B">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发放（缴纳）覆盖率</w:t>
            </w:r>
          </w:p>
        </w:tc>
        <w:tc>
          <w:tcPr>
            <w:tcW w:w="396" w:type="dxa"/>
            <w:tcBorders>
              <w:top w:val="nil"/>
              <w:left w:val="nil"/>
              <w:bottom w:val="single" w:color="000000" w:sz="4" w:space="0"/>
              <w:right w:val="single" w:color="000000" w:sz="4" w:space="0"/>
            </w:tcBorders>
            <w:shd w:val="clear" w:color="auto" w:fill="auto"/>
            <w:vAlign w:val="center"/>
          </w:tcPr>
          <w:p w14:paraId="20BC9963">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w:t>
            </w:r>
          </w:p>
        </w:tc>
        <w:tc>
          <w:tcPr>
            <w:tcW w:w="819" w:type="dxa"/>
            <w:tcBorders>
              <w:top w:val="nil"/>
              <w:left w:val="nil"/>
              <w:bottom w:val="single" w:color="000000" w:sz="4" w:space="0"/>
              <w:right w:val="single" w:color="000000" w:sz="4" w:space="0"/>
            </w:tcBorders>
            <w:shd w:val="clear" w:color="auto" w:fill="auto"/>
            <w:vAlign w:val="center"/>
          </w:tcPr>
          <w:p w14:paraId="2B7C3650">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100</w:t>
            </w:r>
          </w:p>
        </w:tc>
        <w:tc>
          <w:tcPr>
            <w:tcW w:w="396" w:type="dxa"/>
            <w:tcBorders>
              <w:top w:val="nil"/>
              <w:left w:val="nil"/>
              <w:bottom w:val="single" w:color="000000" w:sz="4" w:space="0"/>
              <w:right w:val="single" w:color="000000" w:sz="4" w:space="0"/>
            </w:tcBorders>
            <w:shd w:val="clear" w:color="auto" w:fill="auto"/>
            <w:vAlign w:val="center"/>
          </w:tcPr>
          <w:p w14:paraId="5715A67F">
            <w:pPr>
              <w:keepNext w:val="0"/>
              <w:keepLines w:val="0"/>
              <w:widowControl/>
              <w:suppressLineNumbers w:val="0"/>
              <w:jc w:val="center"/>
              <w:textAlignment w:val="center"/>
              <w:rPr>
                <w:rFonts w:ascii="微软雅黑" w:hAnsi="微软雅黑" w:eastAsia="微软雅黑" w:cs="宋体"/>
                <w:i/>
                <w:iCs/>
                <w:color w:val="000000"/>
                <w:kern w:val="0"/>
                <w:sz w:val="16"/>
                <w:szCs w:val="16"/>
              </w:rPr>
            </w:pPr>
            <w:r>
              <w:rPr>
                <w:rFonts w:ascii="宋体" w:hAnsi="宋体" w:eastAsia="宋体" w:cs="宋体"/>
                <w:i w:val="0"/>
                <w:iCs w:val="0"/>
                <w:color w:val="000000"/>
                <w:kern w:val="0"/>
                <w:sz w:val="18"/>
                <w:szCs w:val="18"/>
                <w:u w:val="none"/>
                <w:lang w:val="en-US" w:eastAsia="zh-CN" w:bidi="ar"/>
              </w:rPr>
              <w:t>%</w:t>
            </w:r>
          </w:p>
        </w:tc>
        <w:tc>
          <w:tcPr>
            <w:tcW w:w="846" w:type="dxa"/>
            <w:tcBorders>
              <w:top w:val="nil"/>
              <w:left w:val="nil"/>
              <w:bottom w:val="single" w:color="000000" w:sz="4" w:space="0"/>
              <w:right w:val="single" w:color="000000" w:sz="4" w:space="0"/>
            </w:tcBorders>
            <w:shd w:val="clear" w:color="auto" w:fill="auto"/>
            <w:vAlign w:val="center"/>
          </w:tcPr>
          <w:p w14:paraId="7FA00D2F">
            <w:pPr>
              <w:jc w:val="center"/>
              <w:rPr>
                <w:rFonts w:ascii="宋体" w:hAnsi="宋体" w:cs="宋体"/>
                <w:color w:val="000000"/>
                <w:kern w:val="0"/>
                <w:sz w:val="18"/>
                <w:szCs w:val="18"/>
              </w:rPr>
            </w:pPr>
          </w:p>
        </w:tc>
        <w:tc>
          <w:tcPr>
            <w:tcW w:w="486" w:type="dxa"/>
            <w:tcBorders>
              <w:top w:val="nil"/>
              <w:left w:val="nil"/>
              <w:bottom w:val="single" w:color="000000" w:sz="4" w:space="0"/>
              <w:right w:val="single" w:color="000000" w:sz="4" w:space="0"/>
            </w:tcBorders>
            <w:shd w:val="clear" w:color="auto" w:fill="auto"/>
            <w:vAlign w:val="center"/>
          </w:tcPr>
          <w:p w14:paraId="542D150F">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60</w:t>
            </w:r>
          </w:p>
        </w:tc>
        <w:tc>
          <w:tcPr>
            <w:tcW w:w="486" w:type="dxa"/>
            <w:tcBorders>
              <w:top w:val="nil"/>
              <w:left w:val="nil"/>
              <w:bottom w:val="single" w:color="000000" w:sz="4" w:space="0"/>
              <w:right w:val="single" w:color="000000" w:sz="4" w:space="0"/>
            </w:tcBorders>
            <w:shd w:val="clear" w:color="auto" w:fill="auto"/>
            <w:vAlign w:val="center"/>
          </w:tcPr>
          <w:p w14:paraId="2C36DE1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60</w:t>
            </w:r>
          </w:p>
        </w:tc>
        <w:tc>
          <w:tcPr>
            <w:tcW w:w="1290" w:type="dxa"/>
            <w:tcBorders>
              <w:top w:val="nil"/>
              <w:left w:val="nil"/>
              <w:bottom w:val="single" w:color="000000" w:sz="4" w:space="0"/>
              <w:right w:val="single" w:color="000000" w:sz="4" w:space="0"/>
            </w:tcBorders>
            <w:shd w:val="clear" w:color="auto" w:fill="auto"/>
            <w:vAlign w:val="center"/>
          </w:tcPr>
          <w:p w14:paraId="21C19C72">
            <w:pPr>
              <w:jc w:val="center"/>
              <w:rPr>
                <w:rFonts w:ascii="微软雅黑" w:hAnsi="微软雅黑" w:eastAsia="微软雅黑" w:cs="宋体"/>
                <w:i/>
                <w:iCs/>
                <w:color w:val="000000"/>
                <w:kern w:val="0"/>
                <w:sz w:val="16"/>
                <w:szCs w:val="16"/>
              </w:rPr>
            </w:pPr>
          </w:p>
        </w:tc>
      </w:tr>
      <w:tr w14:paraId="454183D2">
        <w:tblPrEx>
          <w:tblCellMar>
            <w:top w:w="0" w:type="dxa"/>
            <w:left w:w="108" w:type="dxa"/>
            <w:bottom w:w="0" w:type="dxa"/>
            <w:right w:w="108" w:type="dxa"/>
          </w:tblCellMar>
        </w:tblPrEx>
        <w:trPr>
          <w:trHeight w:val="338" w:hRule="atLeast"/>
        </w:trPr>
        <w:tc>
          <w:tcPr>
            <w:tcW w:w="576" w:type="dxa"/>
            <w:vMerge w:val="continue"/>
            <w:tcBorders>
              <w:top w:val="nil"/>
              <w:left w:val="single" w:color="000000" w:sz="4" w:space="0"/>
              <w:bottom w:val="single" w:color="000000" w:sz="4" w:space="0"/>
              <w:right w:val="single" w:color="000000" w:sz="4" w:space="0"/>
            </w:tcBorders>
            <w:vAlign w:val="center"/>
          </w:tcPr>
          <w:p w14:paraId="776680E2">
            <w:pPr>
              <w:jc w:val="center"/>
              <w:rPr>
                <w:rFonts w:ascii="宋体" w:hAnsi="宋体" w:cs="宋体"/>
                <w:color w:val="000000"/>
                <w:kern w:val="0"/>
                <w:sz w:val="18"/>
                <w:szCs w:val="18"/>
              </w:rPr>
            </w:pPr>
          </w:p>
        </w:tc>
        <w:tc>
          <w:tcPr>
            <w:tcW w:w="996" w:type="dxa"/>
            <w:tcBorders>
              <w:top w:val="nil"/>
              <w:left w:val="nil"/>
              <w:bottom w:val="single" w:color="000000" w:sz="4" w:space="0"/>
              <w:right w:val="single" w:color="000000" w:sz="4" w:space="0"/>
            </w:tcBorders>
            <w:shd w:val="clear" w:color="auto" w:fill="auto"/>
            <w:vAlign w:val="center"/>
          </w:tcPr>
          <w:p w14:paraId="4C43E6AC">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效益指标</w:t>
            </w:r>
          </w:p>
        </w:tc>
        <w:tc>
          <w:tcPr>
            <w:tcW w:w="923" w:type="dxa"/>
            <w:tcBorders>
              <w:top w:val="nil"/>
              <w:left w:val="nil"/>
              <w:bottom w:val="single" w:color="000000" w:sz="4" w:space="0"/>
              <w:right w:val="single" w:color="000000" w:sz="4" w:space="0"/>
            </w:tcBorders>
            <w:shd w:val="clear" w:color="auto" w:fill="auto"/>
            <w:vAlign w:val="center"/>
          </w:tcPr>
          <w:p w14:paraId="00B3333A">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社会效益指标</w:t>
            </w:r>
          </w:p>
        </w:tc>
        <w:tc>
          <w:tcPr>
            <w:tcW w:w="1308" w:type="dxa"/>
            <w:tcBorders>
              <w:top w:val="nil"/>
              <w:left w:val="nil"/>
              <w:bottom w:val="single" w:color="000000" w:sz="4" w:space="0"/>
              <w:right w:val="single" w:color="000000" w:sz="4" w:space="0"/>
            </w:tcBorders>
            <w:shd w:val="clear" w:color="auto" w:fill="auto"/>
            <w:vAlign w:val="center"/>
          </w:tcPr>
          <w:p w14:paraId="1E7B3F62">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足额保障率（参保率）</w:t>
            </w:r>
          </w:p>
        </w:tc>
        <w:tc>
          <w:tcPr>
            <w:tcW w:w="396" w:type="dxa"/>
            <w:tcBorders>
              <w:top w:val="nil"/>
              <w:left w:val="nil"/>
              <w:bottom w:val="single" w:color="000000" w:sz="4" w:space="0"/>
              <w:right w:val="single" w:color="000000" w:sz="4" w:space="0"/>
            </w:tcBorders>
            <w:shd w:val="clear" w:color="auto" w:fill="auto"/>
            <w:vAlign w:val="center"/>
          </w:tcPr>
          <w:p w14:paraId="4CA96B85">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w:t>
            </w:r>
          </w:p>
        </w:tc>
        <w:tc>
          <w:tcPr>
            <w:tcW w:w="819" w:type="dxa"/>
            <w:tcBorders>
              <w:top w:val="nil"/>
              <w:left w:val="nil"/>
              <w:bottom w:val="single" w:color="000000" w:sz="4" w:space="0"/>
              <w:right w:val="single" w:color="000000" w:sz="4" w:space="0"/>
            </w:tcBorders>
            <w:shd w:val="clear" w:color="auto" w:fill="auto"/>
            <w:vAlign w:val="center"/>
          </w:tcPr>
          <w:p w14:paraId="0F0F9EC5">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100</w:t>
            </w:r>
          </w:p>
        </w:tc>
        <w:tc>
          <w:tcPr>
            <w:tcW w:w="396" w:type="dxa"/>
            <w:tcBorders>
              <w:top w:val="nil"/>
              <w:left w:val="nil"/>
              <w:bottom w:val="single" w:color="000000" w:sz="4" w:space="0"/>
              <w:right w:val="single" w:color="000000" w:sz="4" w:space="0"/>
            </w:tcBorders>
            <w:shd w:val="clear" w:color="auto" w:fill="auto"/>
            <w:vAlign w:val="center"/>
          </w:tcPr>
          <w:p w14:paraId="0CFAD382">
            <w:pPr>
              <w:keepNext w:val="0"/>
              <w:keepLines w:val="0"/>
              <w:widowControl/>
              <w:suppressLineNumbers w:val="0"/>
              <w:jc w:val="center"/>
              <w:textAlignment w:val="center"/>
              <w:rPr>
                <w:rFonts w:ascii="微软雅黑" w:hAnsi="微软雅黑" w:eastAsia="微软雅黑" w:cs="宋体"/>
                <w:i/>
                <w:iCs/>
                <w:color w:val="000000"/>
                <w:kern w:val="0"/>
                <w:sz w:val="16"/>
                <w:szCs w:val="16"/>
              </w:rPr>
            </w:pPr>
            <w:r>
              <w:rPr>
                <w:rFonts w:ascii="宋体" w:hAnsi="宋体" w:eastAsia="宋体" w:cs="宋体"/>
                <w:i w:val="0"/>
                <w:iCs w:val="0"/>
                <w:color w:val="000000"/>
                <w:kern w:val="0"/>
                <w:sz w:val="18"/>
                <w:szCs w:val="18"/>
                <w:u w:val="none"/>
                <w:lang w:val="en-US" w:eastAsia="zh-CN" w:bidi="ar"/>
              </w:rPr>
              <w:t>%</w:t>
            </w:r>
          </w:p>
        </w:tc>
        <w:tc>
          <w:tcPr>
            <w:tcW w:w="846" w:type="dxa"/>
            <w:tcBorders>
              <w:top w:val="nil"/>
              <w:left w:val="nil"/>
              <w:bottom w:val="single" w:color="000000" w:sz="4" w:space="0"/>
              <w:right w:val="single" w:color="000000" w:sz="4" w:space="0"/>
            </w:tcBorders>
            <w:shd w:val="clear" w:color="auto" w:fill="auto"/>
            <w:vAlign w:val="center"/>
          </w:tcPr>
          <w:p w14:paraId="6DB123FD">
            <w:pPr>
              <w:jc w:val="center"/>
              <w:rPr>
                <w:rFonts w:ascii="宋体" w:hAnsi="宋体" w:cs="宋体"/>
                <w:color w:val="000000"/>
                <w:kern w:val="0"/>
                <w:sz w:val="18"/>
                <w:szCs w:val="18"/>
              </w:rPr>
            </w:pPr>
          </w:p>
        </w:tc>
        <w:tc>
          <w:tcPr>
            <w:tcW w:w="486" w:type="dxa"/>
            <w:tcBorders>
              <w:top w:val="nil"/>
              <w:left w:val="nil"/>
              <w:bottom w:val="single" w:color="000000" w:sz="4" w:space="0"/>
              <w:right w:val="single" w:color="000000" w:sz="4" w:space="0"/>
            </w:tcBorders>
            <w:shd w:val="clear" w:color="auto" w:fill="auto"/>
            <w:vAlign w:val="center"/>
          </w:tcPr>
          <w:p w14:paraId="4F455099">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30</w:t>
            </w:r>
          </w:p>
        </w:tc>
        <w:tc>
          <w:tcPr>
            <w:tcW w:w="486" w:type="dxa"/>
            <w:tcBorders>
              <w:top w:val="nil"/>
              <w:left w:val="nil"/>
              <w:bottom w:val="single" w:color="000000" w:sz="4" w:space="0"/>
              <w:right w:val="single" w:color="000000" w:sz="4" w:space="0"/>
            </w:tcBorders>
            <w:shd w:val="clear" w:color="auto" w:fill="auto"/>
            <w:vAlign w:val="center"/>
          </w:tcPr>
          <w:p w14:paraId="66C105A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30</w:t>
            </w:r>
          </w:p>
        </w:tc>
        <w:tc>
          <w:tcPr>
            <w:tcW w:w="1290" w:type="dxa"/>
            <w:tcBorders>
              <w:top w:val="nil"/>
              <w:left w:val="nil"/>
              <w:bottom w:val="single" w:color="000000" w:sz="4" w:space="0"/>
              <w:right w:val="single" w:color="000000" w:sz="4" w:space="0"/>
            </w:tcBorders>
            <w:shd w:val="clear" w:color="auto" w:fill="auto"/>
            <w:vAlign w:val="center"/>
          </w:tcPr>
          <w:p w14:paraId="75142A40">
            <w:pPr>
              <w:jc w:val="center"/>
              <w:rPr>
                <w:rFonts w:ascii="微软雅黑" w:hAnsi="微软雅黑" w:eastAsia="微软雅黑" w:cs="宋体"/>
                <w:i/>
                <w:iCs/>
                <w:color w:val="000000"/>
                <w:kern w:val="0"/>
                <w:sz w:val="16"/>
                <w:szCs w:val="16"/>
              </w:rPr>
            </w:pPr>
          </w:p>
        </w:tc>
      </w:tr>
      <w:tr w14:paraId="07DD5F1D">
        <w:tblPrEx>
          <w:tblCellMar>
            <w:top w:w="0" w:type="dxa"/>
            <w:left w:w="108" w:type="dxa"/>
            <w:bottom w:w="0" w:type="dxa"/>
            <w:right w:w="108" w:type="dxa"/>
          </w:tblCellMar>
        </w:tblPrEx>
        <w:trPr>
          <w:trHeight w:val="285" w:hRule="atLeast"/>
        </w:trPr>
        <w:tc>
          <w:tcPr>
            <w:tcW w:w="626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B3F80DF">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合计</w:t>
            </w:r>
          </w:p>
        </w:tc>
        <w:tc>
          <w:tcPr>
            <w:tcW w:w="486" w:type="dxa"/>
            <w:tcBorders>
              <w:top w:val="nil"/>
              <w:left w:val="nil"/>
              <w:bottom w:val="single" w:color="000000" w:sz="4" w:space="0"/>
              <w:right w:val="single" w:color="000000" w:sz="4" w:space="0"/>
            </w:tcBorders>
            <w:shd w:val="clear" w:color="auto" w:fill="auto"/>
            <w:vAlign w:val="center"/>
          </w:tcPr>
          <w:p w14:paraId="235AAC77">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100</w:t>
            </w:r>
          </w:p>
        </w:tc>
        <w:tc>
          <w:tcPr>
            <w:tcW w:w="486" w:type="dxa"/>
            <w:tcBorders>
              <w:top w:val="nil"/>
              <w:left w:val="nil"/>
              <w:bottom w:val="single" w:color="000000" w:sz="4" w:space="0"/>
              <w:right w:val="single" w:color="000000" w:sz="4" w:space="0"/>
            </w:tcBorders>
            <w:shd w:val="clear" w:color="auto" w:fill="auto"/>
            <w:vAlign w:val="center"/>
          </w:tcPr>
          <w:p w14:paraId="3A49D6FD">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100</w:t>
            </w:r>
          </w:p>
        </w:tc>
        <w:tc>
          <w:tcPr>
            <w:tcW w:w="1290" w:type="dxa"/>
            <w:tcBorders>
              <w:top w:val="nil"/>
              <w:left w:val="nil"/>
              <w:bottom w:val="single" w:color="000000" w:sz="4" w:space="0"/>
              <w:right w:val="single" w:color="000000" w:sz="4" w:space="0"/>
            </w:tcBorders>
            <w:shd w:val="clear" w:color="auto" w:fill="auto"/>
            <w:vAlign w:val="center"/>
          </w:tcPr>
          <w:p w14:paraId="73EC80BD">
            <w:pPr>
              <w:rPr>
                <w:rFonts w:ascii="宋体" w:hAnsi="宋体" w:cs="宋体"/>
                <w:color w:val="000000"/>
                <w:kern w:val="0"/>
                <w:sz w:val="18"/>
                <w:szCs w:val="18"/>
              </w:rPr>
            </w:pPr>
          </w:p>
        </w:tc>
      </w:tr>
      <w:tr w14:paraId="2D4A79DB">
        <w:tblPrEx>
          <w:tblCellMar>
            <w:top w:w="0" w:type="dxa"/>
            <w:left w:w="108" w:type="dxa"/>
            <w:bottom w:w="0" w:type="dxa"/>
            <w:right w:w="108" w:type="dxa"/>
          </w:tblCellMar>
        </w:tblPrEx>
        <w:trPr>
          <w:trHeight w:val="604" w:hRule="atLeast"/>
        </w:trPr>
        <w:tc>
          <w:tcPr>
            <w:tcW w:w="576" w:type="dxa"/>
            <w:tcBorders>
              <w:top w:val="nil"/>
              <w:left w:val="single" w:color="000000" w:sz="4" w:space="0"/>
              <w:bottom w:val="single" w:color="000000" w:sz="4" w:space="0"/>
              <w:right w:val="single" w:color="000000" w:sz="4" w:space="0"/>
            </w:tcBorders>
            <w:shd w:val="clear" w:color="auto" w:fill="auto"/>
            <w:vAlign w:val="center"/>
          </w:tcPr>
          <w:p w14:paraId="25B5009E">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评价结论</w:t>
            </w:r>
          </w:p>
        </w:tc>
        <w:tc>
          <w:tcPr>
            <w:tcW w:w="7946" w:type="dxa"/>
            <w:gridSpan w:val="10"/>
            <w:tcBorders>
              <w:top w:val="single" w:color="000000" w:sz="4" w:space="0"/>
              <w:left w:val="nil"/>
              <w:bottom w:val="single" w:color="000000" w:sz="4" w:space="0"/>
              <w:right w:val="single" w:color="000000" w:sz="4" w:space="0"/>
            </w:tcBorders>
            <w:shd w:val="clear" w:color="auto" w:fill="auto"/>
            <w:vAlign w:val="center"/>
          </w:tcPr>
          <w:p w14:paraId="328F0E17">
            <w:pPr>
              <w:keepNext w:val="0"/>
              <w:keepLines w:val="0"/>
              <w:widowControl/>
              <w:suppressLineNumbers w:val="0"/>
              <w:jc w:val="left"/>
              <w:textAlignment w:val="center"/>
              <w:rPr>
                <w:rFonts w:ascii="微软雅黑" w:hAnsi="微软雅黑" w:eastAsia="微软雅黑" w:cs="宋体"/>
                <w:i/>
                <w:iCs/>
                <w:color w:val="000000"/>
                <w:kern w:val="0"/>
                <w:sz w:val="16"/>
                <w:szCs w:val="16"/>
              </w:rPr>
            </w:pPr>
            <w:r>
              <w:rPr>
                <w:rFonts w:hint="eastAsia" w:ascii="微软雅黑" w:hAnsi="微软雅黑" w:eastAsia="微软雅黑" w:cs="微软雅黑"/>
                <w:i/>
                <w:iCs/>
                <w:color w:val="000000"/>
                <w:kern w:val="0"/>
                <w:sz w:val="16"/>
                <w:szCs w:val="16"/>
                <w:u w:val="none"/>
                <w:lang w:val="en-US" w:eastAsia="zh-CN" w:bidi="ar"/>
              </w:rPr>
              <w:t>项目已完成</w:t>
            </w:r>
          </w:p>
        </w:tc>
      </w:tr>
      <w:tr w14:paraId="5C0DFAB9">
        <w:tblPrEx>
          <w:tblCellMar>
            <w:top w:w="0" w:type="dxa"/>
            <w:left w:w="108" w:type="dxa"/>
            <w:bottom w:w="0" w:type="dxa"/>
            <w:right w:w="108" w:type="dxa"/>
          </w:tblCellMar>
        </w:tblPrEx>
        <w:trPr>
          <w:trHeight w:val="574" w:hRule="atLeast"/>
        </w:trPr>
        <w:tc>
          <w:tcPr>
            <w:tcW w:w="576" w:type="dxa"/>
            <w:tcBorders>
              <w:top w:val="nil"/>
              <w:left w:val="single" w:color="000000" w:sz="4" w:space="0"/>
              <w:bottom w:val="single" w:color="000000" w:sz="4" w:space="0"/>
              <w:right w:val="single" w:color="000000" w:sz="4" w:space="0"/>
            </w:tcBorders>
            <w:shd w:val="clear" w:color="auto" w:fill="auto"/>
            <w:vAlign w:val="center"/>
          </w:tcPr>
          <w:p w14:paraId="1B195D4D">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存在问题</w:t>
            </w:r>
          </w:p>
        </w:tc>
        <w:tc>
          <w:tcPr>
            <w:tcW w:w="7946" w:type="dxa"/>
            <w:gridSpan w:val="10"/>
            <w:tcBorders>
              <w:top w:val="single" w:color="000000" w:sz="4" w:space="0"/>
              <w:left w:val="nil"/>
              <w:bottom w:val="single" w:color="000000" w:sz="4" w:space="0"/>
              <w:right w:val="single" w:color="000000" w:sz="4" w:space="0"/>
            </w:tcBorders>
            <w:shd w:val="clear" w:color="auto" w:fill="auto"/>
            <w:vAlign w:val="center"/>
          </w:tcPr>
          <w:p w14:paraId="14EDB9E2">
            <w:pPr>
              <w:keepNext w:val="0"/>
              <w:keepLines w:val="0"/>
              <w:widowControl/>
              <w:suppressLineNumbers w:val="0"/>
              <w:jc w:val="left"/>
              <w:textAlignment w:val="center"/>
              <w:rPr>
                <w:rFonts w:ascii="微软雅黑" w:hAnsi="微软雅黑" w:eastAsia="微软雅黑" w:cs="宋体"/>
                <w:i/>
                <w:iCs/>
                <w:color w:val="000000"/>
                <w:kern w:val="0"/>
                <w:sz w:val="16"/>
                <w:szCs w:val="16"/>
              </w:rPr>
            </w:pPr>
            <w:r>
              <w:rPr>
                <w:rFonts w:hint="eastAsia" w:ascii="微软雅黑" w:hAnsi="微软雅黑" w:eastAsia="微软雅黑" w:cs="微软雅黑"/>
                <w:i/>
                <w:iCs/>
                <w:color w:val="000000"/>
                <w:kern w:val="0"/>
                <w:sz w:val="16"/>
                <w:szCs w:val="16"/>
                <w:u w:val="none"/>
                <w:lang w:val="en-US" w:eastAsia="zh-CN" w:bidi="ar"/>
              </w:rPr>
              <w:t>无</w:t>
            </w:r>
          </w:p>
        </w:tc>
      </w:tr>
      <w:tr w14:paraId="3244BD69">
        <w:tblPrEx>
          <w:tblCellMar>
            <w:top w:w="0" w:type="dxa"/>
            <w:left w:w="108" w:type="dxa"/>
            <w:bottom w:w="0" w:type="dxa"/>
            <w:right w:w="108" w:type="dxa"/>
          </w:tblCellMar>
        </w:tblPrEx>
        <w:trPr>
          <w:trHeight w:val="634" w:hRule="atLeast"/>
        </w:trPr>
        <w:tc>
          <w:tcPr>
            <w:tcW w:w="576" w:type="dxa"/>
            <w:tcBorders>
              <w:top w:val="nil"/>
              <w:left w:val="single" w:color="000000" w:sz="4" w:space="0"/>
              <w:bottom w:val="single" w:color="000000" w:sz="4" w:space="0"/>
              <w:right w:val="single" w:color="000000" w:sz="4" w:space="0"/>
            </w:tcBorders>
            <w:shd w:val="clear" w:color="auto" w:fill="auto"/>
            <w:vAlign w:val="center"/>
          </w:tcPr>
          <w:p w14:paraId="3D234A3F">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改进措施</w:t>
            </w:r>
          </w:p>
        </w:tc>
        <w:tc>
          <w:tcPr>
            <w:tcW w:w="7946" w:type="dxa"/>
            <w:gridSpan w:val="10"/>
            <w:tcBorders>
              <w:top w:val="single" w:color="000000" w:sz="4" w:space="0"/>
              <w:left w:val="nil"/>
              <w:bottom w:val="single" w:color="000000" w:sz="4" w:space="0"/>
              <w:right w:val="single" w:color="000000" w:sz="4" w:space="0"/>
            </w:tcBorders>
            <w:shd w:val="clear" w:color="auto" w:fill="auto"/>
            <w:vAlign w:val="center"/>
          </w:tcPr>
          <w:p w14:paraId="68AEAEB2">
            <w:pPr>
              <w:keepNext w:val="0"/>
              <w:keepLines w:val="0"/>
              <w:widowControl/>
              <w:suppressLineNumbers w:val="0"/>
              <w:jc w:val="left"/>
              <w:textAlignment w:val="center"/>
              <w:rPr>
                <w:rFonts w:ascii="微软雅黑" w:hAnsi="微软雅黑" w:eastAsia="微软雅黑" w:cs="宋体"/>
                <w:i/>
                <w:iCs/>
                <w:color w:val="000000"/>
                <w:kern w:val="0"/>
                <w:sz w:val="16"/>
                <w:szCs w:val="16"/>
              </w:rPr>
            </w:pPr>
            <w:r>
              <w:rPr>
                <w:rFonts w:hint="eastAsia" w:ascii="微软雅黑" w:hAnsi="微软雅黑" w:eastAsia="微软雅黑" w:cs="微软雅黑"/>
                <w:i/>
                <w:iCs/>
                <w:color w:val="000000"/>
                <w:kern w:val="0"/>
                <w:sz w:val="16"/>
                <w:szCs w:val="16"/>
                <w:u w:val="none"/>
                <w:lang w:val="en-US" w:eastAsia="zh-CN" w:bidi="ar"/>
              </w:rPr>
              <w:t>无</w:t>
            </w:r>
          </w:p>
        </w:tc>
      </w:tr>
      <w:tr w14:paraId="27457E4F">
        <w:tblPrEx>
          <w:tblCellMar>
            <w:top w:w="0" w:type="dxa"/>
            <w:left w:w="108" w:type="dxa"/>
            <w:bottom w:w="0" w:type="dxa"/>
            <w:right w:w="108" w:type="dxa"/>
          </w:tblCellMar>
        </w:tblPrEx>
        <w:trPr>
          <w:trHeight w:val="285" w:hRule="atLeast"/>
        </w:trPr>
        <w:tc>
          <w:tcPr>
            <w:tcW w:w="419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925EB6">
            <w:pPr>
              <w:keepNext w:val="0"/>
              <w:keepLines w:val="0"/>
              <w:widowControl/>
              <w:suppressLineNumbers w:val="0"/>
              <w:jc w:val="left"/>
              <w:textAlignment w:val="center"/>
              <w:rPr>
                <w:rFonts w:ascii="Courier New" w:hAnsi="Courier New" w:cs="Courier New"/>
                <w:color w:val="000000"/>
                <w:kern w:val="0"/>
                <w:sz w:val="18"/>
                <w:szCs w:val="18"/>
              </w:rPr>
            </w:pPr>
            <w:r>
              <w:rPr>
                <w:rFonts w:hint="eastAsia" w:ascii="黑体" w:hAnsi="黑体" w:eastAsia="黑体" w:cs="黑体"/>
                <w:i w:val="0"/>
                <w:iCs w:val="0"/>
                <w:color w:val="000000"/>
                <w:kern w:val="0"/>
                <w:sz w:val="18"/>
                <w:szCs w:val="18"/>
                <w:u w:val="none"/>
                <w:lang w:val="en-US" w:eastAsia="zh-CN" w:bidi="ar"/>
              </w:rPr>
              <w:t>项目负责人：白银勇</w:t>
            </w:r>
          </w:p>
        </w:tc>
        <w:tc>
          <w:tcPr>
            <w:tcW w:w="4323" w:type="dxa"/>
            <w:gridSpan w:val="6"/>
            <w:tcBorders>
              <w:top w:val="single" w:color="000000" w:sz="4" w:space="0"/>
              <w:left w:val="nil"/>
              <w:bottom w:val="single" w:color="000000" w:sz="4" w:space="0"/>
              <w:right w:val="single" w:color="000000" w:sz="4" w:space="0"/>
            </w:tcBorders>
            <w:shd w:val="clear" w:color="auto" w:fill="auto"/>
            <w:vAlign w:val="center"/>
          </w:tcPr>
          <w:p w14:paraId="7F47795F">
            <w:pPr>
              <w:keepNext w:val="0"/>
              <w:keepLines w:val="0"/>
              <w:widowControl/>
              <w:suppressLineNumbers w:val="0"/>
              <w:jc w:val="left"/>
              <w:textAlignment w:val="center"/>
              <w:rPr>
                <w:rFonts w:ascii="Courier New" w:hAnsi="Courier New" w:cs="Courier New"/>
                <w:color w:val="000000"/>
                <w:kern w:val="0"/>
                <w:sz w:val="18"/>
                <w:szCs w:val="18"/>
              </w:rPr>
            </w:pPr>
            <w:r>
              <w:rPr>
                <w:rFonts w:hint="eastAsia" w:ascii="黑体" w:hAnsi="黑体" w:eastAsia="黑体" w:cs="黑体"/>
                <w:i w:val="0"/>
                <w:iCs w:val="0"/>
                <w:color w:val="000000"/>
                <w:kern w:val="0"/>
                <w:sz w:val="18"/>
                <w:szCs w:val="18"/>
                <w:u w:val="none"/>
                <w:lang w:val="en-US" w:eastAsia="zh-CN" w:bidi="ar"/>
              </w:rPr>
              <w:t>财务负责人：龙俊杰</w:t>
            </w:r>
          </w:p>
        </w:tc>
      </w:tr>
      <w:tr w14:paraId="4BAB5517">
        <w:tblPrEx>
          <w:tblCellMar>
            <w:top w:w="0" w:type="dxa"/>
            <w:left w:w="108" w:type="dxa"/>
            <w:bottom w:w="0" w:type="dxa"/>
            <w:right w:w="108" w:type="dxa"/>
          </w:tblCellMar>
        </w:tblPrEx>
        <w:trPr>
          <w:trHeight w:val="285" w:hRule="atLeast"/>
        </w:trPr>
        <w:tc>
          <w:tcPr>
            <w:tcW w:w="576" w:type="dxa"/>
            <w:tcBorders>
              <w:top w:val="nil"/>
              <w:left w:val="nil"/>
              <w:bottom w:val="nil"/>
              <w:right w:val="nil"/>
            </w:tcBorders>
            <w:shd w:val="clear" w:color="auto" w:fill="auto"/>
            <w:vAlign w:val="center"/>
          </w:tcPr>
          <w:p w14:paraId="3A43CF59">
            <w:pPr>
              <w:rPr>
                <w:rFonts w:ascii="宋体" w:hAnsi="宋体" w:cs="宋体"/>
                <w:kern w:val="0"/>
                <w:sz w:val="18"/>
                <w:szCs w:val="18"/>
              </w:rPr>
            </w:pPr>
          </w:p>
        </w:tc>
        <w:tc>
          <w:tcPr>
            <w:tcW w:w="996" w:type="dxa"/>
            <w:tcBorders>
              <w:top w:val="nil"/>
              <w:left w:val="nil"/>
              <w:bottom w:val="nil"/>
              <w:right w:val="nil"/>
            </w:tcBorders>
            <w:shd w:val="clear" w:color="auto" w:fill="auto"/>
            <w:vAlign w:val="center"/>
          </w:tcPr>
          <w:p w14:paraId="01C3CE4E">
            <w:pPr>
              <w:rPr>
                <w:rFonts w:ascii="宋体" w:hAnsi="宋体" w:cs="宋体"/>
                <w:kern w:val="0"/>
                <w:sz w:val="18"/>
                <w:szCs w:val="18"/>
              </w:rPr>
            </w:pPr>
          </w:p>
        </w:tc>
        <w:tc>
          <w:tcPr>
            <w:tcW w:w="923" w:type="dxa"/>
            <w:tcBorders>
              <w:top w:val="nil"/>
              <w:left w:val="nil"/>
              <w:bottom w:val="nil"/>
              <w:right w:val="nil"/>
            </w:tcBorders>
            <w:shd w:val="clear" w:color="auto" w:fill="auto"/>
            <w:vAlign w:val="center"/>
          </w:tcPr>
          <w:p w14:paraId="0978D2D5">
            <w:pPr>
              <w:rPr>
                <w:rFonts w:ascii="宋体" w:hAnsi="宋体" w:cs="宋体"/>
                <w:kern w:val="0"/>
                <w:sz w:val="18"/>
                <w:szCs w:val="18"/>
              </w:rPr>
            </w:pPr>
          </w:p>
        </w:tc>
        <w:tc>
          <w:tcPr>
            <w:tcW w:w="1308" w:type="dxa"/>
            <w:tcBorders>
              <w:top w:val="nil"/>
              <w:left w:val="nil"/>
              <w:bottom w:val="nil"/>
              <w:right w:val="nil"/>
            </w:tcBorders>
            <w:shd w:val="clear" w:color="auto" w:fill="auto"/>
            <w:vAlign w:val="center"/>
          </w:tcPr>
          <w:p w14:paraId="7BFFDBE1">
            <w:pPr>
              <w:rPr>
                <w:rFonts w:ascii="宋体" w:hAnsi="宋体" w:cs="宋体"/>
                <w:kern w:val="0"/>
                <w:sz w:val="18"/>
                <w:szCs w:val="18"/>
              </w:rPr>
            </w:pPr>
          </w:p>
        </w:tc>
        <w:tc>
          <w:tcPr>
            <w:tcW w:w="396" w:type="dxa"/>
            <w:tcBorders>
              <w:top w:val="nil"/>
              <w:left w:val="nil"/>
              <w:bottom w:val="nil"/>
              <w:right w:val="nil"/>
            </w:tcBorders>
            <w:shd w:val="clear" w:color="auto" w:fill="auto"/>
            <w:vAlign w:val="center"/>
          </w:tcPr>
          <w:p w14:paraId="162DAF3C">
            <w:pPr>
              <w:rPr>
                <w:rFonts w:ascii="宋体" w:hAnsi="宋体" w:cs="宋体"/>
                <w:kern w:val="0"/>
                <w:sz w:val="18"/>
                <w:szCs w:val="18"/>
              </w:rPr>
            </w:pPr>
          </w:p>
        </w:tc>
        <w:tc>
          <w:tcPr>
            <w:tcW w:w="819" w:type="dxa"/>
            <w:tcBorders>
              <w:top w:val="nil"/>
              <w:left w:val="nil"/>
              <w:bottom w:val="nil"/>
              <w:right w:val="nil"/>
            </w:tcBorders>
            <w:shd w:val="clear" w:color="auto" w:fill="auto"/>
            <w:vAlign w:val="center"/>
          </w:tcPr>
          <w:p w14:paraId="2E578D75">
            <w:pPr>
              <w:rPr>
                <w:rFonts w:ascii="宋体" w:hAnsi="宋体" w:cs="宋体"/>
                <w:kern w:val="0"/>
                <w:sz w:val="18"/>
                <w:szCs w:val="18"/>
              </w:rPr>
            </w:pPr>
          </w:p>
        </w:tc>
        <w:tc>
          <w:tcPr>
            <w:tcW w:w="396" w:type="dxa"/>
            <w:tcBorders>
              <w:top w:val="nil"/>
              <w:left w:val="nil"/>
              <w:bottom w:val="nil"/>
              <w:right w:val="nil"/>
            </w:tcBorders>
            <w:shd w:val="clear" w:color="auto" w:fill="auto"/>
            <w:vAlign w:val="center"/>
          </w:tcPr>
          <w:p w14:paraId="13DAF103">
            <w:pPr>
              <w:rPr>
                <w:rFonts w:ascii="宋体" w:hAnsi="宋体" w:cs="宋体"/>
                <w:kern w:val="0"/>
                <w:sz w:val="18"/>
                <w:szCs w:val="18"/>
              </w:rPr>
            </w:pPr>
          </w:p>
        </w:tc>
        <w:tc>
          <w:tcPr>
            <w:tcW w:w="846" w:type="dxa"/>
            <w:tcBorders>
              <w:top w:val="nil"/>
              <w:left w:val="nil"/>
              <w:bottom w:val="nil"/>
              <w:right w:val="nil"/>
            </w:tcBorders>
            <w:shd w:val="clear" w:color="auto" w:fill="auto"/>
            <w:vAlign w:val="center"/>
          </w:tcPr>
          <w:p w14:paraId="5CAFA3BE">
            <w:pPr>
              <w:rPr>
                <w:rFonts w:ascii="宋体" w:hAnsi="宋体" w:cs="宋体"/>
                <w:kern w:val="0"/>
                <w:sz w:val="18"/>
                <w:szCs w:val="18"/>
              </w:rPr>
            </w:pPr>
          </w:p>
        </w:tc>
        <w:tc>
          <w:tcPr>
            <w:tcW w:w="486" w:type="dxa"/>
            <w:tcBorders>
              <w:top w:val="nil"/>
              <w:left w:val="nil"/>
              <w:bottom w:val="nil"/>
              <w:right w:val="nil"/>
            </w:tcBorders>
            <w:shd w:val="clear" w:color="auto" w:fill="auto"/>
            <w:vAlign w:val="center"/>
          </w:tcPr>
          <w:p w14:paraId="7CE8F13A">
            <w:pPr>
              <w:rPr>
                <w:rFonts w:ascii="宋体" w:hAnsi="宋体" w:cs="宋体"/>
                <w:kern w:val="0"/>
                <w:sz w:val="18"/>
                <w:szCs w:val="18"/>
              </w:rPr>
            </w:pPr>
          </w:p>
        </w:tc>
        <w:tc>
          <w:tcPr>
            <w:tcW w:w="486" w:type="dxa"/>
            <w:tcBorders>
              <w:top w:val="nil"/>
              <w:left w:val="nil"/>
              <w:bottom w:val="nil"/>
              <w:right w:val="nil"/>
            </w:tcBorders>
            <w:shd w:val="clear" w:color="auto" w:fill="auto"/>
            <w:vAlign w:val="center"/>
          </w:tcPr>
          <w:p w14:paraId="3E03A7E9"/>
        </w:tc>
        <w:tc>
          <w:tcPr>
            <w:tcW w:w="1290" w:type="dxa"/>
            <w:tcBorders>
              <w:top w:val="nil"/>
              <w:left w:val="nil"/>
              <w:bottom w:val="nil"/>
              <w:right w:val="nil"/>
            </w:tcBorders>
            <w:shd w:val="clear" w:color="auto" w:fill="auto"/>
            <w:vAlign w:val="center"/>
          </w:tcPr>
          <w:p w14:paraId="12FA5C5A">
            <w:pPr>
              <w:rPr>
                <w:rFonts w:ascii="宋体" w:hAnsi="宋体" w:cs="宋体"/>
                <w:kern w:val="0"/>
                <w:sz w:val="18"/>
                <w:szCs w:val="18"/>
              </w:rPr>
            </w:pPr>
          </w:p>
        </w:tc>
      </w:tr>
      <w:tr w14:paraId="02174883">
        <w:tblPrEx>
          <w:tblCellMar>
            <w:top w:w="0" w:type="dxa"/>
            <w:left w:w="108" w:type="dxa"/>
            <w:bottom w:w="0" w:type="dxa"/>
            <w:right w:w="108" w:type="dxa"/>
          </w:tblCellMar>
        </w:tblPrEx>
        <w:trPr>
          <w:trHeight w:val="904" w:hRule="atLeast"/>
        </w:trPr>
        <w:tc>
          <w:tcPr>
            <w:tcW w:w="852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8B03063">
            <w:pPr>
              <w:keepNext w:val="0"/>
              <w:keepLines w:val="0"/>
              <w:widowControl/>
              <w:suppressLineNumbers w:val="0"/>
              <w:jc w:val="center"/>
              <w:textAlignment w:val="center"/>
              <w:rPr>
                <w:rFonts w:ascii="黑体" w:hAnsi="黑体" w:eastAsia="黑体" w:cs="宋体"/>
                <w:b/>
                <w:bCs/>
                <w:color w:val="000000"/>
                <w:kern w:val="0"/>
                <w:sz w:val="30"/>
                <w:szCs w:val="30"/>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3FCFAF5">
        <w:tblPrEx>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56B099">
            <w:pPr>
              <w:keepNext w:val="0"/>
              <w:keepLines w:val="0"/>
              <w:widowControl/>
              <w:suppressLineNumbers w:val="0"/>
              <w:jc w:val="left"/>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项目名称</w:t>
            </w:r>
          </w:p>
        </w:tc>
        <w:tc>
          <w:tcPr>
            <w:tcW w:w="6950" w:type="dxa"/>
            <w:gridSpan w:val="9"/>
            <w:tcBorders>
              <w:top w:val="single" w:color="000000" w:sz="4" w:space="0"/>
              <w:left w:val="nil"/>
              <w:bottom w:val="single" w:color="000000" w:sz="4" w:space="0"/>
              <w:right w:val="single" w:color="000000" w:sz="4" w:space="0"/>
            </w:tcBorders>
            <w:shd w:val="clear" w:color="auto" w:fill="auto"/>
            <w:vAlign w:val="center"/>
          </w:tcPr>
          <w:p w14:paraId="293AF35A">
            <w:pPr>
              <w:keepNext w:val="0"/>
              <w:keepLines w:val="0"/>
              <w:widowControl/>
              <w:suppressLineNumbers w:val="0"/>
              <w:jc w:val="left"/>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51320023R000009915221</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单位缴费</w:t>
            </w:r>
          </w:p>
        </w:tc>
      </w:tr>
      <w:tr w14:paraId="6559A09B">
        <w:tblPrEx>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3900F7">
            <w:pPr>
              <w:keepNext w:val="0"/>
              <w:keepLines w:val="0"/>
              <w:widowControl/>
              <w:suppressLineNumbers w:val="0"/>
              <w:jc w:val="left"/>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主管部门</w:t>
            </w:r>
          </w:p>
        </w:tc>
        <w:tc>
          <w:tcPr>
            <w:tcW w:w="3842" w:type="dxa"/>
            <w:gridSpan w:val="5"/>
            <w:tcBorders>
              <w:top w:val="single" w:color="000000" w:sz="4" w:space="0"/>
              <w:left w:val="nil"/>
              <w:bottom w:val="single" w:color="000000" w:sz="4" w:space="0"/>
              <w:right w:val="single" w:color="000000" w:sz="4" w:space="0"/>
            </w:tcBorders>
            <w:shd w:val="clear" w:color="auto" w:fill="auto"/>
            <w:vAlign w:val="center"/>
          </w:tcPr>
          <w:p w14:paraId="6F26227D">
            <w:pPr>
              <w:keepNext w:val="0"/>
              <w:keepLines w:val="0"/>
              <w:widowControl/>
              <w:suppressLineNumbers w:val="0"/>
              <w:jc w:val="left"/>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州生态环境局部门</w:t>
            </w:r>
          </w:p>
        </w:tc>
        <w:tc>
          <w:tcPr>
            <w:tcW w:w="846" w:type="dxa"/>
            <w:tcBorders>
              <w:top w:val="nil"/>
              <w:left w:val="nil"/>
              <w:bottom w:val="nil"/>
              <w:right w:val="nil"/>
            </w:tcBorders>
            <w:shd w:val="clear" w:color="auto" w:fill="auto"/>
            <w:vAlign w:val="center"/>
          </w:tcPr>
          <w:p w14:paraId="336D2AA0">
            <w:pPr>
              <w:keepNext w:val="0"/>
              <w:keepLines w:val="0"/>
              <w:widowControl/>
              <w:suppressLineNumbers w:val="0"/>
              <w:jc w:val="left"/>
              <w:textAlignment w:val="center"/>
              <w:rPr>
                <w:rFonts w:ascii="Courier New" w:hAnsi="Courier New" w:cs="Courier New"/>
                <w:color w:val="000000"/>
                <w:kern w:val="0"/>
                <w:sz w:val="18"/>
                <w:szCs w:val="18"/>
              </w:rPr>
            </w:pPr>
            <w:r>
              <w:rPr>
                <w:rFonts w:hint="eastAsia" w:ascii="黑体" w:hAnsi="黑体" w:eastAsia="黑体" w:cs="黑体"/>
                <w:i w:val="0"/>
                <w:iCs w:val="0"/>
                <w:color w:val="000000"/>
                <w:kern w:val="0"/>
                <w:sz w:val="18"/>
                <w:szCs w:val="18"/>
                <w:u w:val="none"/>
                <w:lang w:val="en-US" w:eastAsia="zh-CN" w:bidi="ar"/>
              </w:rPr>
              <w:t>实施单位 （盖章）</w:t>
            </w:r>
          </w:p>
        </w:tc>
        <w:tc>
          <w:tcPr>
            <w:tcW w:w="22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BF71F9">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金川县环境监测站</w:t>
            </w:r>
          </w:p>
        </w:tc>
      </w:tr>
      <w:tr w14:paraId="186E80D4">
        <w:tblPrEx>
          <w:tblCellMar>
            <w:top w:w="0" w:type="dxa"/>
            <w:left w:w="108" w:type="dxa"/>
            <w:bottom w:w="0" w:type="dxa"/>
            <w:right w:w="108" w:type="dxa"/>
          </w:tblCellMar>
        </w:tblPrEx>
        <w:trPr>
          <w:trHeight w:val="285" w:hRule="atLeast"/>
        </w:trPr>
        <w:tc>
          <w:tcPr>
            <w:tcW w:w="576" w:type="dxa"/>
            <w:vMerge w:val="restart"/>
            <w:tcBorders>
              <w:top w:val="nil"/>
              <w:left w:val="single" w:color="000000" w:sz="4" w:space="0"/>
              <w:bottom w:val="single" w:color="000000" w:sz="4" w:space="0"/>
              <w:right w:val="single" w:color="000000" w:sz="4" w:space="0"/>
            </w:tcBorders>
            <w:shd w:val="clear" w:color="auto" w:fill="auto"/>
            <w:vAlign w:val="center"/>
          </w:tcPr>
          <w:p w14:paraId="6F20CD3D">
            <w:pPr>
              <w:keepNext w:val="0"/>
              <w:keepLines w:val="0"/>
              <w:widowControl/>
              <w:suppressLineNumbers w:val="0"/>
              <w:jc w:val="left"/>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项目基本情况</w:t>
            </w:r>
          </w:p>
        </w:tc>
        <w:tc>
          <w:tcPr>
            <w:tcW w:w="996" w:type="dxa"/>
            <w:vMerge w:val="restart"/>
            <w:tcBorders>
              <w:top w:val="nil"/>
              <w:left w:val="single" w:color="000000" w:sz="4" w:space="0"/>
              <w:bottom w:val="single" w:color="000000" w:sz="4" w:space="0"/>
              <w:right w:val="single" w:color="000000" w:sz="4" w:space="0"/>
            </w:tcBorders>
            <w:shd w:val="clear" w:color="auto" w:fill="auto"/>
            <w:vAlign w:val="center"/>
          </w:tcPr>
          <w:p w14:paraId="758A67D1">
            <w:pPr>
              <w:keepNext w:val="0"/>
              <w:keepLines w:val="0"/>
              <w:widowControl/>
              <w:suppressLineNumbers w:val="0"/>
              <w:jc w:val="left"/>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1.项目年度目标完成情况</w:t>
            </w:r>
          </w:p>
        </w:tc>
        <w:tc>
          <w:tcPr>
            <w:tcW w:w="3842" w:type="dxa"/>
            <w:gridSpan w:val="5"/>
            <w:tcBorders>
              <w:top w:val="single" w:color="000000" w:sz="4" w:space="0"/>
              <w:left w:val="nil"/>
              <w:bottom w:val="single" w:color="000000" w:sz="4" w:space="0"/>
              <w:right w:val="single" w:color="000000" w:sz="4" w:space="0"/>
            </w:tcBorders>
            <w:shd w:val="clear" w:color="auto" w:fill="auto"/>
            <w:vAlign w:val="center"/>
          </w:tcPr>
          <w:p w14:paraId="2B4A9B33">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项目年度目标</w:t>
            </w:r>
          </w:p>
        </w:tc>
        <w:tc>
          <w:tcPr>
            <w:tcW w:w="3108" w:type="dxa"/>
            <w:gridSpan w:val="4"/>
            <w:tcBorders>
              <w:top w:val="single" w:color="000000" w:sz="4" w:space="0"/>
              <w:left w:val="nil"/>
              <w:bottom w:val="single" w:color="000000" w:sz="4" w:space="0"/>
              <w:right w:val="single" w:color="000000" w:sz="4" w:space="0"/>
            </w:tcBorders>
            <w:shd w:val="clear" w:color="auto" w:fill="auto"/>
            <w:vAlign w:val="center"/>
          </w:tcPr>
          <w:p w14:paraId="071BFBD3">
            <w:pPr>
              <w:keepNext w:val="0"/>
              <w:keepLines w:val="0"/>
              <w:widowControl/>
              <w:suppressLineNumbers w:val="0"/>
              <w:jc w:val="center"/>
              <w:textAlignment w:val="center"/>
              <w:rPr>
                <w:rFonts w:ascii="Courier New" w:hAnsi="Courier New" w:cs="Courier New"/>
                <w:color w:val="000000"/>
                <w:kern w:val="0"/>
                <w:sz w:val="18"/>
                <w:szCs w:val="18"/>
              </w:rPr>
            </w:pPr>
            <w:r>
              <w:rPr>
                <w:rFonts w:hint="eastAsia" w:ascii="黑体" w:hAnsi="黑体" w:eastAsia="黑体" w:cs="黑体"/>
                <w:i w:val="0"/>
                <w:iCs w:val="0"/>
                <w:color w:val="000000"/>
                <w:kern w:val="0"/>
                <w:sz w:val="18"/>
                <w:szCs w:val="18"/>
                <w:u w:val="none"/>
                <w:lang w:val="en-US" w:eastAsia="zh-CN" w:bidi="ar"/>
              </w:rPr>
              <w:t>年度目标完成情况</w:t>
            </w:r>
          </w:p>
        </w:tc>
      </w:tr>
      <w:tr w14:paraId="3485E120">
        <w:tblPrEx>
          <w:tblCellMar>
            <w:top w:w="0" w:type="dxa"/>
            <w:left w:w="108" w:type="dxa"/>
            <w:bottom w:w="0" w:type="dxa"/>
            <w:right w:w="108" w:type="dxa"/>
          </w:tblCellMar>
        </w:tblPrEx>
        <w:trPr>
          <w:trHeight w:val="709" w:hRule="atLeast"/>
        </w:trPr>
        <w:tc>
          <w:tcPr>
            <w:tcW w:w="576" w:type="dxa"/>
            <w:vMerge w:val="continue"/>
            <w:tcBorders>
              <w:top w:val="nil"/>
              <w:left w:val="single" w:color="000000" w:sz="4" w:space="0"/>
              <w:bottom w:val="single" w:color="000000" w:sz="4" w:space="0"/>
              <w:right w:val="single" w:color="000000" w:sz="4" w:space="0"/>
            </w:tcBorders>
            <w:vAlign w:val="center"/>
          </w:tcPr>
          <w:p w14:paraId="24D09A70">
            <w:pPr>
              <w:rPr>
                <w:rFonts w:ascii="宋体" w:hAnsi="宋体" w:cs="宋体"/>
                <w:color w:val="000000"/>
                <w:kern w:val="0"/>
                <w:sz w:val="18"/>
                <w:szCs w:val="18"/>
              </w:rPr>
            </w:pPr>
          </w:p>
        </w:tc>
        <w:tc>
          <w:tcPr>
            <w:tcW w:w="996" w:type="dxa"/>
            <w:vMerge w:val="continue"/>
            <w:tcBorders>
              <w:top w:val="nil"/>
              <w:left w:val="single" w:color="000000" w:sz="4" w:space="0"/>
              <w:bottom w:val="single" w:color="000000" w:sz="4" w:space="0"/>
              <w:right w:val="single" w:color="000000" w:sz="4" w:space="0"/>
            </w:tcBorders>
            <w:vAlign w:val="center"/>
          </w:tcPr>
          <w:p w14:paraId="61A0F47D">
            <w:pPr>
              <w:rPr>
                <w:rFonts w:ascii="宋体" w:hAnsi="宋体" w:cs="宋体"/>
                <w:color w:val="000000"/>
                <w:kern w:val="0"/>
                <w:sz w:val="18"/>
                <w:szCs w:val="18"/>
              </w:rPr>
            </w:pPr>
          </w:p>
        </w:tc>
        <w:tc>
          <w:tcPr>
            <w:tcW w:w="3842" w:type="dxa"/>
            <w:gridSpan w:val="5"/>
            <w:tcBorders>
              <w:top w:val="single" w:color="000000" w:sz="4" w:space="0"/>
              <w:left w:val="nil"/>
              <w:bottom w:val="single" w:color="000000" w:sz="4" w:space="0"/>
              <w:right w:val="single" w:color="000000" w:sz="4" w:space="0"/>
            </w:tcBorders>
            <w:shd w:val="clear" w:color="auto" w:fill="auto"/>
            <w:vAlign w:val="center"/>
          </w:tcPr>
          <w:p w14:paraId="0447AECE">
            <w:pPr>
              <w:keepNext w:val="0"/>
              <w:keepLines w:val="0"/>
              <w:widowControl/>
              <w:suppressLineNumbers w:val="0"/>
              <w:jc w:val="left"/>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108" w:type="dxa"/>
            <w:gridSpan w:val="4"/>
            <w:tcBorders>
              <w:top w:val="single" w:color="000000" w:sz="4" w:space="0"/>
              <w:left w:val="nil"/>
              <w:bottom w:val="single" w:color="000000" w:sz="4" w:space="0"/>
              <w:right w:val="single" w:color="000000" w:sz="4" w:space="0"/>
            </w:tcBorders>
            <w:shd w:val="clear" w:color="auto" w:fill="auto"/>
            <w:vAlign w:val="center"/>
          </w:tcPr>
          <w:p w14:paraId="48303B3A">
            <w:pPr>
              <w:keepNext w:val="0"/>
              <w:keepLines w:val="0"/>
              <w:widowControl/>
              <w:suppressLineNumbers w:val="0"/>
              <w:jc w:val="left"/>
              <w:textAlignment w:val="center"/>
              <w:rPr>
                <w:rFonts w:ascii="Courier New" w:hAnsi="Courier New" w:cs="Courier New"/>
                <w:color w:val="000000"/>
                <w:kern w:val="0"/>
                <w:sz w:val="18"/>
                <w:szCs w:val="18"/>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FABC131">
        <w:tblPrEx>
          <w:tblCellMar>
            <w:top w:w="0" w:type="dxa"/>
            <w:left w:w="108" w:type="dxa"/>
            <w:bottom w:w="0" w:type="dxa"/>
            <w:right w:w="108" w:type="dxa"/>
          </w:tblCellMar>
        </w:tblPrEx>
        <w:trPr>
          <w:trHeight w:val="694" w:hRule="atLeast"/>
        </w:trPr>
        <w:tc>
          <w:tcPr>
            <w:tcW w:w="576" w:type="dxa"/>
            <w:vMerge w:val="continue"/>
            <w:tcBorders>
              <w:top w:val="nil"/>
              <w:left w:val="single" w:color="000000" w:sz="4" w:space="0"/>
              <w:bottom w:val="single" w:color="000000" w:sz="4" w:space="0"/>
              <w:right w:val="single" w:color="000000" w:sz="4" w:space="0"/>
            </w:tcBorders>
            <w:vAlign w:val="center"/>
          </w:tcPr>
          <w:p w14:paraId="1896F320">
            <w:pPr>
              <w:rPr>
                <w:rFonts w:ascii="宋体" w:hAnsi="宋体" w:cs="宋体"/>
                <w:color w:val="000000"/>
                <w:kern w:val="0"/>
                <w:sz w:val="18"/>
                <w:szCs w:val="18"/>
              </w:rPr>
            </w:pPr>
          </w:p>
        </w:tc>
        <w:tc>
          <w:tcPr>
            <w:tcW w:w="996" w:type="dxa"/>
            <w:tcBorders>
              <w:top w:val="nil"/>
              <w:left w:val="nil"/>
              <w:bottom w:val="single" w:color="000000" w:sz="4" w:space="0"/>
              <w:right w:val="single" w:color="000000" w:sz="4" w:space="0"/>
            </w:tcBorders>
            <w:shd w:val="clear" w:color="auto" w:fill="auto"/>
            <w:vAlign w:val="center"/>
          </w:tcPr>
          <w:p w14:paraId="3B51F77B">
            <w:pPr>
              <w:keepNext w:val="0"/>
              <w:keepLines w:val="0"/>
              <w:widowControl/>
              <w:suppressLineNumbers w:val="0"/>
              <w:jc w:val="left"/>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2.项目实施内容及过程概述</w:t>
            </w:r>
          </w:p>
        </w:tc>
        <w:tc>
          <w:tcPr>
            <w:tcW w:w="6950" w:type="dxa"/>
            <w:gridSpan w:val="9"/>
            <w:tcBorders>
              <w:top w:val="single" w:color="000000" w:sz="4" w:space="0"/>
              <w:left w:val="nil"/>
              <w:bottom w:val="single" w:color="000000" w:sz="4" w:space="0"/>
              <w:right w:val="single" w:color="000000" w:sz="4" w:space="0"/>
            </w:tcBorders>
            <w:shd w:val="clear" w:color="auto" w:fill="auto"/>
            <w:vAlign w:val="center"/>
          </w:tcPr>
          <w:p w14:paraId="3A6A8DE8">
            <w:pPr>
              <w:rPr>
                <w:rFonts w:ascii="宋体" w:hAnsi="宋体" w:cs="宋体"/>
                <w:color w:val="000000"/>
                <w:kern w:val="0"/>
                <w:sz w:val="18"/>
                <w:szCs w:val="18"/>
              </w:rPr>
            </w:pPr>
          </w:p>
        </w:tc>
      </w:tr>
      <w:tr w14:paraId="3019B586">
        <w:tblPrEx>
          <w:tblCellMar>
            <w:top w:w="0" w:type="dxa"/>
            <w:left w:w="108" w:type="dxa"/>
            <w:bottom w:w="0" w:type="dxa"/>
            <w:right w:w="108" w:type="dxa"/>
          </w:tblCellMar>
        </w:tblPrEx>
        <w:trPr>
          <w:trHeight w:val="360" w:hRule="atLeast"/>
        </w:trPr>
        <w:tc>
          <w:tcPr>
            <w:tcW w:w="576" w:type="dxa"/>
            <w:vMerge w:val="restart"/>
            <w:tcBorders>
              <w:top w:val="nil"/>
              <w:left w:val="single" w:color="000000" w:sz="4" w:space="0"/>
              <w:bottom w:val="single" w:color="000000" w:sz="4" w:space="0"/>
              <w:right w:val="single" w:color="000000" w:sz="4" w:space="0"/>
            </w:tcBorders>
            <w:shd w:val="clear" w:color="auto" w:fill="auto"/>
            <w:vAlign w:val="center"/>
          </w:tcPr>
          <w:p w14:paraId="1A370190">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预算执行情况（10分）</w:t>
            </w:r>
          </w:p>
        </w:tc>
        <w:tc>
          <w:tcPr>
            <w:tcW w:w="996" w:type="dxa"/>
            <w:tcBorders>
              <w:top w:val="nil"/>
              <w:left w:val="nil"/>
              <w:bottom w:val="single" w:color="000000" w:sz="4" w:space="0"/>
              <w:right w:val="single" w:color="000000" w:sz="4" w:space="0"/>
            </w:tcBorders>
            <w:shd w:val="clear" w:color="auto" w:fill="auto"/>
            <w:vAlign w:val="center"/>
          </w:tcPr>
          <w:p w14:paraId="267BED75">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年度预算数（万元）</w:t>
            </w:r>
          </w:p>
        </w:tc>
        <w:tc>
          <w:tcPr>
            <w:tcW w:w="923" w:type="dxa"/>
            <w:tcBorders>
              <w:top w:val="nil"/>
              <w:left w:val="nil"/>
              <w:bottom w:val="single" w:color="000000" w:sz="4" w:space="0"/>
              <w:right w:val="single" w:color="000000" w:sz="4" w:space="0"/>
            </w:tcBorders>
            <w:shd w:val="clear" w:color="auto" w:fill="auto"/>
            <w:vAlign w:val="center"/>
          </w:tcPr>
          <w:p w14:paraId="4D80A52E">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年初预算</w:t>
            </w:r>
          </w:p>
        </w:tc>
        <w:tc>
          <w:tcPr>
            <w:tcW w:w="1308" w:type="dxa"/>
            <w:tcBorders>
              <w:top w:val="nil"/>
              <w:left w:val="nil"/>
              <w:bottom w:val="single" w:color="000000" w:sz="4" w:space="0"/>
              <w:right w:val="single" w:color="000000" w:sz="4" w:space="0"/>
            </w:tcBorders>
            <w:shd w:val="clear" w:color="auto" w:fill="auto"/>
            <w:vAlign w:val="center"/>
          </w:tcPr>
          <w:p w14:paraId="2CCD0BF4">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调整后预算数</w:t>
            </w:r>
          </w:p>
        </w:tc>
        <w:tc>
          <w:tcPr>
            <w:tcW w:w="1611" w:type="dxa"/>
            <w:gridSpan w:val="3"/>
            <w:tcBorders>
              <w:top w:val="single" w:color="000000" w:sz="4" w:space="0"/>
              <w:left w:val="nil"/>
              <w:bottom w:val="single" w:color="000000" w:sz="4" w:space="0"/>
              <w:right w:val="single" w:color="000000" w:sz="4" w:space="0"/>
            </w:tcBorders>
            <w:shd w:val="clear" w:color="auto" w:fill="auto"/>
            <w:vAlign w:val="center"/>
          </w:tcPr>
          <w:p w14:paraId="515D9A91">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nil"/>
              <w:left w:val="nil"/>
              <w:bottom w:val="single" w:color="000000" w:sz="4" w:space="0"/>
              <w:right w:val="single" w:color="000000" w:sz="4" w:space="0"/>
            </w:tcBorders>
            <w:shd w:val="clear" w:color="auto" w:fill="auto"/>
            <w:vAlign w:val="center"/>
          </w:tcPr>
          <w:p w14:paraId="2366A2C4">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nil"/>
              <w:left w:val="nil"/>
              <w:bottom w:val="single" w:color="000000" w:sz="4" w:space="0"/>
              <w:right w:val="single" w:color="000000" w:sz="4" w:space="0"/>
            </w:tcBorders>
            <w:shd w:val="clear" w:color="auto" w:fill="auto"/>
            <w:vAlign w:val="center"/>
          </w:tcPr>
          <w:p w14:paraId="28E55565">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权重</w:t>
            </w:r>
          </w:p>
        </w:tc>
        <w:tc>
          <w:tcPr>
            <w:tcW w:w="486" w:type="dxa"/>
            <w:tcBorders>
              <w:top w:val="nil"/>
              <w:left w:val="nil"/>
              <w:bottom w:val="single" w:color="000000" w:sz="4" w:space="0"/>
              <w:right w:val="single" w:color="000000" w:sz="4" w:space="0"/>
            </w:tcBorders>
            <w:shd w:val="clear" w:color="auto" w:fill="auto"/>
            <w:vAlign w:val="center"/>
          </w:tcPr>
          <w:p w14:paraId="7080438E">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得分</w:t>
            </w:r>
          </w:p>
        </w:tc>
        <w:tc>
          <w:tcPr>
            <w:tcW w:w="1290" w:type="dxa"/>
            <w:tcBorders>
              <w:top w:val="nil"/>
              <w:left w:val="nil"/>
              <w:bottom w:val="single" w:color="000000" w:sz="4" w:space="0"/>
              <w:right w:val="single" w:color="000000" w:sz="4" w:space="0"/>
            </w:tcBorders>
            <w:shd w:val="clear" w:color="auto" w:fill="auto"/>
            <w:vAlign w:val="center"/>
          </w:tcPr>
          <w:p w14:paraId="36198C5C">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原因</w:t>
            </w:r>
          </w:p>
        </w:tc>
      </w:tr>
      <w:tr w14:paraId="2D563F07">
        <w:tblPrEx>
          <w:tblCellMar>
            <w:top w:w="0" w:type="dxa"/>
            <w:left w:w="108" w:type="dxa"/>
            <w:bottom w:w="0" w:type="dxa"/>
            <w:right w:w="108" w:type="dxa"/>
          </w:tblCellMar>
        </w:tblPrEx>
        <w:trPr>
          <w:trHeight w:val="345" w:hRule="atLeast"/>
        </w:trPr>
        <w:tc>
          <w:tcPr>
            <w:tcW w:w="576" w:type="dxa"/>
            <w:vMerge w:val="continue"/>
            <w:tcBorders>
              <w:top w:val="nil"/>
              <w:left w:val="single" w:color="000000" w:sz="4" w:space="0"/>
              <w:bottom w:val="single" w:color="000000" w:sz="4" w:space="0"/>
              <w:right w:val="single" w:color="000000" w:sz="4" w:space="0"/>
            </w:tcBorders>
            <w:vAlign w:val="center"/>
          </w:tcPr>
          <w:p w14:paraId="6594DA2F">
            <w:pPr>
              <w:jc w:val="center"/>
              <w:rPr>
                <w:rFonts w:ascii="宋体" w:hAnsi="宋体" w:cs="宋体"/>
                <w:color w:val="000000"/>
                <w:kern w:val="0"/>
                <w:sz w:val="18"/>
                <w:szCs w:val="18"/>
              </w:rPr>
            </w:pPr>
          </w:p>
        </w:tc>
        <w:tc>
          <w:tcPr>
            <w:tcW w:w="996" w:type="dxa"/>
            <w:tcBorders>
              <w:top w:val="nil"/>
              <w:left w:val="nil"/>
              <w:bottom w:val="single" w:color="000000" w:sz="4" w:space="0"/>
              <w:right w:val="single" w:color="000000" w:sz="4" w:space="0"/>
            </w:tcBorders>
            <w:shd w:val="clear" w:color="auto" w:fill="auto"/>
            <w:vAlign w:val="center"/>
          </w:tcPr>
          <w:p w14:paraId="4D8E280D">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总额</w:t>
            </w:r>
          </w:p>
        </w:tc>
        <w:tc>
          <w:tcPr>
            <w:tcW w:w="923" w:type="dxa"/>
            <w:tcBorders>
              <w:top w:val="nil"/>
              <w:left w:val="nil"/>
              <w:bottom w:val="single" w:color="000000" w:sz="4" w:space="0"/>
              <w:right w:val="single" w:color="000000" w:sz="4" w:space="0"/>
            </w:tcBorders>
            <w:shd w:val="clear" w:color="auto" w:fill="auto"/>
            <w:vAlign w:val="center"/>
          </w:tcPr>
          <w:p w14:paraId="6EEBB47A">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60.27</w:t>
            </w:r>
          </w:p>
        </w:tc>
        <w:tc>
          <w:tcPr>
            <w:tcW w:w="1308" w:type="dxa"/>
            <w:tcBorders>
              <w:top w:val="nil"/>
              <w:left w:val="nil"/>
              <w:bottom w:val="single" w:color="000000" w:sz="4" w:space="0"/>
              <w:right w:val="single" w:color="000000" w:sz="4" w:space="0"/>
            </w:tcBorders>
            <w:shd w:val="clear" w:color="auto" w:fill="auto"/>
            <w:vAlign w:val="center"/>
          </w:tcPr>
          <w:p w14:paraId="44E413B4">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58.06</w:t>
            </w:r>
          </w:p>
        </w:tc>
        <w:tc>
          <w:tcPr>
            <w:tcW w:w="1611" w:type="dxa"/>
            <w:gridSpan w:val="3"/>
            <w:tcBorders>
              <w:top w:val="single" w:color="000000" w:sz="4" w:space="0"/>
              <w:left w:val="nil"/>
              <w:bottom w:val="single" w:color="000000" w:sz="4" w:space="0"/>
              <w:right w:val="single" w:color="000000" w:sz="4" w:space="0"/>
            </w:tcBorders>
            <w:shd w:val="clear" w:color="auto" w:fill="auto"/>
            <w:vAlign w:val="center"/>
          </w:tcPr>
          <w:p w14:paraId="72A6E800">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58.06</w:t>
            </w:r>
          </w:p>
        </w:tc>
        <w:tc>
          <w:tcPr>
            <w:tcW w:w="846" w:type="dxa"/>
            <w:tcBorders>
              <w:top w:val="nil"/>
              <w:left w:val="nil"/>
              <w:bottom w:val="single" w:color="000000" w:sz="4" w:space="0"/>
              <w:right w:val="single" w:color="000000" w:sz="4" w:space="0"/>
            </w:tcBorders>
            <w:shd w:val="clear" w:color="auto" w:fill="auto"/>
            <w:vAlign w:val="center"/>
          </w:tcPr>
          <w:p w14:paraId="4B0DA760">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100.00%</w:t>
            </w:r>
          </w:p>
        </w:tc>
        <w:tc>
          <w:tcPr>
            <w:tcW w:w="486" w:type="dxa"/>
            <w:tcBorders>
              <w:top w:val="nil"/>
              <w:left w:val="nil"/>
              <w:bottom w:val="single" w:color="000000" w:sz="4" w:space="0"/>
              <w:right w:val="single" w:color="000000" w:sz="4" w:space="0"/>
            </w:tcBorders>
            <w:shd w:val="clear" w:color="auto" w:fill="auto"/>
            <w:vAlign w:val="center"/>
          </w:tcPr>
          <w:p w14:paraId="237E429F">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10</w:t>
            </w:r>
          </w:p>
        </w:tc>
        <w:tc>
          <w:tcPr>
            <w:tcW w:w="486" w:type="dxa"/>
            <w:tcBorders>
              <w:top w:val="nil"/>
              <w:left w:val="nil"/>
              <w:bottom w:val="single" w:color="000000" w:sz="4" w:space="0"/>
              <w:right w:val="single" w:color="000000" w:sz="4" w:space="0"/>
            </w:tcBorders>
            <w:shd w:val="clear" w:color="auto" w:fill="auto"/>
            <w:vAlign w:val="center"/>
          </w:tcPr>
          <w:p w14:paraId="4929A1AC">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10</w:t>
            </w:r>
          </w:p>
        </w:tc>
        <w:tc>
          <w:tcPr>
            <w:tcW w:w="1290" w:type="dxa"/>
            <w:vMerge w:val="restart"/>
            <w:tcBorders>
              <w:top w:val="nil"/>
              <w:left w:val="single" w:color="000000" w:sz="4" w:space="0"/>
              <w:bottom w:val="single" w:color="000000" w:sz="4" w:space="0"/>
              <w:right w:val="single" w:color="000000" w:sz="4" w:space="0"/>
            </w:tcBorders>
            <w:shd w:val="clear" w:color="auto" w:fill="auto"/>
            <w:vAlign w:val="center"/>
          </w:tcPr>
          <w:p w14:paraId="1D9310F8">
            <w:pPr>
              <w:keepNext w:val="0"/>
              <w:keepLines w:val="0"/>
              <w:widowControl/>
              <w:suppressLineNumbers w:val="0"/>
              <w:jc w:val="left"/>
              <w:textAlignment w:val="center"/>
              <w:rPr>
                <w:rFonts w:ascii="Courier New" w:hAnsi="Courier New" w:cs="Courier New"/>
                <w:i/>
                <w:iCs/>
                <w:color w:val="000000"/>
                <w:kern w:val="0"/>
                <w:sz w:val="18"/>
                <w:szCs w:val="18"/>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9C28E4E">
        <w:tblPrEx>
          <w:tblCellMar>
            <w:top w:w="0" w:type="dxa"/>
            <w:left w:w="108" w:type="dxa"/>
            <w:bottom w:w="0" w:type="dxa"/>
            <w:right w:w="108" w:type="dxa"/>
          </w:tblCellMar>
        </w:tblPrEx>
        <w:trPr>
          <w:trHeight w:val="390" w:hRule="atLeast"/>
        </w:trPr>
        <w:tc>
          <w:tcPr>
            <w:tcW w:w="576" w:type="dxa"/>
            <w:vMerge w:val="continue"/>
            <w:tcBorders>
              <w:top w:val="nil"/>
              <w:left w:val="single" w:color="000000" w:sz="4" w:space="0"/>
              <w:bottom w:val="single" w:color="000000" w:sz="4" w:space="0"/>
              <w:right w:val="single" w:color="000000" w:sz="4" w:space="0"/>
            </w:tcBorders>
            <w:vAlign w:val="center"/>
          </w:tcPr>
          <w:p w14:paraId="6239EE7C">
            <w:pPr>
              <w:jc w:val="center"/>
              <w:rPr>
                <w:rFonts w:ascii="宋体" w:hAnsi="宋体" w:cs="宋体"/>
                <w:color w:val="000000"/>
                <w:kern w:val="0"/>
                <w:sz w:val="18"/>
                <w:szCs w:val="18"/>
              </w:rPr>
            </w:pPr>
          </w:p>
        </w:tc>
        <w:tc>
          <w:tcPr>
            <w:tcW w:w="996" w:type="dxa"/>
            <w:tcBorders>
              <w:top w:val="nil"/>
              <w:left w:val="nil"/>
              <w:bottom w:val="single" w:color="000000" w:sz="4" w:space="0"/>
              <w:right w:val="single" w:color="000000" w:sz="4" w:space="0"/>
            </w:tcBorders>
            <w:shd w:val="clear" w:color="auto" w:fill="auto"/>
            <w:vAlign w:val="center"/>
          </w:tcPr>
          <w:p w14:paraId="65992373">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其中：财政资金</w:t>
            </w:r>
          </w:p>
        </w:tc>
        <w:tc>
          <w:tcPr>
            <w:tcW w:w="923" w:type="dxa"/>
            <w:tcBorders>
              <w:top w:val="nil"/>
              <w:left w:val="nil"/>
              <w:bottom w:val="single" w:color="000000" w:sz="4" w:space="0"/>
              <w:right w:val="single" w:color="000000" w:sz="4" w:space="0"/>
            </w:tcBorders>
            <w:shd w:val="clear" w:color="auto" w:fill="auto"/>
            <w:vAlign w:val="center"/>
          </w:tcPr>
          <w:p w14:paraId="54C5C1C2">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60.27</w:t>
            </w:r>
          </w:p>
        </w:tc>
        <w:tc>
          <w:tcPr>
            <w:tcW w:w="1308" w:type="dxa"/>
            <w:tcBorders>
              <w:top w:val="nil"/>
              <w:left w:val="nil"/>
              <w:bottom w:val="single" w:color="000000" w:sz="4" w:space="0"/>
              <w:right w:val="single" w:color="000000" w:sz="4" w:space="0"/>
            </w:tcBorders>
            <w:shd w:val="clear" w:color="auto" w:fill="auto"/>
            <w:vAlign w:val="center"/>
          </w:tcPr>
          <w:p w14:paraId="475D2223">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58.06</w:t>
            </w:r>
          </w:p>
        </w:tc>
        <w:tc>
          <w:tcPr>
            <w:tcW w:w="1611" w:type="dxa"/>
            <w:gridSpan w:val="3"/>
            <w:tcBorders>
              <w:top w:val="single" w:color="000000" w:sz="4" w:space="0"/>
              <w:left w:val="nil"/>
              <w:bottom w:val="single" w:color="000000" w:sz="4" w:space="0"/>
              <w:right w:val="single" w:color="000000" w:sz="4" w:space="0"/>
            </w:tcBorders>
            <w:shd w:val="clear" w:color="auto" w:fill="auto"/>
            <w:vAlign w:val="center"/>
          </w:tcPr>
          <w:p w14:paraId="0D48CBC0">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58.06</w:t>
            </w:r>
          </w:p>
        </w:tc>
        <w:tc>
          <w:tcPr>
            <w:tcW w:w="846" w:type="dxa"/>
            <w:tcBorders>
              <w:top w:val="nil"/>
              <w:left w:val="nil"/>
              <w:bottom w:val="single" w:color="000000" w:sz="4" w:space="0"/>
              <w:right w:val="single" w:color="000000" w:sz="4" w:space="0"/>
            </w:tcBorders>
            <w:shd w:val="clear" w:color="auto" w:fill="auto"/>
            <w:vAlign w:val="center"/>
          </w:tcPr>
          <w:p w14:paraId="3754B3E0">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100.00%</w:t>
            </w:r>
          </w:p>
        </w:tc>
        <w:tc>
          <w:tcPr>
            <w:tcW w:w="486" w:type="dxa"/>
            <w:tcBorders>
              <w:top w:val="nil"/>
              <w:left w:val="nil"/>
              <w:bottom w:val="single" w:color="000000" w:sz="4" w:space="0"/>
              <w:right w:val="single" w:color="000000" w:sz="4" w:space="0"/>
            </w:tcBorders>
            <w:shd w:val="clear" w:color="auto" w:fill="auto"/>
            <w:vAlign w:val="center"/>
          </w:tcPr>
          <w:p w14:paraId="45439E1E">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w:t>
            </w:r>
          </w:p>
        </w:tc>
        <w:tc>
          <w:tcPr>
            <w:tcW w:w="486" w:type="dxa"/>
            <w:tcBorders>
              <w:top w:val="nil"/>
              <w:left w:val="nil"/>
              <w:bottom w:val="single" w:color="000000" w:sz="4" w:space="0"/>
              <w:right w:val="single" w:color="000000" w:sz="4" w:space="0"/>
            </w:tcBorders>
            <w:shd w:val="clear" w:color="auto" w:fill="auto"/>
            <w:vAlign w:val="center"/>
          </w:tcPr>
          <w:p w14:paraId="3B1A5132">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w:t>
            </w:r>
          </w:p>
        </w:tc>
        <w:tc>
          <w:tcPr>
            <w:tcW w:w="1290" w:type="dxa"/>
            <w:vMerge w:val="continue"/>
            <w:tcBorders>
              <w:top w:val="nil"/>
              <w:left w:val="single" w:color="000000" w:sz="4" w:space="0"/>
              <w:bottom w:val="single" w:color="000000" w:sz="4" w:space="0"/>
              <w:right w:val="single" w:color="000000" w:sz="4" w:space="0"/>
            </w:tcBorders>
            <w:vAlign w:val="center"/>
          </w:tcPr>
          <w:p w14:paraId="069703A0">
            <w:pPr>
              <w:rPr>
                <w:rFonts w:ascii="Courier New" w:hAnsi="Courier New" w:cs="Courier New"/>
                <w:i/>
                <w:iCs/>
                <w:color w:val="000000"/>
                <w:kern w:val="0"/>
                <w:sz w:val="18"/>
                <w:szCs w:val="18"/>
              </w:rPr>
            </w:pPr>
          </w:p>
        </w:tc>
      </w:tr>
      <w:tr w14:paraId="259F4C44">
        <w:tblPrEx>
          <w:tblCellMar>
            <w:top w:w="0" w:type="dxa"/>
            <w:left w:w="108" w:type="dxa"/>
            <w:bottom w:w="0" w:type="dxa"/>
            <w:right w:w="108" w:type="dxa"/>
          </w:tblCellMar>
        </w:tblPrEx>
        <w:trPr>
          <w:trHeight w:val="409" w:hRule="atLeast"/>
        </w:trPr>
        <w:tc>
          <w:tcPr>
            <w:tcW w:w="576" w:type="dxa"/>
            <w:vMerge w:val="continue"/>
            <w:tcBorders>
              <w:top w:val="nil"/>
              <w:left w:val="single" w:color="000000" w:sz="4" w:space="0"/>
              <w:bottom w:val="single" w:color="000000" w:sz="4" w:space="0"/>
              <w:right w:val="single" w:color="000000" w:sz="4" w:space="0"/>
            </w:tcBorders>
            <w:vAlign w:val="center"/>
          </w:tcPr>
          <w:p w14:paraId="5245A6B1">
            <w:pPr>
              <w:jc w:val="center"/>
              <w:rPr>
                <w:rFonts w:ascii="宋体" w:hAnsi="宋体" w:cs="宋体"/>
                <w:color w:val="000000"/>
                <w:kern w:val="0"/>
                <w:sz w:val="18"/>
                <w:szCs w:val="18"/>
              </w:rPr>
            </w:pPr>
          </w:p>
        </w:tc>
        <w:tc>
          <w:tcPr>
            <w:tcW w:w="996" w:type="dxa"/>
            <w:tcBorders>
              <w:top w:val="nil"/>
              <w:left w:val="nil"/>
              <w:bottom w:val="single" w:color="000000" w:sz="4" w:space="0"/>
              <w:right w:val="single" w:color="000000" w:sz="4" w:space="0"/>
            </w:tcBorders>
            <w:shd w:val="clear" w:color="auto" w:fill="auto"/>
            <w:vAlign w:val="center"/>
          </w:tcPr>
          <w:p w14:paraId="7E3E7452">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财政专户管理资金</w:t>
            </w:r>
          </w:p>
        </w:tc>
        <w:tc>
          <w:tcPr>
            <w:tcW w:w="923" w:type="dxa"/>
            <w:tcBorders>
              <w:top w:val="nil"/>
              <w:left w:val="nil"/>
              <w:bottom w:val="single" w:color="000000" w:sz="4" w:space="0"/>
              <w:right w:val="single" w:color="000000" w:sz="4" w:space="0"/>
            </w:tcBorders>
            <w:shd w:val="clear" w:color="auto" w:fill="auto"/>
            <w:vAlign w:val="center"/>
          </w:tcPr>
          <w:p w14:paraId="1BC96C10">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0.00</w:t>
            </w:r>
          </w:p>
        </w:tc>
        <w:tc>
          <w:tcPr>
            <w:tcW w:w="1308" w:type="dxa"/>
            <w:tcBorders>
              <w:top w:val="nil"/>
              <w:left w:val="nil"/>
              <w:bottom w:val="single" w:color="000000" w:sz="4" w:space="0"/>
              <w:right w:val="single" w:color="000000" w:sz="4" w:space="0"/>
            </w:tcBorders>
            <w:shd w:val="clear" w:color="auto" w:fill="auto"/>
            <w:vAlign w:val="center"/>
          </w:tcPr>
          <w:p w14:paraId="24B72E1A">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0.00</w:t>
            </w:r>
          </w:p>
        </w:tc>
        <w:tc>
          <w:tcPr>
            <w:tcW w:w="1611" w:type="dxa"/>
            <w:gridSpan w:val="3"/>
            <w:tcBorders>
              <w:top w:val="single" w:color="000000" w:sz="4" w:space="0"/>
              <w:left w:val="nil"/>
              <w:bottom w:val="single" w:color="000000" w:sz="4" w:space="0"/>
              <w:right w:val="single" w:color="000000" w:sz="4" w:space="0"/>
            </w:tcBorders>
            <w:shd w:val="clear" w:color="auto" w:fill="auto"/>
            <w:vAlign w:val="center"/>
          </w:tcPr>
          <w:p w14:paraId="4FA10B33">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0.00</w:t>
            </w:r>
          </w:p>
        </w:tc>
        <w:tc>
          <w:tcPr>
            <w:tcW w:w="846" w:type="dxa"/>
            <w:tcBorders>
              <w:top w:val="nil"/>
              <w:left w:val="nil"/>
              <w:bottom w:val="single" w:color="000000" w:sz="4" w:space="0"/>
              <w:right w:val="single" w:color="000000" w:sz="4" w:space="0"/>
            </w:tcBorders>
            <w:shd w:val="clear" w:color="auto" w:fill="auto"/>
            <w:vAlign w:val="center"/>
          </w:tcPr>
          <w:p w14:paraId="5C8649AB">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0.00%</w:t>
            </w:r>
          </w:p>
        </w:tc>
        <w:tc>
          <w:tcPr>
            <w:tcW w:w="486" w:type="dxa"/>
            <w:tcBorders>
              <w:top w:val="nil"/>
              <w:left w:val="nil"/>
              <w:bottom w:val="single" w:color="000000" w:sz="4" w:space="0"/>
              <w:right w:val="single" w:color="000000" w:sz="4" w:space="0"/>
            </w:tcBorders>
            <w:shd w:val="clear" w:color="auto" w:fill="auto"/>
            <w:vAlign w:val="center"/>
          </w:tcPr>
          <w:p w14:paraId="6076538E">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w:t>
            </w:r>
          </w:p>
        </w:tc>
        <w:tc>
          <w:tcPr>
            <w:tcW w:w="486" w:type="dxa"/>
            <w:tcBorders>
              <w:top w:val="nil"/>
              <w:left w:val="nil"/>
              <w:bottom w:val="single" w:color="000000" w:sz="4" w:space="0"/>
              <w:right w:val="single" w:color="000000" w:sz="4" w:space="0"/>
            </w:tcBorders>
            <w:shd w:val="clear" w:color="auto" w:fill="auto"/>
            <w:vAlign w:val="center"/>
          </w:tcPr>
          <w:p w14:paraId="4F6E1B8F">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w:t>
            </w:r>
          </w:p>
        </w:tc>
        <w:tc>
          <w:tcPr>
            <w:tcW w:w="1290" w:type="dxa"/>
            <w:vMerge w:val="continue"/>
            <w:tcBorders>
              <w:top w:val="nil"/>
              <w:left w:val="single" w:color="000000" w:sz="4" w:space="0"/>
              <w:bottom w:val="single" w:color="000000" w:sz="4" w:space="0"/>
              <w:right w:val="single" w:color="000000" w:sz="4" w:space="0"/>
            </w:tcBorders>
            <w:vAlign w:val="center"/>
          </w:tcPr>
          <w:p w14:paraId="14A380BA">
            <w:pPr>
              <w:rPr>
                <w:rFonts w:ascii="Courier New" w:hAnsi="Courier New" w:cs="Courier New"/>
                <w:i/>
                <w:iCs/>
                <w:color w:val="000000"/>
                <w:kern w:val="0"/>
                <w:sz w:val="18"/>
                <w:szCs w:val="18"/>
              </w:rPr>
            </w:pPr>
          </w:p>
        </w:tc>
      </w:tr>
      <w:tr w14:paraId="7BDB0DF9">
        <w:tblPrEx>
          <w:tblCellMar>
            <w:top w:w="0" w:type="dxa"/>
            <w:left w:w="108" w:type="dxa"/>
            <w:bottom w:w="0" w:type="dxa"/>
            <w:right w:w="108" w:type="dxa"/>
          </w:tblCellMar>
        </w:tblPrEx>
        <w:trPr>
          <w:trHeight w:val="360" w:hRule="atLeast"/>
        </w:trPr>
        <w:tc>
          <w:tcPr>
            <w:tcW w:w="576" w:type="dxa"/>
            <w:vMerge w:val="continue"/>
            <w:tcBorders>
              <w:top w:val="nil"/>
              <w:left w:val="single" w:color="000000" w:sz="4" w:space="0"/>
              <w:bottom w:val="single" w:color="000000" w:sz="4" w:space="0"/>
              <w:right w:val="single" w:color="000000" w:sz="4" w:space="0"/>
            </w:tcBorders>
            <w:vAlign w:val="center"/>
          </w:tcPr>
          <w:p w14:paraId="19F80A3E">
            <w:pPr>
              <w:jc w:val="center"/>
              <w:rPr>
                <w:rFonts w:ascii="宋体" w:hAnsi="宋体" w:cs="宋体"/>
                <w:color w:val="000000"/>
                <w:kern w:val="0"/>
                <w:sz w:val="18"/>
                <w:szCs w:val="18"/>
              </w:rPr>
            </w:pPr>
          </w:p>
        </w:tc>
        <w:tc>
          <w:tcPr>
            <w:tcW w:w="996" w:type="dxa"/>
            <w:tcBorders>
              <w:top w:val="nil"/>
              <w:left w:val="nil"/>
              <w:bottom w:val="single" w:color="000000" w:sz="4" w:space="0"/>
              <w:right w:val="single" w:color="000000" w:sz="4" w:space="0"/>
            </w:tcBorders>
            <w:shd w:val="clear" w:color="auto" w:fill="auto"/>
            <w:vAlign w:val="center"/>
          </w:tcPr>
          <w:p w14:paraId="60797407">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单位资金</w:t>
            </w:r>
          </w:p>
        </w:tc>
        <w:tc>
          <w:tcPr>
            <w:tcW w:w="923" w:type="dxa"/>
            <w:tcBorders>
              <w:top w:val="nil"/>
              <w:left w:val="nil"/>
              <w:bottom w:val="single" w:color="000000" w:sz="4" w:space="0"/>
              <w:right w:val="single" w:color="000000" w:sz="4" w:space="0"/>
            </w:tcBorders>
            <w:shd w:val="clear" w:color="auto" w:fill="auto"/>
            <w:vAlign w:val="center"/>
          </w:tcPr>
          <w:p w14:paraId="016F1089">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0.00</w:t>
            </w:r>
          </w:p>
        </w:tc>
        <w:tc>
          <w:tcPr>
            <w:tcW w:w="1308" w:type="dxa"/>
            <w:tcBorders>
              <w:top w:val="nil"/>
              <w:left w:val="nil"/>
              <w:bottom w:val="single" w:color="000000" w:sz="4" w:space="0"/>
              <w:right w:val="single" w:color="000000" w:sz="4" w:space="0"/>
            </w:tcBorders>
            <w:shd w:val="clear" w:color="auto" w:fill="auto"/>
            <w:vAlign w:val="center"/>
          </w:tcPr>
          <w:p w14:paraId="4990AAB3">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0.00</w:t>
            </w:r>
          </w:p>
        </w:tc>
        <w:tc>
          <w:tcPr>
            <w:tcW w:w="1611" w:type="dxa"/>
            <w:gridSpan w:val="3"/>
            <w:tcBorders>
              <w:top w:val="single" w:color="000000" w:sz="4" w:space="0"/>
              <w:left w:val="nil"/>
              <w:bottom w:val="single" w:color="000000" w:sz="4" w:space="0"/>
              <w:right w:val="single" w:color="000000" w:sz="4" w:space="0"/>
            </w:tcBorders>
            <w:shd w:val="clear" w:color="auto" w:fill="auto"/>
            <w:vAlign w:val="center"/>
          </w:tcPr>
          <w:p w14:paraId="47D31A9A">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0.00</w:t>
            </w:r>
          </w:p>
        </w:tc>
        <w:tc>
          <w:tcPr>
            <w:tcW w:w="846" w:type="dxa"/>
            <w:tcBorders>
              <w:top w:val="nil"/>
              <w:left w:val="nil"/>
              <w:bottom w:val="single" w:color="000000" w:sz="4" w:space="0"/>
              <w:right w:val="single" w:color="000000" w:sz="4" w:space="0"/>
            </w:tcBorders>
            <w:shd w:val="clear" w:color="auto" w:fill="auto"/>
            <w:vAlign w:val="center"/>
          </w:tcPr>
          <w:p w14:paraId="0B1CB4F3">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0.00%</w:t>
            </w:r>
          </w:p>
        </w:tc>
        <w:tc>
          <w:tcPr>
            <w:tcW w:w="486" w:type="dxa"/>
            <w:tcBorders>
              <w:top w:val="nil"/>
              <w:left w:val="nil"/>
              <w:bottom w:val="single" w:color="000000" w:sz="4" w:space="0"/>
              <w:right w:val="single" w:color="000000" w:sz="4" w:space="0"/>
            </w:tcBorders>
            <w:shd w:val="clear" w:color="auto" w:fill="auto"/>
            <w:vAlign w:val="center"/>
          </w:tcPr>
          <w:p w14:paraId="61130B3E">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w:t>
            </w:r>
          </w:p>
        </w:tc>
        <w:tc>
          <w:tcPr>
            <w:tcW w:w="486" w:type="dxa"/>
            <w:tcBorders>
              <w:top w:val="nil"/>
              <w:left w:val="nil"/>
              <w:bottom w:val="single" w:color="000000" w:sz="4" w:space="0"/>
              <w:right w:val="single" w:color="000000" w:sz="4" w:space="0"/>
            </w:tcBorders>
            <w:shd w:val="clear" w:color="auto" w:fill="auto"/>
            <w:vAlign w:val="center"/>
          </w:tcPr>
          <w:p w14:paraId="22F0E135">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w:t>
            </w:r>
          </w:p>
        </w:tc>
        <w:tc>
          <w:tcPr>
            <w:tcW w:w="1290" w:type="dxa"/>
            <w:vMerge w:val="continue"/>
            <w:tcBorders>
              <w:top w:val="nil"/>
              <w:left w:val="single" w:color="000000" w:sz="4" w:space="0"/>
              <w:bottom w:val="single" w:color="000000" w:sz="4" w:space="0"/>
              <w:right w:val="single" w:color="000000" w:sz="4" w:space="0"/>
            </w:tcBorders>
            <w:vAlign w:val="center"/>
          </w:tcPr>
          <w:p w14:paraId="315D6F09">
            <w:pPr>
              <w:rPr>
                <w:rFonts w:ascii="Courier New" w:hAnsi="Courier New" w:cs="Courier New"/>
                <w:i/>
                <w:iCs/>
                <w:color w:val="000000"/>
                <w:kern w:val="0"/>
                <w:sz w:val="18"/>
                <w:szCs w:val="18"/>
              </w:rPr>
            </w:pPr>
          </w:p>
        </w:tc>
      </w:tr>
      <w:tr w14:paraId="7C18653F">
        <w:tblPrEx>
          <w:tblCellMar>
            <w:top w:w="0" w:type="dxa"/>
            <w:left w:w="108" w:type="dxa"/>
            <w:bottom w:w="0" w:type="dxa"/>
            <w:right w:w="108" w:type="dxa"/>
          </w:tblCellMar>
        </w:tblPrEx>
        <w:trPr>
          <w:trHeight w:val="338" w:hRule="atLeast"/>
        </w:trPr>
        <w:tc>
          <w:tcPr>
            <w:tcW w:w="576" w:type="dxa"/>
            <w:vMerge w:val="continue"/>
            <w:tcBorders>
              <w:top w:val="nil"/>
              <w:left w:val="single" w:color="000000" w:sz="4" w:space="0"/>
              <w:bottom w:val="single" w:color="000000" w:sz="4" w:space="0"/>
              <w:right w:val="single" w:color="000000" w:sz="4" w:space="0"/>
            </w:tcBorders>
            <w:vAlign w:val="center"/>
          </w:tcPr>
          <w:p w14:paraId="64F7DE39">
            <w:pPr>
              <w:jc w:val="center"/>
              <w:rPr>
                <w:rFonts w:ascii="宋体" w:hAnsi="宋体" w:cs="宋体"/>
                <w:color w:val="000000"/>
                <w:kern w:val="0"/>
                <w:sz w:val="18"/>
                <w:szCs w:val="18"/>
              </w:rPr>
            </w:pPr>
          </w:p>
        </w:tc>
        <w:tc>
          <w:tcPr>
            <w:tcW w:w="996" w:type="dxa"/>
            <w:tcBorders>
              <w:top w:val="nil"/>
              <w:left w:val="nil"/>
              <w:bottom w:val="single" w:color="000000" w:sz="4" w:space="0"/>
              <w:right w:val="single" w:color="000000" w:sz="4" w:space="0"/>
            </w:tcBorders>
            <w:shd w:val="clear" w:color="auto" w:fill="auto"/>
            <w:vAlign w:val="center"/>
          </w:tcPr>
          <w:p w14:paraId="4F0A593C">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其他资金</w:t>
            </w:r>
          </w:p>
        </w:tc>
        <w:tc>
          <w:tcPr>
            <w:tcW w:w="923" w:type="dxa"/>
            <w:tcBorders>
              <w:top w:val="nil"/>
              <w:left w:val="nil"/>
              <w:bottom w:val="single" w:color="000000" w:sz="4" w:space="0"/>
              <w:right w:val="single" w:color="000000" w:sz="4" w:space="0"/>
            </w:tcBorders>
            <w:shd w:val="clear" w:color="auto" w:fill="auto"/>
            <w:vAlign w:val="center"/>
          </w:tcPr>
          <w:p w14:paraId="3E2ECE5F">
            <w:pPr>
              <w:jc w:val="center"/>
              <w:rPr>
                <w:rFonts w:ascii="微软雅黑" w:hAnsi="微软雅黑" w:eastAsia="微软雅黑" w:cs="宋体"/>
                <w:i/>
                <w:iCs/>
                <w:color w:val="000000"/>
                <w:kern w:val="0"/>
                <w:sz w:val="16"/>
                <w:szCs w:val="16"/>
              </w:rPr>
            </w:pPr>
          </w:p>
        </w:tc>
        <w:tc>
          <w:tcPr>
            <w:tcW w:w="1308" w:type="dxa"/>
            <w:tcBorders>
              <w:top w:val="nil"/>
              <w:left w:val="nil"/>
              <w:bottom w:val="single" w:color="000000" w:sz="4" w:space="0"/>
              <w:right w:val="single" w:color="000000" w:sz="4" w:space="0"/>
            </w:tcBorders>
            <w:shd w:val="clear" w:color="auto" w:fill="auto"/>
            <w:vAlign w:val="center"/>
          </w:tcPr>
          <w:p w14:paraId="7AFBB02F">
            <w:pPr>
              <w:jc w:val="center"/>
              <w:rPr>
                <w:rFonts w:ascii="微软雅黑" w:hAnsi="微软雅黑" w:eastAsia="微软雅黑" w:cs="宋体"/>
                <w:i/>
                <w:iCs/>
                <w:color w:val="000000"/>
                <w:kern w:val="0"/>
                <w:sz w:val="16"/>
                <w:szCs w:val="16"/>
              </w:rPr>
            </w:pPr>
          </w:p>
        </w:tc>
        <w:tc>
          <w:tcPr>
            <w:tcW w:w="1611" w:type="dxa"/>
            <w:gridSpan w:val="3"/>
            <w:tcBorders>
              <w:top w:val="single" w:color="000000" w:sz="4" w:space="0"/>
              <w:left w:val="nil"/>
              <w:bottom w:val="single" w:color="000000" w:sz="4" w:space="0"/>
              <w:right w:val="single" w:color="000000" w:sz="4" w:space="0"/>
            </w:tcBorders>
            <w:shd w:val="clear" w:color="auto" w:fill="auto"/>
            <w:vAlign w:val="center"/>
          </w:tcPr>
          <w:p w14:paraId="68854380">
            <w:pPr>
              <w:jc w:val="center"/>
              <w:rPr>
                <w:rFonts w:ascii="微软雅黑" w:hAnsi="微软雅黑" w:eastAsia="微软雅黑" w:cs="宋体"/>
                <w:i/>
                <w:iCs/>
                <w:color w:val="000000"/>
                <w:kern w:val="0"/>
                <w:sz w:val="16"/>
                <w:szCs w:val="16"/>
              </w:rPr>
            </w:pPr>
          </w:p>
        </w:tc>
        <w:tc>
          <w:tcPr>
            <w:tcW w:w="846" w:type="dxa"/>
            <w:tcBorders>
              <w:top w:val="nil"/>
              <w:left w:val="nil"/>
              <w:bottom w:val="single" w:color="000000" w:sz="4" w:space="0"/>
              <w:right w:val="single" w:color="000000" w:sz="4" w:space="0"/>
            </w:tcBorders>
            <w:shd w:val="clear" w:color="auto" w:fill="auto"/>
            <w:vAlign w:val="center"/>
          </w:tcPr>
          <w:p w14:paraId="213D1CDE">
            <w:pPr>
              <w:jc w:val="center"/>
              <w:rPr>
                <w:rFonts w:ascii="微软雅黑" w:hAnsi="微软雅黑" w:eastAsia="微软雅黑" w:cs="宋体"/>
                <w:i/>
                <w:iCs/>
                <w:color w:val="000000"/>
                <w:kern w:val="0"/>
                <w:sz w:val="16"/>
                <w:szCs w:val="16"/>
              </w:rPr>
            </w:pPr>
          </w:p>
        </w:tc>
        <w:tc>
          <w:tcPr>
            <w:tcW w:w="486" w:type="dxa"/>
            <w:tcBorders>
              <w:top w:val="nil"/>
              <w:left w:val="nil"/>
              <w:bottom w:val="single" w:color="000000" w:sz="4" w:space="0"/>
              <w:right w:val="single" w:color="000000" w:sz="4" w:space="0"/>
            </w:tcBorders>
            <w:shd w:val="clear" w:color="auto" w:fill="auto"/>
            <w:vAlign w:val="center"/>
          </w:tcPr>
          <w:p w14:paraId="7C95EB96">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w:t>
            </w:r>
          </w:p>
        </w:tc>
        <w:tc>
          <w:tcPr>
            <w:tcW w:w="486" w:type="dxa"/>
            <w:tcBorders>
              <w:top w:val="nil"/>
              <w:left w:val="nil"/>
              <w:bottom w:val="single" w:color="000000" w:sz="4" w:space="0"/>
              <w:right w:val="single" w:color="000000" w:sz="4" w:space="0"/>
            </w:tcBorders>
            <w:shd w:val="clear" w:color="auto" w:fill="auto"/>
            <w:vAlign w:val="center"/>
          </w:tcPr>
          <w:p w14:paraId="565CAADC">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w:t>
            </w:r>
          </w:p>
        </w:tc>
        <w:tc>
          <w:tcPr>
            <w:tcW w:w="1290" w:type="dxa"/>
            <w:vMerge w:val="continue"/>
            <w:tcBorders>
              <w:top w:val="nil"/>
              <w:left w:val="single" w:color="000000" w:sz="4" w:space="0"/>
              <w:bottom w:val="single" w:color="000000" w:sz="4" w:space="0"/>
              <w:right w:val="single" w:color="000000" w:sz="4" w:space="0"/>
            </w:tcBorders>
            <w:vAlign w:val="center"/>
          </w:tcPr>
          <w:p w14:paraId="00681DB2">
            <w:pPr>
              <w:rPr>
                <w:rFonts w:ascii="Courier New" w:hAnsi="Courier New" w:cs="Courier New"/>
                <w:i/>
                <w:iCs/>
                <w:color w:val="000000"/>
                <w:kern w:val="0"/>
                <w:sz w:val="18"/>
                <w:szCs w:val="18"/>
              </w:rPr>
            </w:pPr>
          </w:p>
        </w:tc>
      </w:tr>
      <w:tr w14:paraId="27F751FB">
        <w:tblPrEx>
          <w:tblCellMar>
            <w:top w:w="0" w:type="dxa"/>
            <w:left w:w="108" w:type="dxa"/>
            <w:bottom w:w="0" w:type="dxa"/>
            <w:right w:w="108" w:type="dxa"/>
          </w:tblCellMar>
        </w:tblPrEx>
        <w:trPr>
          <w:trHeight w:val="454" w:hRule="atLeast"/>
        </w:trPr>
        <w:tc>
          <w:tcPr>
            <w:tcW w:w="576" w:type="dxa"/>
            <w:vMerge w:val="restart"/>
            <w:tcBorders>
              <w:top w:val="nil"/>
              <w:left w:val="single" w:color="000000" w:sz="4" w:space="0"/>
              <w:bottom w:val="single" w:color="000000" w:sz="4" w:space="0"/>
              <w:right w:val="single" w:color="000000" w:sz="4" w:space="0"/>
            </w:tcBorders>
            <w:shd w:val="clear" w:color="auto" w:fill="auto"/>
            <w:vAlign w:val="center"/>
          </w:tcPr>
          <w:p w14:paraId="24E5AC1B">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绩效指标（90分）</w:t>
            </w:r>
          </w:p>
        </w:tc>
        <w:tc>
          <w:tcPr>
            <w:tcW w:w="996" w:type="dxa"/>
            <w:tcBorders>
              <w:top w:val="nil"/>
              <w:left w:val="nil"/>
              <w:bottom w:val="single" w:color="000000" w:sz="4" w:space="0"/>
              <w:right w:val="single" w:color="000000" w:sz="4" w:space="0"/>
            </w:tcBorders>
            <w:shd w:val="clear" w:color="auto" w:fill="auto"/>
            <w:vAlign w:val="center"/>
          </w:tcPr>
          <w:p w14:paraId="3B78FB21">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一级指标</w:t>
            </w:r>
          </w:p>
        </w:tc>
        <w:tc>
          <w:tcPr>
            <w:tcW w:w="923" w:type="dxa"/>
            <w:tcBorders>
              <w:top w:val="nil"/>
              <w:left w:val="nil"/>
              <w:bottom w:val="single" w:color="000000" w:sz="4" w:space="0"/>
              <w:right w:val="single" w:color="000000" w:sz="4" w:space="0"/>
            </w:tcBorders>
            <w:shd w:val="clear" w:color="auto" w:fill="auto"/>
            <w:vAlign w:val="center"/>
          </w:tcPr>
          <w:p w14:paraId="48057B4F">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二级指标</w:t>
            </w:r>
          </w:p>
        </w:tc>
        <w:tc>
          <w:tcPr>
            <w:tcW w:w="1308" w:type="dxa"/>
            <w:tcBorders>
              <w:top w:val="nil"/>
              <w:left w:val="nil"/>
              <w:bottom w:val="single" w:color="000000" w:sz="4" w:space="0"/>
              <w:right w:val="single" w:color="000000" w:sz="4" w:space="0"/>
            </w:tcBorders>
            <w:shd w:val="clear" w:color="auto" w:fill="auto"/>
            <w:vAlign w:val="center"/>
          </w:tcPr>
          <w:p w14:paraId="471F490E">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三级指标</w:t>
            </w:r>
          </w:p>
        </w:tc>
        <w:tc>
          <w:tcPr>
            <w:tcW w:w="396" w:type="dxa"/>
            <w:tcBorders>
              <w:top w:val="nil"/>
              <w:left w:val="nil"/>
              <w:bottom w:val="single" w:color="000000" w:sz="4" w:space="0"/>
              <w:right w:val="single" w:color="000000" w:sz="4" w:space="0"/>
            </w:tcBorders>
            <w:shd w:val="clear" w:color="auto" w:fill="auto"/>
            <w:vAlign w:val="center"/>
          </w:tcPr>
          <w:p w14:paraId="128681C6">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指标性质</w:t>
            </w:r>
          </w:p>
        </w:tc>
        <w:tc>
          <w:tcPr>
            <w:tcW w:w="819" w:type="dxa"/>
            <w:tcBorders>
              <w:top w:val="nil"/>
              <w:left w:val="nil"/>
              <w:bottom w:val="single" w:color="000000" w:sz="4" w:space="0"/>
              <w:right w:val="single" w:color="000000" w:sz="4" w:space="0"/>
            </w:tcBorders>
            <w:shd w:val="clear" w:color="auto" w:fill="auto"/>
            <w:vAlign w:val="center"/>
          </w:tcPr>
          <w:p w14:paraId="4C7E8BD5">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指标值</w:t>
            </w:r>
          </w:p>
        </w:tc>
        <w:tc>
          <w:tcPr>
            <w:tcW w:w="396" w:type="dxa"/>
            <w:tcBorders>
              <w:top w:val="nil"/>
              <w:left w:val="nil"/>
              <w:bottom w:val="single" w:color="000000" w:sz="4" w:space="0"/>
              <w:right w:val="single" w:color="000000" w:sz="4" w:space="0"/>
            </w:tcBorders>
            <w:shd w:val="clear" w:color="auto" w:fill="auto"/>
            <w:vAlign w:val="center"/>
          </w:tcPr>
          <w:p w14:paraId="0AA2690C">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nil"/>
              <w:left w:val="nil"/>
              <w:bottom w:val="single" w:color="000000" w:sz="4" w:space="0"/>
              <w:right w:val="single" w:color="000000" w:sz="4" w:space="0"/>
            </w:tcBorders>
            <w:shd w:val="clear" w:color="auto" w:fill="auto"/>
            <w:vAlign w:val="center"/>
          </w:tcPr>
          <w:p w14:paraId="69BED279">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完成值</w:t>
            </w:r>
          </w:p>
        </w:tc>
        <w:tc>
          <w:tcPr>
            <w:tcW w:w="486" w:type="dxa"/>
            <w:tcBorders>
              <w:top w:val="nil"/>
              <w:left w:val="nil"/>
              <w:bottom w:val="single" w:color="000000" w:sz="4" w:space="0"/>
              <w:right w:val="single" w:color="000000" w:sz="4" w:space="0"/>
            </w:tcBorders>
            <w:shd w:val="clear" w:color="auto" w:fill="auto"/>
            <w:vAlign w:val="center"/>
          </w:tcPr>
          <w:p w14:paraId="78F66CB5">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权重</w:t>
            </w:r>
          </w:p>
        </w:tc>
        <w:tc>
          <w:tcPr>
            <w:tcW w:w="486" w:type="dxa"/>
            <w:tcBorders>
              <w:top w:val="nil"/>
              <w:left w:val="nil"/>
              <w:bottom w:val="single" w:color="000000" w:sz="4" w:space="0"/>
              <w:right w:val="single" w:color="000000" w:sz="4" w:space="0"/>
            </w:tcBorders>
            <w:shd w:val="clear" w:color="auto" w:fill="auto"/>
            <w:vAlign w:val="center"/>
          </w:tcPr>
          <w:p w14:paraId="19314FC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290" w:type="dxa"/>
            <w:tcBorders>
              <w:top w:val="nil"/>
              <w:left w:val="nil"/>
              <w:bottom w:val="single" w:color="000000" w:sz="4" w:space="0"/>
              <w:right w:val="single" w:color="000000" w:sz="4" w:space="0"/>
            </w:tcBorders>
            <w:shd w:val="clear" w:color="auto" w:fill="auto"/>
            <w:vAlign w:val="center"/>
          </w:tcPr>
          <w:p w14:paraId="225EB3A2">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未完成原因分析</w:t>
            </w:r>
          </w:p>
        </w:tc>
      </w:tr>
      <w:tr w14:paraId="1EE354C1">
        <w:tblPrEx>
          <w:tblCellMar>
            <w:top w:w="0" w:type="dxa"/>
            <w:left w:w="108" w:type="dxa"/>
            <w:bottom w:w="0" w:type="dxa"/>
            <w:right w:w="108" w:type="dxa"/>
          </w:tblCellMar>
        </w:tblPrEx>
        <w:trPr>
          <w:trHeight w:val="338" w:hRule="atLeast"/>
        </w:trPr>
        <w:tc>
          <w:tcPr>
            <w:tcW w:w="576" w:type="dxa"/>
            <w:vMerge w:val="continue"/>
            <w:tcBorders>
              <w:top w:val="nil"/>
              <w:left w:val="single" w:color="000000" w:sz="4" w:space="0"/>
              <w:bottom w:val="single" w:color="000000" w:sz="4" w:space="0"/>
              <w:right w:val="single" w:color="000000" w:sz="4" w:space="0"/>
            </w:tcBorders>
            <w:vAlign w:val="center"/>
          </w:tcPr>
          <w:p w14:paraId="15D4305B">
            <w:pPr>
              <w:jc w:val="center"/>
              <w:rPr>
                <w:rFonts w:ascii="宋体" w:hAnsi="宋体" w:cs="宋体"/>
                <w:color w:val="000000"/>
                <w:kern w:val="0"/>
                <w:sz w:val="18"/>
                <w:szCs w:val="18"/>
              </w:rPr>
            </w:pPr>
          </w:p>
        </w:tc>
        <w:tc>
          <w:tcPr>
            <w:tcW w:w="996" w:type="dxa"/>
            <w:tcBorders>
              <w:top w:val="nil"/>
              <w:left w:val="nil"/>
              <w:bottom w:val="single" w:color="000000" w:sz="4" w:space="0"/>
              <w:right w:val="single" w:color="000000" w:sz="4" w:space="0"/>
            </w:tcBorders>
            <w:shd w:val="clear" w:color="auto" w:fill="auto"/>
            <w:vAlign w:val="center"/>
          </w:tcPr>
          <w:p w14:paraId="083278A9">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产出指标</w:t>
            </w:r>
          </w:p>
        </w:tc>
        <w:tc>
          <w:tcPr>
            <w:tcW w:w="923" w:type="dxa"/>
            <w:tcBorders>
              <w:top w:val="nil"/>
              <w:left w:val="nil"/>
              <w:bottom w:val="single" w:color="000000" w:sz="4" w:space="0"/>
              <w:right w:val="single" w:color="000000" w:sz="4" w:space="0"/>
            </w:tcBorders>
            <w:shd w:val="clear" w:color="auto" w:fill="auto"/>
            <w:vAlign w:val="center"/>
          </w:tcPr>
          <w:p w14:paraId="2ED33DF2">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数量指标</w:t>
            </w:r>
          </w:p>
        </w:tc>
        <w:tc>
          <w:tcPr>
            <w:tcW w:w="1308" w:type="dxa"/>
            <w:tcBorders>
              <w:top w:val="nil"/>
              <w:left w:val="nil"/>
              <w:bottom w:val="single" w:color="000000" w:sz="4" w:space="0"/>
              <w:right w:val="single" w:color="000000" w:sz="4" w:space="0"/>
            </w:tcBorders>
            <w:shd w:val="clear" w:color="auto" w:fill="auto"/>
            <w:vAlign w:val="center"/>
          </w:tcPr>
          <w:p w14:paraId="572FCA43">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发放（缴纳）覆盖率</w:t>
            </w:r>
          </w:p>
        </w:tc>
        <w:tc>
          <w:tcPr>
            <w:tcW w:w="396" w:type="dxa"/>
            <w:tcBorders>
              <w:top w:val="nil"/>
              <w:left w:val="nil"/>
              <w:bottom w:val="single" w:color="000000" w:sz="4" w:space="0"/>
              <w:right w:val="single" w:color="000000" w:sz="4" w:space="0"/>
            </w:tcBorders>
            <w:shd w:val="clear" w:color="auto" w:fill="auto"/>
            <w:vAlign w:val="center"/>
          </w:tcPr>
          <w:p w14:paraId="7D57BCB5">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w:t>
            </w:r>
          </w:p>
        </w:tc>
        <w:tc>
          <w:tcPr>
            <w:tcW w:w="819" w:type="dxa"/>
            <w:tcBorders>
              <w:top w:val="nil"/>
              <w:left w:val="nil"/>
              <w:bottom w:val="single" w:color="000000" w:sz="4" w:space="0"/>
              <w:right w:val="single" w:color="000000" w:sz="4" w:space="0"/>
            </w:tcBorders>
            <w:shd w:val="clear" w:color="auto" w:fill="auto"/>
            <w:vAlign w:val="center"/>
          </w:tcPr>
          <w:p w14:paraId="3EB18401">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100</w:t>
            </w:r>
          </w:p>
        </w:tc>
        <w:tc>
          <w:tcPr>
            <w:tcW w:w="396" w:type="dxa"/>
            <w:tcBorders>
              <w:top w:val="nil"/>
              <w:left w:val="nil"/>
              <w:bottom w:val="single" w:color="000000" w:sz="4" w:space="0"/>
              <w:right w:val="single" w:color="000000" w:sz="4" w:space="0"/>
            </w:tcBorders>
            <w:shd w:val="clear" w:color="auto" w:fill="auto"/>
            <w:vAlign w:val="center"/>
          </w:tcPr>
          <w:p w14:paraId="585BE0D0">
            <w:pPr>
              <w:keepNext w:val="0"/>
              <w:keepLines w:val="0"/>
              <w:widowControl/>
              <w:suppressLineNumbers w:val="0"/>
              <w:jc w:val="center"/>
              <w:textAlignment w:val="center"/>
              <w:rPr>
                <w:rFonts w:ascii="微软雅黑" w:hAnsi="微软雅黑" w:eastAsia="微软雅黑" w:cs="宋体"/>
                <w:i/>
                <w:iCs/>
                <w:color w:val="000000"/>
                <w:kern w:val="0"/>
                <w:sz w:val="16"/>
                <w:szCs w:val="16"/>
              </w:rPr>
            </w:pPr>
            <w:r>
              <w:rPr>
                <w:rFonts w:ascii="宋体" w:hAnsi="宋体" w:eastAsia="宋体" w:cs="宋体"/>
                <w:i w:val="0"/>
                <w:iCs w:val="0"/>
                <w:color w:val="000000"/>
                <w:kern w:val="0"/>
                <w:sz w:val="18"/>
                <w:szCs w:val="18"/>
                <w:u w:val="none"/>
                <w:lang w:val="en-US" w:eastAsia="zh-CN" w:bidi="ar"/>
              </w:rPr>
              <w:t>%</w:t>
            </w:r>
          </w:p>
        </w:tc>
        <w:tc>
          <w:tcPr>
            <w:tcW w:w="846" w:type="dxa"/>
            <w:tcBorders>
              <w:top w:val="nil"/>
              <w:left w:val="nil"/>
              <w:bottom w:val="single" w:color="000000" w:sz="4" w:space="0"/>
              <w:right w:val="single" w:color="000000" w:sz="4" w:space="0"/>
            </w:tcBorders>
            <w:shd w:val="clear" w:color="auto" w:fill="auto"/>
            <w:vAlign w:val="center"/>
          </w:tcPr>
          <w:p w14:paraId="75442683">
            <w:pPr>
              <w:jc w:val="center"/>
              <w:rPr>
                <w:rFonts w:ascii="宋体" w:hAnsi="宋体" w:cs="宋体"/>
                <w:color w:val="000000"/>
                <w:kern w:val="0"/>
                <w:sz w:val="18"/>
                <w:szCs w:val="18"/>
              </w:rPr>
            </w:pPr>
          </w:p>
        </w:tc>
        <w:tc>
          <w:tcPr>
            <w:tcW w:w="486" w:type="dxa"/>
            <w:tcBorders>
              <w:top w:val="nil"/>
              <w:left w:val="nil"/>
              <w:bottom w:val="single" w:color="000000" w:sz="4" w:space="0"/>
              <w:right w:val="single" w:color="000000" w:sz="4" w:space="0"/>
            </w:tcBorders>
            <w:shd w:val="clear" w:color="auto" w:fill="auto"/>
            <w:vAlign w:val="center"/>
          </w:tcPr>
          <w:p w14:paraId="5E1C2C32">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60</w:t>
            </w:r>
          </w:p>
        </w:tc>
        <w:tc>
          <w:tcPr>
            <w:tcW w:w="486" w:type="dxa"/>
            <w:tcBorders>
              <w:top w:val="nil"/>
              <w:left w:val="nil"/>
              <w:bottom w:val="single" w:color="000000" w:sz="4" w:space="0"/>
              <w:right w:val="single" w:color="000000" w:sz="4" w:space="0"/>
            </w:tcBorders>
            <w:shd w:val="clear" w:color="auto" w:fill="auto"/>
            <w:vAlign w:val="center"/>
          </w:tcPr>
          <w:p w14:paraId="136F217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60</w:t>
            </w:r>
          </w:p>
        </w:tc>
        <w:tc>
          <w:tcPr>
            <w:tcW w:w="1290" w:type="dxa"/>
            <w:tcBorders>
              <w:top w:val="nil"/>
              <w:left w:val="nil"/>
              <w:bottom w:val="single" w:color="000000" w:sz="4" w:space="0"/>
              <w:right w:val="single" w:color="000000" w:sz="4" w:space="0"/>
            </w:tcBorders>
            <w:shd w:val="clear" w:color="auto" w:fill="auto"/>
            <w:vAlign w:val="center"/>
          </w:tcPr>
          <w:p w14:paraId="02D617FE">
            <w:pPr>
              <w:jc w:val="center"/>
              <w:rPr>
                <w:rFonts w:ascii="微软雅黑" w:hAnsi="微软雅黑" w:eastAsia="微软雅黑" w:cs="宋体"/>
                <w:i/>
                <w:iCs/>
                <w:color w:val="000000"/>
                <w:kern w:val="0"/>
                <w:sz w:val="16"/>
                <w:szCs w:val="16"/>
              </w:rPr>
            </w:pPr>
          </w:p>
        </w:tc>
      </w:tr>
      <w:tr w14:paraId="6FA5D77C">
        <w:tblPrEx>
          <w:tblCellMar>
            <w:top w:w="0" w:type="dxa"/>
            <w:left w:w="108" w:type="dxa"/>
            <w:bottom w:w="0" w:type="dxa"/>
            <w:right w:w="108" w:type="dxa"/>
          </w:tblCellMar>
        </w:tblPrEx>
        <w:trPr>
          <w:trHeight w:val="338" w:hRule="atLeast"/>
        </w:trPr>
        <w:tc>
          <w:tcPr>
            <w:tcW w:w="576" w:type="dxa"/>
            <w:vMerge w:val="continue"/>
            <w:tcBorders>
              <w:top w:val="nil"/>
              <w:left w:val="single" w:color="000000" w:sz="4" w:space="0"/>
              <w:bottom w:val="single" w:color="000000" w:sz="4" w:space="0"/>
              <w:right w:val="single" w:color="000000" w:sz="4" w:space="0"/>
            </w:tcBorders>
            <w:vAlign w:val="center"/>
          </w:tcPr>
          <w:p w14:paraId="78E96657">
            <w:pPr>
              <w:jc w:val="center"/>
              <w:rPr>
                <w:rFonts w:ascii="宋体" w:hAnsi="宋体" w:cs="宋体"/>
                <w:color w:val="000000"/>
                <w:kern w:val="0"/>
                <w:sz w:val="18"/>
                <w:szCs w:val="18"/>
              </w:rPr>
            </w:pPr>
          </w:p>
        </w:tc>
        <w:tc>
          <w:tcPr>
            <w:tcW w:w="996" w:type="dxa"/>
            <w:tcBorders>
              <w:top w:val="nil"/>
              <w:left w:val="nil"/>
              <w:bottom w:val="single" w:color="000000" w:sz="4" w:space="0"/>
              <w:right w:val="single" w:color="000000" w:sz="4" w:space="0"/>
            </w:tcBorders>
            <w:shd w:val="clear" w:color="auto" w:fill="auto"/>
            <w:vAlign w:val="center"/>
          </w:tcPr>
          <w:p w14:paraId="541EC0B5">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效益指标</w:t>
            </w:r>
          </w:p>
        </w:tc>
        <w:tc>
          <w:tcPr>
            <w:tcW w:w="923" w:type="dxa"/>
            <w:tcBorders>
              <w:top w:val="nil"/>
              <w:left w:val="nil"/>
              <w:bottom w:val="single" w:color="000000" w:sz="4" w:space="0"/>
              <w:right w:val="single" w:color="000000" w:sz="4" w:space="0"/>
            </w:tcBorders>
            <w:shd w:val="clear" w:color="auto" w:fill="auto"/>
            <w:vAlign w:val="center"/>
          </w:tcPr>
          <w:p w14:paraId="10EFB9A5">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社会效益指标</w:t>
            </w:r>
          </w:p>
        </w:tc>
        <w:tc>
          <w:tcPr>
            <w:tcW w:w="1308" w:type="dxa"/>
            <w:tcBorders>
              <w:top w:val="nil"/>
              <w:left w:val="nil"/>
              <w:bottom w:val="single" w:color="000000" w:sz="4" w:space="0"/>
              <w:right w:val="single" w:color="000000" w:sz="4" w:space="0"/>
            </w:tcBorders>
            <w:shd w:val="clear" w:color="auto" w:fill="auto"/>
            <w:vAlign w:val="center"/>
          </w:tcPr>
          <w:p w14:paraId="1A2157E8">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足额保障率（参保率）</w:t>
            </w:r>
          </w:p>
        </w:tc>
        <w:tc>
          <w:tcPr>
            <w:tcW w:w="396" w:type="dxa"/>
            <w:tcBorders>
              <w:top w:val="nil"/>
              <w:left w:val="nil"/>
              <w:bottom w:val="single" w:color="000000" w:sz="4" w:space="0"/>
              <w:right w:val="single" w:color="000000" w:sz="4" w:space="0"/>
            </w:tcBorders>
            <w:shd w:val="clear" w:color="auto" w:fill="auto"/>
            <w:vAlign w:val="center"/>
          </w:tcPr>
          <w:p w14:paraId="4C057FB9">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w:t>
            </w:r>
          </w:p>
        </w:tc>
        <w:tc>
          <w:tcPr>
            <w:tcW w:w="819" w:type="dxa"/>
            <w:tcBorders>
              <w:top w:val="nil"/>
              <w:left w:val="nil"/>
              <w:bottom w:val="single" w:color="000000" w:sz="4" w:space="0"/>
              <w:right w:val="single" w:color="000000" w:sz="4" w:space="0"/>
            </w:tcBorders>
            <w:shd w:val="clear" w:color="auto" w:fill="auto"/>
            <w:vAlign w:val="center"/>
          </w:tcPr>
          <w:p w14:paraId="0274B4ED">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100</w:t>
            </w:r>
          </w:p>
        </w:tc>
        <w:tc>
          <w:tcPr>
            <w:tcW w:w="396" w:type="dxa"/>
            <w:tcBorders>
              <w:top w:val="nil"/>
              <w:left w:val="nil"/>
              <w:bottom w:val="single" w:color="000000" w:sz="4" w:space="0"/>
              <w:right w:val="single" w:color="000000" w:sz="4" w:space="0"/>
            </w:tcBorders>
            <w:shd w:val="clear" w:color="auto" w:fill="auto"/>
            <w:vAlign w:val="center"/>
          </w:tcPr>
          <w:p w14:paraId="2F566111">
            <w:pPr>
              <w:keepNext w:val="0"/>
              <w:keepLines w:val="0"/>
              <w:widowControl/>
              <w:suppressLineNumbers w:val="0"/>
              <w:jc w:val="center"/>
              <w:textAlignment w:val="center"/>
              <w:rPr>
                <w:rFonts w:ascii="微软雅黑" w:hAnsi="微软雅黑" w:eastAsia="微软雅黑" w:cs="宋体"/>
                <w:i/>
                <w:iCs/>
                <w:color w:val="000000"/>
                <w:kern w:val="0"/>
                <w:sz w:val="16"/>
                <w:szCs w:val="16"/>
              </w:rPr>
            </w:pPr>
            <w:r>
              <w:rPr>
                <w:rFonts w:ascii="宋体" w:hAnsi="宋体" w:eastAsia="宋体" w:cs="宋体"/>
                <w:i w:val="0"/>
                <w:iCs w:val="0"/>
                <w:color w:val="000000"/>
                <w:kern w:val="0"/>
                <w:sz w:val="18"/>
                <w:szCs w:val="18"/>
                <w:u w:val="none"/>
                <w:lang w:val="en-US" w:eastAsia="zh-CN" w:bidi="ar"/>
              </w:rPr>
              <w:t>%</w:t>
            </w:r>
          </w:p>
        </w:tc>
        <w:tc>
          <w:tcPr>
            <w:tcW w:w="846" w:type="dxa"/>
            <w:tcBorders>
              <w:top w:val="nil"/>
              <w:left w:val="nil"/>
              <w:bottom w:val="single" w:color="000000" w:sz="4" w:space="0"/>
              <w:right w:val="single" w:color="000000" w:sz="4" w:space="0"/>
            </w:tcBorders>
            <w:shd w:val="clear" w:color="auto" w:fill="auto"/>
            <w:vAlign w:val="center"/>
          </w:tcPr>
          <w:p w14:paraId="053B5714">
            <w:pPr>
              <w:jc w:val="center"/>
              <w:rPr>
                <w:rFonts w:ascii="宋体" w:hAnsi="宋体" w:cs="宋体"/>
                <w:color w:val="000000"/>
                <w:kern w:val="0"/>
                <w:sz w:val="18"/>
                <w:szCs w:val="18"/>
              </w:rPr>
            </w:pPr>
          </w:p>
        </w:tc>
        <w:tc>
          <w:tcPr>
            <w:tcW w:w="486" w:type="dxa"/>
            <w:tcBorders>
              <w:top w:val="nil"/>
              <w:left w:val="nil"/>
              <w:bottom w:val="single" w:color="000000" w:sz="4" w:space="0"/>
              <w:right w:val="single" w:color="000000" w:sz="4" w:space="0"/>
            </w:tcBorders>
            <w:shd w:val="clear" w:color="auto" w:fill="auto"/>
            <w:vAlign w:val="center"/>
          </w:tcPr>
          <w:p w14:paraId="4FFDDB13">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30</w:t>
            </w:r>
          </w:p>
        </w:tc>
        <w:tc>
          <w:tcPr>
            <w:tcW w:w="486" w:type="dxa"/>
            <w:tcBorders>
              <w:top w:val="nil"/>
              <w:left w:val="nil"/>
              <w:bottom w:val="single" w:color="000000" w:sz="4" w:space="0"/>
              <w:right w:val="single" w:color="000000" w:sz="4" w:space="0"/>
            </w:tcBorders>
            <w:shd w:val="clear" w:color="auto" w:fill="auto"/>
            <w:vAlign w:val="center"/>
          </w:tcPr>
          <w:p w14:paraId="4AB0537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30</w:t>
            </w:r>
          </w:p>
        </w:tc>
        <w:tc>
          <w:tcPr>
            <w:tcW w:w="1290" w:type="dxa"/>
            <w:tcBorders>
              <w:top w:val="nil"/>
              <w:left w:val="nil"/>
              <w:bottom w:val="single" w:color="000000" w:sz="4" w:space="0"/>
              <w:right w:val="single" w:color="000000" w:sz="4" w:space="0"/>
            </w:tcBorders>
            <w:shd w:val="clear" w:color="auto" w:fill="auto"/>
            <w:vAlign w:val="center"/>
          </w:tcPr>
          <w:p w14:paraId="1F2BD69E">
            <w:pPr>
              <w:jc w:val="center"/>
              <w:rPr>
                <w:rFonts w:ascii="微软雅黑" w:hAnsi="微软雅黑" w:eastAsia="微软雅黑" w:cs="宋体"/>
                <w:i/>
                <w:iCs/>
                <w:color w:val="000000"/>
                <w:kern w:val="0"/>
                <w:sz w:val="16"/>
                <w:szCs w:val="16"/>
              </w:rPr>
            </w:pPr>
          </w:p>
        </w:tc>
      </w:tr>
      <w:tr w14:paraId="62D568E5">
        <w:tblPrEx>
          <w:tblCellMar>
            <w:top w:w="0" w:type="dxa"/>
            <w:left w:w="108" w:type="dxa"/>
            <w:bottom w:w="0" w:type="dxa"/>
            <w:right w:w="108" w:type="dxa"/>
          </w:tblCellMar>
        </w:tblPrEx>
        <w:trPr>
          <w:trHeight w:val="285" w:hRule="atLeast"/>
        </w:trPr>
        <w:tc>
          <w:tcPr>
            <w:tcW w:w="626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7EAF42C">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合计</w:t>
            </w:r>
          </w:p>
        </w:tc>
        <w:tc>
          <w:tcPr>
            <w:tcW w:w="486" w:type="dxa"/>
            <w:tcBorders>
              <w:top w:val="nil"/>
              <w:left w:val="nil"/>
              <w:bottom w:val="single" w:color="000000" w:sz="4" w:space="0"/>
              <w:right w:val="single" w:color="000000" w:sz="4" w:space="0"/>
            </w:tcBorders>
            <w:shd w:val="clear" w:color="auto" w:fill="auto"/>
            <w:vAlign w:val="center"/>
          </w:tcPr>
          <w:p w14:paraId="10E90C12">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100</w:t>
            </w:r>
          </w:p>
        </w:tc>
        <w:tc>
          <w:tcPr>
            <w:tcW w:w="486" w:type="dxa"/>
            <w:tcBorders>
              <w:top w:val="nil"/>
              <w:left w:val="nil"/>
              <w:bottom w:val="single" w:color="000000" w:sz="4" w:space="0"/>
              <w:right w:val="single" w:color="000000" w:sz="4" w:space="0"/>
            </w:tcBorders>
            <w:shd w:val="clear" w:color="auto" w:fill="auto"/>
            <w:vAlign w:val="center"/>
          </w:tcPr>
          <w:p w14:paraId="4E296582">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100</w:t>
            </w:r>
          </w:p>
        </w:tc>
        <w:tc>
          <w:tcPr>
            <w:tcW w:w="1290" w:type="dxa"/>
            <w:tcBorders>
              <w:top w:val="nil"/>
              <w:left w:val="nil"/>
              <w:bottom w:val="single" w:color="000000" w:sz="4" w:space="0"/>
              <w:right w:val="single" w:color="000000" w:sz="4" w:space="0"/>
            </w:tcBorders>
            <w:shd w:val="clear" w:color="auto" w:fill="auto"/>
            <w:vAlign w:val="center"/>
          </w:tcPr>
          <w:p w14:paraId="09DFCA22">
            <w:pPr>
              <w:rPr>
                <w:rFonts w:ascii="宋体" w:hAnsi="宋体" w:cs="宋体"/>
                <w:color w:val="000000"/>
                <w:kern w:val="0"/>
                <w:sz w:val="18"/>
                <w:szCs w:val="18"/>
              </w:rPr>
            </w:pPr>
          </w:p>
        </w:tc>
      </w:tr>
      <w:tr w14:paraId="4C48C7C5">
        <w:tblPrEx>
          <w:tblCellMar>
            <w:top w:w="0" w:type="dxa"/>
            <w:left w:w="108" w:type="dxa"/>
            <w:bottom w:w="0" w:type="dxa"/>
            <w:right w:w="108" w:type="dxa"/>
          </w:tblCellMar>
        </w:tblPrEx>
        <w:trPr>
          <w:trHeight w:val="604" w:hRule="atLeast"/>
        </w:trPr>
        <w:tc>
          <w:tcPr>
            <w:tcW w:w="576" w:type="dxa"/>
            <w:tcBorders>
              <w:top w:val="nil"/>
              <w:left w:val="single" w:color="000000" w:sz="4" w:space="0"/>
              <w:bottom w:val="single" w:color="000000" w:sz="4" w:space="0"/>
              <w:right w:val="single" w:color="000000" w:sz="4" w:space="0"/>
            </w:tcBorders>
            <w:shd w:val="clear" w:color="auto" w:fill="auto"/>
            <w:vAlign w:val="center"/>
          </w:tcPr>
          <w:p w14:paraId="6518C5C7">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评价结论</w:t>
            </w:r>
          </w:p>
        </w:tc>
        <w:tc>
          <w:tcPr>
            <w:tcW w:w="7946" w:type="dxa"/>
            <w:gridSpan w:val="10"/>
            <w:tcBorders>
              <w:top w:val="single" w:color="000000" w:sz="4" w:space="0"/>
              <w:left w:val="nil"/>
              <w:bottom w:val="single" w:color="000000" w:sz="4" w:space="0"/>
              <w:right w:val="single" w:color="000000" w:sz="4" w:space="0"/>
            </w:tcBorders>
            <w:shd w:val="clear" w:color="auto" w:fill="auto"/>
            <w:vAlign w:val="center"/>
          </w:tcPr>
          <w:p w14:paraId="49302D64">
            <w:pPr>
              <w:keepNext w:val="0"/>
              <w:keepLines w:val="0"/>
              <w:widowControl/>
              <w:suppressLineNumbers w:val="0"/>
              <w:jc w:val="left"/>
              <w:textAlignment w:val="center"/>
              <w:rPr>
                <w:rFonts w:ascii="微软雅黑" w:hAnsi="微软雅黑" w:eastAsia="微软雅黑" w:cs="宋体"/>
                <w:i/>
                <w:iCs/>
                <w:color w:val="000000"/>
                <w:kern w:val="0"/>
                <w:sz w:val="16"/>
                <w:szCs w:val="16"/>
              </w:rPr>
            </w:pPr>
            <w:r>
              <w:rPr>
                <w:rFonts w:hint="eastAsia" w:ascii="微软雅黑" w:hAnsi="微软雅黑" w:eastAsia="微软雅黑" w:cs="微软雅黑"/>
                <w:i/>
                <w:iCs/>
                <w:color w:val="000000"/>
                <w:kern w:val="0"/>
                <w:sz w:val="16"/>
                <w:szCs w:val="16"/>
                <w:u w:val="none"/>
                <w:lang w:val="en-US" w:eastAsia="zh-CN" w:bidi="ar"/>
              </w:rPr>
              <w:t>项目已完成</w:t>
            </w:r>
          </w:p>
        </w:tc>
      </w:tr>
      <w:tr w14:paraId="5519CF0D">
        <w:tblPrEx>
          <w:tblCellMar>
            <w:top w:w="0" w:type="dxa"/>
            <w:left w:w="108" w:type="dxa"/>
            <w:bottom w:w="0" w:type="dxa"/>
            <w:right w:w="108" w:type="dxa"/>
          </w:tblCellMar>
        </w:tblPrEx>
        <w:trPr>
          <w:trHeight w:val="574" w:hRule="atLeast"/>
        </w:trPr>
        <w:tc>
          <w:tcPr>
            <w:tcW w:w="576" w:type="dxa"/>
            <w:tcBorders>
              <w:top w:val="nil"/>
              <w:left w:val="single" w:color="000000" w:sz="4" w:space="0"/>
              <w:bottom w:val="single" w:color="000000" w:sz="4" w:space="0"/>
              <w:right w:val="single" w:color="000000" w:sz="4" w:space="0"/>
            </w:tcBorders>
            <w:shd w:val="clear" w:color="auto" w:fill="auto"/>
            <w:vAlign w:val="center"/>
          </w:tcPr>
          <w:p w14:paraId="22C4EC9F">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存在问题</w:t>
            </w:r>
          </w:p>
        </w:tc>
        <w:tc>
          <w:tcPr>
            <w:tcW w:w="7946" w:type="dxa"/>
            <w:gridSpan w:val="10"/>
            <w:tcBorders>
              <w:top w:val="single" w:color="000000" w:sz="4" w:space="0"/>
              <w:left w:val="nil"/>
              <w:bottom w:val="single" w:color="000000" w:sz="4" w:space="0"/>
              <w:right w:val="single" w:color="000000" w:sz="4" w:space="0"/>
            </w:tcBorders>
            <w:shd w:val="clear" w:color="auto" w:fill="auto"/>
            <w:vAlign w:val="center"/>
          </w:tcPr>
          <w:p w14:paraId="51D0F7C4">
            <w:pPr>
              <w:keepNext w:val="0"/>
              <w:keepLines w:val="0"/>
              <w:widowControl/>
              <w:suppressLineNumbers w:val="0"/>
              <w:jc w:val="left"/>
              <w:textAlignment w:val="center"/>
              <w:rPr>
                <w:rFonts w:ascii="微软雅黑" w:hAnsi="微软雅黑" w:eastAsia="微软雅黑" w:cs="宋体"/>
                <w:i/>
                <w:iCs/>
                <w:color w:val="000000"/>
                <w:kern w:val="0"/>
                <w:sz w:val="16"/>
                <w:szCs w:val="16"/>
              </w:rPr>
            </w:pPr>
            <w:r>
              <w:rPr>
                <w:rFonts w:hint="eastAsia" w:ascii="微软雅黑" w:hAnsi="微软雅黑" w:eastAsia="微软雅黑" w:cs="微软雅黑"/>
                <w:i/>
                <w:iCs/>
                <w:color w:val="000000"/>
                <w:kern w:val="0"/>
                <w:sz w:val="16"/>
                <w:szCs w:val="16"/>
                <w:u w:val="none"/>
                <w:lang w:val="en-US" w:eastAsia="zh-CN" w:bidi="ar"/>
              </w:rPr>
              <w:t>无</w:t>
            </w:r>
          </w:p>
        </w:tc>
      </w:tr>
      <w:tr w14:paraId="19453620">
        <w:tblPrEx>
          <w:tblCellMar>
            <w:top w:w="0" w:type="dxa"/>
            <w:left w:w="108" w:type="dxa"/>
            <w:bottom w:w="0" w:type="dxa"/>
            <w:right w:w="108" w:type="dxa"/>
          </w:tblCellMar>
        </w:tblPrEx>
        <w:trPr>
          <w:trHeight w:val="634" w:hRule="atLeast"/>
        </w:trPr>
        <w:tc>
          <w:tcPr>
            <w:tcW w:w="576" w:type="dxa"/>
            <w:tcBorders>
              <w:top w:val="nil"/>
              <w:left w:val="single" w:color="000000" w:sz="4" w:space="0"/>
              <w:bottom w:val="single" w:color="000000" w:sz="4" w:space="0"/>
              <w:right w:val="single" w:color="000000" w:sz="4" w:space="0"/>
            </w:tcBorders>
            <w:shd w:val="clear" w:color="auto" w:fill="auto"/>
            <w:vAlign w:val="center"/>
          </w:tcPr>
          <w:p w14:paraId="08DB28BA">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改进措施</w:t>
            </w:r>
          </w:p>
        </w:tc>
        <w:tc>
          <w:tcPr>
            <w:tcW w:w="7946" w:type="dxa"/>
            <w:gridSpan w:val="10"/>
            <w:tcBorders>
              <w:top w:val="single" w:color="000000" w:sz="4" w:space="0"/>
              <w:left w:val="nil"/>
              <w:bottom w:val="single" w:color="000000" w:sz="4" w:space="0"/>
              <w:right w:val="single" w:color="000000" w:sz="4" w:space="0"/>
            </w:tcBorders>
            <w:shd w:val="clear" w:color="auto" w:fill="auto"/>
            <w:vAlign w:val="center"/>
          </w:tcPr>
          <w:p w14:paraId="41828F13">
            <w:pPr>
              <w:keepNext w:val="0"/>
              <w:keepLines w:val="0"/>
              <w:widowControl/>
              <w:suppressLineNumbers w:val="0"/>
              <w:jc w:val="left"/>
              <w:textAlignment w:val="center"/>
              <w:rPr>
                <w:rFonts w:ascii="微软雅黑" w:hAnsi="微软雅黑" w:eastAsia="微软雅黑" w:cs="宋体"/>
                <w:i/>
                <w:iCs/>
                <w:color w:val="000000"/>
                <w:kern w:val="0"/>
                <w:sz w:val="16"/>
                <w:szCs w:val="16"/>
              </w:rPr>
            </w:pPr>
            <w:r>
              <w:rPr>
                <w:rFonts w:hint="eastAsia" w:ascii="微软雅黑" w:hAnsi="微软雅黑" w:eastAsia="微软雅黑" w:cs="微软雅黑"/>
                <w:i/>
                <w:iCs/>
                <w:color w:val="000000"/>
                <w:kern w:val="0"/>
                <w:sz w:val="16"/>
                <w:szCs w:val="16"/>
                <w:u w:val="none"/>
                <w:lang w:val="en-US" w:eastAsia="zh-CN" w:bidi="ar"/>
              </w:rPr>
              <w:t>无</w:t>
            </w:r>
          </w:p>
        </w:tc>
      </w:tr>
      <w:tr w14:paraId="35D48242">
        <w:tblPrEx>
          <w:tblCellMar>
            <w:top w:w="0" w:type="dxa"/>
            <w:left w:w="108" w:type="dxa"/>
            <w:bottom w:w="0" w:type="dxa"/>
            <w:right w:w="108" w:type="dxa"/>
          </w:tblCellMar>
        </w:tblPrEx>
        <w:trPr>
          <w:trHeight w:val="285" w:hRule="atLeast"/>
        </w:trPr>
        <w:tc>
          <w:tcPr>
            <w:tcW w:w="419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92229B">
            <w:pPr>
              <w:keepNext w:val="0"/>
              <w:keepLines w:val="0"/>
              <w:widowControl/>
              <w:suppressLineNumbers w:val="0"/>
              <w:jc w:val="left"/>
              <w:textAlignment w:val="center"/>
              <w:rPr>
                <w:rFonts w:ascii="Courier New" w:hAnsi="Courier New" w:cs="Courier New"/>
                <w:color w:val="000000"/>
                <w:kern w:val="0"/>
                <w:sz w:val="18"/>
                <w:szCs w:val="18"/>
              </w:rPr>
            </w:pPr>
            <w:r>
              <w:rPr>
                <w:rFonts w:hint="eastAsia" w:ascii="黑体" w:hAnsi="黑体" w:eastAsia="黑体" w:cs="黑体"/>
                <w:i w:val="0"/>
                <w:iCs w:val="0"/>
                <w:color w:val="000000"/>
                <w:kern w:val="0"/>
                <w:sz w:val="18"/>
                <w:szCs w:val="18"/>
                <w:u w:val="none"/>
                <w:lang w:val="en-US" w:eastAsia="zh-CN" w:bidi="ar"/>
              </w:rPr>
              <w:t>项目负责人：白银勇</w:t>
            </w:r>
          </w:p>
        </w:tc>
        <w:tc>
          <w:tcPr>
            <w:tcW w:w="4323" w:type="dxa"/>
            <w:gridSpan w:val="6"/>
            <w:tcBorders>
              <w:top w:val="single" w:color="000000" w:sz="4" w:space="0"/>
              <w:left w:val="nil"/>
              <w:bottom w:val="single" w:color="000000" w:sz="4" w:space="0"/>
              <w:right w:val="single" w:color="000000" w:sz="4" w:space="0"/>
            </w:tcBorders>
            <w:shd w:val="clear" w:color="auto" w:fill="auto"/>
            <w:vAlign w:val="center"/>
          </w:tcPr>
          <w:p w14:paraId="63FE445C">
            <w:pPr>
              <w:keepNext w:val="0"/>
              <w:keepLines w:val="0"/>
              <w:widowControl/>
              <w:suppressLineNumbers w:val="0"/>
              <w:jc w:val="left"/>
              <w:textAlignment w:val="center"/>
              <w:rPr>
                <w:rFonts w:ascii="Courier New" w:hAnsi="Courier New" w:cs="Courier New"/>
                <w:color w:val="000000"/>
                <w:kern w:val="0"/>
                <w:sz w:val="18"/>
                <w:szCs w:val="18"/>
              </w:rPr>
            </w:pPr>
            <w:r>
              <w:rPr>
                <w:rFonts w:hint="eastAsia" w:ascii="黑体" w:hAnsi="黑体" w:eastAsia="黑体" w:cs="黑体"/>
                <w:i w:val="0"/>
                <w:iCs w:val="0"/>
                <w:color w:val="000000"/>
                <w:kern w:val="0"/>
                <w:sz w:val="18"/>
                <w:szCs w:val="18"/>
                <w:u w:val="none"/>
                <w:lang w:val="en-US" w:eastAsia="zh-CN" w:bidi="ar"/>
              </w:rPr>
              <w:t>财务负责人：龙俊杰</w:t>
            </w:r>
          </w:p>
        </w:tc>
      </w:tr>
      <w:tr w14:paraId="5EF2DA3B">
        <w:tblPrEx>
          <w:tblCellMar>
            <w:top w:w="0" w:type="dxa"/>
            <w:left w:w="108" w:type="dxa"/>
            <w:bottom w:w="0" w:type="dxa"/>
            <w:right w:w="108" w:type="dxa"/>
          </w:tblCellMar>
        </w:tblPrEx>
        <w:trPr>
          <w:trHeight w:val="285" w:hRule="atLeast"/>
        </w:trPr>
        <w:tc>
          <w:tcPr>
            <w:tcW w:w="576" w:type="dxa"/>
            <w:tcBorders>
              <w:top w:val="nil"/>
              <w:left w:val="nil"/>
              <w:bottom w:val="nil"/>
              <w:right w:val="nil"/>
            </w:tcBorders>
            <w:shd w:val="clear" w:color="auto" w:fill="auto"/>
            <w:vAlign w:val="center"/>
          </w:tcPr>
          <w:p w14:paraId="21035F6E">
            <w:pPr>
              <w:rPr>
                <w:rFonts w:ascii="宋体" w:hAnsi="宋体" w:cs="宋体"/>
                <w:kern w:val="0"/>
                <w:sz w:val="18"/>
                <w:szCs w:val="18"/>
              </w:rPr>
            </w:pPr>
          </w:p>
        </w:tc>
        <w:tc>
          <w:tcPr>
            <w:tcW w:w="996" w:type="dxa"/>
            <w:tcBorders>
              <w:top w:val="nil"/>
              <w:left w:val="nil"/>
              <w:bottom w:val="nil"/>
              <w:right w:val="nil"/>
            </w:tcBorders>
            <w:shd w:val="clear" w:color="auto" w:fill="auto"/>
            <w:vAlign w:val="center"/>
          </w:tcPr>
          <w:p w14:paraId="355CA21B">
            <w:pPr>
              <w:rPr>
                <w:rFonts w:ascii="宋体" w:hAnsi="宋体" w:cs="宋体"/>
                <w:kern w:val="0"/>
                <w:sz w:val="18"/>
                <w:szCs w:val="18"/>
              </w:rPr>
            </w:pPr>
          </w:p>
        </w:tc>
        <w:tc>
          <w:tcPr>
            <w:tcW w:w="923" w:type="dxa"/>
            <w:tcBorders>
              <w:top w:val="nil"/>
              <w:left w:val="nil"/>
              <w:bottom w:val="nil"/>
              <w:right w:val="nil"/>
            </w:tcBorders>
            <w:shd w:val="clear" w:color="auto" w:fill="auto"/>
            <w:vAlign w:val="center"/>
          </w:tcPr>
          <w:p w14:paraId="7F016988">
            <w:pPr>
              <w:rPr>
                <w:rFonts w:ascii="宋体" w:hAnsi="宋体" w:cs="宋体"/>
                <w:kern w:val="0"/>
                <w:sz w:val="18"/>
                <w:szCs w:val="18"/>
              </w:rPr>
            </w:pPr>
          </w:p>
        </w:tc>
        <w:tc>
          <w:tcPr>
            <w:tcW w:w="1308" w:type="dxa"/>
            <w:tcBorders>
              <w:top w:val="nil"/>
              <w:left w:val="nil"/>
              <w:bottom w:val="nil"/>
              <w:right w:val="nil"/>
            </w:tcBorders>
            <w:shd w:val="clear" w:color="auto" w:fill="auto"/>
            <w:vAlign w:val="center"/>
          </w:tcPr>
          <w:p w14:paraId="00CD62CC">
            <w:pPr>
              <w:rPr>
                <w:rFonts w:ascii="宋体" w:hAnsi="宋体" w:cs="宋体"/>
                <w:kern w:val="0"/>
                <w:sz w:val="18"/>
                <w:szCs w:val="18"/>
              </w:rPr>
            </w:pPr>
          </w:p>
        </w:tc>
        <w:tc>
          <w:tcPr>
            <w:tcW w:w="396" w:type="dxa"/>
            <w:tcBorders>
              <w:top w:val="nil"/>
              <w:left w:val="nil"/>
              <w:bottom w:val="nil"/>
              <w:right w:val="nil"/>
            </w:tcBorders>
            <w:shd w:val="clear" w:color="auto" w:fill="auto"/>
            <w:vAlign w:val="center"/>
          </w:tcPr>
          <w:p w14:paraId="55A63F5B">
            <w:pPr>
              <w:rPr>
                <w:rFonts w:ascii="宋体" w:hAnsi="宋体" w:cs="宋体"/>
                <w:kern w:val="0"/>
                <w:sz w:val="18"/>
                <w:szCs w:val="18"/>
              </w:rPr>
            </w:pPr>
          </w:p>
        </w:tc>
        <w:tc>
          <w:tcPr>
            <w:tcW w:w="819" w:type="dxa"/>
            <w:tcBorders>
              <w:top w:val="nil"/>
              <w:left w:val="nil"/>
              <w:bottom w:val="nil"/>
              <w:right w:val="nil"/>
            </w:tcBorders>
            <w:shd w:val="clear" w:color="auto" w:fill="auto"/>
            <w:vAlign w:val="center"/>
          </w:tcPr>
          <w:p w14:paraId="30E64234">
            <w:pPr>
              <w:rPr>
                <w:rFonts w:ascii="宋体" w:hAnsi="宋体" w:cs="宋体"/>
                <w:kern w:val="0"/>
                <w:sz w:val="18"/>
                <w:szCs w:val="18"/>
              </w:rPr>
            </w:pPr>
          </w:p>
        </w:tc>
        <w:tc>
          <w:tcPr>
            <w:tcW w:w="396" w:type="dxa"/>
            <w:tcBorders>
              <w:top w:val="nil"/>
              <w:left w:val="nil"/>
              <w:bottom w:val="nil"/>
              <w:right w:val="nil"/>
            </w:tcBorders>
            <w:shd w:val="clear" w:color="auto" w:fill="auto"/>
            <w:vAlign w:val="center"/>
          </w:tcPr>
          <w:p w14:paraId="19F6AE37">
            <w:pPr>
              <w:rPr>
                <w:rFonts w:ascii="宋体" w:hAnsi="宋体" w:cs="宋体"/>
                <w:kern w:val="0"/>
                <w:sz w:val="18"/>
                <w:szCs w:val="18"/>
              </w:rPr>
            </w:pPr>
          </w:p>
        </w:tc>
        <w:tc>
          <w:tcPr>
            <w:tcW w:w="846" w:type="dxa"/>
            <w:tcBorders>
              <w:top w:val="nil"/>
              <w:left w:val="nil"/>
              <w:bottom w:val="nil"/>
              <w:right w:val="nil"/>
            </w:tcBorders>
            <w:shd w:val="clear" w:color="auto" w:fill="auto"/>
            <w:vAlign w:val="center"/>
          </w:tcPr>
          <w:p w14:paraId="043F1732">
            <w:pPr>
              <w:rPr>
                <w:rFonts w:ascii="宋体" w:hAnsi="宋体" w:cs="宋体"/>
                <w:kern w:val="0"/>
                <w:sz w:val="18"/>
                <w:szCs w:val="18"/>
              </w:rPr>
            </w:pPr>
          </w:p>
        </w:tc>
        <w:tc>
          <w:tcPr>
            <w:tcW w:w="486" w:type="dxa"/>
            <w:tcBorders>
              <w:top w:val="nil"/>
              <w:left w:val="nil"/>
              <w:bottom w:val="nil"/>
              <w:right w:val="nil"/>
            </w:tcBorders>
            <w:shd w:val="clear" w:color="auto" w:fill="auto"/>
            <w:vAlign w:val="center"/>
          </w:tcPr>
          <w:p w14:paraId="087EABDC">
            <w:pPr>
              <w:rPr>
                <w:rFonts w:ascii="宋体" w:hAnsi="宋体" w:cs="宋体"/>
                <w:kern w:val="0"/>
                <w:sz w:val="18"/>
                <w:szCs w:val="18"/>
              </w:rPr>
            </w:pPr>
          </w:p>
        </w:tc>
        <w:tc>
          <w:tcPr>
            <w:tcW w:w="486" w:type="dxa"/>
            <w:tcBorders>
              <w:top w:val="nil"/>
              <w:left w:val="nil"/>
              <w:bottom w:val="nil"/>
              <w:right w:val="nil"/>
            </w:tcBorders>
            <w:shd w:val="clear" w:color="auto" w:fill="auto"/>
            <w:vAlign w:val="center"/>
          </w:tcPr>
          <w:p w14:paraId="498B7794"/>
        </w:tc>
        <w:tc>
          <w:tcPr>
            <w:tcW w:w="1290" w:type="dxa"/>
            <w:tcBorders>
              <w:top w:val="nil"/>
              <w:left w:val="nil"/>
              <w:bottom w:val="nil"/>
              <w:right w:val="nil"/>
            </w:tcBorders>
            <w:shd w:val="clear" w:color="auto" w:fill="auto"/>
            <w:vAlign w:val="center"/>
          </w:tcPr>
          <w:p w14:paraId="3461261E">
            <w:pPr>
              <w:rPr>
                <w:rFonts w:ascii="宋体" w:hAnsi="宋体" w:cs="宋体"/>
                <w:kern w:val="0"/>
                <w:sz w:val="18"/>
                <w:szCs w:val="18"/>
              </w:rPr>
            </w:pPr>
          </w:p>
        </w:tc>
      </w:tr>
      <w:tr w14:paraId="30DACBCC">
        <w:tblPrEx>
          <w:tblCellMar>
            <w:top w:w="0" w:type="dxa"/>
            <w:left w:w="108" w:type="dxa"/>
            <w:bottom w:w="0" w:type="dxa"/>
            <w:right w:w="108" w:type="dxa"/>
          </w:tblCellMar>
        </w:tblPrEx>
        <w:trPr>
          <w:trHeight w:val="904" w:hRule="atLeast"/>
        </w:trPr>
        <w:tc>
          <w:tcPr>
            <w:tcW w:w="852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3C491EB">
            <w:pPr>
              <w:keepNext w:val="0"/>
              <w:keepLines w:val="0"/>
              <w:widowControl/>
              <w:suppressLineNumbers w:val="0"/>
              <w:jc w:val="center"/>
              <w:textAlignment w:val="center"/>
              <w:rPr>
                <w:rFonts w:ascii="黑体" w:hAnsi="黑体" w:eastAsia="黑体" w:cs="宋体"/>
                <w:b/>
                <w:bCs/>
                <w:color w:val="000000"/>
                <w:kern w:val="0"/>
                <w:sz w:val="30"/>
                <w:szCs w:val="30"/>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258C000">
        <w:tblPrEx>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591D1C">
            <w:pPr>
              <w:keepNext w:val="0"/>
              <w:keepLines w:val="0"/>
              <w:widowControl/>
              <w:suppressLineNumbers w:val="0"/>
              <w:jc w:val="left"/>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项目名称</w:t>
            </w:r>
          </w:p>
        </w:tc>
        <w:tc>
          <w:tcPr>
            <w:tcW w:w="6950" w:type="dxa"/>
            <w:gridSpan w:val="9"/>
            <w:tcBorders>
              <w:top w:val="single" w:color="000000" w:sz="4" w:space="0"/>
              <w:left w:val="nil"/>
              <w:bottom w:val="single" w:color="000000" w:sz="4" w:space="0"/>
              <w:right w:val="single" w:color="000000" w:sz="4" w:space="0"/>
            </w:tcBorders>
            <w:shd w:val="clear" w:color="auto" w:fill="auto"/>
            <w:vAlign w:val="center"/>
          </w:tcPr>
          <w:p w14:paraId="6E59D971">
            <w:pPr>
              <w:keepNext w:val="0"/>
              <w:keepLines w:val="0"/>
              <w:widowControl/>
              <w:suppressLineNumbers w:val="0"/>
              <w:jc w:val="left"/>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51320023Y000009917272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日常公用经费</w:t>
            </w:r>
          </w:p>
        </w:tc>
      </w:tr>
      <w:tr w14:paraId="534C0DB3">
        <w:tblPrEx>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510C0D">
            <w:pPr>
              <w:keepNext w:val="0"/>
              <w:keepLines w:val="0"/>
              <w:widowControl/>
              <w:suppressLineNumbers w:val="0"/>
              <w:jc w:val="left"/>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主管部门</w:t>
            </w:r>
          </w:p>
        </w:tc>
        <w:tc>
          <w:tcPr>
            <w:tcW w:w="3842" w:type="dxa"/>
            <w:gridSpan w:val="5"/>
            <w:tcBorders>
              <w:top w:val="single" w:color="000000" w:sz="4" w:space="0"/>
              <w:left w:val="nil"/>
              <w:bottom w:val="single" w:color="000000" w:sz="4" w:space="0"/>
              <w:right w:val="single" w:color="000000" w:sz="4" w:space="0"/>
            </w:tcBorders>
            <w:shd w:val="clear" w:color="auto" w:fill="auto"/>
            <w:vAlign w:val="center"/>
          </w:tcPr>
          <w:p w14:paraId="7FBDDD48">
            <w:pPr>
              <w:keepNext w:val="0"/>
              <w:keepLines w:val="0"/>
              <w:widowControl/>
              <w:suppressLineNumbers w:val="0"/>
              <w:jc w:val="left"/>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州生态环境局部门</w:t>
            </w:r>
          </w:p>
        </w:tc>
        <w:tc>
          <w:tcPr>
            <w:tcW w:w="846" w:type="dxa"/>
            <w:tcBorders>
              <w:top w:val="nil"/>
              <w:left w:val="nil"/>
              <w:bottom w:val="nil"/>
              <w:right w:val="nil"/>
            </w:tcBorders>
            <w:shd w:val="clear" w:color="auto" w:fill="auto"/>
            <w:vAlign w:val="center"/>
          </w:tcPr>
          <w:p w14:paraId="77360912">
            <w:pPr>
              <w:keepNext w:val="0"/>
              <w:keepLines w:val="0"/>
              <w:widowControl/>
              <w:suppressLineNumbers w:val="0"/>
              <w:jc w:val="left"/>
              <w:textAlignment w:val="center"/>
              <w:rPr>
                <w:rFonts w:ascii="Courier New" w:hAnsi="Courier New" w:cs="Courier New"/>
                <w:color w:val="000000"/>
                <w:kern w:val="0"/>
                <w:sz w:val="18"/>
                <w:szCs w:val="18"/>
              </w:rPr>
            </w:pPr>
            <w:r>
              <w:rPr>
                <w:rFonts w:hint="eastAsia" w:ascii="黑体" w:hAnsi="黑体" w:eastAsia="黑体" w:cs="黑体"/>
                <w:i w:val="0"/>
                <w:iCs w:val="0"/>
                <w:color w:val="000000"/>
                <w:kern w:val="0"/>
                <w:sz w:val="18"/>
                <w:szCs w:val="18"/>
                <w:u w:val="none"/>
                <w:lang w:val="en-US" w:eastAsia="zh-CN" w:bidi="ar"/>
              </w:rPr>
              <w:t>实施单位 （盖章）</w:t>
            </w:r>
          </w:p>
        </w:tc>
        <w:tc>
          <w:tcPr>
            <w:tcW w:w="22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E50631">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金川县环境监测站</w:t>
            </w:r>
          </w:p>
        </w:tc>
      </w:tr>
      <w:tr w14:paraId="52B256FE">
        <w:tblPrEx>
          <w:tblCellMar>
            <w:top w:w="0" w:type="dxa"/>
            <w:left w:w="108" w:type="dxa"/>
            <w:bottom w:w="0" w:type="dxa"/>
            <w:right w:w="108" w:type="dxa"/>
          </w:tblCellMar>
        </w:tblPrEx>
        <w:trPr>
          <w:trHeight w:val="285" w:hRule="atLeast"/>
        </w:trPr>
        <w:tc>
          <w:tcPr>
            <w:tcW w:w="576" w:type="dxa"/>
            <w:vMerge w:val="restart"/>
            <w:tcBorders>
              <w:top w:val="nil"/>
              <w:left w:val="single" w:color="000000" w:sz="4" w:space="0"/>
              <w:bottom w:val="single" w:color="000000" w:sz="4" w:space="0"/>
              <w:right w:val="single" w:color="000000" w:sz="4" w:space="0"/>
            </w:tcBorders>
            <w:shd w:val="clear" w:color="auto" w:fill="auto"/>
            <w:vAlign w:val="center"/>
          </w:tcPr>
          <w:p w14:paraId="597D6C9B">
            <w:pPr>
              <w:keepNext w:val="0"/>
              <w:keepLines w:val="0"/>
              <w:widowControl/>
              <w:suppressLineNumbers w:val="0"/>
              <w:jc w:val="left"/>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项目基本情况</w:t>
            </w:r>
          </w:p>
        </w:tc>
        <w:tc>
          <w:tcPr>
            <w:tcW w:w="996" w:type="dxa"/>
            <w:vMerge w:val="restart"/>
            <w:tcBorders>
              <w:top w:val="nil"/>
              <w:left w:val="single" w:color="000000" w:sz="4" w:space="0"/>
              <w:bottom w:val="single" w:color="000000" w:sz="4" w:space="0"/>
              <w:right w:val="single" w:color="000000" w:sz="4" w:space="0"/>
            </w:tcBorders>
            <w:shd w:val="clear" w:color="auto" w:fill="auto"/>
            <w:vAlign w:val="center"/>
          </w:tcPr>
          <w:p w14:paraId="1E91C173">
            <w:pPr>
              <w:keepNext w:val="0"/>
              <w:keepLines w:val="0"/>
              <w:widowControl/>
              <w:suppressLineNumbers w:val="0"/>
              <w:jc w:val="left"/>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1.项目年度目标完成情况</w:t>
            </w:r>
          </w:p>
        </w:tc>
        <w:tc>
          <w:tcPr>
            <w:tcW w:w="3842" w:type="dxa"/>
            <w:gridSpan w:val="5"/>
            <w:tcBorders>
              <w:top w:val="single" w:color="000000" w:sz="4" w:space="0"/>
              <w:left w:val="nil"/>
              <w:bottom w:val="single" w:color="000000" w:sz="4" w:space="0"/>
              <w:right w:val="single" w:color="000000" w:sz="4" w:space="0"/>
            </w:tcBorders>
            <w:shd w:val="clear" w:color="auto" w:fill="auto"/>
            <w:vAlign w:val="center"/>
          </w:tcPr>
          <w:p w14:paraId="6887D695">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项目年度目标</w:t>
            </w:r>
          </w:p>
        </w:tc>
        <w:tc>
          <w:tcPr>
            <w:tcW w:w="3108" w:type="dxa"/>
            <w:gridSpan w:val="4"/>
            <w:tcBorders>
              <w:top w:val="single" w:color="000000" w:sz="4" w:space="0"/>
              <w:left w:val="nil"/>
              <w:bottom w:val="single" w:color="000000" w:sz="4" w:space="0"/>
              <w:right w:val="single" w:color="000000" w:sz="4" w:space="0"/>
            </w:tcBorders>
            <w:shd w:val="clear" w:color="auto" w:fill="auto"/>
            <w:vAlign w:val="center"/>
          </w:tcPr>
          <w:p w14:paraId="6DF5FC54">
            <w:pPr>
              <w:keepNext w:val="0"/>
              <w:keepLines w:val="0"/>
              <w:widowControl/>
              <w:suppressLineNumbers w:val="0"/>
              <w:jc w:val="center"/>
              <w:textAlignment w:val="center"/>
              <w:rPr>
                <w:rFonts w:ascii="Courier New" w:hAnsi="Courier New" w:cs="Courier New"/>
                <w:color w:val="000000"/>
                <w:kern w:val="0"/>
                <w:sz w:val="18"/>
                <w:szCs w:val="18"/>
              </w:rPr>
            </w:pPr>
            <w:r>
              <w:rPr>
                <w:rFonts w:hint="eastAsia" w:ascii="黑体" w:hAnsi="黑体" w:eastAsia="黑体" w:cs="黑体"/>
                <w:i w:val="0"/>
                <w:iCs w:val="0"/>
                <w:color w:val="000000"/>
                <w:kern w:val="0"/>
                <w:sz w:val="18"/>
                <w:szCs w:val="18"/>
                <w:u w:val="none"/>
                <w:lang w:val="en-US" w:eastAsia="zh-CN" w:bidi="ar"/>
              </w:rPr>
              <w:t>年度目标完成情况</w:t>
            </w:r>
          </w:p>
        </w:tc>
      </w:tr>
      <w:tr w14:paraId="3FD323EA">
        <w:tblPrEx>
          <w:tblCellMar>
            <w:top w:w="0" w:type="dxa"/>
            <w:left w:w="108" w:type="dxa"/>
            <w:bottom w:w="0" w:type="dxa"/>
            <w:right w:w="108" w:type="dxa"/>
          </w:tblCellMar>
        </w:tblPrEx>
        <w:trPr>
          <w:trHeight w:val="709" w:hRule="atLeast"/>
        </w:trPr>
        <w:tc>
          <w:tcPr>
            <w:tcW w:w="576" w:type="dxa"/>
            <w:vMerge w:val="continue"/>
            <w:tcBorders>
              <w:top w:val="nil"/>
              <w:left w:val="single" w:color="000000" w:sz="4" w:space="0"/>
              <w:bottom w:val="single" w:color="000000" w:sz="4" w:space="0"/>
              <w:right w:val="single" w:color="000000" w:sz="4" w:space="0"/>
            </w:tcBorders>
            <w:vAlign w:val="center"/>
          </w:tcPr>
          <w:p w14:paraId="6BD698BD">
            <w:pPr>
              <w:rPr>
                <w:rFonts w:ascii="宋体" w:hAnsi="宋体" w:cs="宋体"/>
                <w:color w:val="000000"/>
                <w:kern w:val="0"/>
                <w:sz w:val="18"/>
                <w:szCs w:val="18"/>
              </w:rPr>
            </w:pPr>
          </w:p>
        </w:tc>
        <w:tc>
          <w:tcPr>
            <w:tcW w:w="996" w:type="dxa"/>
            <w:vMerge w:val="continue"/>
            <w:tcBorders>
              <w:top w:val="nil"/>
              <w:left w:val="single" w:color="000000" w:sz="4" w:space="0"/>
              <w:bottom w:val="single" w:color="000000" w:sz="4" w:space="0"/>
              <w:right w:val="single" w:color="000000" w:sz="4" w:space="0"/>
            </w:tcBorders>
            <w:vAlign w:val="center"/>
          </w:tcPr>
          <w:p w14:paraId="722BF9BC">
            <w:pPr>
              <w:rPr>
                <w:rFonts w:ascii="宋体" w:hAnsi="宋体" w:cs="宋体"/>
                <w:color w:val="000000"/>
                <w:kern w:val="0"/>
                <w:sz w:val="18"/>
                <w:szCs w:val="18"/>
              </w:rPr>
            </w:pPr>
          </w:p>
        </w:tc>
        <w:tc>
          <w:tcPr>
            <w:tcW w:w="3842" w:type="dxa"/>
            <w:gridSpan w:val="5"/>
            <w:tcBorders>
              <w:top w:val="single" w:color="000000" w:sz="4" w:space="0"/>
              <w:left w:val="nil"/>
              <w:bottom w:val="single" w:color="000000" w:sz="4" w:space="0"/>
              <w:right w:val="single" w:color="000000" w:sz="4" w:space="0"/>
            </w:tcBorders>
            <w:shd w:val="clear" w:color="auto" w:fill="auto"/>
            <w:vAlign w:val="center"/>
          </w:tcPr>
          <w:p w14:paraId="2D203868">
            <w:pPr>
              <w:keepNext w:val="0"/>
              <w:keepLines w:val="0"/>
              <w:widowControl/>
              <w:suppressLineNumbers w:val="0"/>
              <w:jc w:val="left"/>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3108" w:type="dxa"/>
            <w:gridSpan w:val="4"/>
            <w:tcBorders>
              <w:top w:val="single" w:color="000000" w:sz="4" w:space="0"/>
              <w:left w:val="nil"/>
              <w:bottom w:val="single" w:color="000000" w:sz="4" w:space="0"/>
              <w:right w:val="single" w:color="000000" w:sz="4" w:space="0"/>
            </w:tcBorders>
            <w:shd w:val="clear" w:color="auto" w:fill="auto"/>
            <w:vAlign w:val="center"/>
          </w:tcPr>
          <w:p w14:paraId="3E7A8623">
            <w:pPr>
              <w:keepNext w:val="0"/>
              <w:keepLines w:val="0"/>
              <w:widowControl/>
              <w:suppressLineNumbers w:val="0"/>
              <w:jc w:val="left"/>
              <w:textAlignment w:val="center"/>
              <w:rPr>
                <w:rFonts w:ascii="Courier New" w:hAnsi="Courier New" w:cs="Courier New"/>
                <w:color w:val="000000"/>
                <w:kern w:val="0"/>
                <w:sz w:val="18"/>
                <w:szCs w:val="18"/>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17A3140">
        <w:tblPrEx>
          <w:tblCellMar>
            <w:top w:w="0" w:type="dxa"/>
            <w:left w:w="108" w:type="dxa"/>
            <w:bottom w:w="0" w:type="dxa"/>
            <w:right w:w="108" w:type="dxa"/>
          </w:tblCellMar>
        </w:tblPrEx>
        <w:trPr>
          <w:trHeight w:val="694" w:hRule="atLeast"/>
        </w:trPr>
        <w:tc>
          <w:tcPr>
            <w:tcW w:w="576" w:type="dxa"/>
            <w:vMerge w:val="continue"/>
            <w:tcBorders>
              <w:top w:val="nil"/>
              <w:left w:val="single" w:color="000000" w:sz="4" w:space="0"/>
              <w:bottom w:val="single" w:color="000000" w:sz="4" w:space="0"/>
              <w:right w:val="single" w:color="000000" w:sz="4" w:space="0"/>
            </w:tcBorders>
            <w:vAlign w:val="center"/>
          </w:tcPr>
          <w:p w14:paraId="24600FC7">
            <w:pPr>
              <w:rPr>
                <w:rFonts w:ascii="宋体" w:hAnsi="宋体" w:cs="宋体"/>
                <w:color w:val="000000"/>
                <w:kern w:val="0"/>
                <w:sz w:val="18"/>
                <w:szCs w:val="18"/>
              </w:rPr>
            </w:pPr>
          </w:p>
        </w:tc>
        <w:tc>
          <w:tcPr>
            <w:tcW w:w="996" w:type="dxa"/>
            <w:tcBorders>
              <w:top w:val="nil"/>
              <w:left w:val="nil"/>
              <w:bottom w:val="single" w:color="000000" w:sz="4" w:space="0"/>
              <w:right w:val="single" w:color="000000" w:sz="4" w:space="0"/>
            </w:tcBorders>
            <w:shd w:val="clear" w:color="auto" w:fill="auto"/>
            <w:vAlign w:val="center"/>
          </w:tcPr>
          <w:p w14:paraId="0D7D7178">
            <w:pPr>
              <w:keepNext w:val="0"/>
              <w:keepLines w:val="0"/>
              <w:widowControl/>
              <w:suppressLineNumbers w:val="0"/>
              <w:jc w:val="left"/>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2.项目实施内容及过程概述</w:t>
            </w:r>
          </w:p>
        </w:tc>
        <w:tc>
          <w:tcPr>
            <w:tcW w:w="6950" w:type="dxa"/>
            <w:gridSpan w:val="9"/>
            <w:tcBorders>
              <w:top w:val="single" w:color="000000" w:sz="4" w:space="0"/>
              <w:left w:val="nil"/>
              <w:bottom w:val="single" w:color="000000" w:sz="4" w:space="0"/>
              <w:right w:val="single" w:color="000000" w:sz="4" w:space="0"/>
            </w:tcBorders>
            <w:shd w:val="clear" w:color="auto" w:fill="auto"/>
            <w:vAlign w:val="center"/>
          </w:tcPr>
          <w:p w14:paraId="1253728F">
            <w:pPr>
              <w:rPr>
                <w:rFonts w:ascii="宋体" w:hAnsi="宋体" w:cs="宋体"/>
                <w:color w:val="000000"/>
                <w:kern w:val="0"/>
                <w:sz w:val="18"/>
                <w:szCs w:val="18"/>
              </w:rPr>
            </w:pPr>
          </w:p>
        </w:tc>
      </w:tr>
      <w:tr w14:paraId="61710273">
        <w:tblPrEx>
          <w:tblCellMar>
            <w:top w:w="0" w:type="dxa"/>
            <w:left w:w="108" w:type="dxa"/>
            <w:bottom w:w="0" w:type="dxa"/>
            <w:right w:w="108" w:type="dxa"/>
          </w:tblCellMar>
        </w:tblPrEx>
        <w:trPr>
          <w:trHeight w:val="360" w:hRule="atLeast"/>
        </w:trPr>
        <w:tc>
          <w:tcPr>
            <w:tcW w:w="576" w:type="dxa"/>
            <w:vMerge w:val="restart"/>
            <w:tcBorders>
              <w:top w:val="nil"/>
              <w:left w:val="single" w:color="000000" w:sz="4" w:space="0"/>
              <w:bottom w:val="single" w:color="000000" w:sz="4" w:space="0"/>
              <w:right w:val="single" w:color="000000" w:sz="4" w:space="0"/>
            </w:tcBorders>
            <w:shd w:val="clear" w:color="auto" w:fill="auto"/>
            <w:vAlign w:val="center"/>
          </w:tcPr>
          <w:p w14:paraId="3C8BB4FA">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预算执行情况（10分）</w:t>
            </w:r>
          </w:p>
        </w:tc>
        <w:tc>
          <w:tcPr>
            <w:tcW w:w="996" w:type="dxa"/>
            <w:tcBorders>
              <w:top w:val="nil"/>
              <w:left w:val="nil"/>
              <w:bottom w:val="single" w:color="000000" w:sz="4" w:space="0"/>
              <w:right w:val="single" w:color="000000" w:sz="4" w:space="0"/>
            </w:tcBorders>
            <w:shd w:val="clear" w:color="auto" w:fill="auto"/>
            <w:vAlign w:val="center"/>
          </w:tcPr>
          <w:p w14:paraId="79F73797">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年度预算数（万元）</w:t>
            </w:r>
          </w:p>
        </w:tc>
        <w:tc>
          <w:tcPr>
            <w:tcW w:w="923" w:type="dxa"/>
            <w:tcBorders>
              <w:top w:val="nil"/>
              <w:left w:val="nil"/>
              <w:bottom w:val="single" w:color="000000" w:sz="4" w:space="0"/>
              <w:right w:val="single" w:color="000000" w:sz="4" w:space="0"/>
            </w:tcBorders>
            <w:shd w:val="clear" w:color="auto" w:fill="auto"/>
            <w:vAlign w:val="center"/>
          </w:tcPr>
          <w:p w14:paraId="291F3E73">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年初预算</w:t>
            </w:r>
          </w:p>
        </w:tc>
        <w:tc>
          <w:tcPr>
            <w:tcW w:w="1308" w:type="dxa"/>
            <w:tcBorders>
              <w:top w:val="nil"/>
              <w:left w:val="nil"/>
              <w:bottom w:val="single" w:color="000000" w:sz="4" w:space="0"/>
              <w:right w:val="single" w:color="000000" w:sz="4" w:space="0"/>
            </w:tcBorders>
            <w:shd w:val="clear" w:color="auto" w:fill="auto"/>
            <w:vAlign w:val="center"/>
          </w:tcPr>
          <w:p w14:paraId="36C464AC">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调整后预算数</w:t>
            </w:r>
          </w:p>
        </w:tc>
        <w:tc>
          <w:tcPr>
            <w:tcW w:w="1611" w:type="dxa"/>
            <w:gridSpan w:val="3"/>
            <w:tcBorders>
              <w:top w:val="single" w:color="000000" w:sz="4" w:space="0"/>
              <w:left w:val="nil"/>
              <w:bottom w:val="single" w:color="000000" w:sz="4" w:space="0"/>
              <w:right w:val="single" w:color="000000" w:sz="4" w:space="0"/>
            </w:tcBorders>
            <w:shd w:val="clear" w:color="auto" w:fill="auto"/>
            <w:vAlign w:val="center"/>
          </w:tcPr>
          <w:p w14:paraId="1C607BBC">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nil"/>
              <w:left w:val="nil"/>
              <w:bottom w:val="single" w:color="000000" w:sz="4" w:space="0"/>
              <w:right w:val="single" w:color="000000" w:sz="4" w:space="0"/>
            </w:tcBorders>
            <w:shd w:val="clear" w:color="auto" w:fill="auto"/>
            <w:vAlign w:val="center"/>
          </w:tcPr>
          <w:p w14:paraId="6A739091">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nil"/>
              <w:left w:val="nil"/>
              <w:bottom w:val="single" w:color="000000" w:sz="4" w:space="0"/>
              <w:right w:val="single" w:color="000000" w:sz="4" w:space="0"/>
            </w:tcBorders>
            <w:shd w:val="clear" w:color="auto" w:fill="auto"/>
            <w:vAlign w:val="center"/>
          </w:tcPr>
          <w:p w14:paraId="6304CAFC">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权重</w:t>
            </w:r>
          </w:p>
        </w:tc>
        <w:tc>
          <w:tcPr>
            <w:tcW w:w="486" w:type="dxa"/>
            <w:tcBorders>
              <w:top w:val="nil"/>
              <w:left w:val="nil"/>
              <w:bottom w:val="single" w:color="000000" w:sz="4" w:space="0"/>
              <w:right w:val="single" w:color="000000" w:sz="4" w:space="0"/>
            </w:tcBorders>
            <w:shd w:val="clear" w:color="auto" w:fill="auto"/>
            <w:vAlign w:val="center"/>
          </w:tcPr>
          <w:p w14:paraId="4790FB6C">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得分</w:t>
            </w:r>
          </w:p>
        </w:tc>
        <w:tc>
          <w:tcPr>
            <w:tcW w:w="1290" w:type="dxa"/>
            <w:tcBorders>
              <w:top w:val="nil"/>
              <w:left w:val="nil"/>
              <w:bottom w:val="single" w:color="000000" w:sz="4" w:space="0"/>
              <w:right w:val="single" w:color="000000" w:sz="4" w:space="0"/>
            </w:tcBorders>
            <w:shd w:val="clear" w:color="auto" w:fill="auto"/>
            <w:vAlign w:val="center"/>
          </w:tcPr>
          <w:p w14:paraId="5A7A779B">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原因</w:t>
            </w:r>
          </w:p>
        </w:tc>
      </w:tr>
      <w:tr w14:paraId="4AEE2D93">
        <w:tblPrEx>
          <w:tblCellMar>
            <w:top w:w="0" w:type="dxa"/>
            <w:left w:w="108" w:type="dxa"/>
            <w:bottom w:w="0" w:type="dxa"/>
            <w:right w:w="108" w:type="dxa"/>
          </w:tblCellMar>
        </w:tblPrEx>
        <w:trPr>
          <w:trHeight w:val="345" w:hRule="atLeast"/>
        </w:trPr>
        <w:tc>
          <w:tcPr>
            <w:tcW w:w="576" w:type="dxa"/>
            <w:vMerge w:val="continue"/>
            <w:tcBorders>
              <w:top w:val="nil"/>
              <w:left w:val="single" w:color="000000" w:sz="4" w:space="0"/>
              <w:bottom w:val="single" w:color="000000" w:sz="4" w:space="0"/>
              <w:right w:val="single" w:color="000000" w:sz="4" w:space="0"/>
            </w:tcBorders>
            <w:vAlign w:val="center"/>
          </w:tcPr>
          <w:p w14:paraId="480063D7">
            <w:pPr>
              <w:jc w:val="center"/>
              <w:rPr>
                <w:rFonts w:ascii="宋体" w:hAnsi="宋体" w:cs="宋体"/>
                <w:color w:val="000000"/>
                <w:kern w:val="0"/>
                <w:sz w:val="18"/>
                <w:szCs w:val="18"/>
              </w:rPr>
            </w:pPr>
          </w:p>
        </w:tc>
        <w:tc>
          <w:tcPr>
            <w:tcW w:w="996" w:type="dxa"/>
            <w:tcBorders>
              <w:top w:val="nil"/>
              <w:left w:val="nil"/>
              <w:bottom w:val="single" w:color="000000" w:sz="4" w:space="0"/>
              <w:right w:val="single" w:color="000000" w:sz="4" w:space="0"/>
            </w:tcBorders>
            <w:shd w:val="clear" w:color="auto" w:fill="auto"/>
            <w:vAlign w:val="center"/>
          </w:tcPr>
          <w:p w14:paraId="758B4174">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总额</w:t>
            </w:r>
          </w:p>
        </w:tc>
        <w:tc>
          <w:tcPr>
            <w:tcW w:w="923" w:type="dxa"/>
            <w:tcBorders>
              <w:top w:val="nil"/>
              <w:left w:val="nil"/>
              <w:bottom w:val="single" w:color="000000" w:sz="4" w:space="0"/>
              <w:right w:val="single" w:color="000000" w:sz="4" w:space="0"/>
            </w:tcBorders>
            <w:shd w:val="clear" w:color="auto" w:fill="auto"/>
            <w:vAlign w:val="center"/>
          </w:tcPr>
          <w:p w14:paraId="162EB27D">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8.81</w:t>
            </w:r>
          </w:p>
        </w:tc>
        <w:tc>
          <w:tcPr>
            <w:tcW w:w="1308" w:type="dxa"/>
            <w:tcBorders>
              <w:top w:val="nil"/>
              <w:left w:val="nil"/>
              <w:bottom w:val="single" w:color="000000" w:sz="4" w:space="0"/>
              <w:right w:val="single" w:color="000000" w:sz="4" w:space="0"/>
            </w:tcBorders>
            <w:shd w:val="clear" w:color="auto" w:fill="auto"/>
            <w:vAlign w:val="center"/>
          </w:tcPr>
          <w:p w14:paraId="5F38F587">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8.50</w:t>
            </w:r>
          </w:p>
        </w:tc>
        <w:tc>
          <w:tcPr>
            <w:tcW w:w="1611" w:type="dxa"/>
            <w:gridSpan w:val="3"/>
            <w:tcBorders>
              <w:top w:val="single" w:color="000000" w:sz="4" w:space="0"/>
              <w:left w:val="nil"/>
              <w:bottom w:val="single" w:color="000000" w:sz="4" w:space="0"/>
              <w:right w:val="single" w:color="000000" w:sz="4" w:space="0"/>
            </w:tcBorders>
            <w:shd w:val="clear" w:color="auto" w:fill="auto"/>
            <w:vAlign w:val="center"/>
          </w:tcPr>
          <w:p w14:paraId="0BA4C3C7">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8.50</w:t>
            </w:r>
          </w:p>
        </w:tc>
        <w:tc>
          <w:tcPr>
            <w:tcW w:w="846" w:type="dxa"/>
            <w:tcBorders>
              <w:top w:val="nil"/>
              <w:left w:val="nil"/>
              <w:bottom w:val="single" w:color="000000" w:sz="4" w:space="0"/>
              <w:right w:val="single" w:color="000000" w:sz="4" w:space="0"/>
            </w:tcBorders>
            <w:shd w:val="clear" w:color="auto" w:fill="auto"/>
            <w:vAlign w:val="center"/>
          </w:tcPr>
          <w:p w14:paraId="6FE3C34D">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100.00%</w:t>
            </w:r>
          </w:p>
        </w:tc>
        <w:tc>
          <w:tcPr>
            <w:tcW w:w="486" w:type="dxa"/>
            <w:tcBorders>
              <w:top w:val="nil"/>
              <w:left w:val="nil"/>
              <w:bottom w:val="single" w:color="000000" w:sz="4" w:space="0"/>
              <w:right w:val="single" w:color="000000" w:sz="4" w:space="0"/>
            </w:tcBorders>
            <w:shd w:val="clear" w:color="auto" w:fill="auto"/>
            <w:vAlign w:val="center"/>
          </w:tcPr>
          <w:p w14:paraId="1BD95BC8">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10</w:t>
            </w:r>
          </w:p>
        </w:tc>
        <w:tc>
          <w:tcPr>
            <w:tcW w:w="486" w:type="dxa"/>
            <w:tcBorders>
              <w:top w:val="nil"/>
              <w:left w:val="nil"/>
              <w:bottom w:val="single" w:color="000000" w:sz="4" w:space="0"/>
              <w:right w:val="single" w:color="000000" w:sz="4" w:space="0"/>
            </w:tcBorders>
            <w:shd w:val="clear" w:color="auto" w:fill="auto"/>
            <w:vAlign w:val="center"/>
          </w:tcPr>
          <w:p w14:paraId="55660E83">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10</w:t>
            </w:r>
          </w:p>
        </w:tc>
        <w:tc>
          <w:tcPr>
            <w:tcW w:w="1290" w:type="dxa"/>
            <w:vMerge w:val="restart"/>
            <w:tcBorders>
              <w:top w:val="nil"/>
              <w:left w:val="single" w:color="000000" w:sz="4" w:space="0"/>
              <w:bottom w:val="single" w:color="000000" w:sz="4" w:space="0"/>
              <w:right w:val="single" w:color="000000" w:sz="4" w:space="0"/>
            </w:tcBorders>
            <w:shd w:val="clear" w:color="auto" w:fill="auto"/>
            <w:vAlign w:val="center"/>
          </w:tcPr>
          <w:p w14:paraId="7BAE1C39">
            <w:pPr>
              <w:keepNext w:val="0"/>
              <w:keepLines w:val="0"/>
              <w:widowControl/>
              <w:suppressLineNumbers w:val="0"/>
              <w:jc w:val="left"/>
              <w:textAlignment w:val="center"/>
              <w:rPr>
                <w:rFonts w:ascii="Courier New" w:hAnsi="Courier New" w:cs="Courier New"/>
                <w:i/>
                <w:iCs/>
                <w:color w:val="000000"/>
                <w:kern w:val="0"/>
                <w:sz w:val="18"/>
                <w:szCs w:val="18"/>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FE3F718">
        <w:tblPrEx>
          <w:tblCellMar>
            <w:top w:w="0" w:type="dxa"/>
            <w:left w:w="108" w:type="dxa"/>
            <w:bottom w:w="0" w:type="dxa"/>
            <w:right w:w="108" w:type="dxa"/>
          </w:tblCellMar>
        </w:tblPrEx>
        <w:trPr>
          <w:trHeight w:val="390" w:hRule="atLeast"/>
        </w:trPr>
        <w:tc>
          <w:tcPr>
            <w:tcW w:w="576" w:type="dxa"/>
            <w:vMerge w:val="continue"/>
            <w:tcBorders>
              <w:top w:val="nil"/>
              <w:left w:val="single" w:color="000000" w:sz="4" w:space="0"/>
              <w:bottom w:val="single" w:color="000000" w:sz="4" w:space="0"/>
              <w:right w:val="single" w:color="000000" w:sz="4" w:space="0"/>
            </w:tcBorders>
            <w:vAlign w:val="center"/>
          </w:tcPr>
          <w:p w14:paraId="79445AE1">
            <w:pPr>
              <w:jc w:val="center"/>
              <w:rPr>
                <w:rFonts w:ascii="宋体" w:hAnsi="宋体" w:cs="宋体"/>
                <w:color w:val="000000"/>
                <w:kern w:val="0"/>
                <w:sz w:val="18"/>
                <w:szCs w:val="18"/>
              </w:rPr>
            </w:pPr>
          </w:p>
        </w:tc>
        <w:tc>
          <w:tcPr>
            <w:tcW w:w="996" w:type="dxa"/>
            <w:tcBorders>
              <w:top w:val="nil"/>
              <w:left w:val="nil"/>
              <w:bottom w:val="single" w:color="000000" w:sz="4" w:space="0"/>
              <w:right w:val="single" w:color="000000" w:sz="4" w:space="0"/>
            </w:tcBorders>
            <w:shd w:val="clear" w:color="auto" w:fill="auto"/>
            <w:vAlign w:val="center"/>
          </w:tcPr>
          <w:p w14:paraId="0CEABE36">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其中：财政资金</w:t>
            </w:r>
          </w:p>
        </w:tc>
        <w:tc>
          <w:tcPr>
            <w:tcW w:w="923" w:type="dxa"/>
            <w:tcBorders>
              <w:top w:val="nil"/>
              <w:left w:val="nil"/>
              <w:bottom w:val="single" w:color="000000" w:sz="4" w:space="0"/>
              <w:right w:val="single" w:color="000000" w:sz="4" w:space="0"/>
            </w:tcBorders>
            <w:shd w:val="clear" w:color="auto" w:fill="auto"/>
            <w:vAlign w:val="center"/>
          </w:tcPr>
          <w:p w14:paraId="761028B5">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8.81</w:t>
            </w:r>
          </w:p>
        </w:tc>
        <w:tc>
          <w:tcPr>
            <w:tcW w:w="1308" w:type="dxa"/>
            <w:tcBorders>
              <w:top w:val="nil"/>
              <w:left w:val="nil"/>
              <w:bottom w:val="single" w:color="000000" w:sz="4" w:space="0"/>
              <w:right w:val="single" w:color="000000" w:sz="4" w:space="0"/>
            </w:tcBorders>
            <w:shd w:val="clear" w:color="auto" w:fill="auto"/>
            <w:vAlign w:val="center"/>
          </w:tcPr>
          <w:p w14:paraId="61E35391">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8.50</w:t>
            </w:r>
          </w:p>
        </w:tc>
        <w:tc>
          <w:tcPr>
            <w:tcW w:w="1611" w:type="dxa"/>
            <w:gridSpan w:val="3"/>
            <w:tcBorders>
              <w:top w:val="single" w:color="000000" w:sz="4" w:space="0"/>
              <w:left w:val="nil"/>
              <w:bottom w:val="single" w:color="000000" w:sz="4" w:space="0"/>
              <w:right w:val="single" w:color="000000" w:sz="4" w:space="0"/>
            </w:tcBorders>
            <w:shd w:val="clear" w:color="auto" w:fill="auto"/>
            <w:vAlign w:val="center"/>
          </w:tcPr>
          <w:p w14:paraId="6C78786A">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8.50</w:t>
            </w:r>
          </w:p>
        </w:tc>
        <w:tc>
          <w:tcPr>
            <w:tcW w:w="846" w:type="dxa"/>
            <w:tcBorders>
              <w:top w:val="nil"/>
              <w:left w:val="nil"/>
              <w:bottom w:val="single" w:color="000000" w:sz="4" w:space="0"/>
              <w:right w:val="single" w:color="000000" w:sz="4" w:space="0"/>
            </w:tcBorders>
            <w:shd w:val="clear" w:color="auto" w:fill="auto"/>
            <w:vAlign w:val="center"/>
          </w:tcPr>
          <w:p w14:paraId="08425A38">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100.00%</w:t>
            </w:r>
          </w:p>
        </w:tc>
        <w:tc>
          <w:tcPr>
            <w:tcW w:w="486" w:type="dxa"/>
            <w:tcBorders>
              <w:top w:val="nil"/>
              <w:left w:val="nil"/>
              <w:bottom w:val="single" w:color="000000" w:sz="4" w:space="0"/>
              <w:right w:val="single" w:color="000000" w:sz="4" w:space="0"/>
            </w:tcBorders>
            <w:shd w:val="clear" w:color="auto" w:fill="auto"/>
            <w:vAlign w:val="center"/>
          </w:tcPr>
          <w:p w14:paraId="28A69367">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w:t>
            </w:r>
          </w:p>
        </w:tc>
        <w:tc>
          <w:tcPr>
            <w:tcW w:w="486" w:type="dxa"/>
            <w:tcBorders>
              <w:top w:val="nil"/>
              <w:left w:val="nil"/>
              <w:bottom w:val="single" w:color="000000" w:sz="4" w:space="0"/>
              <w:right w:val="single" w:color="000000" w:sz="4" w:space="0"/>
            </w:tcBorders>
            <w:shd w:val="clear" w:color="auto" w:fill="auto"/>
            <w:vAlign w:val="center"/>
          </w:tcPr>
          <w:p w14:paraId="352DD375">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w:t>
            </w:r>
          </w:p>
        </w:tc>
        <w:tc>
          <w:tcPr>
            <w:tcW w:w="1290" w:type="dxa"/>
            <w:vMerge w:val="continue"/>
            <w:tcBorders>
              <w:top w:val="nil"/>
              <w:left w:val="single" w:color="000000" w:sz="4" w:space="0"/>
              <w:bottom w:val="single" w:color="000000" w:sz="4" w:space="0"/>
              <w:right w:val="single" w:color="000000" w:sz="4" w:space="0"/>
            </w:tcBorders>
            <w:vAlign w:val="center"/>
          </w:tcPr>
          <w:p w14:paraId="28BC5A03">
            <w:pPr>
              <w:rPr>
                <w:rFonts w:ascii="Courier New" w:hAnsi="Courier New" w:cs="Courier New"/>
                <w:i/>
                <w:iCs/>
                <w:color w:val="000000"/>
                <w:kern w:val="0"/>
                <w:sz w:val="18"/>
                <w:szCs w:val="18"/>
              </w:rPr>
            </w:pPr>
          </w:p>
        </w:tc>
      </w:tr>
      <w:tr w14:paraId="4218B2D5">
        <w:tblPrEx>
          <w:tblCellMar>
            <w:top w:w="0" w:type="dxa"/>
            <w:left w:w="108" w:type="dxa"/>
            <w:bottom w:w="0" w:type="dxa"/>
            <w:right w:w="108" w:type="dxa"/>
          </w:tblCellMar>
        </w:tblPrEx>
        <w:trPr>
          <w:trHeight w:val="409" w:hRule="atLeast"/>
        </w:trPr>
        <w:tc>
          <w:tcPr>
            <w:tcW w:w="576" w:type="dxa"/>
            <w:vMerge w:val="continue"/>
            <w:tcBorders>
              <w:top w:val="nil"/>
              <w:left w:val="single" w:color="000000" w:sz="4" w:space="0"/>
              <w:bottom w:val="single" w:color="000000" w:sz="4" w:space="0"/>
              <w:right w:val="single" w:color="000000" w:sz="4" w:space="0"/>
            </w:tcBorders>
            <w:vAlign w:val="center"/>
          </w:tcPr>
          <w:p w14:paraId="61FB46B4">
            <w:pPr>
              <w:jc w:val="center"/>
              <w:rPr>
                <w:rFonts w:ascii="宋体" w:hAnsi="宋体" w:cs="宋体"/>
                <w:color w:val="000000"/>
                <w:kern w:val="0"/>
                <w:sz w:val="18"/>
                <w:szCs w:val="18"/>
              </w:rPr>
            </w:pPr>
          </w:p>
        </w:tc>
        <w:tc>
          <w:tcPr>
            <w:tcW w:w="996" w:type="dxa"/>
            <w:tcBorders>
              <w:top w:val="nil"/>
              <w:left w:val="nil"/>
              <w:bottom w:val="single" w:color="000000" w:sz="4" w:space="0"/>
              <w:right w:val="single" w:color="000000" w:sz="4" w:space="0"/>
            </w:tcBorders>
            <w:shd w:val="clear" w:color="auto" w:fill="auto"/>
            <w:vAlign w:val="center"/>
          </w:tcPr>
          <w:p w14:paraId="442B81AC">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财政专户管理资金</w:t>
            </w:r>
          </w:p>
        </w:tc>
        <w:tc>
          <w:tcPr>
            <w:tcW w:w="923" w:type="dxa"/>
            <w:tcBorders>
              <w:top w:val="nil"/>
              <w:left w:val="nil"/>
              <w:bottom w:val="single" w:color="000000" w:sz="4" w:space="0"/>
              <w:right w:val="single" w:color="000000" w:sz="4" w:space="0"/>
            </w:tcBorders>
            <w:shd w:val="clear" w:color="auto" w:fill="auto"/>
            <w:vAlign w:val="center"/>
          </w:tcPr>
          <w:p w14:paraId="3978FF79">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0.00</w:t>
            </w:r>
          </w:p>
        </w:tc>
        <w:tc>
          <w:tcPr>
            <w:tcW w:w="1308" w:type="dxa"/>
            <w:tcBorders>
              <w:top w:val="nil"/>
              <w:left w:val="nil"/>
              <w:bottom w:val="single" w:color="000000" w:sz="4" w:space="0"/>
              <w:right w:val="single" w:color="000000" w:sz="4" w:space="0"/>
            </w:tcBorders>
            <w:shd w:val="clear" w:color="auto" w:fill="auto"/>
            <w:vAlign w:val="center"/>
          </w:tcPr>
          <w:p w14:paraId="7F426477">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0.00</w:t>
            </w:r>
          </w:p>
        </w:tc>
        <w:tc>
          <w:tcPr>
            <w:tcW w:w="1611" w:type="dxa"/>
            <w:gridSpan w:val="3"/>
            <w:tcBorders>
              <w:top w:val="single" w:color="000000" w:sz="4" w:space="0"/>
              <w:left w:val="nil"/>
              <w:bottom w:val="single" w:color="000000" w:sz="4" w:space="0"/>
              <w:right w:val="single" w:color="000000" w:sz="4" w:space="0"/>
            </w:tcBorders>
            <w:shd w:val="clear" w:color="auto" w:fill="auto"/>
            <w:vAlign w:val="center"/>
          </w:tcPr>
          <w:p w14:paraId="785B7DF6">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0.00</w:t>
            </w:r>
          </w:p>
        </w:tc>
        <w:tc>
          <w:tcPr>
            <w:tcW w:w="846" w:type="dxa"/>
            <w:tcBorders>
              <w:top w:val="nil"/>
              <w:left w:val="nil"/>
              <w:bottom w:val="single" w:color="000000" w:sz="4" w:space="0"/>
              <w:right w:val="single" w:color="000000" w:sz="4" w:space="0"/>
            </w:tcBorders>
            <w:shd w:val="clear" w:color="auto" w:fill="auto"/>
            <w:vAlign w:val="center"/>
          </w:tcPr>
          <w:p w14:paraId="78636E09">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0.00%</w:t>
            </w:r>
          </w:p>
        </w:tc>
        <w:tc>
          <w:tcPr>
            <w:tcW w:w="486" w:type="dxa"/>
            <w:tcBorders>
              <w:top w:val="nil"/>
              <w:left w:val="nil"/>
              <w:bottom w:val="single" w:color="000000" w:sz="4" w:space="0"/>
              <w:right w:val="single" w:color="000000" w:sz="4" w:space="0"/>
            </w:tcBorders>
            <w:shd w:val="clear" w:color="auto" w:fill="auto"/>
            <w:vAlign w:val="center"/>
          </w:tcPr>
          <w:p w14:paraId="0FAC4093">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w:t>
            </w:r>
          </w:p>
        </w:tc>
        <w:tc>
          <w:tcPr>
            <w:tcW w:w="486" w:type="dxa"/>
            <w:tcBorders>
              <w:top w:val="nil"/>
              <w:left w:val="nil"/>
              <w:bottom w:val="single" w:color="000000" w:sz="4" w:space="0"/>
              <w:right w:val="single" w:color="000000" w:sz="4" w:space="0"/>
            </w:tcBorders>
            <w:shd w:val="clear" w:color="auto" w:fill="auto"/>
            <w:vAlign w:val="center"/>
          </w:tcPr>
          <w:p w14:paraId="5361E118">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w:t>
            </w:r>
          </w:p>
        </w:tc>
        <w:tc>
          <w:tcPr>
            <w:tcW w:w="1290" w:type="dxa"/>
            <w:vMerge w:val="continue"/>
            <w:tcBorders>
              <w:top w:val="nil"/>
              <w:left w:val="single" w:color="000000" w:sz="4" w:space="0"/>
              <w:bottom w:val="single" w:color="000000" w:sz="4" w:space="0"/>
              <w:right w:val="single" w:color="000000" w:sz="4" w:space="0"/>
            </w:tcBorders>
            <w:vAlign w:val="center"/>
          </w:tcPr>
          <w:p w14:paraId="0B08687B">
            <w:pPr>
              <w:rPr>
                <w:rFonts w:ascii="Courier New" w:hAnsi="Courier New" w:cs="Courier New"/>
                <w:i/>
                <w:iCs/>
                <w:color w:val="000000"/>
                <w:kern w:val="0"/>
                <w:sz w:val="18"/>
                <w:szCs w:val="18"/>
              </w:rPr>
            </w:pPr>
          </w:p>
        </w:tc>
      </w:tr>
      <w:tr w14:paraId="4B612120">
        <w:tblPrEx>
          <w:tblCellMar>
            <w:top w:w="0" w:type="dxa"/>
            <w:left w:w="108" w:type="dxa"/>
            <w:bottom w:w="0" w:type="dxa"/>
            <w:right w:w="108" w:type="dxa"/>
          </w:tblCellMar>
        </w:tblPrEx>
        <w:trPr>
          <w:trHeight w:val="360" w:hRule="atLeast"/>
        </w:trPr>
        <w:tc>
          <w:tcPr>
            <w:tcW w:w="576" w:type="dxa"/>
            <w:vMerge w:val="continue"/>
            <w:tcBorders>
              <w:top w:val="nil"/>
              <w:left w:val="single" w:color="000000" w:sz="4" w:space="0"/>
              <w:bottom w:val="single" w:color="000000" w:sz="4" w:space="0"/>
              <w:right w:val="single" w:color="000000" w:sz="4" w:space="0"/>
            </w:tcBorders>
            <w:vAlign w:val="center"/>
          </w:tcPr>
          <w:p w14:paraId="2885BA69">
            <w:pPr>
              <w:jc w:val="center"/>
              <w:rPr>
                <w:rFonts w:ascii="宋体" w:hAnsi="宋体" w:cs="宋体"/>
                <w:color w:val="000000"/>
                <w:kern w:val="0"/>
                <w:sz w:val="18"/>
                <w:szCs w:val="18"/>
              </w:rPr>
            </w:pPr>
          </w:p>
        </w:tc>
        <w:tc>
          <w:tcPr>
            <w:tcW w:w="996" w:type="dxa"/>
            <w:tcBorders>
              <w:top w:val="nil"/>
              <w:left w:val="nil"/>
              <w:bottom w:val="single" w:color="000000" w:sz="4" w:space="0"/>
              <w:right w:val="single" w:color="000000" w:sz="4" w:space="0"/>
            </w:tcBorders>
            <w:shd w:val="clear" w:color="auto" w:fill="auto"/>
            <w:vAlign w:val="center"/>
          </w:tcPr>
          <w:p w14:paraId="42897728">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单位资金</w:t>
            </w:r>
          </w:p>
        </w:tc>
        <w:tc>
          <w:tcPr>
            <w:tcW w:w="923" w:type="dxa"/>
            <w:tcBorders>
              <w:top w:val="nil"/>
              <w:left w:val="nil"/>
              <w:bottom w:val="single" w:color="000000" w:sz="4" w:space="0"/>
              <w:right w:val="single" w:color="000000" w:sz="4" w:space="0"/>
            </w:tcBorders>
            <w:shd w:val="clear" w:color="auto" w:fill="auto"/>
            <w:vAlign w:val="center"/>
          </w:tcPr>
          <w:p w14:paraId="0B238F92">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0.00</w:t>
            </w:r>
          </w:p>
        </w:tc>
        <w:tc>
          <w:tcPr>
            <w:tcW w:w="1308" w:type="dxa"/>
            <w:tcBorders>
              <w:top w:val="nil"/>
              <w:left w:val="nil"/>
              <w:bottom w:val="single" w:color="000000" w:sz="4" w:space="0"/>
              <w:right w:val="single" w:color="000000" w:sz="4" w:space="0"/>
            </w:tcBorders>
            <w:shd w:val="clear" w:color="auto" w:fill="auto"/>
            <w:vAlign w:val="center"/>
          </w:tcPr>
          <w:p w14:paraId="23CC5D9A">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0.00</w:t>
            </w:r>
          </w:p>
        </w:tc>
        <w:tc>
          <w:tcPr>
            <w:tcW w:w="1611" w:type="dxa"/>
            <w:gridSpan w:val="3"/>
            <w:tcBorders>
              <w:top w:val="single" w:color="000000" w:sz="4" w:space="0"/>
              <w:left w:val="nil"/>
              <w:bottom w:val="single" w:color="000000" w:sz="4" w:space="0"/>
              <w:right w:val="single" w:color="000000" w:sz="4" w:space="0"/>
            </w:tcBorders>
            <w:shd w:val="clear" w:color="auto" w:fill="auto"/>
            <w:vAlign w:val="center"/>
          </w:tcPr>
          <w:p w14:paraId="597229F3">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0.00</w:t>
            </w:r>
          </w:p>
        </w:tc>
        <w:tc>
          <w:tcPr>
            <w:tcW w:w="846" w:type="dxa"/>
            <w:tcBorders>
              <w:top w:val="nil"/>
              <w:left w:val="nil"/>
              <w:bottom w:val="single" w:color="000000" w:sz="4" w:space="0"/>
              <w:right w:val="single" w:color="000000" w:sz="4" w:space="0"/>
            </w:tcBorders>
            <w:shd w:val="clear" w:color="auto" w:fill="auto"/>
            <w:vAlign w:val="center"/>
          </w:tcPr>
          <w:p w14:paraId="30BDCA36">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0.00%</w:t>
            </w:r>
          </w:p>
        </w:tc>
        <w:tc>
          <w:tcPr>
            <w:tcW w:w="486" w:type="dxa"/>
            <w:tcBorders>
              <w:top w:val="nil"/>
              <w:left w:val="nil"/>
              <w:bottom w:val="single" w:color="000000" w:sz="4" w:space="0"/>
              <w:right w:val="single" w:color="000000" w:sz="4" w:space="0"/>
            </w:tcBorders>
            <w:shd w:val="clear" w:color="auto" w:fill="auto"/>
            <w:vAlign w:val="center"/>
          </w:tcPr>
          <w:p w14:paraId="68D84047">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w:t>
            </w:r>
          </w:p>
        </w:tc>
        <w:tc>
          <w:tcPr>
            <w:tcW w:w="486" w:type="dxa"/>
            <w:tcBorders>
              <w:top w:val="nil"/>
              <w:left w:val="nil"/>
              <w:bottom w:val="single" w:color="000000" w:sz="4" w:space="0"/>
              <w:right w:val="single" w:color="000000" w:sz="4" w:space="0"/>
            </w:tcBorders>
            <w:shd w:val="clear" w:color="auto" w:fill="auto"/>
            <w:vAlign w:val="center"/>
          </w:tcPr>
          <w:p w14:paraId="3718717D">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w:t>
            </w:r>
          </w:p>
        </w:tc>
        <w:tc>
          <w:tcPr>
            <w:tcW w:w="1290" w:type="dxa"/>
            <w:vMerge w:val="continue"/>
            <w:tcBorders>
              <w:top w:val="nil"/>
              <w:left w:val="single" w:color="000000" w:sz="4" w:space="0"/>
              <w:bottom w:val="single" w:color="000000" w:sz="4" w:space="0"/>
              <w:right w:val="single" w:color="000000" w:sz="4" w:space="0"/>
            </w:tcBorders>
            <w:vAlign w:val="center"/>
          </w:tcPr>
          <w:p w14:paraId="2D97A54D">
            <w:pPr>
              <w:rPr>
                <w:rFonts w:ascii="Courier New" w:hAnsi="Courier New" w:cs="Courier New"/>
                <w:i/>
                <w:iCs/>
                <w:color w:val="000000"/>
                <w:kern w:val="0"/>
                <w:sz w:val="18"/>
                <w:szCs w:val="18"/>
              </w:rPr>
            </w:pPr>
          </w:p>
        </w:tc>
      </w:tr>
      <w:tr w14:paraId="4BF0C4DA">
        <w:tblPrEx>
          <w:tblCellMar>
            <w:top w:w="0" w:type="dxa"/>
            <w:left w:w="108" w:type="dxa"/>
            <w:bottom w:w="0" w:type="dxa"/>
            <w:right w:w="108" w:type="dxa"/>
          </w:tblCellMar>
        </w:tblPrEx>
        <w:trPr>
          <w:trHeight w:val="338" w:hRule="atLeast"/>
        </w:trPr>
        <w:tc>
          <w:tcPr>
            <w:tcW w:w="576" w:type="dxa"/>
            <w:vMerge w:val="continue"/>
            <w:tcBorders>
              <w:top w:val="nil"/>
              <w:left w:val="single" w:color="000000" w:sz="4" w:space="0"/>
              <w:bottom w:val="single" w:color="000000" w:sz="4" w:space="0"/>
              <w:right w:val="single" w:color="000000" w:sz="4" w:space="0"/>
            </w:tcBorders>
            <w:vAlign w:val="center"/>
          </w:tcPr>
          <w:p w14:paraId="36595E77">
            <w:pPr>
              <w:jc w:val="center"/>
              <w:rPr>
                <w:rFonts w:ascii="宋体" w:hAnsi="宋体" w:cs="宋体"/>
                <w:color w:val="000000"/>
                <w:kern w:val="0"/>
                <w:sz w:val="18"/>
                <w:szCs w:val="18"/>
              </w:rPr>
            </w:pPr>
          </w:p>
        </w:tc>
        <w:tc>
          <w:tcPr>
            <w:tcW w:w="996" w:type="dxa"/>
            <w:tcBorders>
              <w:top w:val="nil"/>
              <w:left w:val="nil"/>
              <w:bottom w:val="single" w:color="000000" w:sz="4" w:space="0"/>
              <w:right w:val="single" w:color="000000" w:sz="4" w:space="0"/>
            </w:tcBorders>
            <w:shd w:val="clear" w:color="auto" w:fill="auto"/>
            <w:vAlign w:val="center"/>
          </w:tcPr>
          <w:p w14:paraId="4AC1ABCC">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其他资金</w:t>
            </w:r>
          </w:p>
        </w:tc>
        <w:tc>
          <w:tcPr>
            <w:tcW w:w="923" w:type="dxa"/>
            <w:tcBorders>
              <w:top w:val="nil"/>
              <w:left w:val="nil"/>
              <w:bottom w:val="single" w:color="000000" w:sz="4" w:space="0"/>
              <w:right w:val="single" w:color="000000" w:sz="4" w:space="0"/>
            </w:tcBorders>
            <w:shd w:val="clear" w:color="auto" w:fill="auto"/>
            <w:vAlign w:val="center"/>
          </w:tcPr>
          <w:p w14:paraId="72C60586">
            <w:pPr>
              <w:jc w:val="center"/>
              <w:rPr>
                <w:rFonts w:ascii="微软雅黑" w:hAnsi="微软雅黑" w:eastAsia="微软雅黑" w:cs="宋体"/>
                <w:i/>
                <w:iCs/>
                <w:color w:val="000000"/>
                <w:kern w:val="0"/>
                <w:sz w:val="16"/>
                <w:szCs w:val="16"/>
              </w:rPr>
            </w:pPr>
          </w:p>
        </w:tc>
        <w:tc>
          <w:tcPr>
            <w:tcW w:w="1308" w:type="dxa"/>
            <w:tcBorders>
              <w:top w:val="nil"/>
              <w:left w:val="nil"/>
              <w:bottom w:val="single" w:color="000000" w:sz="4" w:space="0"/>
              <w:right w:val="single" w:color="000000" w:sz="4" w:space="0"/>
            </w:tcBorders>
            <w:shd w:val="clear" w:color="auto" w:fill="auto"/>
            <w:vAlign w:val="center"/>
          </w:tcPr>
          <w:p w14:paraId="5D4CC61E">
            <w:pPr>
              <w:jc w:val="center"/>
              <w:rPr>
                <w:rFonts w:ascii="微软雅黑" w:hAnsi="微软雅黑" w:eastAsia="微软雅黑" w:cs="宋体"/>
                <w:i/>
                <w:iCs/>
                <w:color w:val="000000"/>
                <w:kern w:val="0"/>
                <w:sz w:val="16"/>
                <w:szCs w:val="16"/>
              </w:rPr>
            </w:pPr>
          </w:p>
        </w:tc>
        <w:tc>
          <w:tcPr>
            <w:tcW w:w="1611" w:type="dxa"/>
            <w:gridSpan w:val="3"/>
            <w:tcBorders>
              <w:top w:val="single" w:color="000000" w:sz="4" w:space="0"/>
              <w:left w:val="nil"/>
              <w:bottom w:val="single" w:color="000000" w:sz="4" w:space="0"/>
              <w:right w:val="single" w:color="000000" w:sz="4" w:space="0"/>
            </w:tcBorders>
            <w:shd w:val="clear" w:color="auto" w:fill="auto"/>
            <w:vAlign w:val="center"/>
          </w:tcPr>
          <w:p w14:paraId="2ABC860B">
            <w:pPr>
              <w:jc w:val="center"/>
              <w:rPr>
                <w:rFonts w:ascii="微软雅黑" w:hAnsi="微软雅黑" w:eastAsia="微软雅黑" w:cs="宋体"/>
                <w:i/>
                <w:iCs/>
                <w:color w:val="000000"/>
                <w:kern w:val="0"/>
                <w:sz w:val="16"/>
                <w:szCs w:val="16"/>
              </w:rPr>
            </w:pPr>
          </w:p>
        </w:tc>
        <w:tc>
          <w:tcPr>
            <w:tcW w:w="846" w:type="dxa"/>
            <w:tcBorders>
              <w:top w:val="nil"/>
              <w:left w:val="nil"/>
              <w:bottom w:val="single" w:color="000000" w:sz="4" w:space="0"/>
              <w:right w:val="single" w:color="000000" w:sz="4" w:space="0"/>
            </w:tcBorders>
            <w:shd w:val="clear" w:color="auto" w:fill="auto"/>
            <w:vAlign w:val="center"/>
          </w:tcPr>
          <w:p w14:paraId="00925563">
            <w:pPr>
              <w:jc w:val="center"/>
              <w:rPr>
                <w:rFonts w:ascii="微软雅黑" w:hAnsi="微软雅黑" w:eastAsia="微软雅黑" w:cs="宋体"/>
                <w:i/>
                <w:iCs/>
                <w:color w:val="000000"/>
                <w:kern w:val="0"/>
                <w:sz w:val="16"/>
                <w:szCs w:val="16"/>
              </w:rPr>
            </w:pPr>
          </w:p>
        </w:tc>
        <w:tc>
          <w:tcPr>
            <w:tcW w:w="486" w:type="dxa"/>
            <w:tcBorders>
              <w:top w:val="nil"/>
              <w:left w:val="nil"/>
              <w:bottom w:val="single" w:color="000000" w:sz="4" w:space="0"/>
              <w:right w:val="single" w:color="000000" w:sz="4" w:space="0"/>
            </w:tcBorders>
            <w:shd w:val="clear" w:color="auto" w:fill="auto"/>
            <w:vAlign w:val="center"/>
          </w:tcPr>
          <w:p w14:paraId="2E313B3D">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w:t>
            </w:r>
          </w:p>
        </w:tc>
        <w:tc>
          <w:tcPr>
            <w:tcW w:w="486" w:type="dxa"/>
            <w:tcBorders>
              <w:top w:val="nil"/>
              <w:left w:val="nil"/>
              <w:bottom w:val="single" w:color="000000" w:sz="4" w:space="0"/>
              <w:right w:val="single" w:color="000000" w:sz="4" w:space="0"/>
            </w:tcBorders>
            <w:shd w:val="clear" w:color="auto" w:fill="auto"/>
            <w:vAlign w:val="center"/>
          </w:tcPr>
          <w:p w14:paraId="5D29C5A0">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w:t>
            </w:r>
          </w:p>
        </w:tc>
        <w:tc>
          <w:tcPr>
            <w:tcW w:w="1290" w:type="dxa"/>
            <w:vMerge w:val="continue"/>
            <w:tcBorders>
              <w:top w:val="nil"/>
              <w:left w:val="single" w:color="000000" w:sz="4" w:space="0"/>
              <w:bottom w:val="single" w:color="000000" w:sz="4" w:space="0"/>
              <w:right w:val="single" w:color="000000" w:sz="4" w:space="0"/>
            </w:tcBorders>
            <w:vAlign w:val="center"/>
          </w:tcPr>
          <w:p w14:paraId="343A9C0A">
            <w:pPr>
              <w:rPr>
                <w:rFonts w:ascii="Courier New" w:hAnsi="Courier New" w:cs="Courier New"/>
                <w:i/>
                <w:iCs/>
                <w:color w:val="000000"/>
                <w:kern w:val="0"/>
                <w:sz w:val="18"/>
                <w:szCs w:val="18"/>
              </w:rPr>
            </w:pPr>
          </w:p>
        </w:tc>
      </w:tr>
      <w:tr w14:paraId="6CEC5FC1">
        <w:tblPrEx>
          <w:tblCellMar>
            <w:top w:w="0" w:type="dxa"/>
            <w:left w:w="108" w:type="dxa"/>
            <w:bottom w:w="0" w:type="dxa"/>
            <w:right w:w="108" w:type="dxa"/>
          </w:tblCellMar>
        </w:tblPrEx>
        <w:trPr>
          <w:trHeight w:val="454" w:hRule="atLeast"/>
        </w:trPr>
        <w:tc>
          <w:tcPr>
            <w:tcW w:w="576" w:type="dxa"/>
            <w:vMerge w:val="restart"/>
            <w:tcBorders>
              <w:top w:val="nil"/>
              <w:left w:val="single" w:color="000000" w:sz="4" w:space="0"/>
              <w:bottom w:val="single" w:color="000000" w:sz="4" w:space="0"/>
              <w:right w:val="single" w:color="000000" w:sz="4" w:space="0"/>
            </w:tcBorders>
            <w:shd w:val="clear" w:color="auto" w:fill="auto"/>
            <w:vAlign w:val="center"/>
          </w:tcPr>
          <w:p w14:paraId="7E474092">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绩效指标（90分）</w:t>
            </w:r>
          </w:p>
        </w:tc>
        <w:tc>
          <w:tcPr>
            <w:tcW w:w="996" w:type="dxa"/>
            <w:tcBorders>
              <w:top w:val="nil"/>
              <w:left w:val="nil"/>
              <w:bottom w:val="single" w:color="000000" w:sz="4" w:space="0"/>
              <w:right w:val="single" w:color="000000" w:sz="4" w:space="0"/>
            </w:tcBorders>
            <w:shd w:val="clear" w:color="auto" w:fill="auto"/>
            <w:vAlign w:val="center"/>
          </w:tcPr>
          <w:p w14:paraId="622F2AC0">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一级指标</w:t>
            </w:r>
          </w:p>
        </w:tc>
        <w:tc>
          <w:tcPr>
            <w:tcW w:w="923" w:type="dxa"/>
            <w:tcBorders>
              <w:top w:val="nil"/>
              <w:left w:val="nil"/>
              <w:bottom w:val="single" w:color="000000" w:sz="4" w:space="0"/>
              <w:right w:val="single" w:color="000000" w:sz="4" w:space="0"/>
            </w:tcBorders>
            <w:shd w:val="clear" w:color="auto" w:fill="auto"/>
            <w:vAlign w:val="center"/>
          </w:tcPr>
          <w:p w14:paraId="1D699A02">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二级指标</w:t>
            </w:r>
          </w:p>
        </w:tc>
        <w:tc>
          <w:tcPr>
            <w:tcW w:w="1308" w:type="dxa"/>
            <w:tcBorders>
              <w:top w:val="nil"/>
              <w:left w:val="nil"/>
              <w:bottom w:val="single" w:color="000000" w:sz="4" w:space="0"/>
              <w:right w:val="single" w:color="000000" w:sz="4" w:space="0"/>
            </w:tcBorders>
            <w:shd w:val="clear" w:color="auto" w:fill="auto"/>
            <w:vAlign w:val="center"/>
          </w:tcPr>
          <w:p w14:paraId="687390F4">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三级指标</w:t>
            </w:r>
          </w:p>
        </w:tc>
        <w:tc>
          <w:tcPr>
            <w:tcW w:w="396" w:type="dxa"/>
            <w:tcBorders>
              <w:top w:val="nil"/>
              <w:left w:val="nil"/>
              <w:bottom w:val="single" w:color="000000" w:sz="4" w:space="0"/>
              <w:right w:val="single" w:color="000000" w:sz="4" w:space="0"/>
            </w:tcBorders>
            <w:shd w:val="clear" w:color="auto" w:fill="auto"/>
            <w:vAlign w:val="center"/>
          </w:tcPr>
          <w:p w14:paraId="55DFBF00">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指标性质</w:t>
            </w:r>
          </w:p>
        </w:tc>
        <w:tc>
          <w:tcPr>
            <w:tcW w:w="819" w:type="dxa"/>
            <w:tcBorders>
              <w:top w:val="nil"/>
              <w:left w:val="nil"/>
              <w:bottom w:val="single" w:color="000000" w:sz="4" w:space="0"/>
              <w:right w:val="single" w:color="000000" w:sz="4" w:space="0"/>
            </w:tcBorders>
            <w:shd w:val="clear" w:color="auto" w:fill="auto"/>
            <w:vAlign w:val="center"/>
          </w:tcPr>
          <w:p w14:paraId="429C359B">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指标值</w:t>
            </w:r>
          </w:p>
        </w:tc>
        <w:tc>
          <w:tcPr>
            <w:tcW w:w="396" w:type="dxa"/>
            <w:tcBorders>
              <w:top w:val="nil"/>
              <w:left w:val="nil"/>
              <w:bottom w:val="single" w:color="000000" w:sz="4" w:space="0"/>
              <w:right w:val="single" w:color="000000" w:sz="4" w:space="0"/>
            </w:tcBorders>
            <w:shd w:val="clear" w:color="auto" w:fill="auto"/>
            <w:vAlign w:val="center"/>
          </w:tcPr>
          <w:p w14:paraId="6E65B0A3">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nil"/>
              <w:left w:val="nil"/>
              <w:bottom w:val="single" w:color="000000" w:sz="4" w:space="0"/>
              <w:right w:val="single" w:color="000000" w:sz="4" w:space="0"/>
            </w:tcBorders>
            <w:shd w:val="clear" w:color="auto" w:fill="auto"/>
            <w:vAlign w:val="center"/>
          </w:tcPr>
          <w:p w14:paraId="74AB4C69">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完成值</w:t>
            </w:r>
          </w:p>
        </w:tc>
        <w:tc>
          <w:tcPr>
            <w:tcW w:w="486" w:type="dxa"/>
            <w:tcBorders>
              <w:top w:val="nil"/>
              <w:left w:val="nil"/>
              <w:bottom w:val="single" w:color="000000" w:sz="4" w:space="0"/>
              <w:right w:val="single" w:color="000000" w:sz="4" w:space="0"/>
            </w:tcBorders>
            <w:shd w:val="clear" w:color="auto" w:fill="auto"/>
            <w:vAlign w:val="center"/>
          </w:tcPr>
          <w:p w14:paraId="7A0D876C">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权重</w:t>
            </w:r>
          </w:p>
        </w:tc>
        <w:tc>
          <w:tcPr>
            <w:tcW w:w="486" w:type="dxa"/>
            <w:tcBorders>
              <w:top w:val="nil"/>
              <w:left w:val="nil"/>
              <w:bottom w:val="single" w:color="000000" w:sz="4" w:space="0"/>
              <w:right w:val="single" w:color="000000" w:sz="4" w:space="0"/>
            </w:tcBorders>
            <w:shd w:val="clear" w:color="auto" w:fill="auto"/>
            <w:vAlign w:val="center"/>
          </w:tcPr>
          <w:p w14:paraId="6CF1D6B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290" w:type="dxa"/>
            <w:tcBorders>
              <w:top w:val="nil"/>
              <w:left w:val="nil"/>
              <w:bottom w:val="single" w:color="000000" w:sz="4" w:space="0"/>
              <w:right w:val="single" w:color="000000" w:sz="4" w:space="0"/>
            </w:tcBorders>
            <w:shd w:val="clear" w:color="auto" w:fill="auto"/>
            <w:vAlign w:val="center"/>
          </w:tcPr>
          <w:p w14:paraId="097057ED">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未完成原因分析</w:t>
            </w:r>
          </w:p>
        </w:tc>
      </w:tr>
      <w:tr w14:paraId="0A8A56FB">
        <w:tblPrEx>
          <w:tblCellMar>
            <w:top w:w="0" w:type="dxa"/>
            <w:left w:w="108" w:type="dxa"/>
            <w:bottom w:w="0" w:type="dxa"/>
            <w:right w:w="108" w:type="dxa"/>
          </w:tblCellMar>
        </w:tblPrEx>
        <w:trPr>
          <w:trHeight w:val="338" w:hRule="atLeast"/>
        </w:trPr>
        <w:tc>
          <w:tcPr>
            <w:tcW w:w="576" w:type="dxa"/>
            <w:vMerge w:val="continue"/>
            <w:tcBorders>
              <w:top w:val="nil"/>
              <w:left w:val="single" w:color="000000" w:sz="4" w:space="0"/>
              <w:bottom w:val="single" w:color="000000" w:sz="4" w:space="0"/>
              <w:right w:val="single" w:color="000000" w:sz="4" w:space="0"/>
            </w:tcBorders>
            <w:vAlign w:val="center"/>
          </w:tcPr>
          <w:p w14:paraId="12E8F034">
            <w:pPr>
              <w:jc w:val="center"/>
              <w:rPr>
                <w:rFonts w:ascii="宋体" w:hAnsi="宋体" w:cs="宋体"/>
                <w:color w:val="000000"/>
                <w:kern w:val="0"/>
                <w:sz w:val="18"/>
                <w:szCs w:val="18"/>
              </w:rPr>
            </w:pPr>
          </w:p>
        </w:tc>
        <w:tc>
          <w:tcPr>
            <w:tcW w:w="996" w:type="dxa"/>
            <w:vMerge w:val="restart"/>
            <w:tcBorders>
              <w:top w:val="nil"/>
              <w:left w:val="single" w:color="000000" w:sz="4" w:space="0"/>
              <w:bottom w:val="single" w:color="000000" w:sz="4" w:space="0"/>
              <w:right w:val="single" w:color="000000" w:sz="4" w:space="0"/>
            </w:tcBorders>
            <w:shd w:val="clear" w:color="auto" w:fill="auto"/>
            <w:vAlign w:val="center"/>
          </w:tcPr>
          <w:p w14:paraId="077EBFCD">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产出指标</w:t>
            </w:r>
          </w:p>
        </w:tc>
        <w:tc>
          <w:tcPr>
            <w:tcW w:w="923" w:type="dxa"/>
            <w:tcBorders>
              <w:top w:val="nil"/>
              <w:left w:val="nil"/>
              <w:bottom w:val="single" w:color="000000" w:sz="4" w:space="0"/>
              <w:right w:val="single" w:color="000000" w:sz="4" w:space="0"/>
            </w:tcBorders>
            <w:shd w:val="clear" w:color="auto" w:fill="auto"/>
            <w:vAlign w:val="center"/>
          </w:tcPr>
          <w:p w14:paraId="3F9D6BD8">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数量指标</w:t>
            </w:r>
          </w:p>
        </w:tc>
        <w:tc>
          <w:tcPr>
            <w:tcW w:w="1308" w:type="dxa"/>
            <w:tcBorders>
              <w:top w:val="nil"/>
              <w:left w:val="nil"/>
              <w:bottom w:val="single" w:color="000000" w:sz="4" w:space="0"/>
              <w:right w:val="single" w:color="000000" w:sz="4" w:space="0"/>
            </w:tcBorders>
            <w:shd w:val="clear" w:color="auto" w:fill="auto"/>
            <w:vAlign w:val="center"/>
          </w:tcPr>
          <w:p w14:paraId="6719BA49">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科目调整次数</w:t>
            </w:r>
          </w:p>
        </w:tc>
        <w:tc>
          <w:tcPr>
            <w:tcW w:w="396" w:type="dxa"/>
            <w:tcBorders>
              <w:top w:val="nil"/>
              <w:left w:val="nil"/>
              <w:bottom w:val="single" w:color="000000" w:sz="4" w:space="0"/>
              <w:right w:val="single" w:color="000000" w:sz="4" w:space="0"/>
            </w:tcBorders>
            <w:shd w:val="clear" w:color="auto" w:fill="auto"/>
            <w:vAlign w:val="center"/>
          </w:tcPr>
          <w:p w14:paraId="17D50FCE">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w:t>
            </w:r>
          </w:p>
        </w:tc>
        <w:tc>
          <w:tcPr>
            <w:tcW w:w="819" w:type="dxa"/>
            <w:tcBorders>
              <w:top w:val="nil"/>
              <w:left w:val="nil"/>
              <w:bottom w:val="single" w:color="000000" w:sz="4" w:space="0"/>
              <w:right w:val="single" w:color="000000" w:sz="4" w:space="0"/>
            </w:tcBorders>
            <w:shd w:val="clear" w:color="auto" w:fill="auto"/>
            <w:vAlign w:val="center"/>
          </w:tcPr>
          <w:p w14:paraId="6E4DE4B2">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5</w:t>
            </w:r>
          </w:p>
        </w:tc>
        <w:tc>
          <w:tcPr>
            <w:tcW w:w="396" w:type="dxa"/>
            <w:tcBorders>
              <w:top w:val="nil"/>
              <w:left w:val="nil"/>
              <w:bottom w:val="single" w:color="000000" w:sz="4" w:space="0"/>
              <w:right w:val="single" w:color="000000" w:sz="4" w:space="0"/>
            </w:tcBorders>
            <w:shd w:val="clear" w:color="auto" w:fill="auto"/>
            <w:vAlign w:val="center"/>
          </w:tcPr>
          <w:p w14:paraId="535B2841">
            <w:pPr>
              <w:keepNext w:val="0"/>
              <w:keepLines w:val="0"/>
              <w:widowControl/>
              <w:suppressLineNumbers w:val="0"/>
              <w:jc w:val="center"/>
              <w:textAlignment w:val="center"/>
              <w:rPr>
                <w:rFonts w:ascii="微软雅黑" w:hAnsi="微软雅黑" w:eastAsia="微软雅黑" w:cs="宋体"/>
                <w:i/>
                <w:iCs/>
                <w:color w:val="000000"/>
                <w:kern w:val="0"/>
                <w:sz w:val="16"/>
                <w:szCs w:val="16"/>
              </w:rPr>
            </w:pPr>
            <w:r>
              <w:rPr>
                <w:rFonts w:ascii="宋体" w:hAnsi="宋体" w:eastAsia="宋体" w:cs="宋体"/>
                <w:i w:val="0"/>
                <w:iCs w:val="0"/>
                <w:color w:val="000000"/>
                <w:kern w:val="0"/>
                <w:sz w:val="18"/>
                <w:szCs w:val="18"/>
                <w:u w:val="none"/>
                <w:lang w:val="en-US" w:eastAsia="zh-CN" w:bidi="ar"/>
              </w:rPr>
              <w:t>次</w:t>
            </w:r>
          </w:p>
        </w:tc>
        <w:tc>
          <w:tcPr>
            <w:tcW w:w="846" w:type="dxa"/>
            <w:tcBorders>
              <w:top w:val="nil"/>
              <w:left w:val="nil"/>
              <w:bottom w:val="single" w:color="000000" w:sz="4" w:space="0"/>
              <w:right w:val="single" w:color="000000" w:sz="4" w:space="0"/>
            </w:tcBorders>
            <w:shd w:val="clear" w:color="auto" w:fill="auto"/>
            <w:vAlign w:val="center"/>
          </w:tcPr>
          <w:p w14:paraId="7108E129">
            <w:pPr>
              <w:jc w:val="center"/>
              <w:rPr>
                <w:rFonts w:ascii="宋体" w:hAnsi="宋体" w:cs="宋体"/>
                <w:color w:val="000000"/>
                <w:kern w:val="0"/>
                <w:sz w:val="18"/>
                <w:szCs w:val="18"/>
              </w:rPr>
            </w:pPr>
          </w:p>
        </w:tc>
        <w:tc>
          <w:tcPr>
            <w:tcW w:w="486" w:type="dxa"/>
            <w:tcBorders>
              <w:top w:val="nil"/>
              <w:left w:val="nil"/>
              <w:bottom w:val="single" w:color="000000" w:sz="4" w:space="0"/>
              <w:right w:val="single" w:color="000000" w:sz="4" w:space="0"/>
            </w:tcBorders>
            <w:shd w:val="clear" w:color="auto" w:fill="auto"/>
            <w:vAlign w:val="center"/>
          </w:tcPr>
          <w:p w14:paraId="0736BB9A">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20</w:t>
            </w:r>
          </w:p>
        </w:tc>
        <w:tc>
          <w:tcPr>
            <w:tcW w:w="486" w:type="dxa"/>
            <w:tcBorders>
              <w:top w:val="nil"/>
              <w:left w:val="nil"/>
              <w:bottom w:val="single" w:color="000000" w:sz="4" w:space="0"/>
              <w:right w:val="single" w:color="000000" w:sz="4" w:space="0"/>
            </w:tcBorders>
            <w:shd w:val="clear" w:color="auto" w:fill="auto"/>
            <w:vAlign w:val="center"/>
          </w:tcPr>
          <w:p w14:paraId="4FB7D7A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290" w:type="dxa"/>
            <w:tcBorders>
              <w:top w:val="nil"/>
              <w:left w:val="nil"/>
              <w:bottom w:val="single" w:color="000000" w:sz="4" w:space="0"/>
              <w:right w:val="single" w:color="000000" w:sz="4" w:space="0"/>
            </w:tcBorders>
            <w:shd w:val="clear" w:color="auto" w:fill="auto"/>
            <w:vAlign w:val="center"/>
          </w:tcPr>
          <w:p w14:paraId="38FF0E7A">
            <w:pPr>
              <w:jc w:val="center"/>
              <w:rPr>
                <w:rFonts w:ascii="微软雅黑" w:hAnsi="微软雅黑" w:eastAsia="微软雅黑" w:cs="宋体"/>
                <w:i/>
                <w:iCs/>
                <w:color w:val="000000"/>
                <w:kern w:val="0"/>
                <w:sz w:val="16"/>
                <w:szCs w:val="16"/>
              </w:rPr>
            </w:pPr>
          </w:p>
        </w:tc>
      </w:tr>
      <w:tr w14:paraId="6717DD61">
        <w:tblPrEx>
          <w:tblCellMar>
            <w:top w:w="0" w:type="dxa"/>
            <w:left w:w="108" w:type="dxa"/>
            <w:bottom w:w="0" w:type="dxa"/>
            <w:right w:w="108" w:type="dxa"/>
          </w:tblCellMar>
        </w:tblPrEx>
        <w:trPr>
          <w:trHeight w:val="679" w:hRule="atLeast"/>
        </w:trPr>
        <w:tc>
          <w:tcPr>
            <w:tcW w:w="576" w:type="dxa"/>
            <w:vMerge w:val="continue"/>
            <w:tcBorders>
              <w:top w:val="nil"/>
              <w:left w:val="single" w:color="000000" w:sz="4" w:space="0"/>
              <w:bottom w:val="single" w:color="000000" w:sz="4" w:space="0"/>
              <w:right w:val="single" w:color="000000" w:sz="4" w:space="0"/>
            </w:tcBorders>
            <w:vAlign w:val="center"/>
          </w:tcPr>
          <w:p w14:paraId="3FAA8F2C">
            <w:pPr>
              <w:jc w:val="center"/>
              <w:rPr>
                <w:rFonts w:ascii="宋体" w:hAnsi="宋体" w:cs="宋体"/>
                <w:color w:val="000000"/>
                <w:kern w:val="0"/>
                <w:sz w:val="18"/>
                <w:szCs w:val="18"/>
              </w:rPr>
            </w:pPr>
          </w:p>
        </w:tc>
        <w:tc>
          <w:tcPr>
            <w:tcW w:w="996" w:type="dxa"/>
            <w:vMerge w:val="continue"/>
            <w:tcBorders>
              <w:top w:val="nil"/>
              <w:left w:val="single" w:color="000000" w:sz="4" w:space="0"/>
              <w:bottom w:val="single" w:color="000000" w:sz="4" w:space="0"/>
              <w:right w:val="single" w:color="000000" w:sz="4" w:space="0"/>
            </w:tcBorders>
            <w:vAlign w:val="center"/>
          </w:tcPr>
          <w:p w14:paraId="7BFEA21B">
            <w:pPr>
              <w:jc w:val="center"/>
              <w:rPr>
                <w:rFonts w:ascii="宋体" w:hAnsi="宋体" w:cs="宋体"/>
                <w:color w:val="000000"/>
                <w:kern w:val="0"/>
                <w:sz w:val="18"/>
                <w:szCs w:val="18"/>
              </w:rPr>
            </w:pPr>
          </w:p>
        </w:tc>
        <w:tc>
          <w:tcPr>
            <w:tcW w:w="923" w:type="dxa"/>
            <w:tcBorders>
              <w:top w:val="nil"/>
              <w:left w:val="nil"/>
              <w:bottom w:val="single" w:color="000000" w:sz="4" w:space="0"/>
              <w:right w:val="single" w:color="000000" w:sz="4" w:space="0"/>
            </w:tcBorders>
            <w:shd w:val="clear" w:color="auto" w:fill="auto"/>
            <w:vAlign w:val="center"/>
          </w:tcPr>
          <w:p w14:paraId="3F6A84AB">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质量指标</w:t>
            </w:r>
          </w:p>
        </w:tc>
        <w:tc>
          <w:tcPr>
            <w:tcW w:w="1308" w:type="dxa"/>
            <w:tcBorders>
              <w:top w:val="nil"/>
              <w:left w:val="nil"/>
              <w:bottom w:val="single" w:color="000000" w:sz="4" w:space="0"/>
              <w:right w:val="single" w:color="000000" w:sz="4" w:space="0"/>
            </w:tcBorders>
            <w:shd w:val="clear" w:color="auto" w:fill="auto"/>
            <w:vAlign w:val="center"/>
          </w:tcPr>
          <w:p w14:paraId="0DF9C468">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396" w:type="dxa"/>
            <w:tcBorders>
              <w:top w:val="nil"/>
              <w:left w:val="nil"/>
              <w:bottom w:val="single" w:color="000000" w:sz="4" w:space="0"/>
              <w:right w:val="single" w:color="000000" w:sz="4" w:space="0"/>
            </w:tcBorders>
            <w:shd w:val="clear" w:color="auto" w:fill="auto"/>
            <w:vAlign w:val="center"/>
          </w:tcPr>
          <w:p w14:paraId="19127146">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w:t>
            </w:r>
          </w:p>
        </w:tc>
        <w:tc>
          <w:tcPr>
            <w:tcW w:w="819" w:type="dxa"/>
            <w:tcBorders>
              <w:top w:val="nil"/>
              <w:left w:val="nil"/>
              <w:bottom w:val="single" w:color="000000" w:sz="4" w:space="0"/>
              <w:right w:val="single" w:color="000000" w:sz="4" w:space="0"/>
            </w:tcBorders>
            <w:shd w:val="clear" w:color="auto" w:fill="auto"/>
            <w:vAlign w:val="center"/>
          </w:tcPr>
          <w:p w14:paraId="45FB3781">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5</w:t>
            </w:r>
          </w:p>
        </w:tc>
        <w:tc>
          <w:tcPr>
            <w:tcW w:w="396" w:type="dxa"/>
            <w:tcBorders>
              <w:top w:val="nil"/>
              <w:left w:val="nil"/>
              <w:bottom w:val="single" w:color="000000" w:sz="4" w:space="0"/>
              <w:right w:val="single" w:color="000000" w:sz="4" w:space="0"/>
            </w:tcBorders>
            <w:shd w:val="clear" w:color="auto" w:fill="auto"/>
            <w:vAlign w:val="center"/>
          </w:tcPr>
          <w:p w14:paraId="4D31ABC1">
            <w:pPr>
              <w:keepNext w:val="0"/>
              <w:keepLines w:val="0"/>
              <w:widowControl/>
              <w:suppressLineNumbers w:val="0"/>
              <w:jc w:val="center"/>
              <w:textAlignment w:val="center"/>
              <w:rPr>
                <w:rFonts w:ascii="微软雅黑" w:hAnsi="微软雅黑" w:eastAsia="微软雅黑" w:cs="宋体"/>
                <w:i/>
                <w:iCs/>
                <w:color w:val="000000"/>
                <w:kern w:val="0"/>
                <w:sz w:val="16"/>
                <w:szCs w:val="16"/>
              </w:rPr>
            </w:pPr>
            <w:r>
              <w:rPr>
                <w:rFonts w:ascii="宋体" w:hAnsi="宋体" w:eastAsia="宋体" w:cs="宋体"/>
                <w:i w:val="0"/>
                <w:iCs w:val="0"/>
                <w:color w:val="000000"/>
                <w:kern w:val="0"/>
                <w:sz w:val="18"/>
                <w:szCs w:val="18"/>
                <w:u w:val="none"/>
                <w:lang w:val="en-US" w:eastAsia="zh-CN" w:bidi="ar"/>
              </w:rPr>
              <w:t>%</w:t>
            </w:r>
          </w:p>
        </w:tc>
        <w:tc>
          <w:tcPr>
            <w:tcW w:w="846" w:type="dxa"/>
            <w:tcBorders>
              <w:top w:val="nil"/>
              <w:left w:val="nil"/>
              <w:bottom w:val="single" w:color="000000" w:sz="4" w:space="0"/>
              <w:right w:val="single" w:color="000000" w:sz="4" w:space="0"/>
            </w:tcBorders>
            <w:shd w:val="clear" w:color="auto" w:fill="auto"/>
            <w:vAlign w:val="center"/>
          </w:tcPr>
          <w:p w14:paraId="4F3AFD7C">
            <w:pPr>
              <w:jc w:val="center"/>
              <w:rPr>
                <w:rFonts w:ascii="宋体" w:hAnsi="宋体" w:cs="宋体"/>
                <w:color w:val="000000"/>
                <w:kern w:val="0"/>
                <w:sz w:val="18"/>
                <w:szCs w:val="18"/>
              </w:rPr>
            </w:pPr>
          </w:p>
        </w:tc>
        <w:tc>
          <w:tcPr>
            <w:tcW w:w="486" w:type="dxa"/>
            <w:tcBorders>
              <w:top w:val="nil"/>
              <w:left w:val="nil"/>
              <w:bottom w:val="single" w:color="000000" w:sz="4" w:space="0"/>
              <w:right w:val="single" w:color="000000" w:sz="4" w:space="0"/>
            </w:tcBorders>
            <w:shd w:val="clear" w:color="auto" w:fill="auto"/>
            <w:vAlign w:val="center"/>
          </w:tcPr>
          <w:p w14:paraId="5E600B24">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30</w:t>
            </w:r>
          </w:p>
        </w:tc>
        <w:tc>
          <w:tcPr>
            <w:tcW w:w="486" w:type="dxa"/>
            <w:tcBorders>
              <w:top w:val="nil"/>
              <w:left w:val="nil"/>
              <w:bottom w:val="single" w:color="000000" w:sz="4" w:space="0"/>
              <w:right w:val="single" w:color="000000" w:sz="4" w:space="0"/>
            </w:tcBorders>
            <w:shd w:val="clear" w:color="auto" w:fill="auto"/>
            <w:vAlign w:val="center"/>
          </w:tcPr>
          <w:p w14:paraId="3C1BABD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30</w:t>
            </w:r>
          </w:p>
        </w:tc>
        <w:tc>
          <w:tcPr>
            <w:tcW w:w="1290" w:type="dxa"/>
            <w:tcBorders>
              <w:top w:val="nil"/>
              <w:left w:val="nil"/>
              <w:bottom w:val="single" w:color="000000" w:sz="4" w:space="0"/>
              <w:right w:val="single" w:color="000000" w:sz="4" w:space="0"/>
            </w:tcBorders>
            <w:shd w:val="clear" w:color="auto" w:fill="auto"/>
            <w:vAlign w:val="center"/>
          </w:tcPr>
          <w:p w14:paraId="451D6D86">
            <w:pPr>
              <w:jc w:val="center"/>
              <w:rPr>
                <w:rFonts w:ascii="微软雅黑" w:hAnsi="微软雅黑" w:eastAsia="微软雅黑" w:cs="宋体"/>
                <w:i/>
                <w:iCs/>
                <w:color w:val="000000"/>
                <w:kern w:val="0"/>
                <w:sz w:val="16"/>
                <w:szCs w:val="16"/>
              </w:rPr>
            </w:pPr>
          </w:p>
        </w:tc>
      </w:tr>
      <w:tr w14:paraId="3B362DCD">
        <w:tblPrEx>
          <w:tblCellMar>
            <w:top w:w="0" w:type="dxa"/>
            <w:left w:w="108" w:type="dxa"/>
            <w:bottom w:w="0" w:type="dxa"/>
            <w:right w:w="108" w:type="dxa"/>
          </w:tblCellMar>
        </w:tblPrEx>
        <w:trPr>
          <w:trHeight w:val="904" w:hRule="atLeast"/>
        </w:trPr>
        <w:tc>
          <w:tcPr>
            <w:tcW w:w="576" w:type="dxa"/>
            <w:vMerge w:val="continue"/>
            <w:tcBorders>
              <w:top w:val="nil"/>
              <w:left w:val="single" w:color="000000" w:sz="4" w:space="0"/>
              <w:bottom w:val="single" w:color="000000" w:sz="4" w:space="0"/>
              <w:right w:val="single" w:color="000000" w:sz="4" w:space="0"/>
            </w:tcBorders>
            <w:vAlign w:val="center"/>
          </w:tcPr>
          <w:p w14:paraId="7F0F9FD9">
            <w:pPr>
              <w:jc w:val="center"/>
              <w:rPr>
                <w:rFonts w:ascii="宋体" w:hAnsi="宋体" w:cs="宋体"/>
                <w:color w:val="000000"/>
                <w:kern w:val="0"/>
                <w:sz w:val="18"/>
                <w:szCs w:val="18"/>
              </w:rPr>
            </w:pPr>
          </w:p>
        </w:tc>
        <w:tc>
          <w:tcPr>
            <w:tcW w:w="996" w:type="dxa"/>
            <w:vMerge w:val="restart"/>
            <w:tcBorders>
              <w:top w:val="nil"/>
              <w:left w:val="single" w:color="000000" w:sz="4" w:space="0"/>
              <w:bottom w:val="single" w:color="000000" w:sz="4" w:space="0"/>
              <w:right w:val="single" w:color="000000" w:sz="4" w:space="0"/>
            </w:tcBorders>
            <w:shd w:val="clear" w:color="auto" w:fill="auto"/>
            <w:vAlign w:val="center"/>
          </w:tcPr>
          <w:p w14:paraId="41D10A8B">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效益指标</w:t>
            </w:r>
          </w:p>
        </w:tc>
        <w:tc>
          <w:tcPr>
            <w:tcW w:w="923" w:type="dxa"/>
            <w:tcBorders>
              <w:top w:val="nil"/>
              <w:left w:val="nil"/>
              <w:bottom w:val="single" w:color="000000" w:sz="4" w:space="0"/>
              <w:right w:val="single" w:color="000000" w:sz="4" w:space="0"/>
            </w:tcBorders>
            <w:shd w:val="clear" w:color="auto" w:fill="auto"/>
            <w:vAlign w:val="center"/>
          </w:tcPr>
          <w:p w14:paraId="60BCDB4A">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经济效益指标</w:t>
            </w:r>
          </w:p>
        </w:tc>
        <w:tc>
          <w:tcPr>
            <w:tcW w:w="1308" w:type="dxa"/>
            <w:tcBorders>
              <w:top w:val="nil"/>
              <w:left w:val="nil"/>
              <w:bottom w:val="single" w:color="000000" w:sz="4" w:space="0"/>
              <w:right w:val="single" w:color="000000" w:sz="4" w:space="0"/>
            </w:tcBorders>
            <w:shd w:val="clear" w:color="auto" w:fill="auto"/>
            <w:vAlign w:val="center"/>
          </w:tcPr>
          <w:p w14:paraId="4160FAA3">
            <w:pPr>
              <w:keepNext w:val="0"/>
              <w:keepLines w:val="0"/>
              <w:widowControl/>
              <w:suppressLineNumbers w:val="0"/>
              <w:jc w:val="center"/>
              <w:textAlignment w:val="center"/>
              <w:rPr>
                <w:rFonts w:ascii="宋体" w:hAnsi="宋体" w:cs="宋体"/>
                <w:color w:val="000000"/>
                <w:kern w:val="0"/>
                <w:sz w:val="18"/>
                <w:szCs w:val="18"/>
              </w:rPr>
            </w:pP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396" w:type="dxa"/>
            <w:tcBorders>
              <w:top w:val="nil"/>
              <w:left w:val="nil"/>
              <w:bottom w:val="single" w:color="000000" w:sz="4" w:space="0"/>
              <w:right w:val="single" w:color="000000" w:sz="4" w:space="0"/>
            </w:tcBorders>
            <w:shd w:val="clear" w:color="auto" w:fill="auto"/>
            <w:vAlign w:val="center"/>
          </w:tcPr>
          <w:p w14:paraId="57EF108E">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w:t>
            </w:r>
          </w:p>
        </w:tc>
        <w:tc>
          <w:tcPr>
            <w:tcW w:w="819" w:type="dxa"/>
            <w:tcBorders>
              <w:top w:val="nil"/>
              <w:left w:val="nil"/>
              <w:bottom w:val="single" w:color="000000" w:sz="4" w:space="0"/>
              <w:right w:val="single" w:color="000000" w:sz="4" w:space="0"/>
            </w:tcBorders>
            <w:shd w:val="clear" w:color="auto" w:fill="auto"/>
            <w:vAlign w:val="center"/>
          </w:tcPr>
          <w:p w14:paraId="19E4908A">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100</w:t>
            </w:r>
          </w:p>
        </w:tc>
        <w:tc>
          <w:tcPr>
            <w:tcW w:w="396" w:type="dxa"/>
            <w:tcBorders>
              <w:top w:val="nil"/>
              <w:left w:val="nil"/>
              <w:bottom w:val="single" w:color="000000" w:sz="4" w:space="0"/>
              <w:right w:val="single" w:color="000000" w:sz="4" w:space="0"/>
            </w:tcBorders>
            <w:shd w:val="clear" w:color="auto" w:fill="auto"/>
            <w:vAlign w:val="center"/>
          </w:tcPr>
          <w:p w14:paraId="5A874E89">
            <w:pPr>
              <w:keepNext w:val="0"/>
              <w:keepLines w:val="0"/>
              <w:widowControl/>
              <w:suppressLineNumbers w:val="0"/>
              <w:jc w:val="center"/>
              <w:textAlignment w:val="center"/>
              <w:rPr>
                <w:rFonts w:ascii="微软雅黑" w:hAnsi="微软雅黑" w:eastAsia="微软雅黑" w:cs="宋体"/>
                <w:i/>
                <w:iCs/>
                <w:color w:val="000000"/>
                <w:kern w:val="0"/>
                <w:sz w:val="16"/>
                <w:szCs w:val="16"/>
              </w:rPr>
            </w:pPr>
            <w:r>
              <w:rPr>
                <w:rFonts w:ascii="宋体" w:hAnsi="宋体" w:eastAsia="宋体" w:cs="宋体"/>
                <w:i w:val="0"/>
                <w:iCs w:val="0"/>
                <w:color w:val="000000"/>
                <w:kern w:val="0"/>
                <w:sz w:val="18"/>
                <w:szCs w:val="18"/>
                <w:u w:val="none"/>
                <w:lang w:val="en-US" w:eastAsia="zh-CN" w:bidi="ar"/>
              </w:rPr>
              <w:t>%</w:t>
            </w:r>
          </w:p>
        </w:tc>
        <w:tc>
          <w:tcPr>
            <w:tcW w:w="846" w:type="dxa"/>
            <w:tcBorders>
              <w:top w:val="nil"/>
              <w:left w:val="nil"/>
              <w:bottom w:val="single" w:color="000000" w:sz="4" w:space="0"/>
              <w:right w:val="single" w:color="000000" w:sz="4" w:space="0"/>
            </w:tcBorders>
            <w:shd w:val="clear" w:color="auto" w:fill="auto"/>
            <w:vAlign w:val="center"/>
          </w:tcPr>
          <w:p w14:paraId="7ECA5D2A">
            <w:pPr>
              <w:jc w:val="center"/>
              <w:rPr>
                <w:rFonts w:ascii="宋体" w:hAnsi="宋体" w:cs="宋体"/>
                <w:color w:val="000000"/>
                <w:kern w:val="0"/>
                <w:sz w:val="18"/>
                <w:szCs w:val="18"/>
              </w:rPr>
            </w:pPr>
          </w:p>
        </w:tc>
        <w:tc>
          <w:tcPr>
            <w:tcW w:w="486" w:type="dxa"/>
            <w:tcBorders>
              <w:top w:val="nil"/>
              <w:left w:val="nil"/>
              <w:bottom w:val="single" w:color="000000" w:sz="4" w:space="0"/>
              <w:right w:val="single" w:color="000000" w:sz="4" w:space="0"/>
            </w:tcBorders>
            <w:shd w:val="clear" w:color="auto" w:fill="auto"/>
            <w:vAlign w:val="center"/>
          </w:tcPr>
          <w:p w14:paraId="16872CA1">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20</w:t>
            </w:r>
          </w:p>
        </w:tc>
        <w:tc>
          <w:tcPr>
            <w:tcW w:w="486" w:type="dxa"/>
            <w:tcBorders>
              <w:top w:val="nil"/>
              <w:left w:val="nil"/>
              <w:bottom w:val="single" w:color="000000" w:sz="4" w:space="0"/>
              <w:right w:val="single" w:color="000000" w:sz="4" w:space="0"/>
            </w:tcBorders>
            <w:shd w:val="clear" w:color="auto" w:fill="auto"/>
            <w:vAlign w:val="center"/>
          </w:tcPr>
          <w:p w14:paraId="25191E3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290" w:type="dxa"/>
            <w:tcBorders>
              <w:top w:val="nil"/>
              <w:left w:val="nil"/>
              <w:bottom w:val="single" w:color="000000" w:sz="4" w:space="0"/>
              <w:right w:val="single" w:color="000000" w:sz="4" w:space="0"/>
            </w:tcBorders>
            <w:shd w:val="clear" w:color="auto" w:fill="auto"/>
            <w:vAlign w:val="center"/>
          </w:tcPr>
          <w:p w14:paraId="55295AA6">
            <w:pPr>
              <w:jc w:val="center"/>
              <w:rPr>
                <w:rFonts w:ascii="微软雅黑" w:hAnsi="微软雅黑" w:eastAsia="微软雅黑" w:cs="宋体"/>
                <w:i/>
                <w:iCs/>
                <w:color w:val="000000"/>
                <w:kern w:val="0"/>
                <w:sz w:val="16"/>
                <w:szCs w:val="16"/>
              </w:rPr>
            </w:pPr>
          </w:p>
        </w:tc>
      </w:tr>
      <w:tr w14:paraId="1D5DF998">
        <w:tblPrEx>
          <w:tblCellMar>
            <w:top w:w="0" w:type="dxa"/>
            <w:left w:w="108" w:type="dxa"/>
            <w:bottom w:w="0" w:type="dxa"/>
            <w:right w:w="108" w:type="dxa"/>
          </w:tblCellMar>
        </w:tblPrEx>
        <w:trPr>
          <w:trHeight w:val="338" w:hRule="atLeast"/>
        </w:trPr>
        <w:tc>
          <w:tcPr>
            <w:tcW w:w="576" w:type="dxa"/>
            <w:vMerge w:val="continue"/>
            <w:tcBorders>
              <w:top w:val="nil"/>
              <w:left w:val="single" w:color="000000" w:sz="4" w:space="0"/>
              <w:bottom w:val="single" w:color="000000" w:sz="4" w:space="0"/>
              <w:right w:val="single" w:color="000000" w:sz="4" w:space="0"/>
            </w:tcBorders>
            <w:vAlign w:val="center"/>
          </w:tcPr>
          <w:p w14:paraId="7F4CE628">
            <w:pPr>
              <w:jc w:val="center"/>
              <w:rPr>
                <w:rFonts w:ascii="宋体" w:hAnsi="宋体" w:cs="宋体"/>
                <w:color w:val="000000"/>
                <w:kern w:val="0"/>
                <w:sz w:val="18"/>
                <w:szCs w:val="18"/>
              </w:rPr>
            </w:pPr>
          </w:p>
        </w:tc>
        <w:tc>
          <w:tcPr>
            <w:tcW w:w="996" w:type="dxa"/>
            <w:vMerge w:val="continue"/>
            <w:tcBorders>
              <w:top w:val="nil"/>
              <w:left w:val="single" w:color="000000" w:sz="4" w:space="0"/>
              <w:bottom w:val="single" w:color="000000" w:sz="4" w:space="0"/>
              <w:right w:val="single" w:color="000000" w:sz="4" w:space="0"/>
            </w:tcBorders>
            <w:vAlign w:val="center"/>
          </w:tcPr>
          <w:p w14:paraId="2E5B3375">
            <w:pPr>
              <w:jc w:val="center"/>
              <w:rPr>
                <w:rFonts w:ascii="宋体" w:hAnsi="宋体" w:cs="宋体"/>
                <w:color w:val="000000"/>
                <w:kern w:val="0"/>
                <w:sz w:val="18"/>
                <w:szCs w:val="18"/>
              </w:rPr>
            </w:pPr>
          </w:p>
        </w:tc>
        <w:tc>
          <w:tcPr>
            <w:tcW w:w="923" w:type="dxa"/>
            <w:tcBorders>
              <w:top w:val="nil"/>
              <w:left w:val="nil"/>
              <w:bottom w:val="single" w:color="000000" w:sz="4" w:space="0"/>
              <w:right w:val="single" w:color="000000" w:sz="4" w:space="0"/>
            </w:tcBorders>
            <w:shd w:val="clear" w:color="auto" w:fill="auto"/>
            <w:vAlign w:val="center"/>
          </w:tcPr>
          <w:p w14:paraId="4E8CA945">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社会效益指标</w:t>
            </w:r>
          </w:p>
        </w:tc>
        <w:tc>
          <w:tcPr>
            <w:tcW w:w="1308" w:type="dxa"/>
            <w:tcBorders>
              <w:top w:val="nil"/>
              <w:left w:val="nil"/>
              <w:bottom w:val="single" w:color="000000" w:sz="4" w:space="0"/>
              <w:right w:val="single" w:color="000000" w:sz="4" w:space="0"/>
            </w:tcBorders>
            <w:shd w:val="clear" w:color="auto" w:fill="auto"/>
            <w:vAlign w:val="center"/>
          </w:tcPr>
          <w:p w14:paraId="4DA78FCD">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运转保障率</w:t>
            </w:r>
          </w:p>
        </w:tc>
        <w:tc>
          <w:tcPr>
            <w:tcW w:w="396" w:type="dxa"/>
            <w:tcBorders>
              <w:top w:val="nil"/>
              <w:left w:val="nil"/>
              <w:bottom w:val="single" w:color="000000" w:sz="4" w:space="0"/>
              <w:right w:val="single" w:color="000000" w:sz="4" w:space="0"/>
            </w:tcBorders>
            <w:shd w:val="clear" w:color="auto" w:fill="auto"/>
            <w:vAlign w:val="center"/>
          </w:tcPr>
          <w:p w14:paraId="528B8138">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w:t>
            </w:r>
          </w:p>
        </w:tc>
        <w:tc>
          <w:tcPr>
            <w:tcW w:w="819" w:type="dxa"/>
            <w:tcBorders>
              <w:top w:val="nil"/>
              <w:left w:val="nil"/>
              <w:bottom w:val="single" w:color="000000" w:sz="4" w:space="0"/>
              <w:right w:val="single" w:color="000000" w:sz="4" w:space="0"/>
            </w:tcBorders>
            <w:shd w:val="clear" w:color="auto" w:fill="auto"/>
            <w:vAlign w:val="center"/>
          </w:tcPr>
          <w:p w14:paraId="148E539D">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100</w:t>
            </w:r>
          </w:p>
        </w:tc>
        <w:tc>
          <w:tcPr>
            <w:tcW w:w="396" w:type="dxa"/>
            <w:tcBorders>
              <w:top w:val="nil"/>
              <w:left w:val="nil"/>
              <w:bottom w:val="single" w:color="000000" w:sz="4" w:space="0"/>
              <w:right w:val="single" w:color="000000" w:sz="4" w:space="0"/>
            </w:tcBorders>
            <w:shd w:val="clear" w:color="auto" w:fill="auto"/>
            <w:vAlign w:val="center"/>
          </w:tcPr>
          <w:p w14:paraId="48F0011B">
            <w:pPr>
              <w:keepNext w:val="0"/>
              <w:keepLines w:val="0"/>
              <w:widowControl/>
              <w:suppressLineNumbers w:val="0"/>
              <w:jc w:val="center"/>
              <w:textAlignment w:val="center"/>
              <w:rPr>
                <w:rFonts w:ascii="微软雅黑" w:hAnsi="微软雅黑" w:eastAsia="微软雅黑" w:cs="宋体"/>
                <w:i/>
                <w:iCs/>
                <w:color w:val="000000"/>
                <w:kern w:val="0"/>
                <w:sz w:val="16"/>
                <w:szCs w:val="16"/>
              </w:rPr>
            </w:pPr>
            <w:r>
              <w:rPr>
                <w:rFonts w:ascii="宋体" w:hAnsi="宋体" w:eastAsia="宋体" w:cs="宋体"/>
                <w:i w:val="0"/>
                <w:iCs w:val="0"/>
                <w:color w:val="000000"/>
                <w:kern w:val="0"/>
                <w:sz w:val="18"/>
                <w:szCs w:val="18"/>
                <w:u w:val="none"/>
                <w:lang w:val="en-US" w:eastAsia="zh-CN" w:bidi="ar"/>
              </w:rPr>
              <w:t>%</w:t>
            </w:r>
          </w:p>
        </w:tc>
        <w:tc>
          <w:tcPr>
            <w:tcW w:w="846" w:type="dxa"/>
            <w:tcBorders>
              <w:top w:val="nil"/>
              <w:left w:val="nil"/>
              <w:bottom w:val="single" w:color="000000" w:sz="4" w:space="0"/>
              <w:right w:val="single" w:color="000000" w:sz="4" w:space="0"/>
            </w:tcBorders>
            <w:shd w:val="clear" w:color="auto" w:fill="auto"/>
            <w:vAlign w:val="center"/>
          </w:tcPr>
          <w:p w14:paraId="17063BE0">
            <w:pPr>
              <w:jc w:val="center"/>
              <w:rPr>
                <w:rFonts w:ascii="宋体" w:hAnsi="宋体" w:cs="宋体"/>
                <w:color w:val="000000"/>
                <w:kern w:val="0"/>
                <w:sz w:val="18"/>
                <w:szCs w:val="18"/>
              </w:rPr>
            </w:pPr>
          </w:p>
        </w:tc>
        <w:tc>
          <w:tcPr>
            <w:tcW w:w="486" w:type="dxa"/>
            <w:tcBorders>
              <w:top w:val="nil"/>
              <w:left w:val="nil"/>
              <w:bottom w:val="single" w:color="000000" w:sz="4" w:space="0"/>
              <w:right w:val="single" w:color="000000" w:sz="4" w:space="0"/>
            </w:tcBorders>
            <w:shd w:val="clear" w:color="auto" w:fill="auto"/>
            <w:vAlign w:val="center"/>
          </w:tcPr>
          <w:p w14:paraId="00A2C066">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20</w:t>
            </w:r>
          </w:p>
        </w:tc>
        <w:tc>
          <w:tcPr>
            <w:tcW w:w="486" w:type="dxa"/>
            <w:tcBorders>
              <w:top w:val="nil"/>
              <w:left w:val="nil"/>
              <w:bottom w:val="single" w:color="000000" w:sz="4" w:space="0"/>
              <w:right w:val="single" w:color="000000" w:sz="4" w:space="0"/>
            </w:tcBorders>
            <w:shd w:val="clear" w:color="auto" w:fill="auto"/>
            <w:vAlign w:val="center"/>
          </w:tcPr>
          <w:p w14:paraId="7FCDF56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290" w:type="dxa"/>
            <w:tcBorders>
              <w:top w:val="nil"/>
              <w:left w:val="nil"/>
              <w:bottom w:val="single" w:color="000000" w:sz="4" w:space="0"/>
              <w:right w:val="single" w:color="000000" w:sz="4" w:space="0"/>
            </w:tcBorders>
            <w:shd w:val="clear" w:color="auto" w:fill="auto"/>
            <w:vAlign w:val="center"/>
          </w:tcPr>
          <w:p w14:paraId="5B318EE6">
            <w:pPr>
              <w:jc w:val="center"/>
              <w:rPr>
                <w:rFonts w:ascii="微软雅黑" w:hAnsi="微软雅黑" w:eastAsia="微软雅黑" w:cs="宋体"/>
                <w:i/>
                <w:iCs/>
                <w:color w:val="000000"/>
                <w:kern w:val="0"/>
                <w:sz w:val="16"/>
                <w:szCs w:val="16"/>
              </w:rPr>
            </w:pPr>
          </w:p>
        </w:tc>
      </w:tr>
      <w:tr w14:paraId="0B9A5170">
        <w:tblPrEx>
          <w:tblCellMar>
            <w:top w:w="0" w:type="dxa"/>
            <w:left w:w="108" w:type="dxa"/>
            <w:bottom w:w="0" w:type="dxa"/>
            <w:right w:w="108" w:type="dxa"/>
          </w:tblCellMar>
        </w:tblPrEx>
        <w:trPr>
          <w:trHeight w:val="285" w:hRule="atLeast"/>
        </w:trPr>
        <w:tc>
          <w:tcPr>
            <w:tcW w:w="626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3727D6C">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合计</w:t>
            </w:r>
          </w:p>
        </w:tc>
        <w:tc>
          <w:tcPr>
            <w:tcW w:w="486" w:type="dxa"/>
            <w:tcBorders>
              <w:top w:val="nil"/>
              <w:left w:val="nil"/>
              <w:bottom w:val="single" w:color="000000" w:sz="4" w:space="0"/>
              <w:right w:val="single" w:color="000000" w:sz="4" w:space="0"/>
            </w:tcBorders>
            <w:shd w:val="clear" w:color="auto" w:fill="auto"/>
            <w:vAlign w:val="center"/>
          </w:tcPr>
          <w:p w14:paraId="346E1793">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100</w:t>
            </w:r>
          </w:p>
        </w:tc>
        <w:tc>
          <w:tcPr>
            <w:tcW w:w="486" w:type="dxa"/>
            <w:tcBorders>
              <w:top w:val="nil"/>
              <w:left w:val="nil"/>
              <w:bottom w:val="single" w:color="000000" w:sz="4" w:space="0"/>
              <w:right w:val="single" w:color="000000" w:sz="4" w:space="0"/>
            </w:tcBorders>
            <w:shd w:val="clear" w:color="auto" w:fill="auto"/>
            <w:vAlign w:val="center"/>
          </w:tcPr>
          <w:p w14:paraId="4E545110">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100</w:t>
            </w:r>
          </w:p>
        </w:tc>
        <w:tc>
          <w:tcPr>
            <w:tcW w:w="1290" w:type="dxa"/>
            <w:tcBorders>
              <w:top w:val="nil"/>
              <w:left w:val="nil"/>
              <w:bottom w:val="single" w:color="000000" w:sz="4" w:space="0"/>
              <w:right w:val="single" w:color="000000" w:sz="4" w:space="0"/>
            </w:tcBorders>
            <w:shd w:val="clear" w:color="auto" w:fill="auto"/>
            <w:vAlign w:val="center"/>
          </w:tcPr>
          <w:p w14:paraId="3F253100">
            <w:pPr>
              <w:rPr>
                <w:rFonts w:ascii="宋体" w:hAnsi="宋体" w:cs="宋体"/>
                <w:color w:val="000000"/>
                <w:kern w:val="0"/>
                <w:sz w:val="18"/>
                <w:szCs w:val="18"/>
              </w:rPr>
            </w:pPr>
          </w:p>
        </w:tc>
      </w:tr>
      <w:tr w14:paraId="256D6319">
        <w:tblPrEx>
          <w:tblCellMar>
            <w:top w:w="0" w:type="dxa"/>
            <w:left w:w="108" w:type="dxa"/>
            <w:bottom w:w="0" w:type="dxa"/>
            <w:right w:w="108" w:type="dxa"/>
          </w:tblCellMar>
        </w:tblPrEx>
        <w:trPr>
          <w:trHeight w:val="604" w:hRule="atLeast"/>
        </w:trPr>
        <w:tc>
          <w:tcPr>
            <w:tcW w:w="576" w:type="dxa"/>
            <w:tcBorders>
              <w:top w:val="nil"/>
              <w:left w:val="single" w:color="000000" w:sz="4" w:space="0"/>
              <w:bottom w:val="single" w:color="000000" w:sz="4" w:space="0"/>
              <w:right w:val="single" w:color="000000" w:sz="4" w:space="0"/>
            </w:tcBorders>
            <w:shd w:val="clear" w:color="auto" w:fill="auto"/>
            <w:vAlign w:val="center"/>
          </w:tcPr>
          <w:p w14:paraId="511B95BD">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评价结论</w:t>
            </w:r>
          </w:p>
        </w:tc>
        <w:tc>
          <w:tcPr>
            <w:tcW w:w="7946" w:type="dxa"/>
            <w:gridSpan w:val="10"/>
            <w:tcBorders>
              <w:top w:val="single" w:color="000000" w:sz="4" w:space="0"/>
              <w:left w:val="nil"/>
              <w:bottom w:val="single" w:color="000000" w:sz="4" w:space="0"/>
              <w:right w:val="single" w:color="000000" w:sz="4" w:space="0"/>
            </w:tcBorders>
            <w:shd w:val="clear" w:color="auto" w:fill="auto"/>
            <w:vAlign w:val="center"/>
          </w:tcPr>
          <w:p w14:paraId="76B45B43">
            <w:pPr>
              <w:keepNext w:val="0"/>
              <w:keepLines w:val="0"/>
              <w:widowControl/>
              <w:suppressLineNumbers w:val="0"/>
              <w:jc w:val="left"/>
              <w:textAlignment w:val="center"/>
              <w:rPr>
                <w:rFonts w:ascii="微软雅黑" w:hAnsi="微软雅黑" w:eastAsia="微软雅黑" w:cs="宋体"/>
                <w:i/>
                <w:iCs/>
                <w:color w:val="000000"/>
                <w:kern w:val="0"/>
                <w:sz w:val="16"/>
                <w:szCs w:val="16"/>
              </w:rPr>
            </w:pPr>
            <w:r>
              <w:rPr>
                <w:rFonts w:hint="eastAsia" w:ascii="微软雅黑" w:hAnsi="微软雅黑" w:eastAsia="微软雅黑" w:cs="微软雅黑"/>
                <w:i/>
                <w:iCs/>
                <w:color w:val="000000"/>
                <w:kern w:val="0"/>
                <w:sz w:val="16"/>
                <w:szCs w:val="16"/>
                <w:u w:val="none"/>
                <w:lang w:val="en-US" w:eastAsia="zh-CN" w:bidi="ar"/>
              </w:rPr>
              <w:t>项目已完成</w:t>
            </w:r>
          </w:p>
        </w:tc>
      </w:tr>
      <w:tr w14:paraId="2D2081E6">
        <w:tblPrEx>
          <w:tblCellMar>
            <w:top w:w="0" w:type="dxa"/>
            <w:left w:w="108" w:type="dxa"/>
            <w:bottom w:w="0" w:type="dxa"/>
            <w:right w:w="108" w:type="dxa"/>
          </w:tblCellMar>
        </w:tblPrEx>
        <w:trPr>
          <w:trHeight w:val="574" w:hRule="atLeast"/>
        </w:trPr>
        <w:tc>
          <w:tcPr>
            <w:tcW w:w="576" w:type="dxa"/>
            <w:tcBorders>
              <w:top w:val="nil"/>
              <w:left w:val="single" w:color="000000" w:sz="4" w:space="0"/>
              <w:bottom w:val="single" w:color="000000" w:sz="4" w:space="0"/>
              <w:right w:val="single" w:color="000000" w:sz="4" w:space="0"/>
            </w:tcBorders>
            <w:shd w:val="clear" w:color="auto" w:fill="auto"/>
            <w:vAlign w:val="center"/>
          </w:tcPr>
          <w:p w14:paraId="4091DE42">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存在问题</w:t>
            </w:r>
          </w:p>
        </w:tc>
        <w:tc>
          <w:tcPr>
            <w:tcW w:w="7946" w:type="dxa"/>
            <w:gridSpan w:val="10"/>
            <w:tcBorders>
              <w:top w:val="single" w:color="000000" w:sz="4" w:space="0"/>
              <w:left w:val="nil"/>
              <w:bottom w:val="single" w:color="000000" w:sz="4" w:space="0"/>
              <w:right w:val="single" w:color="000000" w:sz="4" w:space="0"/>
            </w:tcBorders>
            <w:shd w:val="clear" w:color="auto" w:fill="auto"/>
            <w:vAlign w:val="center"/>
          </w:tcPr>
          <w:p w14:paraId="30CDFFCD">
            <w:pPr>
              <w:keepNext w:val="0"/>
              <w:keepLines w:val="0"/>
              <w:widowControl/>
              <w:suppressLineNumbers w:val="0"/>
              <w:jc w:val="left"/>
              <w:textAlignment w:val="center"/>
              <w:rPr>
                <w:rFonts w:ascii="微软雅黑" w:hAnsi="微软雅黑" w:eastAsia="微软雅黑" w:cs="宋体"/>
                <w:i/>
                <w:iCs/>
                <w:color w:val="000000"/>
                <w:kern w:val="0"/>
                <w:sz w:val="16"/>
                <w:szCs w:val="16"/>
              </w:rPr>
            </w:pPr>
            <w:r>
              <w:rPr>
                <w:rFonts w:hint="eastAsia" w:ascii="微软雅黑" w:hAnsi="微软雅黑" w:eastAsia="微软雅黑" w:cs="微软雅黑"/>
                <w:i/>
                <w:iCs/>
                <w:color w:val="000000"/>
                <w:kern w:val="0"/>
                <w:sz w:val="16"/>
                <w:szCs w:val="16"/>
                <w:u w:val="none"/>
                <w:lang w:val="en-US" w:eastAsia="zh-CN" w:bidi="ar"/>
              </w:rPr>
              <w:t>无</w:t>
            </w:r>
          </w:p>
        </w:tc>
      </w:tr>
      <w:tr w14:paraId="1B9691D4">
        <w:tblPrEx>
          <w:tblCellMar>
            <w:top w:w="0" w:type="dxa"/>
            <w:left w:w="108" w:type="dxa"/>
            <w:bottom w:w="0" w:type="dxa"/>
            <w:right w:w="108" w:type="dxa"/>
          </w:tblCellMar>
        </w:tblPrEx>
        <w:trPr>
          <w:trHeight w:val="634" w:hRule="atLeast"/>
        </w:trPr>
        <w:tc>
          <w:tcPr>
            <w:tcW w:w="576" w:type="dxa"/>
            <w:tcBorders>
              <w:top w:val="nil"/>
              <w:left w:val="single" w:color="000000" w:sz="4" w:space="0"/>
              <w:bottom w:val="single" w:color="000000" w:sz="4" w:space="0"/>
              <w:right w:val="single" w:color="000000" w:sz="4" w:space="0"/>
            </w:tcBorders>
            <w:shd w:val="clear" w:color="auto" w:fill="auto"/>
            <w:vAlign w:val="center"/>
          </w:tcPr>
          <w:p w14:paraId="30D53A5C">
            <w:pPr>
              <w:keepNext w:val="0"/>
              <w:keepLines w:val="0"/>
              <w:widowControl/>
              <w:suppressLineNumbers w:val="0"/>
              <w:jc w:val="center"/>
              <w:textAlignment w:val="center"/>
              <w:rPr>
                <w:rFonts w:ascii="宋体" w:hAnsi="宋体" w:cs="宋体"/>
                <w:color w:val="000000"/>
                <w:kern w:val="0"/>
                <w:sz w:val="18"/>
                <w:szCs w:val="18"/>
              </w:rPr>
            </w:pPr>
            <w:r>
              <w:rPr>
                <w:rFonts w:ascii="宋体" w:hAnsi="宋体" w:eastAsia="宋体" w:cs="宋体"/>
                <w:i w:val="0"/>
                <w:iCs w:val="0"/>
                <w:color w:val="000000"/>
                <w:kern w:val="0"/>
                <w:sz w:val="18"/>
                <w:szCs w:val="18"/>
                <w:u w:val="none"/>
                <w:lang w:val="en-US" w:eastAsia="zh-CN" w:bidi="ar"/>
              </w:rPr>
              <w:t>改进措施</w:t>
            </w:r>
          </w:p>
        </w:tc>
        <w:tc>
          <w:tcPr>
            <w:tcW w:w="7946" w:type="dxa"/>
            <w:gridSpan w:val="10"/>
            <w:tcBorders>
              <w:top w:val="single" w:color="000000" w:sz="4" w:space="0"/>
              <w:left w:val="nil"/>
              <w:bottom w:val="single" w:color="000000" w:sz="4" w:space="0"/>
              <w:right w:val="single" w:color="000000" w:sz="4" w:space="0"/>
            </w:tcBorders>
            <w:shd w:val="clear" w:color="auto" w:fill="auto"/>
            <w:vAlign w:val="center"/>
          </w:tcPr>
          <w:p w14:paraId="6D1C23A3">
            <w:pPr>
              <w:keepNext w:val="0"/>
              <w:keepLines w:val="0"/>
              <w:widowControl/>
              <w:suppressLineNumbers w:val="0"/>
              <w:jc w:val="left"/>
              <w:textAlignment w:val="center"/>
              <w:rPr>
                <w:rFonts w:ascii="微软雅黑" w:hAnsi="微软雅黑" w:eastAsia="微软雅黑" w:cs="宋体"/>
                <w:i/>
                <w:iCs/>
                <w:color w:val="000000"/>
                <w:kern w:val="0"/>
                <w:sz w:val="16"/>
                <w:szCs w:val="16"/>
              </w:rPr>
            </w:pPr>
            <w:r>
              <w:rPr>
                <w:rFonts w:hint="eastAsia" w:ascii="微软雅黑" w:hAnsi="微软雅黑" w:eastAsia="微软雅黑" w:cs="微软雅黑"/>
                <w:i/>
                <w:iCs/>
                <w:color w:val="000000"/>
                <w:kern w:val="0"/>
                <w:sz w:val="16"/>
                <w:szCs w:val="16"/>
                <w:u w:val="none"/>
                <w:lang w:val="en-US" w:eastAsia="zh-CN" w:bidi="ar"/>
              </w:rPr>
              <w:t>无</w:t>
            </w:r>
          </w:p>
        </w:tc>
      </w:tr>
      <w:tr w14:paraId="04DA428B">
        <w:tblPrEx>
          <w:tblCellMar>
            <w:top w:w="0" w:type="dxa"/>
            <w:left w:w="108" w:type="dxa"/>
            <w:bottom w:w="0" w:type="dxa"/>
            <w:right w:w="108" w:type="dxa"/>
          </w:tblCellMar>
        </w:tblPrEx>
        <w:trPr>
          <w:trHeight w:val="285" w:hRule="atLeast"/>
        </w:trPr>
        <w:tc>
          <w:tcPr>
            <w:tcW w:w="419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FEF19C">
            <w:pPr>
              <w:keepNext w:val="0"/>
              <w:keepLines w:val="0"/>
              <w:widowControl/>
              <w:suppressLineNumbers w:val="0"/>
              <w:jc w:val="left"/>
              <w:textAlignment w:val="center"/>
              <w:rPr>
                <w:rFonts w:ascii="Courier New" w:hAnsi="Courier New" w:cs="Courier New"/>
                <w:color w:val="000000"/>
                <w:kern w:val="0"/>
                <w:sz w:val="18"/>
                <w:szCs w:val="18"/>
              </w:rPr>
            </w:pPr>
            <w:r>
              <w:rPr>
                <w:rFonts w:hint="eastAsia" w:ascii="黑体" w:hAnsi="黑体" w:eastAsia="黑体" w:cs="黑体"/>
                <w:i w:val="0"/>
                <w:iCs w:val="0"/>
                <w:color w:val="000000"/>
                <w:kern w:val="0"/>
                <w:sz w:val="18"/>
                <w:szCs w:val="18"/>
                <w:u w:val="none"/>
                <w:lang w:val="en-US" w:eastAsia="zh-CN" w:bidi="ar"/>
              </w:rPr>
              <w:t>项目负责人：白银勇</w:t>
            </w:r>
          </w:p>
        </w:tc>
        <w:tc>
          <w:tcPr>
            <w:tcW w:w="4323" w:type="dxa"/>
            <w:gridSpan w:val="6"/>
            <w:tcBorders>
              <w:top w:val="single" w:color="000000" w:sz="4" w:space="0"/>
              <w:left w:val="nil"/>
              <w:bottom w:val="single" w:color="000000" w:sz="4" w:space="0"/>
              <w:right w:val="single" w:color="000000" w:sz="4" w:space="0"/>
            </w:tcBorders>
            <w:shd w:val="clear" w:color="auto" w:fill="auto"/>
            <w:vAlign w:val="center"/>
          </w:tcPr>
          <w:p w14:paraId="32E87FD0">
            <w:pPr>
              <w:keepNext w:val="0"/>
              <w:keepLines w:val="0"/>
              <w:widowControl/>
              <w:suppressLineNumbers w:val="0"/>
              <w:jc w:val="left"/>
              <w:textAlignment w:val="center"/>
              <w:rPr>
                <w:rFonts w:ascii="Courier New" w:hAnsi="Courier New" w:cs="Courier New"/>
                <w:color w:val="000000"/>
                <w:kern w:val="0"/>
                <w:sz w:val="18"/>
                <w:szCs w:val="18"/>
              </w:rPr>
            </w:pPr>
            <w:r>
              <w:rPr>
                <w:rFonts w:hint="eastAsia" w:ascii="黑体" w:hAnsi="黑体" w:eastAsia="黑体" w:cs="黑体"/>
                <w:i w:val="0"/>
                <w:iCs w:val="0"/>
                <w:color w:val="000000"/>
                <w:kern w:val="0"/>
                <w:sz w:val="18"/>
                <w:szCs w:val="18"/>
                <w:u w:val="none"/>
                <w:lang w:val="en-US" w:eastAsia="zh-CN" w:bidi="ar"/>
              </w:rPr>
              <w:t>财务负责人：龙俊杰</w:t>
            </w:r>
          </w:p>
        </w:tc>
      </w:tr>
    </w:tbl>
    <w:p w14:paraId="01B9CD87">
      <w:pPr>
        <w:pStyle w:val="7"/>
        <w:ind w:left="0" w:leftChars="0" w:firstLine="0" w:firstLineChars="0"/>
      </w:pPr>
    </w:p>
    <w:tbl>
      <w:tblPr>
        <w:tblStyle w:val="1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1058"/>
        <w:gridCol w:w="891"/>
        <w:gridCol w:w="1206"/>
        <w:gridCol w:w="396"/>
        <w:gridCol w:w="811"/>
        <w:gridCol w:w="396"/>
        <w:gridCol w:w="846"/>
        <w:gridCol w:w="486"/>
        <w:gridCol w:w="487"/>
        <w:gridCol w:w="1369"/>
      </w:tblGrid>
      <w:tr w14:paraId="0733E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C39CF06">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6DFA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39400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12CDCE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51320025R000012338995</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追加人员工资性支出</w:t>
            </w:r>
          </w:p>
        </w:tc>
      </w:tr>
      <w:tr w14:paraId="273E4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B308B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A0F6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386" w:type="pct"/>
            <w:tcBorders>
              <w:top w:val="nil"/>
              <w:left w:val="nil"/>
              <w:bottom w:val="nil"/>
              <w:right w:val="nil"/>
            </w:tcBorders>
            <w:shd w:val="clear" w:color="auto" w:fill="auto"/>
            <w:vAlign w:val="center"/>
          </w:tcPr>
          <w:p w14:paraId="0513CF93">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40CA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金川县环境监测站</w:t>
            </w:r>
          </w:p>
        </w:tc>
      </w:tr>
      <w:tr w14:paraId="27386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D0285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0243F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E0A0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278BEC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6323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F5C2AC">
            <w:pP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123555">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57F54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376407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FA10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94E728">
            <w:pP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EFD9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C20D36E">
            <w:pPr>
              <w:rPr>
                <w:rFonts w:hint="eastAsia" w:ascii="宋体" w:hAnsi="宋体" w:eastAsia="宋体" w:cs="宋体"/>
                <w:i w:val="0"/>
                <w:iCs w:val="0"/>
                <w:color w:val="000000"/>
                <w:sz w:val="18"/>
                <w:szCs w:val="18"/>
                <w:u w:val="none"/>
              </w:rPr>
            </w:pPr>
          </w:p>
        </w:tc>
      </w:tr>
      <w:tr w14:paraId="09EFD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0CEC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AF1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517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56A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6B39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9C8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EDE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CF7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30F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E84F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1DADF9">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EFD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70B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A75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18.57</w:t>
            </w:r>
          </w:p>
        </w:tc>
        <w:tc>
          <w:tcPr>
            <w:tcW w:w="96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296D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18.57</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6A8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4BE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03E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130F3F">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5E8E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5C6EC4">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F8E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BEA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490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18.57</w:t>
            </w:r>
          </w:p>
        </w:tc>
        <w:tc>
          <w:tcPr>
            <w:tcW w:w="96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226E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18.57</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6F6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918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63E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411E07">
            <w:pPr>
              <w:rPr>
                <w:rFonts w:hint="eastAsia" w:ascii="黑体" w:hAnsi="黑体" w:eastAsia="黑体" w:cs="黑体"/>
                <w:i/>
                <w:iCs/>
                <w:color w:val="000000"/>
                <w:sz w:val="18"/>
                <w:szCs w:val="18"/>
                <w:u w:val="none"/>
              </w:rPr>
            </w:pPr>
          </w:p>
        </w:tc>
      </w:tr>
      <w:tr w14:paraId="1B307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710DFB">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47F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5F7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CCE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D67F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9AD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A7C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88A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C14A12">
            <w:pPr>
              <w:rPr>
                <w:rFonts w:hint="eastAsia" w:ascii="黑体" w:hAnsi="黑体" w:eastAsia="黑体" w:cs="黑体"/>
                <w:i/>
                <w:iCs/>
                <w:color w:val="000000"/>
                <w:sz w:val="18"/>
                <w:szCs w:val="18"/>
                <w:u w:val="none"/>
              </w:rPr>
            </w:pPr>
          </w:p>
        </w:tc>
      </w:tr>
      <w:tr w14:paraId="1C506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299ABD">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A1E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E44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AAB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9E4B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774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46E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476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7D7962">
            <w:pPr>
              <w:rPr>
                <w:rFonts w:hint="eastAsia" w:ascii="黑体" w:hAnsi="黑体" w:eastAsia="黑体" w:cs="黑体"/>
                <w:i/>
                <w:iCs/>
                <w:color w:val="000000"/>
                <w:sz w:val="18"/>
                <w:szCs w:val="18"/>
                <w:u w:val="none"/>
              </w:rPr>
            </w:pPr>
          </w:p>
        </w:tc>
      </w:tr>
      <w:tr w14:paraId="15396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F48D46">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BD6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D319A">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8E6BB">
            <w:pPr>
              <w:jc w:val="center"/>
              <w:rPr>
                <w:rFonts w:hint="eastAsia" w:ascii="微软雅黑" w:hAnsi="微软雅黑" w:eastAsia="微软雅黑" w:cs="微软雅黑"/>
                <w:i/>
                <w:iCs/>
                <w:color w:val="000000"/>
                <w:sz w:val="16"/>
                <w:szCs w:val="16"/>
                <w:u w:val="none"/>
              </w:rPr>
            </w:pPr>
          </w:p>
        </w:tc>
        <w:tc>
          <w:tcPr>
            <w:tcW w:w="96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00AD0B">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10C1C">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6F6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5B2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EEC452">
            <w:pPr>
              <w:rPr>
                <w:rFonts w:hint="eastAsia" w:ascii="黑体" w:hAnsi="黑体" w:eastAsia="黑体" w:cs="黑体"/>
                <w:i/>
                <w:iCs/>
                <w:color w:val="000000"/>
                <w:sz w:val="18"/>
                <w:szCs w:val="18"/>
                <w:u w:val="none"/>
              </w:rPr>
            </w:pPr>
          </w:p>
        </w:tc>
      </w:tr>
      <w:tr w14:paraId="76998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C343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60E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C35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35F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353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086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9E3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771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098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D54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AE4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F6FA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F43875">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65E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F44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FC4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C55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249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E2D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146BE">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CC3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9E3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9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66B6E">
            <w:pPr>
              <w:jc w:val="center"/>
              <w:rPr>
                <w:rFonts w:hint="eastAsia" w:ascii="微软雅黑" w:hAnsi="微软雅黑" w:eastAsia="微软雅黑" w:cs="微软雅黑"/>
                <w:i/>
                <w:iCs/>
                <w:color w:val="000000"/>
                <w:sz w:val="16"/>
                <w:szCs w:val="16"/>
                <w:u w:val="none"/>
              </w:rPr>
            </w:pPr>
          </w:p>
        </w:tc>
      </w:tr>
      <w:tr w14:paraId="32F31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2808F4">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4A1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5FF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080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A93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6E2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AFC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B24B2">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C33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25D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9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61D98">
            <w:pPr>
              <w:jc w:val="center"/>
              <w:rPr>
                <w:rFonts w:hint="eastAsia" w:ascii="微软雅黑" w:hAnsi="微软雅黑" w:eastAsia="微软雅黑" w:cs="微软雅黑"/>
                <w:i/>
                <w:iCs/>
                <w:color w:val="000000"/>
                <w:sz w:val="16"/>
                <w:szCs w:val="16"/>
                <w:u w:val="none"/>
              </w:rPr>
            </w:pPr>
          </w:p>
        </w:tc>
      </w:tr>
      <w:tr w14:paraId="24E79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11ED4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BF0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9F2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7A9DD">
            <w:pPr>
              <w:rPr>
                <w:rFonts w:hint="eastAsia" w:ascii="宋体" w:hAnsi="宋体" w:eastAsia="宋体" w:cs="宋体"/>
                <w:i w:val="0"/>
                <w:iCs w:val="0"/>
                <w:color w:val="000000"/>
                <w:sz w:val="18"/>
                <w:szCs w:val="18"/>
                <w:u w:val="none"/>
              </w:rPr>
            </w:pPr>
          </w:p>
        </w:tc>
      </w:tr>
      <w:tr w14:paraId="2D906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7D1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E19F23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项目已完成</w:t>
            </w:r>
          </w:p>
        </w:tc>
      </w:tr>
      <w:tr w14:paraId="4D270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57F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90B4BB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60B5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03E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CD3449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41B6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A043E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项目负责人：白银勇</w:t>
            </w:r>
          </w:p>
        </w:tc>
        <w:tc>
          <w:tcPr>
            <w:tcW w:w="24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FF048F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财务负责人：龙俊杰</w:t>
            </w:r>
          </w:p>
        </w:tc>
      </w:tr>
      <w:tr w14:paraId="2B077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289D5905">
            <w:pPr>
              <w:rPr>
                <w:rFonts w:hint="eastAsia" w:ascii="宋体" w:hAnsi="宋体" w:eastAsia="宋体" w:cs="宋体"/>
                <w:i w:val="0"/>
                <w:iCs w:val="0"/>
                <w:color w:val="000000"/>
                <w:sz w:val="18"/>
                <w:szCs w:val="18"/>
                <w:u w:val="none"/>
              </w:rPr>
            </w:pPr>
          </w:p>
        </w:tc>
        <w:tc>
          <w:tcPr>
            <w:tcW w:w="725" w:type="pct"/>
            <w:tcBorders>
              <w:top w:val="nil"/>
              <w:left w:val="nil"/>
              <w:bottom w:val="nil"/>
              <w:right w:val="nil"/>
            </w:tcBorders>
            <w:shd w:val="clear" w:color="auto" w:fill="auto"/>
            <w:vAlign w:val="center"/>
          </w:tcPr>
          <w:p w14:paraId="20076613">
            <w:pPr>
              <w:rPr>
                <w:rFonts w:hint="eastAsia" w:ascii="宋体" w:hAnsi="宋体" w:eastAsia="宋体" w:cs="宋体"/>
                <w:i w:val="0"/>
                <w:iCs w:val="0"/>
                <w:color w:val="000000"/>
                <w:sz w:val="18"/>
                <w:szCs w:val="18"/>
                <w:u w:val="none"/>
              </w:rPr>
            </w:pPr>
          </w:p>
        </w:tc>
        <w:tc>
          <w:tcPr>
            <w:tcW w:w="627" w:type="pct"/>
            <w:tcBorders>
              <w:top w:val="nil"/>
              <w:left w:val="nil"/>
              <w:bottom w:val="nil"/>
              <w:right w:val="nil"/>
            </w:tcBorders>
            <w:shd w:val="clear" w:color="auto" w:fill="auto"/>
            <w:vAlign w:val="center"/>
          </w:tcPr>
          <w:p w14:paraId="39F4CA34">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14D39EAF">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3C02EBD5">
            <w:pPr>
              <w:rPr>
                <w:rFonts w:hint="eastAsia" w:ascii="宋体" w:hAnsi="宋体" w:eastAsia="宋体" w:cs="宋体"/>
                <w:i w:val="0"/>
                <w:iCs w:val="0"/>
                <w:color w:val="000000"/>
                <w:sz w:val="18"/>
                <w:szCs w:val="18"/>
                <w:u w:val="none"/>
              </w:rPr>
            </w:pPr>
          </w:p>
        </w:tc>
        <w:tc>
          <w:tcPr>
            <w:tcW w:w="592" w:type="pct"/>
            <w:tcBorders>
              <w:top w:val="nil"/>
              <w:left w:val="nil"/>
              <w:bottom w:val="nil"/>
              <w:right w:val="nil"/>
            </w:tcBorders>
            <w:shd w:val="clear" w:color="auto" w:fill="auto"/>
            <w:vAlign w:val="center"/>
          </w:tcPr>
          <w:p w14:paraId="38A5B057">
            <w:pPr>
              <w:rPr>
                <w:rFonts w:hint="eastAsia" w:ascii="宋体" w:hAnsi="宋体" w:eastAsia="宋体" w:cs="宋体"/>
                <w:i w:val="0"/>
                <w:iCs w:val="0"/>
                <w:color w:val="000000"/>
                <w:sz w:val="18"/>
                <w:szCs w:val="18"/>
                <w:u w:val="none"/>
              </w:rPr>
            </w:pPr>
          </w:p>
        </w:tc>
        <w:tc>
          <w:tcPr>
            <w:tcW w:w="185" w:type="pct"/>
            <w:tcBorders>
              <w:top w:val="nil"/>
              <w:left w:val="nil"/>
              <w:bottom w:val="nil"/>
              <w:right w:val="nil"/>
            </w:tcBorders>
            <w:shd w:val="clear" w:color="auto" w:fill="auto"/>
            <w:vAlign w:val="center"/>
          </w:tcPr>
          <w:p w14:paraId="1EF42E88">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6B30C433">
            <w:pPr>
              <w:rPr>
                <w:rFonts w:hint="eastAsia" w:ascii="宋体" w:hAnsi="宋体" w:eastAsia="宋体" w:cs="宋体"/>
                <w:i w:val="0"/>
                <w:iCs w:val="0"/>
                <w:color w:val="000000"/>
                <w:sz w:val="18"/>
                <w:szCs w:val="18"/>
                <w:u w:val="none"/>
              </w:rPr>
            </w:pPr>
          </w:p>
        </w:tc>
        <w:tc>
          <w:tcPr>
            <w:tcW w:w="178" w:type="pct"/>
            <w:tcBorders>
              <w:top w:val="nil"/>
              <w:left w:val="nil"/>
              <w:bottom w:val="nil"/>
              <w:right w:val="nil"/>
            </w:tcBorders>
            <w:shd w:val="clear" w:color="auto" w:fill="auto"/>
            <w:vAlign w:val="center"/>
          </w:tcPr>
          <w:p w14:paraId="201C4B3D">
            <w:pPr>
              <w:rPr>
                <w:rFonts w:hint="eastAsia" w:ascii="宋体" w:hAnsi="宋体" w:eastAsia="宋体" w:cs="宋体"/>
                <w:i w:val="0"/>
                <w:iCs w:val="0"/>
                <w:color w:val="000000"/>
                <w:sz w:val="18"/>
                <w:szCs w:val="18"/>
                <w:u w:val="none"/>
              </w:rPr>
            </w:pPr>
          </w:p>
        </w:tc>
        <w:tc>
          <w:tcPr>
            <w:tcW w:w="171" w:type="pct"/>
            <w:tcBorders>
              <w:top w:val="nil"/>
              <w:left w:val="nil"/>
              <w:bottom w:val="nil"/>
              <w:right w:val="nil"/>
            </w:tcBorders>
            <w:shd w:val="clear" w:color="auto" w:fill="auto"/>
            <w:vAlign w:val="center"/>
          </w:tcPr>
          <w:p w14:paraId="3C3ECCD9">
            <w:pPr>
              <w:rPr>
                <w:rFonts w:hint="eastAsia" w:ascii="宋体" w:hAnsi="宋体" w:eastAsia="宋体" w:cs="宋体"/>
                <w:i w:val="0"/>
                <w:iCs w:val="0"/>
                <w:color w:val="000000"/>
                <w:sz w:val="18"/>
                <w:szCs w:val="18"/>
                <w:u w:val="none"/>
              </w:rPr>
            </w:pPr>
          </w:p>
        </w:tc>
        <w:tc>
          <w:tcPr>
            <w:tcW w:w="905" w:type="pct"/>
            <w:tcBorders>
              <w:top w:val="nil"/>
              <w:left w:val="nil"/>
              <w:bottom w:val="nil"/>
              <w:right w:val="nil"/>
            </w:tcBorders>
            <w:shd w:val="clear" w:color="auto" w:fill="auto"/>
            <w:vAlign w:val="center"/>
          </w:tcPr>
          <w:p w14:paraId="6714D930">
            <w:pPr>
              <w:rPr>
                <w:rFonts w:hint="eastAsia" w:ascii="宋体" w:hAnsi="宋体" w:eastAsia="宋体" w:cs="宋体"/>
                <w:i w:val="0"/>
                <w:iCs w:val="0"/>
                <w:color w:val="000000"/>
                <w:sz w:val="18"/>
                <w:szCs w:val="18"/>
                <w:u w:val="none"/>
              </w:rPr>
            </w:pPr>
          </w:p>
        </w:tc>
      </w:tr>
      <w:tr w14:paraId="17745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B08F1AE">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D2DD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E1FE2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867B56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51320025Y000012974203</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日常公用经费（其他运转类）</w:t>
            </w:r>
          </w:p>
        </w:tc>
      </w:tr>
      <w:tr w14:paraId="00E2F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7D05C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7EE0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386" w:type="pct"/>
            <w:tcBorders>
              <w:top w:val="nil"/>
              <w:left w:val="nil"/>
              <w:bottom w:val="nil"/>
              <w:right w:val="nil"/>
            </w:tcBorders>
            <w:shd w:val="clear" w:color="auto" w:fill="auto"/>
            <w:vAlign w:val="center"/>
          </w:tcPr>
          <w:p w14:paraId="41103AC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90BB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金川县环境监测站</w:t>
            </w:r>
          </w:p>
        </w:tc>
      </w:tr>
      <w:tr w14:paraId="59F7A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1FEB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CAE02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B0C7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689E47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A919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5459D">
            <w:pP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D39D04">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94E0F8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3BD6C3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CA83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EFB05">
            <w:pP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7D15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886B4AF">
            <w:pPr>
              <w:rPr>
                <w:rFonts w:hint="eastAsia" w:ascii="宋体" w:hAnsi="宋体" w:eastAsia="宋体" w:cs="宋体"/>
                <w:i w:val="0"/>
                <w:iCs w:val="0"/>
                <w:color w:val="000000"/>
                <w:sz w:val="18"/>
                <w:szCs w:val="18"/>
                <w:u w:val="none"/>
              </w:rPr>
            </w:pPr>
          </w:p>
        </w:tc>
      </w:tr>
      <w:tr w14:paraId="6D03F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81EB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A52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908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0F6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A8D4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BA8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DA2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6DF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834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7803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C2D2BC">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5F9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075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15.23</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1E5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12.75</w:t>
            </w:r>
          </w:p>
        </w:tc>
        <w:tc>
          <w:tcPr>
            <w:tcW w:w="96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B90A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12.75</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07C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DB6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83F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17E1E5">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D80B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FBC5BB">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F07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187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15.23</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0BD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12.75</w:t>
            </w:r>
          </w:p>
        </w:tc>
        <w:tc>
          <w:tcPr>
            <w:tcW w:w="96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7D38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12.75</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262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E5B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6BA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B6D8DD">
            <w:pPr>
              <w:rPr>
                <w:rFonts w:hint="eastAsia" w:ascii="黑体" w:hAnsi="黑体" w:eastAsia="黑体" w:cs="黑体"/>
                <w:i/>
                <w:iCs/>
                <w:color w:val="000000"/>
                <w:sz w:val="18"/>
                <w:szCs w:val="18"/>
                <w:u w:val="none"/>
              </w:rPr>
            </w:pPr>
          </w:p>
        </w:tc>
      </w:tr>
      <w:tr w14:paraId="408CD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140D42">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3A1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300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625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BFEB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D1B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06C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B2F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01FBE8">
            <w:pPr>
              <w:rPr>
                <w:rFonts w:hint="eastAsia" w:ascii="黑体" w:hAnsi="黑体" w:eastAsia="黑体" w:cs="黑体"/>
                <w:i/>
                <w:iCs/>
                <w:color w:val="000000"/>
                <w:sz w:val="18"/>
                <w:szCs w:val="18"/>
                <w:u w:val="none"/>
              </w:rPr>
            </w:pPr>
          </w:p>
        </w:tc>
      </w:tr>
      <w:tr w14:paraId="7A51D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C0968A">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C9E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BB9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AE0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3DDD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340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44C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823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14E91">
            <w:pPr>
              <w:rPr>
                <w:rFonts w:hint="eastAsia" w:ascii="黑体" w:hAnsi="黑体" w:eastAsia="黑体" w:cs="黑体"/>
                <w:i/>
                <w:iCs/>
                <w:color w:val="000000"/>
                <w:sz w:val="18"/>
                <w:szCs w:val="18"/>
                <w:u w:val="none"/>
              </w:rPr>
            </w:pPr>
          </w:p>
        </w:tc>
      </w:tr>
      <w:tr w14:paraId="430E9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C22248">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91D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B0278">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9936C">
            <w:pPr>
              <w:jc w:val="center"/>
              <w:rPr>
                <w:rFonts w:hint="eastAsia" w:ascii="微软雅黑" w:hAnsi="微软雅黑" w:eastAsia="微软雅黑" w:cs="微软雅黑"/>
                <w:i/>
                <w:iCs/>
                <w:color w:val="000000"/>
                <w:sz w:val="16"/>
                <w:szCs w:val="16"/>
                <w:u w:val="none"/>
              </w:rPr>
            </w:pPr>
          </w:p>
        </w:tc>
        <w:tc>
          <w:tcPr>
            <w:tcW w:w="96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1C07EC">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60ADC">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552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3FF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368A4">
            <w:pPr>
              <w:rPr>
                <w:rFonts w:hint="eastAsia" w:ascii="黑体" w:hAnsi="黑体" w:eastAsia="黑体" w:cs="黑体"/>
                <w:i/>
                <w:iCs/>
                <w:color w:val="000000"/>
                <w:sz w:val="18"/>
                <w:szCs w:val="18"/>
                <w:u w:val="none"/>
              </w:rPr>
            </w:pPr>
          </w:p>
        </w:tc>
      </w:tr>
      <w:tr w14:paraId="33CAA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6521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26E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792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23B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470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B92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F3F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B75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9F8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C18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DF3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7BC8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1EA9A">
            <w:pPr>
              <w:jc w:val="center"/>
              <w:rPr>
                <w:rFonts w:hint="eastAsia" w:ascii="宋体" w:hAnsi="宋体" w:eastAsia="宋体" w:cs="宋体"/>
                <w:i w:val="0"/>
                <w:iCs w:val="0"/>
                <w:color w:val="000000"/>
                <w:sz w:val="18"/>
                <w:szCs w:val="18"/>
                <w:u w:val="none"/>
              </w:rPr>
            </w:pP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6530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1FC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DE2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83C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1D2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369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7C47B">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4DC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23A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A6B41">
            <w:pPr>
              <w:jc w:val="center"/>
              <w:rPr>
                <w:rFonts w:hint="eastAsia" w:ascii="微软雅黑" w:hAnsi="微软雅黑" w:eastAsia="微软雅黑" w:cs="微软雅黑"/>
                <w:i/>
                <w:iCs/>
                <w:color w:val="000000"/>
                <w:sz w:val="16"/>
                <w:szCs w:val="16"/>
                <w:u w:val="none"/>
              </w:rPr>
            </w:pPr>
          </w:p>
        </w:tc>
      </w:tr>
      <w:tr w14:paraId="2D172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0EED78">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8879EC">
            <w:pPr>
              <w:jc w:val="center"/>
              <w:rPr>
                <w:rFonts w:hint="eastAsia" w:ascii="宋体" w:hAnsi="宋体" w:eastAsia="宋体" w:cs="宋体"/>
                <w:i w:val="0"/>
                <w:iCs w:val="0"/>
                <w:color w:val="000000"/>
                <w:sz w:val="18"/>
                <w:szCs w:val="18"/>
                <w:u w:val="none"/>
              </w:rPr>
            </w:pP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68D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6A0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w:t>
            </w:r>
            <w:bookmarkStart w:id="93" w:name="_GoBack"/>
            <w:r>
              <w:rPr>
                <w:rFonts w:ascii="宋体" w:hAnsi="宋体" w:eastAsia="宋体" w:cs="宋体"/>
                <w:i w:val="0"/>
                <w:iCs w:val="0"/>
                <w:color w:val="000000"/>
                <w:kern w:val="0"/>
                <w:sz w:val="18"/>
                <w:szCs w:val="18"/>
                <w:u w:val="none"/>
                <w:lang w:val="en-US" w:eastAsia="zh-CN" w:bidi="ar"/>
              </w:rPr>
              <w:t>）</w:t>
            </w:r>
            <w:bookmarkEnd w:id="93"/>
            <w:r>
              <w:rPr>
                <w:rFonts w:ascii="宋体" w:hAnsi="宋体" w:eastAsia="宋体" w:cs="宋体"/>
                <w:i w:val="0"/>
                <w:iCs w:val="0"/>
                <w:color w:val="000000"/>
                <w:kern w:val="0"/>
                <w:sz w:val="18"/>
                <w:szCs w:val="18"/>
                <w:u w:val="none"/>
                <w:lang w:val="en-US" w:eastAsia="zh-CN" w:bidi="ar"/>
              </w:rPr>
              <w:t>/预算数∣）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A21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D71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E24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EA8E4">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A98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6E6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9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51F5F">
            <w:pPr>
              <w:jc w:val="center"/>
              <w:rPr>
                <w:rFonts w:hint="eastAsia" w:ascii="微软雅黑" w:hAnsi="微软雅黑" w:eastAsia="微软雅黑" w:cs="微软雅黑"/>
                <w:i/>
                <w:iCs/>
                <w:color w:val="000000"/>
                <w:sz w:val="16"/>
                <w:szCs w:val="16"/>
                <w:u w:val="none"/>
              </w:rPr>
            </w:pPr>
          </w:p>
        </w:tc>
      </w:tr>
      <w:tr w14:paraId="1F9B2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DEBEC6">
            <w:pPr>
              <w:jc w:val="center"/>
              <w:rPr>
                <w:rFonts w:hint="eastAsia" w:ascii="宋体" w:hAnsi="宋体" w:eastAsia="宋体" w:cs="宋体"/>
                <w:i w:val="0"/>
                <w:iCs w:val="0"/>
                <w:color w:val="000000"/>
                <w:sz w:val="18"/>
                <w:szCs w:val="18"/>
                <w:u w:val="none"/>
              </w:rPr>
            </w:pP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7D27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91E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CD3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506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59E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D73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9CA0B">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491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1EC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18618">
            <w:pPr>
              <w:jc w:val="center"/>
              <w:rPr>
                <w:rFonts w:hint="eastAsia" w:ascii="微软雅黑" w:hAnsi="微软雅黑" w:eastAsia="微软雅黑" w:cs="微软雅黑"/>
                <w:i/>
                <w:iCs/>
                <w:color w:val="000000"/>
                <w:sz w:val="16"/>
                <w:szCs w:val="16"/>
                <w:u w:val="none"/>
              </w:rPr>
            </w:pPr>
          </w:p>
        </w:tc>
      </w:tr>
      <w:tr w14:paraId="02B56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70CAFA">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9850D8">
            <w:pPr>
              <w:jc w:val="center"/>
              <w:rPr>
                <w:rFonts w:hint="eastAsia" w:ascii="宋体" w:hAnsi="宋体" w:eastAsia="宋体" w:cs="宋体"/>
                <w:i w:val="0"/>
                <w:iCs w:val="0"/>
                <w:color w:val="000000"/>
                <w:sz w:val="18"/>
                <w:szCs w:val="18"/>
                <w:u w:val="none"/>
              </w:rPr>
            </w:pP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60D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940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78B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A3E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B82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7AE6B">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858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AD9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5148F">
            <w:pPr>
              <w:jc w:val="center"/>
              <w:rPr>
                <w:rFonts w:hint="eastAsia" w:ascii="微软雅黑" w:hAnsi="微软雅黑" w:eastAsia="微软雅黑" w:cs="微软雅黑"/>
                <w:i/>
                <w:iCs/>
                <w:color w:val="000000"/>
                <w:sz w:val="16"/>
                <w:szCs w:val="16"/>
                <w:u w:val="none"/>
              </w:rPr>
            </w:pPr>
          </w:p>
        </w:tc>
      </w:tr>
      <w:tr w14:paraId="1B948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468BF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9FE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A99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4BDFA">
            <w:pPr>
              <w:rPr>
                <w:rFonts w:hint="eastAsia" w:ascii="宋体" w:hAnsi="宋体" w:eastAsia="宋体" w:cs="宋体"/>
                <w:i w:val="0"/>
                <w:iCs w:val="0"/>
                <w:color w:val="000000"/>
                <w:sz w:val="18"/>
                <w:szCs w:val="18"/>
                <w:u w:val="none"/>
              </w:rPr>
            </w:pPr>
          </w:p>
        </w:tc>
      </w:tr>
      <w:tr w14:paraId="406D7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3BB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F67839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项目已完成</w:t>
            </w:r>
          </w:p>
        </w:tc>
      </w:tr>
      <w:tr w14:paraId="31566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D5C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87BB4A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10EF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C69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70E04E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F667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6B998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项目负责人：白银勇</w:t>
            </w:r>
          </w:p>
        </w:tc>
        <w:tc>
          <w:tcPr>
            <w:tcW w:w="24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464AED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财务负责人：龙俊杰</w:t>
            </w:r>
          </w:p>
        </w:tc>
      </w:tr>
      <w:tr w14:paraId="4F48C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7602EB35">
            <w:pPr>
              <w:rPr>
                <w:rFonts w:hint="eastAsia" w:ascii="宋体" w:hAnsi="宋体" w:eastAsia="宋体" w:cs="宋体"/>
                <w:i w:val="0"/>
                <w:iCs w:val="0"/>
                <w:color w:val="000000"/>
                <w:sz w:val="18"/>
                <w:szCs w:val="18"/>
                <w:u w:val="none"/>
              </w:rPr>
            </w:pPr>
          </w:p>
        </w:tc>
        <w:tc>
          <w:tcPr>
            <w:tcW w:w="725" w:type="pct"/>
            <w:tcBorders>
              <w:top w:val="nil"/>
              <w:left w:val="nil"/>
              <w:bottom w:val="nil"/>
              <w:right w:val="nil"/>
            </w:tcBorders>
            <w:shd w:val="clear" w:color="auto" w:fill="auto"/>
            <w:vAlign w:val="center"/>
          </w:tcPr>
          <w:p w14:paraId="70F26003">
            <w:pPr>
              <w:rPr>
                <w:rFonts w:hint="eastAsia" w:ascii="宋体" w:hAnsi="宋体" w:eastAsia="宋体" w:cs="宋体"/>
                <w:i w:val="0"/>
                <w:iCs w:val="0"/>
                <w:color w:val="000000"/>
                <w:sz w:val="18"/>
                <w:szCs w:val="18"/>
                <w:u w:val="none"/>
              </w:rPr>
            </w:pPr>
          </w:p>
        </w:tc>
        <w:tc>
          <w:tcPr>
            <w:tcW w:w="627" w:type="pct"/>
            <w:tcBorders>
              <w:top w:val="nil"/>
              <w:left w:val="nil"/>
              <w:bottom w:val="nil"/>
              <w:right w:val="nil"/>
            </w:tcBorders>
            <w:shd w:val="clear" w:color="auto" w:fill="auto"/>
            <w:vAlign w:val="center"/>
          </w:tcPr>
          <w:p w14:paraId="58BE0DBC">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21722A61">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1DF93073">
            <w:pPr>
              <w:rPr>
                <w:rFonts w:hint="eastAsia" w:ascii="宋体" w:hAnsi="宋体" w:eastAsia="宋体" w:cs="宋体"/>
                <w:i w:val="0"/>
                <w:iCs w:val="0"/>
                <w:color w:val="000000"/>
                <w:sz w:val="18"/>
                <w:szCs w:val="18"/>
                <w:u w:val="none"/>
              </w:rPr>
            </w:pPr>
          </w:p>
        </w:tc>
        <w:tc>
          <w:tcPr>
            <w:tcW w:w="592" w:type="pct"/>
            <w:tcBorders>
              <w:top w:val="nil"/>
              <w:left w:val="nil"/>
              <w:bottom w:val="nil"/>
              <w:right w:val="nil"/>
            </w:tcBorders>
            <w:shd w:val="clear" w:color="auto" w:fill="auto"/>
            <w:vAlign w:val="center"/>
          </w:tcPr>
          <w:p w14:paraId="74E2774A">
            <w:pPr>
              <w:rPr>
                <w:rFonts w:hint="eastAsia" w:ascii="宋体" w:hAnsi="宋体" w:eastAsia="宋体" w:cs="宋体"/>
                <w:i w:val="0"/>
                <w:iCs w:val="0"/>
                <w:color w:val="000000"/>
                <w:sz w:val="18"/>
                <w:szCs w:val="18"/>
                <w:u w:val="none"/>
              </w:rPr>
            </w:pPr>
          </w:p>
        </w:tc>
        <w:tc>
          <w:tcPr>
            <w:tcW w:w="185" w:type="pct"/>
            <w:tcBorders>
              <w:top w:val="nil"/>
              <w:left w:val="nil"/>
              <w:bottom w:val="nil"/>
              <w:right w:val="nil"/>
            </w:tcBorders>
            <w:shd w:val="clear" w:color="auto" w:fill="auto"/>
            <w:vAlign w:val="center"/>
          </w:tcPr>
          <w:p w14:paraId="1499642B">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31E9FD90">
            <w:pPr>
              <w:rPr>
                <w:rFonts w:hint="eastAsia" w:ascii="宋体" w:hAnsi="宋体" w:eastAsia="宋体" w:cs="宋体"/>
                <w:i w:val="0"/>
                <w:iCs w:val="0"/>
                <w:color w:val="000000"/>
                <w:sz w:val="18"/>
                <w:szCs w:val="18"/>
                <w:u w:val="none"/>
              </w:rPr>
            </w:pPr>
          </w:p>
        </w:tc>
        <w:tc>
          <w:tcPr>
            <w:tcW w:w="178" w:type="pct"/>
            <w:tcBorders>
              <w:top w:val="nil"/>
              <w:left w:val="nil"/>
              <w:bottom w:val="nil"/>
              <w:right w:val="nil"/>
            </w:tcBorders>
            <w:shd w:val="clear" w:color="auto" w:fill="auto"/>
            <w:vAlign w:val="center"/>
          </w:tcPr>
          <w:p w14:paraId="131C5459">
            <w:pPr>
              <w:rPr>
                <w:rFonts w:hint="eastAsia" w:ascii="宋体" w:hAnsi="宋体" w:eastAsia="宋体" w:cs="宋体"/>
                <w:i w:val="0"/>
                <w:iCs w:val="0"/>
                <w:color w:val="000000"/>
                <w:sz w:val="18"/>
                <w:szCs w:val="18"/>
                <w:u w:val="none"/>
              </w:rPr>
            </w:pPr>
          </w:p>
        </w:tc>
        <w:tc>
          <w:tcPr>
            <w:tcW w:w="171" w:type="pct"/>
            <w:tcBorders>
              <w:top w:val="nil"/>
              <w:left w:val="nil"/>
              <w:bottom w:val="nil"/>
              <w:right w:val="nil"/>
            </w:tcBorders>
            <w:shd w:val="clear" w:color="auto" w:fill="auto"/>
            <w:vAlign w:val="center"/>
          </w:tcPr>
          <w:p w14:paraId="7C9835BE">
            <w:pPr>
              <w:rPr>
                <w:rFonts w:hint="eastAsia" w:ascii="宋体" w:hAnsi="宋体" w:eastAsia="宋体" w:cs="宋体"/>
                <w:i w:val="0"/>
                <w:iCs w:val="0"/>
                <w:color w:val="000000"/>
                <w:sz w:val="18"/>
                <w:szCs w:val="18"/>
                <w:u w:val="none"/>
              </w:rPr>
            </w:pPr>
          </w:p>
        </w:tc>
        <w:tc>
          <w:tcPr>
            <w:tcW w:w="905" w:type="pct"/>
            <w:tcBorders>
              <w:top w:val="nil"/>
              <w:left w:val="nil"/>
              <w:bottom w:val="nil"/>
              <w:right w:val="nil"/>
            </w:tcBorders>
            <w:shd w:val="clear" w:color="auto" w:fill="auto"/>
            <w:vAlign w:val="center"/>
          </w:tcPr>
          <w:p w14:paraId="1B860E48">
            <w:pPr>
              <w:rPr>
                <w:rFonts w:hint="eastAsia" w:ascii="宋体" w:hAnsi="宋体" w:eastAsia="宋体" w:cs="宋体"/>
                <w:i w:val="0"/>
                <w:iCs w:val="0"/>
                <w:color w:val="000000"/>
                <w:sz w:val="18"/>
                <w:szCs w:val="18"/>
                <w:u w:val="none"/>
              </w:rPr>
            </w:pPr>
          </w:p>
        </w:tc>
      </w:tr>
      <w:tr w14:paraId="76CD8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000" w:type="pct"/>
            <w:gridSpan w:val="11"/>
            <w:tcBorders>
              <w:top w:val="nil"/>
              <w:left w:val="nil"/>
              <w:bottom w:val="nil"/>
              <w:right w:val="nil"/>
            </w:tcBorders>
            <w:shd w:val="clear" w:color="auto" w:fill="auto"/>
            <w:vAlign w:val="center"/>
          </w:tcPr>
          <w:p w14:paraId="4514532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ascii="宋体" w:hAnsi="宋体" w:eastAsia="宋体" w:cs="宋体"/>
                <w:i w:val="0"/>
                <w:iCs w:val="0"/>
                <w:color w:val="000000"/>
                <w:kern w:val="0"/>
                <w:sz w:val="18"/>
                <w:szCs w:val="18"/>
                <w:u w:val="none"/>
                <w:lang w:val="en-US" w:eastAsia="zh-CN" w:bidi="ar"/>
              </w:rPr>
              <w:t>报表说明</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该报表查询项目信息、绩效目标信息、预算及执行情况，用于预算单位查询导出开展项目自评。</w:t>
            </w:r>
          </w:p>
        </w:tc>
      </w:tr>
      <w:tr w14:paraId="79464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000" w:type="pct"/>
            <w:gridSpan w:val="11"/>
            <w:tcBorders>
              <w:top w:val="nil"/>
              <w:left w:val="nil"/>
              <w:bottom w:val="nil"/>
              <w:right w:val="nil"/>
            </w:tcBorders>
            <w:shd w:val="clear" w:color="auto" w:fill="auto"/>
            <w:vAlign w:val="center"/>
          </w:tcPr>
          <w:p w14:paraId="3933E93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2.</w:t>
            </w:r>
            <w:r>
              <w:rPr>
                <w:rFonts w:ascii="宋体" w:hAnsi="宋体" w:eastAsia="宋体" w:cs="宋体"/>
                <w:i w:val="0"/>
                <w:iCs w:val="0"/>
                <w:color w:val="000000"/>
                <w:kern w:val="0"/>
                <w:sz w:val="18"/>
                <w:szCs w:val="18"/>
                <w:u w:val="none"/>
                <w:lang w:val="en-US" w:eastAsia="zh-CN" w:bidi="ar"/>
              </w:rPr>
              <w:t>取数口径：部门项目绩效目标表信息，包括年初预算、追加预算、结转预算和调整预算的绩效目标（以项目的最终绩效目标为准）。</w:t>
            </w:r>
          </w:p>
        </w:tc>
      </w:tr>
      <w:tr w14:paraId="0EAB2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000" w:type="pct"/>
            <w:gridSpan w:val="11"/>
            <w:tcBorders>
              <w:top w:val="nil"/>
              <w:left w:val="nil"/>
              <w:bottom w:val="nil"/>
              <w:right w:val="nil"/>
            </w:tcBorders>
            <w:shd w:val="clear" w:color="auto" w:fill="auto"/>
            <w:vAlign w:val="center"/>
          </w:tcPr>
          <w:p w14:paraId="3AC67F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适用地区：全省范围</w:t>
            </w:r>
          </w:p>
        </w:tc>
      </w:tr>
      <w:tr w14:paraId="134EB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000" w:type="pct"/>
            <w:gridSpan w:val="11"/>
            <w:tcBorders>
              <w:top w:val="nil"/>
              <w:left w:val="nil"/>
              <w:bottom w:val="nil"/>
              <w:right w:val="nil"/>
            </w:tcBorders>
            <w:shd w:val="clear" w:color="auto" w:fill="auto"/>
            <w:vAlign w:val="center"/>
          </w:tcPr>
          <w:p w14:paraId="3775AC6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适用用户：部门用户、单位用户</w:t>
            </w:r>
          </w:p>
        </w:tc>
      </w:tr>
    </w:tbl>
    <w:p w14:paraId="000AAB06">
      <w:pPr>
        <w:pStyle w:val="7"/>
      </w:pPr>
    </w:p>
    <w:p w14:paraId="4B10EDDF">
      <w:pPr>
        <w:pStyle w:val="7"/>
      </w:pPr>
    </w:p>
    <w:p w14:paraId="30B5540F">
      <w:pPr>
        <w:pStyle w:val="7"/>
      </w:pPr>
    </w:p>
    <w:p w14:paraId="5DCD7317">
      <w:pPr>
        <w:pStyle w:val="7"/>
      </w:pPr>
    </w:p>
    <w:p w14:paraId="64532B82">
      <w:pPr>
        <w:pStyle w:val="7"/>
      </w:pPr>
    </w:p>
    <w:p w14:paraId="0FE34DA7">
      <w:pPr>
        <w:pStyle w:val="7"/>
      </w:pPr>
    </w:p>
    <w:p w14:paraId="7DF30B73">
      <w:pPr>
        <w:pStyle w:val="7"/>
      </w:pPr>
    </w:p>
    <w:p w14:paraId="4FC7C310">
      <w:pPr>
        <w:pStyle w:val="7"/>
      </w:pPr>
    </w:p>
    <w:p w14:paraId="7B444DA1">
      <w:pPr>
        <w:pStyle w:val="4"/>
        <w:jc w:val="center"/>
        <w:rPr>
          <w:rFonts w:ascii="黑体" w:hAnsi="黑体" w:eastAsia="黑体" w:cs="黑体"/>
        </w:rPr>
      </w:pPr>
      <w:bookmarkStart w:id="76" w:name="_Toc6854"/>
      <w:bookmarkStart w:id="77" w:name="_Toc111208512"/>
      <w:bookmarkStart w:id="78" w:name="_Toc79163635"/>
      <w:bookmarkStart w:id="79" w:name="_Toc79163885"/>
      <w:r>
        <w:rPr>
          <w:rFonts w:hint="eastAsia" w:ascii="黑体" w:hAnsi="黑体" w:eastAsia="黑体" w:cs="黑体"/>
        </w:rPr>
        <w:t>第五部分 附表</w:t>
      </w:r>
      <w:bookmarkEnd w:id="76"/>
      <w:bookmarkEnd w:id="77"/>
      <w:bookmarkEnd w:id="78"/>
      <w:bookmarkEnd w:id="79"/>
    </w:p>
    <w:p w14:paraId="53C82E2E">
      <w:pPr>
        <w:pStyle w:val="5"/>
        <w:ind w:firstLine="643" w:firstLineChars="200"/>
        <w:rPr>
          <w:rFonts w:ascii="黑体" w:eastAsia="黑体" w:cs="Times New Roman"/>
          <w:bCs w:val="0"/>
          <w:color w:val="000000"/>
        </w:rPr>
      </w:pPr>
      <w:bookmarkStart w:id="80" w:name="_Toc1079"/>
      <w:r>
        <w:rPr>
          <w:rFonts w:hint="eastAsia" w:ascii="黑体" w:eastAsia="黑体" w:cs="Times New Roman"/>
          <w:bCs w:val="0"/>
          <w:color w:val="000000"/>
        </w:rPr>
        <w:t>一、收入支出决算总表</w:t>
      </w:r>
      <w:bookmarkEnd w:id="80"/>
    </w:p>
    <w:p w14:paraId="621FF6C1">
      <w:pPr>
        <w:pStyle w:val="5"/>
        <w:ind w:firstLine="643" w:firstLineChars="200"/>
        <w:rPr>
          <w:rFonts w:ascii="黑体" w:eastAsia="黑体" w:cs="Times New Roman"/>
          <w:bCs w:val="0"/>
          <w:color w:val="000000"/>
        </w:rPr>
      </w:pPr>
      <w:bookmarkStart w:id="81" w:name="_Toc2070"/>
      <w:r>
        <w:rPr>
          <w:rFonts w:hint="eastAsia" w:ascii="黑体" w:eastAsia="黑体" w:cs="Times New Roman"/>
          <w:bCs w:val="0"/>
          <w:color w:val="000000"/>
        </w:rPr>
        <w:t>二、收入决算表</w:t>
      </w:r>
      <w:bookmarkEnd w:id="81"/>
    </w:p>
    <w:p w14:paraId="6DCF4A5D">
      <w:pPr>
        <w:pStyle w:val="5"/>
        <w:ind w:firstLine="643" w:firstLineChars="200"/>
        <w:rPr>
          <w:rFonts w:ascii="黑体" w:eastAsia="黑体" w:cs="Times New Roman"/>
          <w:bCs w:val="0"/>
          <w:color w:val="000000"/>
        </w:rPr>
      </w:pPr>
      <w:bookmarkStart w:id="82" w:name="_Toc6353"/>
      <w:r>
        <w:rPr>
          <w:rFonts w:hint="eastAsia" w:ascii="黑体" w:eastAsia="黑体" w:cs="Times New Roman"/>
          <w:bCs w:val="0"/>
          <w:color w:val="000000"/>
        </w:rPr>
        <w:t>三、支出决算表</w:t>
      </w:r>
      <w:bookmarkEnd w:id="82"/>
    </w:p>
    <w:p w14:paraId="0FC42F86">
      <w:pPr>
        <w:pStyle w:val="5"/>
        <w:ind w:firstLine="643" w:firstLineChars="200"/>
        <w:rPr>
          <w:rFonts w:ascii="黑体" w:eastAsia="黑体" w:cs="Times New Roman"/>
          <w:bCs w:val="0"/>
          <w:color w:val="000000"/>
        </w:rPr>
      </w:pPr>
      <w:bookmarkStart w:id="83" w:name="_Toc15047"/>
      <w:r>
        <w:rPr>
          <w:rFonts w:hint="eastAsia" w:ascii="黑体" w:eastAsia="黑体" w:cs="Times New Roman"/>
          <w:bCs w:val="0"/>
          <w:color w:val="000000"/>
        </w:rPr>
        <w:t>四、财政拨款收入支出决算总表</w:t>
      </w:r>
      <w:bookmarkEnd w:id="83"/>
    </w:p>
    <w:p w14:paraId="0E116B8E">
      <w:pPr>
        <w:pStyle w:val="5"/>
        <w:ind w:firstLine="643" w:firstLineChars="200"/>
        <w:rPr>
          <w:rFonts w:ascii="黑体" w:eastAsia="黑体" w:cs="Times New Roman"/>
          <w:bCs w:val="0"/>
          <w:color w:val="000000"/>
        </w:rPr>
      </w:pPr>
      <w:bookmarkStart w:id="84" w:name="_Toc7394"/>
      <w:r>
        <w:rPr>
          <w:rFonts w:hint="eastAsia" w:ascii="黑体" w:eastAsia="黑体" w:cs="Times New Roman"/>
          <w:bCs w:val="0"/>
          <w:color w:val="000000"/>
        </w:rPr>
        <w:t>五、财政拨款支出决算明细表</w:t>
      </w:r>
      <w:bookmarkEnd w:id="84"/>
    </w:p>
    <w:p w14:paraId="1D3D2855">
      <w:pPr>
        <w:pStyle w:val="5"/>
        <w:ind w:firstLine="643" w:firstLineChars="200"/>
        <w:rPr>
          <w:rFonts w:ascii="黑体" w:eastAsia="黑体" w:cs="Times New Roman"/>
          <w:bCs w:val="0"/>
          <w:color w:val="000000"/>
        </w:rPr>
      </w:pPr>
      <w:bookmarkStart w:id="85" w:name="_Toc4427"/>
      <w:r>
        <w:rPr>
          <w:rFonts w:hint="eastAsia" w:ascii="黑体" w:eastAsia="黑体" w:cs="Times New Roman"/>
          <w:bCs w:val="0"/>
          <w:color w:val="000000"/>
        </w:rPr>
        <w:t>六、一般公共预算财政拨款支出决算表</w:t>
      </w:r>
      <w:bookmarkEnd w:id="85"/>
    </w:p>
    <w:p w14:paraId="716831BE">
      <w:pPr>
        <w:pStyle w:val="5"/>
        <w:ind w:firstLine="643" w:firstLineChars="200"/>
        <w:rPr>
          <w:rFonts w:ascii="黑体" w:eastAsia="黑体" w:cs="Times New Roman"/>
          <w:bCs w:val="0"/>
          <w:color w:val="000000"/>
        </w:rPr>
      </w:pPr>
      <w:bookmarkStart w:id="86" w:name="_Toc19411"/>
      <w:r>
        <w:rPr>
          <w:rFonts w:hint="eastAsia" w:ascii="黑体" w:eastAsia="黑体" w:cs="Times New Roman"/>
          <w:bCs w:val="0"/>
          <w:color w:val="000000"/>
        </w:rPr>
        <w:t>七、一般公共预算财政拨款支出决算明细表</w:t>
      </w:r>
      <w:bookmarkEnd w:id="86"/>
    </w:p>
    <w:p w14:paraId="6C719116">
      <w:pPr>
        <w:pStyle w:val="5"/>
        <w:ind w:firstLine="643" w:firstLineChars="200"/>
        <w:rPr>
          <w:rFonts w:ascii="黑体" w:eastAsia="黑体" w:cs="Times New Roman"/>
          <w:bCs w:val="0"/>
          <w:color w:val="000000"/>
        </w:rPr>
      </w:pPr>
      <w:bookmarkStart w:id="87" w:name="_Toc23840"/>
      <w:r>
        <w:rPr>
          <w:rFonts w:hint="eastAsia" w:ascii="黑体" w:eastAsia="黑体" w:cs="Times New Roman"/>
          <w:bCs w:val="0"/>
          <w:color w:val="000000"/>
        </w:rPr>
        <w:t>八、一般公共预算财政拨款基本支出决算表</w:t>
      </w:r>
      <w:bookmarkEnd w:id="87"/>
    </w:p>
    <w:p w14:paraId="0770A144">
      <w:pPr>
        <w:pStyle w:val="5"/>
        <w:ind w:firstLine="643" w:firstLineChars="200"/>
        <w:rPr>
          <w:rFonts w:ascii="黑体" w:eastAsia="黑体" w:cs="Times New Roman"/>
          <w:bCs w:val="0"/>
          <w:color w:val="000000"/>
        </w:rPr>
      </w:pPr>
      <w:bookmarkStart w:id="88" w:name="_Toc3583"/>
      <w:r>
        <w:rPr>
          <w:rFonts w:hint="eastAsia" w:ascii="黑体" w:eastAsia="黑体" w:cs="Times New Roman"/>
          <w:bCs w:val="0"/>
          <w:color w:val="000000"/>
        </w:rPr>
        <w:t>九、一般公共预算财政拨款项目支出决算表</w:t>
      </w:r>
      <w:bookmarkEnd w:id="88"/>
    </w:p>
    <w:p w14:paraId="493F9A3D">
      <w:pPr>
        <w:pStyle w:val="5"/>
        <w:ind w:firstLine="643" w:firstLineChars="200"/>
        <w:rPr>
          <w:rFonts w:ascii="黑体" w:eastAsia="黑体" w:cs="Times New Roman"/>
          <w:bCs w:val="0"/>
          <w:color w:val="000000"/>
        </w:rPr>
      </w:pPr>
      <w:bookmarkStart w:id="89" w:name="_Toc5822"/>
      <w:r>
        <w:rPr>
          <w:rFonts w:hint="eastAsia" w:ascii="黑体" w:eastAsia="黑体" w:cs="Times New Roman"/>
          <w:bCs w:val="0"/>
          <w:color w:val="000000"/>
        </w:rPr>
        <w:t>十、政府性基金预算财政拨款收入支出决算表</w:t>
      </w:r>
      <w:bookmarkEnd w:id="89"/>
    </w:p>
    <w:p w14:paraId="5F5E6E5C">
      <w:pPr>
        <w:pStyle w:val="5"/>
        <w:ind w:firstLine="643" w:firstLineChars="200"/>
        <w:rPr>
          <w:rFonts w:ascii="黑体" w:eastAsia="黑体" w:cs="Times New Roman"/>
          <w:bCs w:val="0"/>
          <w:color w:val="000000"/>
        </w:rPr>
      </w:pPr>
      <w:bookmarkStart w:id="90" w:name="_Toc3420"/>
      <w:r>
        <w:rPr>
          <w:rFonts w:hint="eastAsia" w:ascii="黑体" w:eastAsia="黑体" w:cs="Times New Roman"/>
          <w:bCs w:val="0"/>
          <w:color w:val="000000"/>
        </w:rPr>
        <w:t>十一、国有资本经营预算财政拨款收入支出决算表</w:t>
      </w:r>
      <w:bookmarkEnd w:id="90"/>
    </w:p>
    <w:p w14:paraId="53648321">
      <w:pPr>
        <w:pStyle w:val="5"/>
        <w:ind w:firstLine="643" w:firstLineChars="200"/>
        <w:rPr>
          <w:rFonts w:ascii="黑体" w:eastAsia="黑体" w:cs="Times New Roman"/>
          <w:bCs w:val="0"/>
          <w:color w:val="000000"/>
        </w:rPr>
      </w:pPr>
      <w:bookmarkStart w:id="91" w:name="_Toc3616"/>
      <w:r>
        <w:rPr>
          <w:rFonts w:hint="eastAsia" w:ascii="黑体" w:eastAsia="黑体" w:cs="Times New Roman"/>
          <w:bCs w:val="0"/>
          <w:color w:val="000000"/>
        </w:rPr>
        <w:t>十二、国有资本经营预算财政拨款支出决算表</w:t>
      </w:r>
      <w:bookmarkEnd w:id="91"/>
    </w:p>
    <w:p w14:paraId="71B78102">
      <w:pPr>
        <w:pStyle w:val="5"/>
        <w:ind w:firstLine="643" w:firstLineChars="200"/>
        <w:rPr>
          <w:rFonts w:ascii="黑体" w:eastAsia="黑体" w:cs="Times New Roman"/>
          <w:b w:val="0"/>
          <w:color w:val="000000"/>
        </w:rPr>
      </w:pPr>
      <w:bookmarkStart w:id="92" w:name="_Toc22641"/>
      <w:r>
        <w:rPr>
          <w:rFonts w:hint="eastAsia" w:ascii="黑体" w:eastAsia="黑体" w:cs="Times New Roman"/>
          <w:bCs w:val="0"/>
          <w:color w:val="000000"/>
        </w:rPr>
        <w:t>十三、财政拨款“三公”经费支出决算表</w:t>
      </w:r>
      <w:bookmarkEnd w:id="92"/>
    </w:p>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4781956"/>
    </w:sdtPr>
    <w:sdtContent>
      <w:p w14:paraId="1A61CD22">
        <w:pPr>
          <w:pStyle w:val="12"/>
          <w:jc w:val="center"/>
        </w:pPr>
        <w:r>
          <w:fldChar w:fldCharType="begin"/>
        </w:r>
        <w:r>
          <w:instrText xml:space="preserve">PAGE   \* MERGEFORMAT</w:instrText>
        </w:r>
        <w:r>
          <w:fldChar w:fldCharType="separate"/>
        </w:r>
        <w:r>
          <w:rPr>
            <w:lang w:val="zh-CN"/>
          </w:rPr>
          <w:t>3</w:t>
        </w:r>
        <w:r>
          <w:rPr>
            <w:lang w:val="zh-CN"/>
          </w:rPr>
          <w:fldChar w:fldCharType="end"/>
        </w:r>
      </w:p>
    </w:sdtContent>
  </w:sdt>
  <w:p w14:paraId="03BE6E6A">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570ABF">
    <w:pPr>
      <w:pStyle w:val="1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VjMzUxYjNkNTNlNzIwODhmMDJmOTY1ZGE0YmRmNTIifQ=="/>
  </w:docVars>
  <w:rsids>
    <w:rsidRoot w:val="00F1361C"/>
    <w:rsid w:val="000000BC"/>
    <w:rsid w:val="00000665"/>
    <w:rsid w:val="00000B38"/>
    <w:rsid w:val="000015A2"/>
    <w:rsid w:val="00002628"/>
    <w:rsid w:val="00003E5B"/>
    <w:rsid w:val="00004806"/>
    <w:rsid w:val="00007EA6"/>
    <w:rsid w:val="00012FB7"/>
    <w:rsid w:val="00013357"/>
    <w:rsid w:val="00013C9E"/>
    <w:rsid w:val="00015450"/>
    <w:rsid w:val="000175E6"/>
    <w:rsid w:val="00017F98"/>
    <w:rsid w:val="00020F07"/>
    <w:rsid w:val="000222C6"/>
    <w:rsid w:val="00022FC0"/>
    <w:rsid w:val="000230B2"/>
    <w:rsid w:val="0002359B"/>
    <w:rsid w:val="00023DEB"/>
    <w:rsid w:val="00025226"/>
    <w:rsid w:val="0002549F"/>
    <w:rsid w:val="00025F1E"/>
    <w:rsid w:val="0002749D"/>
    <w:rsid w:val="0003013F"/>
    <w:rsid w:val="00031598"/>
    <w:rsid w:val="00031926"/>
    <w:rsid w:val="000326D5"/>
    <w:rsid w:val="00033414"/>
    <w:rsid w:val="00034ABC"/>
    <w:rsid w:val="00034D1D"/>
    <w:rsid w:val="00034D24"/>
    <w:rsid w:val="00035A69"/>
    <w:rsid w:val="000366B3"/>
    <w:rsid w:val="00036E57"/>
    <w:rsid w:val="00047195"/>
    <w:rsid w:val="00047C09"/>
    <w:rsid w:val="00052D93"/>
    <w:rsid w:val="000551CF"/>
    <w:rsid w:val="000571AC"/>
    <w:rsid w:val="00063AA8"/>
    <w:rsid w:val="0006487A"/>
    <w:rsid w:val="00065F8F"/>
    <w:rsid w:val="00066365"/>
    <w:rsid w:val="00066A65"/>
    <w:rsid w:val="00070C93"/>
    <w:rsid w:val="00070D58"/>
    <w:rsid w:val="00070F40"/>
    <w:rsid w:val="00071796"/>
    <w:rsid w:val="00072BEC"/>
    <w:rsid w:val="00073345"/>
    <w:rsid w:val="000768F2"/>
    <w:rsid w:val="00077C80"/>
    <w:rsid w:val="00081156"/>
    <w:rsid w:val="000815F6"/>
    <w:rsid w:val="00083B72"/>
    <w:rsid w:val="000846FF"/>
    <w:rsid w:val="0008503A"/>
    <w:rsid w:val="000851B4"/>
    <w:rsid w:val="000859F0"/>
    <w:rsid w:val="00087C06"/>
    <w:rsid w:val="00090134"/>
    <w:rsid w:val="00090DB7"/>
    <w:rsid w:val="0009184B"/>
    <w:rsid w:val="00091AAC"/>
    <w:rsid w:val="000921CB"/>
    <w:rsid w:val="000925CB"/>
    <w:rsid w:val="0009389E"/>
    <w:rsid w:val="0009593C"/>
    <w:rsid w:val="000A1370"/>
    <w:rsid w:val="000A17C4"/>
    <w:rsid w:val="000A37A2"/>
    <w:rsid w:val="000A500C"/>
    <w:rsid w:val="000B007F"/>
    <w:rsid w:val="000B047F"/>
    <w:rsid w:val="000B071C"/>
    <w:rsid w:val="000B1716"/>
    <w:rsid w:val="000B202D"/>
    <w:rsid w:val="000B26BE"/>
    <w:rsid w:val="000B2D44"/>
    <w:rsid w:val="000B2FD8"/>
    <w:rsid w:val="000B44F0"/>
    <w:rsid w:val="000B5923"/>
    <w:rsid w:val="000B5A48"/>
    <w:rsid w:val="000B6FF3"/>
    <w:rsid w:val="000C0A06"/>
    <w:rsid w:val="000C148A"/>
    <w:rsid w:val="000C2B6A"/>
    <w:rsid w:val="000C3467"/>
    <w:rsid w:val="000C3CA6"/>
    <w:rsid w:val="000C4E3D"/>
    <w:rsid w:val="000C7136"/>
    <w:rsid w:val="000D1267"/>
    <w:rsid w:val="000D17A8"/>
    <w:rsid w:val="000D1D50"/>
    <w:rsid w:val="000D304F"/>
    <w:rsid w:val="000D4033"/>
    <w:rsid w:val="000D5782"/>
    <w:rsid w:val="000D620F"/>
    <w:rsid w:val="000D74AA"/>
    <w:rsid w:val="000E3AC5"/>
    <w:rsid w:val="000E4C84"/>
    <w:rsid w:val="000E6613"/>
    <w:rsid w:val="000E6663"/>
    <w:rsid w:val="000E7119"/>
    <w:rsid w:val="000E75B2"/>
    <w:rsid w:val="000F0D1B"/>
    <w:rsid w:val="000F3E1D"/>
    <w:rsid w:val="000F7336"/>
    <w:rsid w:val="00101546"/>
    <w:rsid w:val="00106B75"/>
    <w:rsid w:val="0010727E"/>
    <w:rsid w:val="00107CCA"/>
    <w:rsid w:val="00110310"/>
    <w:rsid w:val="0011211B"/>
    <w:rsid w:val="00112787"/>
    <w:rsid w:val="00114E9B"/>
    <w:rsid w:val="0011649B"/>
    <w:rsid w:val="00116E5E"/>
    <w:rsid w:val="0012218E"/>
    <w:rsid w:val="0012398F"/>
    <w:rsid w:val="00124113"/>
    <w:rsid w:val="00124BFE"/>
    <w:rsid w:val="0012516D"/>
    <w:rsid w:val="00125224"/>
    <w:rsid w:val="00130F18"/>
    <w:rsid w:val="00133C7A"/>
    <w:rsid w:val="0013434B"/>
    <w:rsid w:val="00137E3C"/>
    <w:rsid w:val="001418EE"/>
    <w:rsid w:val="00142F42"/>
    <w:rsid w:val="00143AE1"/>
    <w:rsid w:val="00143C8F"/>
    <w:rsid w:val="001446FE"/>
    <w:rsid w:val="00144A59"/>
    <w:rsid w:val="00146A3D"/>
    <w:rsid w:val="0014729F"/>
    <w:rsid w:val="00147410"/>
    <w:rsid w:val="001506F6"/>
    <w:rsid w:val="00151128"/>
    <w:rsid w:val="0015213E"/>
    <w:rsid w:val="001544D9"/>
    <w:rsid w:val="00156D25"/>
    <w:rsid w:val="00156D5D"/>
    <w:rsid w:val="00157BAB"/>
    <w:rsid w:val="0016151A"/>
    <w:rsid w:val="00163B54"/>
    <w:rsid w:val="00163F03"/>
    <w:rsid w:val="001654D1"/>
    <w:rsid w:val="00166A14"/>
    <w:rsid w:val="00166F25"/>
    <w:rsid w:val="0016730C"/>
    <w:rsid w:val="00167FD7"/>
    <w:rsid w:val="0017190C"/>
    <w:rsid w:val="00174145"/>
    <w:rsid w:val="0018106D"/>
    <w:rsid w:val="0018125C"/>
    <w:rsid w:val="00181856"/>
    <w:rsid w:val="00183B64"/>
    <w:rsid w:val="00184B52"/>
    <w:rsid w:val="001877A7"/>
    <w:rsid w:val="00187CD2"/>
    <w:rsid w:val="00191536"/>
    <w:rsid w:val="00191B2C"/>
    <w:rsid w:val="001927B3"/>
    <w:rsid w:val="00193E73"/>
    <w:rsid w:val="00193FE2"/>
    <w:rsid w:val="001959D9"/>
    <w:rsid w:val="00195AB7"/>
    <w:rsid w:val="00196687"/>
    <w:rsid w:val="001A0107"/>
    <w:rsid w:val="001A0B9F"/>
    <w:rsid w:val="001A0EA2"/>
    <w:rsid w:val="001A1DBF"/>
    <w:rsid w:val="001A41F1"/>
    <w:rsid w:val="001A5CF3"/>
    <w:rsid w:val="001A63BB"/>
    <w:rsid w:val="001B1840"/>
    <w:rsid w:val="001B1FA9"/>
    <w:rsid w:val="001B2FB3"/>
    <w:rsid w:val="001B6640"/>
    <w:rsid w:val="001B7FF7"/>
    <w:rsid w:val="001C0962"/>
    <w:rsid w:val="001C1941"/>
    <w:rsid w:val="001C1A81"/>
    <w:rsid w:val="001C38A5"/>
    <w:rsid w:val="001C597C"/>
    <w:rsid w:val="001C6464"/>
    <w:rsid w:val="001C746B"/>
    <w:rsid w:val="001D14B6"/>
    <w:rsid w:val="001D342B"/>
    <w:rsid w:val="001D6C1E"/>
    <w:rsid w:val="001D7531"/>
    <w:rsid w:val="001E0A1B"/>
    <w:rsid w:val="001E1402"/>
    <w:rsid w:val="001E2922"/>
    <w:rsid w:val="001E3680"/>
    <w:rsid w:val="001E6926"/>
    <w:rsid w:val="001E737D"/>
    <w:rsid w:val="001F0592"/>
    <w:rsid w:val="001F0C89"/>
    <w:rsid w:val="001F7506"/>
    <w:rsid w:val="002006CD"/>
    <w:rsid w:val="0020075A"/>
    <w:rsid w:val="00202B36"/>
    <w:rsid w:val="00202C44"/>
    <w:rsid w:val="00202F80"/>
    <w:rsid w:val="002030A5"/>
    <w:rsid w:val="00204B7A"/>
    <w:rsid w:val="00206616"/>
    <w:rsid w:val="0020689D"/>
    <w:rsid w:val="00206B0E"/>
    <w:rsid w:val="00207949"/>
    <w:rsid w:val="0021101A"/>
    <w:rsid w:val="0021190F"/>
    <w:rsid w:val="0021334C"/>
    <w:rsid w:val="00216B50"/>
    <w:rsid w:val="00220536"/>
    <w:rsid w:val="00220C02"/>
    <w:rsid w:val="00224F1D"/>
    <w:rsid w:val="00225CB7"/>
    <w:rsid w:val="0023060C"/>
    <w:rsid w:val="00234E40"/>
    <w:rsid w:val="00235629"/>
    <w:rsid w:val="00237409"/>
    <w:rsid w:val="00237AE4"/>
    <w:rsid w:val="00240C43"/>
    <w:rsid w:val="00240C5D"/>
    <w:rsid w:val="00243589"/>
    <w:rsid w:val="002527B1"/>
    <w:rsid w:val="0025301B"/>
    <w:rsid w:val="00253FF8"/>
    <w:rsid w:val="00260A32"/>
    <w:rsid w:val="00260C38"/>
    <w:rsid w:val="00260F84"/>
    <w:rsid w:val="002616C0"/>
    <w:rsid w:val="002620C0"/>
    <w:rsid w:val="002662AA"/>
    <w:rsid w:val="00267E1C"/>
    <w:rsid w:val="00272FB2"/>
    <w:rsid w:val="0027313F"/>
    <w:rsid w:val="00273F8B"/>
    <w:rsid w:val="002740FA"/>
    <w:rsid w:val="0027692F"/>
    <w:rsid w:val="0027703A"/>
    <w:rsid w:val="00277BF4"/>
    <w:rsid w:val="002803BD"/>
    <w:rsid w:val="00280496"/>
    <w:rsid w:val="00283D63"/>
    <w:rsid w:val="00283E91"/>
    <w:rsid w:val="002856F9"/>
    <w:rsid w:val="002866CA"/>
    <w:rsid w:val="00286C21"/>
    <w:rsid w:val="002875BF"/>
    <w:rsid w:val="0029076F"/>
    <w:rsid w:val="0029094E"/>
    <w:rsid w:val="00291DC2"/>
    <w:rsid w:val="00292626"/>
    <w:rsid w:val="00292E6B"/>
    <w:rsid w:val="00295495"/>
    <w:rsid w:val="002A0D55"/>
    <w:rsid w:val="002A0E88"/>
    <w:rsid w:val="002A1940"/>
    <w:rsid w:val="002A3F4C"/>
    <w:rsid w:val="002A70D7"/>
    <w:rsid w:val="002A77B7"/>
    <w:rsid w:val="002A7AE1"/>
    <w:rsid w:val="002B133E"/>
    <w:rsid w:val="002B1B6D"/>
    <w:rsid w:val="002B2613"/>
    <w:rsid w:val="002B2C2A"/>
    <w:rsid w:val="002B2F51"/>
    <w:rsid w:val="002B44FC"/>
    <w:rsid w:val="002B5438"/>
    <w:rsid w:val="002B544A"/>
    <w:rsid w:val="002B5F40"/>
    <w:rsid w:val="002B79B7"/>
    <w:rsid w:val="002C00BF"/>
    <w:rsid w:val="002C0137"/>
    <w:rsid w:val="002C1004"/>
    <w:rsid w:val="002C1E97"/>
    <w:rsid w:val="002C4022"/>
    <w:rsid w:val="002C5275"/>
    <w:rsid w:val="002C6074"/>
    <w:rsid w:val="002D1F9E"/>
    <w:rsid w:val="002D30E8"/>
    <w:rsid w:val="002E0F9C"/>
    <w:rsid w:val="002E1F75"/>
    <w:rsid w:val="002E202A"/>
    <w:rsid w:val="002E5C3A"/>
    <w:rsid w:val="002E64D0"/>
    <w:rsid w:val="002F1818"/>
    <w:rsid w:val="002F1A28"/>
    <w:rsid w:val="002F2C84"/>
    <w:rsid w:val="002F335F"/>
    <w:rsid w:val="002F567B"/>
    <w:rsid w:val="002F66D8"/>
    <w:rsid w:val="002F7353"/>
    <w:rsid w:val="0030080A"/>
    <w:rsid w:val="0030298F"/>
    <w:rsid w:val="00302AF1"/>
    <w:rsid w:val="00305126"/>
    <w:rsid w:val="0030593B"/>
    <w:rsid w:val="00310306"/>
    <w:rsid w:val="0031156F"/>
    <w:rsid w:val="00317FD1"/>
    <w:rsid w:val="00321358"/>
    <w:rsid w:val="003216A9"/>
    <w:rsid w:val="00322D89"/>
    <w:rsid w:val="00325332"/>
    <w:rsid w:val="00325856"/>
    <w:rsid w:val="00325985"/>
    <w:rsid w:val="003278AA"/>
    <w:rsid w:val="00332726"/>
    <w:rsid w:val="0033309F"/>
    <w:rsid w:val="00335ED6"/>
    <w:rsid w:val="00337694"/>
    <w:rsid w:val="003431B7"/>
    <w:rsid w:val="0034381A"/>
    <w:rsid w:val="003440C6"/>
    <w:rsid w:val="00350C26"/>
    <w:rsid w:val="003515CF"/>
    <w:rsid w:val="00353569"/>
    <w:rsid w:val="00354D51"/>
    <w:rsid w:val="0035612F"/>
    <w:rsid w:val="00356A32"/>
    <w:rsid w:val="0035779A"/>
    <w:rsid w:val="00360394"/>
    <w:rsid w:val="0036392A"/>
    <w:rsid w:val="003663FE"/>
    <w:rsid w:val="0036688B"/>
    <w:rsid w:val="00366A86"/>
    <w:rsid w:val="00367683"/>
    <w:rsid w:val="00367B91"/>
    <w:rsid w:val="0037013F"/>
    <w:rsid w:val="00373FCE"/>
    <w:rsid w:val="00377A4C"/>
    <w:rsid w:val="003802FF"/>
    <w:rsid w:val="00380C92"/>
    <w:rsid w:val="00383877"/>
    <w:rsid w:val="00385025"/>
    <w:rsid w:val="00386455"/>
    <w:rsid w:val="00390D36"/>
    <w:rsid w:val="00390F3B"/>
    <w:rsid w:val="0039111A"/>
    <w:rsid w:val="003936B4"/>
    <w:rsid w:val="00393AFD"/>
    <w:rsid w:val="003A079E"/>
    <w:rsid w:val="003A10FA"/>
    <w:rsid w:val="003A163E"/>
    <w:rsid w:val="003A32EC"/>
    <w:rsid w:val="003A36AE"/>
    <w:rsid w:val="003A3ACA"/>
    <w:rsid w:val="003A4404"/>
    <w:rsid w:val="003A484F"/>
    <w:rsid w:val="003A4F96"/>
    <w:rsid w:val="003A5540"/>
    <w:rsid w:val="003B0BE0"/>
    <w:rsid w:val="003B0C1A"/>
    <w:rsid w:val="003B0C1B"/>
    <w:rsid w:val="003B5601"/>
    <w:rsid w:val="003B688C"/>
    <w:rsid w:val="003C0291"/>
    <w:rsid w:val="003C2ECB"/>
    <w:rsid w:val="003C350E"/>
    <w:rsid w:val="003C39AE"/>
    <w:rsid w:val="003C6D0D"/>
    <w:rsid w:val="003C76CC"/>
    <w:rsid w:val="003C7B60"/>
    <w:rsid w:val="003D0821"/>
    <w:rsid w:val="003D1FB2"/>
    <w:rsid w:val="003D2303"/>
    <w:rsid w:val="003D3CC9"/>
    <w:rsid w:val="003D4221"/>
    <w:rsid w:val="003D644D"/>
    <w:rsid w:val="003D66DA"/>
    <w:rsid w:val="003E10D3"/>
    <w:rsid w:val="003E1310"/>
    <w:rsid w:val="003E2E1C"/>
    <w:rsid w:val="003E5BD3"/>
    <w:rsid w:val="003E6348"/>
    <w:rsid w:val="003E6F55"/>
    <w:rsid w:val="003F133D"/>
    <w:rsid w:val="003F2794"/>
    <w:rsid w:val="003F339D"/>
    <w:rsid w:val="003F363F"/>
    <w:rsid w:val="003F3A2A"/>
    <w:rsid w:val="003F3DED"/>
    <w:rsid w:val="003F3E94"/>
    <w:rsid w:val="003F44B8"/>
    <w:rsid w:val="003F7CD6"/>
    <w:rsid w:val="00400549"/>
    <w:rsid w:val="00401C71"/>
    <w:rsid w:val="004026F9"/>
    <w:rsid w:val="00402FCE"/>
    <w:rsid w:val="00405639"/>
    <w:rsid w:val="00406254"/>
    <w:rsid w:val="004071E0"/>
    <w:rsid w:val="00407AD0"/>
    <w:rsid w:val="00410C16"/>
    <w:rsid w:val="00422023"/>
    <w:rsid w:val="004223DE"/>
    <w:rsid w:val="004234B2"/>
    <w:rsid w:val="00426FA8"/>
    <w:rsid w:val="00427162"/>
    <w:rsid w:val="0043341C"/>
    <w:rsid w:val="004343F3"/>
    <w:rsid w:val="00434489"/>
    <w:rsid w:val="0043475E"/>
    <w:rsid w:val="0043497B"/>
    <w:rsid w:val="00435137"/>
    <w:rsid w:val="00436E88"/>
    <w:rsid w:val="00437085"/>
    <w:rsid w:val="004370D1"/>
    <w:rsid w:val="00440872"/>
    <w:rsid w:val="00440A29"/>
    <w:rsid w:val="00441C18"/>
    <w:rsid w:val="004422EF"/>
    <w:rsid w:val="00443880"/>
    <w:rsid w:val="00444CE1"/>
    <w:rsid w:val="0044578E"/>
    <w:rsid w:val="0044581C"/>
    <w:rsid w:val="004464F4"/>
    <w:rsid w:val="00446FA9"/>
    <w:rsid w:val="00447035"/>
    <w:rsid w:val="00450BFF"/>
    <w:rsid w:val="00454FA9"/>
    <w:rsid w:val="004571F2"/>
    <w:rsid w:val="0045723A"/>
    <w:rsid w:val="00460A67"/>
    <w:rsid w:val="00461A98"/>
    <w:rsid w:val="00462B33"/>
    <w:rsid w:val="0046346E"/>
    <w:rsid w:val="004700E2"/>
    <w:rsid w:val="004708B9"/>
    <w:rsid w:val="00471401"/>
    <w:rsid w:val="00471CBB"/>
    <w:rsid w:val="00473F31"/>
    <w:rsid w:val="00474218"/>
    <w:rsid w:val="004750E8"/>
    <w:rsid w:val="00476F1B"/>
    <w:rsid w:val="0047729B"/>
    <w:rsid w:val="0048263A"/>
    <w:rsid w:val="0048368B"/>
    <w:rsid w:val="0048372E"/>
    <w:rsid w:val="00483F46"/>
    <w:rsid w:val="00484CD3"/>
    <w:rsid w:val="004857E4"/>
    <w:rsid w:val="00486073"/>
    <w:rsid w:val="0048694C"/>
    <w:rsid w:val="00486E3E"/>
    <w:rsid w:val="00487E5D"/>
    <w:rsid w:val="00491181"/>
    <w:rsid w:val="00492070"/>
    <w:rsid w:val="004941B6"/>
    <w:rsid w:val="00497E59"/>
    <w:rsid w:val="004A2A48"/>
    <w:rsid w:val="004A4A66"/>
    <w:rsid w:val="004A4B01"/>
    <w:rsid w:val="004A5576"/>
    <w:rsid w:val="004A6B85"/>
    <w:rsid w:val="004A711F"/>
    <w:rsid w:val="004A7B2B"/>
    <w:rsid w:val="004B01AE"/>
    <w:rsid w:val="004B199D"/>
    <w:rsid w:val="004B2279"/>
    <w:rsid w:val="004B246F"/>
    <w:rsid w:val="004B25B9"/>
    <w:rsid w:val="004B3F00"/>
    <w:rsid w:val="004B4690"/>
    <w:rsid w:val="004B7108"/>
    <w:rsid w:val="004B778F"/>
    <w:rsid w:val="004B785F"/>
    <w:rsid w:val="004C01B1"/>
    <w:rsid w:val="004C062D"/>
    <w:rsid w:val="004C4638"/>
    <w:rsid w:val="004C5745"/>
    <w:rsid w:val="004C5DBD"/>
    <w:rsid w:val="004C62FA"/>
    <w:rsid w:val="004C6FB9"/>
    <w:rsid w:val="004D1DC6"/>
    <w:rsid w:val="004D31FB"/>
    <w:rsid w:val="004D4BB1"/>
    <w:rsid w:val="004D4D6E"/>
    <w:rsid w:val="004D4DA3"/>
    <w:rsid w:val="004D798C"/>
    <w:rsid w:val="004D7AEF"/>
    <w:rsid w:val="004E028C"/>
    <w:rsid w:val="004E0815"/>
    <w:rsid w:val="004E0A2D"/>
    <w:rsid w:val="004E206B"/>
    <w:rsid w:val="004E3DEC"/>
    <w:rsid w:val="004E67E0"/>
    <w:rsid w:val="004E6DF7"/>
    <w:rsid w:val="004F0FBD"/>
    <w:rsid w:val="00501436"/>
    <w:rsid w:val="00501B3E"/>
    <w:rsid w:val="00502053"/>
    <w:rsid w:val="005020BB"/>
    <w:rsid w:val="00505843"/>
    <w:rsid w:val="00505A47"/>
    <w:rsid w:val="0050679E"/>
    <w:rsid w:val="0051166F"/>
    <w:rsid w:val="0051173A"/>
    <w:rsid w:val="00512FDA"/>
    <w:rsid w:val="00513ED7"/>
    <w:rsid w:val="0051467D"/>
    <w:rsid w:val="00520DA0"/>
    <w:rsid w:val="005225FC"/>
    <w:rsid w:val="00524AC4"/>
    <w:rsid w:val="0052729E"/>
    <w:rsid w:val="0052733D"/>
    <w:rsid w:val="00530E19"/>
    <w:rsid w:val="00530F71"/>
    <w:rsid w:val="005322EB"/>
    <w:rsid w:val="0053459C"/>
    <w:rsid w:val="00550726"/>
    <w:rsid w:val="00550F95"/>
    <w:rsid w:val="0055106D"/>
    <w:rsid w:val="005559A4"/>
    <w:rsid w:val="0056304B"/>
    <w:rsid w:val="005651E3"/>
    <w:rsid w:val="00565D17"/>
    <w:rsid w:val="005664BB"/>
    <w:rsid w:val="00566C08"/>
    <w:rsid w:val="0056722F"/>
    <w:rsid w:val="00567B67"/>
    <w:rsid w:val="00570C62"/>
    <w:rsid w:val="00572EB1"/>
    <w:rsid w:val="00572EC9"/>
    <w:rsid w:val="00573576"/>
    <w:rsid w:val="0057481D"/>
    <w:rsid w:val="0057798B"/>
    <w:rsid w:val="00577A75"/>
    <w:rsid w:val="00577DF2"/>
    <w:rsid w:val="00580D35"/>
    <w:rsid w:val="0058486E"/>
    <w:rsid w:val="00584F2B"/>
    <w:rsid w:val="005935E9"/>
    <w:rsid w:val="005939BC"/>
    <w:rsid w:val="00593D4E"/>
    <w:rsid w:val="005975DB"/>
    <w:rsid w:val="00597919"/>
    <w:rsid w:val="005A0204"/>
    <w:rsid w:val="005A0CF8"/>
    <w:rsid w:val="005A324B"/>
    <w:rsid w:val="005B186A"/>
    <w:rsid w:val="005B553C"/>
    <w:rsid w:val="005B57DB"/>
    <w:rsid w:val="005B58F9"/>
    <w:rsid w:val="005B5ACB"/>
    <w:rsid w:val="005B76E6"/>
    <w:rsid w:val="005C0AF7"/>
    <w:rsid w:val="005C0B82"/>
    <w:rsid w:val="005C0D5C"/>
    <w:rsid w:val="005C4A4C"/>
    <w:rsid w:val="005C52C6"/>
    <w:rsid w:val="005C7204"/>
    <w:rsid w:val="005D1C8B"/>
    <w:rsid w:val="005D5CED"/>
    <w:rsid w:val="005D6054"/>
    <w:rsid w:val="005E1522"/>
    <w:rsid w:val="005E3365"/>
    <w:rsid w:val="005E5517"/>
    <w:rsid w:val="005F0705"/>
    <w:rsid w:val="005F0C83"/>
    <w:rsid w:val="005F1A4C"/>
    <w:rsid w:val="005F1F76"/>
    <w:rsid w:val="005F2C70"/>
    <w:rsid w:val="005F32B6"/>
    <w:rsid w:val="005F4162"/>
    <w:rsid w:val="005F44C7"/>
    <w:rsid w:val="005F632F"/>
    <w:rsid w:val="00600946"/>
    <w:rsid w:val="006044AC"/>
    <w:rsid w:val="00604551"/>
    <w:rsid w:val="00605688"/>
    <w:rsid w:val="006070AF"/>
    <w:rsid w:val="00607816"/>
    <w:rsid w:val="00607E6C"/>
    <w:rsid w:val="006101B1"/>
    <w:rsid w:val="00611AD3"/>
    <w:rsid w:val="00612209"/>
    <w:rsid w:val="00614423"/>
    <w:rsid w:val="00614E44"/>
    <w:rsid w:val="006155B0"/>
    <w:rsid w:val="006205F4"/>
    <w:rsid w:val="00620717"/>
    <w:rsid w:val="00622830"/>
    <w:rsid w:val="006256DB"/>
    <w:rsid w:val="00630AEF"/>
    <w:rsid w:val="00630BB3"/>
    <w:rsid w:val="006325F8"/>
    <w:rsid w:val="00633AE4"/>
    <w:rsid w:val="006348B1"/>
    <w:rsid w:val="00634C9A"/>
    <w:rsid w:val="00635FC7"/>
    <w:rsid w:val="00636040"/>
    <w:rsid w:val="00642529"/>
    <w:rsid w:val="0064301E"/>
    <w:rsid w:val="00643322"/>
    <w:rsid w:val="00643C0A"/>
    <w:rsid w:val="006440E4"/>
    <w:rsid w:val="00645301"/>
    <w:rsid w:val="00645F78"/>
    <w:rsid w:val="0064753B"/>
    <w:rsid w:val="00650D36"/>
    <w:rsid w:val="00650F17"/>
    <w:rsid w:val="006511E7"/>
    <w:rsid w:val="0065182B"/>
    <w:rsid w:val="00660339"/>
    <w:rsid w:val="00660F57"/>
    <w:rsid w:val="00661830"/>
    <w:rsid w:val="0066343B"/>
    <w:rsid w:val="00663BDD"/>
    <w:rsid w:val="00664777"/>
    <w:rsid w:val="00664ED7"/>
    <w:rsid w:val="0066615D"/>
    <w:rsid w:val="00666366"/>
    <w:rsid w:val="0066748A"/>
    <w:rsid w:val="0067155A"/>
    <w:rsid w:val="00671D25"/>
    <w:rsid w:val="00672345"/>
    <w:rsid w:val="00673381"/>
    <w:rsid w:val="006740AB"/>
    <w:rsid w:val="00674446"/>
    <w:rsid w:val="006748A4"/>
    <w:rsid w:val="006757D8"/>
    <w:rsid w:val="00680EF7"/>
    <w:rsid w:val="00683E73"/>
    <w:rsid w:val="0068590F"/>
    <w:rsid w:val="00686CF0"/>
    <w:rsid w:val="00687CAC"/>
    <w:rsid w:val="00691D82"/>
    <w:rsid w:val="006931FE"/>
    <w:rsid w:val="006947FC"/>
    <w:rsid w:val="006950FD"/>
    <w:rsid w:val="00695AD3"/>
    <w:rsid w:val="00696ACE"/>
    <w:rsid w:val="006A01D3"/>
    <w:rsid w:val="006A04FE"/>
    <w:rsid w:val="006A0C2C"/>
    <w:rsid w:val="006A0C51"/>
    <w:rsid w:val="006A1E7E"/>
    <w:rsid w:val="006A2BCD"/>
    <w:rsid w:val="006A3141"/>
    <w:rsid w:val="006A5E34"/>
    <w:rsid w:val="006A75B7"/>
    <w:rsid w:val="006B0ABA"/>
    <w:rsid w:val="006B2422"/>
    <w:rsid w:val="006B2B9A"/>
    <w:rsid w:val="006B2E2F"/>
    <w:rsid w:val="006B471C"/>
    <w:rsid w:val="006B4C59"/>
    <w:rsid w:val="006B533E"/>
    <w:rsid w:val="006C04D7"/>
    <w:rsid w:val="006C1937"/>
    <w:rsid w:val="006C397F"/>
    <w:rsid w:val="006C6427"/>
    <w:rsid w:val="006C76DB"/>
    <w:rsid w:val="006D1F0B"/>
    <w:rsid w:val="006D42C6"/>
    <w:rsid w:val="006E0081"/>
    <w:rsid w:val="006E0706"/>
    <w:rsid w:val="006E3700"/>
    <w:rsid w:val="006E6C66"/>
    <w:rsid w:val="006F020C"/>
    <w:rsid w:val="006F3DF7"/>
    <w:rsid w:val="006F7849"/>
    <w:rsid w:val="006F7CBD"/>
    <w:rsid w:val="0070094B"/>
    <w:rsid w:val="007040F2"/>
    <w:rsid w:val="00705B7C"/>
    <w:rsid w:val="00705E24"/>
    <w:rsid w:val="00707EEC"/>
    <w:rsid w:val="007115FE"/>
    <w:rsid w:val="007127B7"/>
    <w:rsid w:val="00713977"/>
    <w:rsid w:val="00714DBE"/>
    <w:rsid w:val="007220F2"/>
    <w:rsid w:val="007231D9"/>
    <w:rsid w:val="007244D2"/>
    <w:rsid w:val="00725B08"/>
    <w:rsid w:val="007355BA"/>
    <w:rsid w:val="0074019B"/>
    <w:rsid w:val="007403C2"/>
    <w:rsid w:val="007410FA"/>
    <w:rsid w:val="007416B6"/>
    <w:rsid w:val="007426C0"/>
    <w:rsid w:val="00746F48"/>
    <w:rsid w:val="0074730D"/>
    <w:rsid w:val="0075129E"/>
    <w:rsid w:val="00751951"/>
    <w:rsid w:val="00751EE9"/>
    <w:rsid w:val="007522D6"/>
    <w:rsid w:val="007525C3"/>
    <w:rsid w:val="007537B3"/>
    <w:rsid w:val="00753DC2"/>
    <w:rsid w:val="0075404D"/>
    <w:rsid w:val="0075503D"/>
    <w:rsid w:val="0076078E"/>
    <w:rsid w:val="00760D5E"/>
    <w:rsid w:val="0076182A"/>
    <w:rsid w:val="00763BC1"/>
    <w:rsid w:val="0076499D"/>
    <w:rsid w:val="007656DB"/>
    <w:rsid w:val="007676D8"/>
    <w:rsid w:val="00767A7D"/>
    <w:rsid w:val="00767B7E"/>
    <w:rsid w:val="00767BE6"/>
    <w:rsid w:val="00775A39"/>
    <w:rsid w:val="00776900"/>
    <w:rsid w:val="007770C3"/>
    <w:rsid w:val="00780AAA"/>
    <w:rsid w:val="00781060"/>
    <w:rsid w:val="0078143E"/>
    <w:rsid w:val="0078201F"/>
    <w:rsid w:val="007820E1"/>
    <w:rsid w:val="00784D24"/>
    <w:rsid w:val="00784D4C"/>
    <w:rsid w:val="00784E42"/>
    <w:rsid w:val="00785FBA"/>
    <w:rsid w:val="00786E4A"/>
    <w:rsid w:val="007875EB"/>
    <w:rsid w:val="00787E51"/>
    <w:rsid w:val="00792C26"/>
    <w:rsid w:val="0079426B"/>
    <w:rsid w:val="00794D8C"/>
    <w:rsid w:val="00794F74"/>
    <w:rsid w:val="0079655C"/>
    <w:rsid w:val="007A0619"/>
    <w:rsid w:val="007A762F"/>
    <w:rsid w:val="007B0CA2"/>
    <w:rsid w:val="007B3DCF"/>
    <w:rsid w:val="007B5C15"/>
    <w:rsid w:val="007B6032"/>
    <w:rsid w:val="007B6B9B"/>
    <w:rsid w:val="007C014E"/>
    <w:rsid w:val="007C0C20"/>
    <w:rsid w:val="007C0E0A"/>
    <w:rsid w:val="007C2008"/>
    <w:rsid w:val="007C26C9"/>
    <w:rsid w:val="007C57E7"/>
    <w:rsid w:val="007C6362"/>
    <w:rsid w:val="007C70B5"/>
    <w:rsid w:val="007C72D0"/>
    <w:rsid w:val="007D028D"/>
    <w:rsid w:val="007D0AE2"/>
    <w:rsid w:val="007D0C80"/>
    <w:rsid w:val="007D312A"/>
    <w:rsid w:val="007D3F19"/>
    <w:rsid w:val="007D40BF"/>
    <w:rsid w:val="007D598F"/>
    <w:rsid w:val="007D7F29"/>
    <w:rsid w:val="007E0391"/>
    <w:rsid w:val="007E2118"/>
    <w:rsid w:val="007E23B0"/>
    <w:rsid w:val="007E30F0"/>
    <w:rsid w:val="007E4E9E"/>
    <w:rsid w:val="007E4F63"/>
    <w:rsid w:val="007E5C1C"/>
    <w:rsid w:val="007E6821"/>
    <w:rsid w:val="007E6A33"/>
    <w:rsid w:val="007E6D1B"/>
    <w:rsid w:val="007F0CD6"/>
    <w:rsid w:val="007F0EAA"/>
    <w:rsid w:val="007F1991"/>
    <w:rsid w:val="007F1E4C"/>
    <w:rsid w:val="007F2C2F"/>
    <w:rsid w:val="007F2D6D"/>
    <w:rsid w:val="007F55FC"/>
    <w:rsid w:val="007F5665"/>
    <w:rsid w:val="007F57B1"/>
    <w:rsid w:val="007F5B1E"/>
    <w:rsid w:val="007F703A"/>
    <w:rsid w:val="007F772D"/>
    <w:rsid w:val="007F78DE"/>
    <w:rsid w:val="00800112"/>
    <w:rsid w:val="0080112E"/>
    <w:rsid w:val="008014B3"/>
    <w:rsid w:val="008031B0"/>
    <w:rsid w:val="008068DA"/>
    <w:rsid w:val="00806B6F"/>
    <w:rsid w:val="00807797"/>
    <w:rsid w:val="0081195D"/>
    <w:rsid w:val="00811C29"/>
    <w:rsid w:val="00812255"/>
    <w:rsid w:val="00813AEF"/>
    <w:rsid w:val="00815AF8"/>
    <w:rsid w:val="008169F8"/>
    <w:rsid w:val="00820AF4"/>
    <w:rsid w:val="008212F9"/>
    <w:rsid w:val="008244FA"/>
    <w:rsid w:val="008248EC"/>
    <w:rsid w:val="00824C90"/>
    <w:rsid w:val="00824CEE"/>
    <w:rsid w:val="008253BB"/>
    <w:rsid w:val="008273C2"/>
    <w:rsid w:val="00830A33"/>
    <w:rsid w:val="00830F24"/>
    <w:rsid w:val="0083234B"/>
    <w:rsid w:val="00833D7A"/>
    <w:rsid w:val="008347A0"/>
    <w:rsid w:val="00835B31"/>
    <w:rsid w:val="00836025"/>
    <w:rsid w:val="0083706E"/>
    <w:rsid w:val="00840550"/>
    <w:rsid w:val="008423A5"/>
    <w:rsid w:val="00843431"/>
    <w:rsid w:val="00845501"/>
    <w:rsid w:val="008503A5"/>
    <w:rsid w:val="00850625"/>
    <w:rsid w:val="008511F3"/>
    <w:rsid w:val="00851894"/>
    <w:rsid w:val="0085265B"/>
    <w:rsid w:val="00852C5C"/>
    <w:rsid w:val="00853718"/>
    <w:rsid w:val="00855221"/>
    <w:rsid w:val="00855AF5"/>
    <w:rsid w:val="00855E16"/>
    <w:rsid w:val="00857B79"/>
    <w:rsid w:val="00860645"/>
    <w:rsid w:val="00860C44"/>
    <w:rsid w:val="0086131A"/>
    <w:rsid w:val="00862A9D"/>
    <w:rsid w:val="00863483"/>
    <w:rsid w:val="00863CF0"/>
    <w:rsid w:val="00863D72"/>
    <w:rsid w:val="00865F20"/>
    <w:rsid w:val="00867695"/>
    <w:rsid w:val="00870000"/>
    <w:rsid w:val="00870C33"/>
    <w:rsid w:val="00871F71"/>
    <w:rsid w:val="008722FB"/>
    <w:rsid w:val="00872F95"/>
    <w:rsid w:val="00873D8F"/>
    <w:rsid w:val="0087464B"/>
    <w:rsid w:val="0087557F"/>
    <w:rsid w:val="00875814"/>
    <w:rsid w:val="00877427"/>
    <w:rsid w:val="0088122F"/>
    <w:rsid w:val="00885AF4"/>
    <w:rsid w:val="00886435"/>
    <w:rsid w:val="008875FA"/>
    <w:rsid w:val="00887A58"/>
    <w:rsid w:val="008918AA"/>
    <w:rsid w:val="008918C9"/>
    <w:rsid w:val="008920D1"/>
    <w:rsid w:val="008939CD"/>
    <w:rsid w:val="00893E7C"/>
    <w:rsid w:val="00895862"/>
    <w:rsid w:val="00896814"/>
    <w:rsid w:val="00897199"/>
    <w:rsid w:val="008A04BB"/>
    <w:rsid w:val="008A6293"/>
    <w:rsid w:val="008A6BC0"/>
    <w:rsid w:val="008A7CE3"/>
    <w:rsid w:val="008B045D"/>
    <w:rsid w:val="008B2B26"/>
    <w:rsid w:val="008B5614"/>
    <w:rsid w:val="008B6287"/>
    <w:rsid w:val="008B69A5"/>
    <w:rsid w:val="008B768C"/>
    <w:rsid w:val="008B7992"/>
    <w:rsid w:val="008C1D33"/>
    <w:rsid w:val="008C33D9"/>
    <w:rsid w:val="008C4DB1"/>
    <w:rsid w:val="008C4EAF"/>
    <w:rsid w:val="008C5176"/>
    <w:rsid w:val="008C7FD0"/>
    <w:rsid w:val="008D06D5"/>
    <w:rsid w:val="008D08E5"/>
    <w:rsid w:val="008D2C92"/>
    <w:rsid w:val="008D2DE2"/>
    <w:rsid w:val="008D55A6"/>
    <w:rsid w:val="008E0EF3"/>
    <w:rsid w:val="008E1DC6"/>
    <w:rsid w:val="008E1DE7"/>
    <w:rsid w:val="008E2847"/>
    <w:rsid w:val="008E380B"/>
    <w:rsid w:val="008E707C"/>
    <w:rsid w:val="008E7651"/>
    <w:rsid w:val="008F24AB"/>
    <w:rsid w:val="00900B08"/>
    <w:rsid w:val="00901E1C"/>
    <w:rsid w:val="00902155"/>
    <w:rsid w:val="00902BCF"/>
    <w:rsid w:val="00902FA3"/>
    <w:rsid w:val="009109D0"/>
    <w:rsid w:val="00910FAA"/>
    <w:rsid w:val="00912DEB"/>
    <w:rsid w:val="00913706"/>
    <w:rsid w:val="00913A29"/>
    <w:rsid w:val="00914DDB"/>
    <w:rsid w:val="00915BE4"/>
    <w:rsid w:val="009205F5"/>
    <w:rsid w:val="009215C3"/>
    <w:rsid w:val="00923564"/>
    <w:rsid w:val="0092392E"/>
    <w:rsid w:val="00923F58"/>
    <w:rsid w:val="00924FB0"/>
    <w:rsid w:val="00925360"/>
    <w:rsid w:val="00925C57"/>
    <w:rsid w:val="00930109"/>
    <w:rsid w:val="00930E8F"/>
    <w:rsid w:val="009315F9"/>
    <w:rsid w:val="009337F3"/>
    <w:rsid w:val="009339C3"/>
    <w:rsid w:val="00934AB8"/>
    <w:rsid w:val="00935D57"/>
    <w:rsid w:val="00936283"/>
    <w:rsid w:val="00940B88"/>
    <w:rsid w:val="00940F73"/>
    <w:rsid w:val="0094526A"/>
    <w:rsid w:val="00945399"/>
    <w:rsid w:val="00945492"/>
    <w:rsid w:val="00945EEC"/>
    <w:rsid w:val="009461EE"/>
    <w:rsid w:val="00946945"/>
    <w:rsid w:val="00947929"/>
    <w:rsid w:val="00947BF1"/>
    <w:rsid w:val="009500E2"/>
    <w:rsid w:val="00951248"/>
    <w:rsid w:val="0095152F"/>
    <w:rsid w:val="009534A8"/>
    <w:rsid w:val="009540C0"/>
    <w:rsid w:val="00954C49"/>
    <w:rsid w:val="00955EAD"/>
    <w:rsid w:val="0095708C"/>
    <w:rsid w:val="00957098"/>
    <w:rsid w:val="00960F20"/>
    <w:rsid w:val="009620B2"/>
    <w:rsid w:val="00962131"/>
    <w:rsid w:val="00962556"/>
    <w:rsid w:val="00964305"/>
    <w:rsid w:val="0096477D"/>
    <w:rsid w:val="00964EBA"/>
    <w:rsid w:val="0097099F"/>
    <w:rsid w:val="009710DA"/>
    <w:rsid w:val="00971997"/>
    <w:rsid w:val="00971FFC"/>
    <w:rsid w:val="00972A49"/>
    <w:rsid w:val="00973726"/>
    <w:rsid w:val="00974188"/>
    <w:rsid w:val="0098033F"/>
    <w:rsid w:val="00985645"/>
    <w:rsid w:val="0098595E"/>
    <w:rsid w:val="00985C49"/>
    <w:rsid w:val="0098660A"/>
    <w:rsid w:val="009869AA"/>
    <w:rsid w:val="009931C3"/>
    <w:rsid w:val="00995CE3"/>
    <w:rsid w:val="009B2C43"/>
    <w:rsid w:val="009B4EAE"/>
    <w:rsid w:val="009B6C92"/>
    <w:rsid w:val="009B7573"/>
    <w:rsid w:val="009C0EF0"/>
    <w:rsid w:val="009C1B2D"/>
    <w:rsid w:val="009C22F4"/>
    <w:rsid w:val="009C2AE3"/>
    <w:rsid w:val="009C2E98"/>
    <w:rsid w:val="009C5896"/>
    <w:rsid w:val="009C6399"/>
    <w:rsid w:val="009D3447"/>
    <w:rsid w:val="009D3AA6"/>
    <w:rsid w:val="009D4711"/>
    <w:rsid w:val="009D5873"/>
    <w:rsid w:val="009D5EF4"/>
    <w:rsid w:val="009E0018"/>
    <w:rsid w:val="009E2320"/>
    <w:rsid w:val="009E576A"/>
    <w:rsid w:val="009E7FBF"/>
    <w:rsid w:val="009F1185"/>
    <w:rsid w:val="009F178D"/>
    <w:rsid w:val="009F18CD"/>
    <w:rsid w:val="009F2021"/>
    <w:rsid w:val="009F2A13"/>
    <w:rsid w:val="009F4A42"/>
    <w:rsid w:val="009F4D78"/>
    <w:rsid w:val="009F6A87"/>
    <w:rsid w:val="009F6B63"/>
    <w:rsid w:val="009F6F4A"/>
    <w:rsid w:val="00A02DD4"/>
    <w:rsid w:val="00A04EB0"/>
    <w:rsid w:val="00A05E7E"/>
    <w:rsid w:val="00A06741"/>
    <w:rsid w:val="00A06EF8"/>
    <w:rsid w:val="00A07DE7"/>
    <w:rsid w:val="00A07E24"/>
    <w:rsid w:val="00A1247B"/>
    <w:rsid w:val="00A13443"/>
    <w:rsid w:val="00A13CC1"/>
    <w:rsid w:val="00A15286"/>
    <w:rsid w:val="00A1571F"/>
    <w:rsid w:val="00A1637E"/>
    <w:rsid w:val="00A16684"/>
    <w:rsid w:val="00A16847"/>
    <w:rsid w:val="00A1745F"/>
    <w:rsid w:val="00A2301F"/>
    <w:rsid w:val="00A237D8"/>
    <w:rsid w:val="00A25634"/>
    <w:rsid w:val="00A268C4"/>
    <w:rsid w:val="00A27771"/>
    <w:rsid w:val="00A300FE"/>
    <w:rsid w:val="00A307CD"/>
    <w:rsid w:val="00A3233A"/>
    <w:rsid w:val="00A35068"/>
    <w:rsid w:val="00A3556D"/>
    <w:rsid w:val="00A35870"/>
    <w:rsid w:val="00A35FE0"/>
    <w:rsid w:val="00A40A00"/>
    <w:rsid w:val="00A4142F"/>
    <w:rsid w:val="00A41D4A"/>
    <w:rsid w:val="00A43522"/>
    <w:rsid w:val="00A4622C"/>
    <w:rsid w:val="00A462AA"/>
    <w:rsid w:val="00A46A63"/>
    <w:rsid w:val="00A47A0F"/>
    <w:rsid w:val="00A50F96"/>
    <w:rsid w:val="00A514F8"/>
    <w:rsid w:val="00A52260"/>
    <w:rsid w:val="00A53D20"/>
    <w:rsid w:val="00A54687"/>
    <w:rsid w:val="00A54CE0"/>
    <w:rsid w:val="00A55073"/>
    <w:rsid w:val="00A55447"/>
    <w:rsid w:val="00A55ED8"/>
    <w:rsid w:val="00A56DF2"/>
    <w:rsid w:val="00A56E1B"/>
    <w:rsid w:val="00A57F63"/>
    <w:rsid w:val="00A61738"/>
    <w:rsid w:val="00A62ECF"/>
    <w:rsid w:val="00A63814"/>
    <w:rsid w:val="00A64138"/>
    <w:rsid w:val="00A64421"/>
    <w:rsid w:val="00A659FC"/>
    <w:rsid w:val="00A65DE6"/>
    <w:rsid w:val="00A67AB5"/>
    <w:rsid w:val="00A70317"/>
    <w:rsid w:val="00A72FA8"/>
    <w:rsid w:val="00A76B3A"/>
    <w:rsid w:val="00A77CB7"/>
    <w:rsid w:val="00A804D8"/>
    <w:rsid w:val="00A85003"/>
    <w:rsid w:val="00A85A0C"/>
    <w:rsid w:val="00A91460"/>
    <w:rsid w:val="00A91760"/>
    <w:rsid w:val="00A93902"/>
    <w:rsid w:val="00A93B00"/>
    <w:rsid w:val="00A93C21"/>
    <w:rsid w:val="00A94004"/>
    <w:rsid w:val="00A95D33"/>
    <w:rsid w:val="00A96D42"/>
    <w:rsid w:val="00AA1212"/>
    <w:rsid w:val="00AA14EC"/>
    <w:rsid w:val="00AA2E83"/>
    <w:rsid w:val="00AA6693"/>
    <w:rsid w:val="00AA6D23"/>
    <w:rsid w:val="00AA7B07"/>
    <w:rsid w:val="00AB1A65"/>
    <w:rsid w:val="00AB26EC"/>
    <w:rsid w:val="00AB2A36"/>
    <w:rsid w:val="00AB5E60"/>
    <w:rsid w:val="00AB5E86"/>
    <w:rsid w:val="00AB6DD7"/>
    <w:rsid w:val="00AC20D9"/>
    <w:rsid w:val="00AC3237"/>
    <w:rsid w:val="00AC3A9E"/>
    <w:rsid w:val="00AC3C6A"/>
    <w:rsid w:val="00AC40DA"/>
    <w:rsid w:val="00AC6A20"/>
    <w:rsid w:val="00AD013F"/>
    <w:rsid w:val="00AD1561"/>
    <w:rsid w:val="00AD1E04"/>
    <w:rsid w:val="00AD4E89"/>
    <w:rsid w:val="00AD5090"/>
    <w:rsid w:val="00AD55F4"/>
    <w:rsid w:val="00AD5620"/>
    <w:rsid w:val="00AD654C"/>
    <w:rsid w:val="00AD712A"/>
    <w:rsid w:val="00AD7C1B"/>
    <w:rsid w:val="00AE16BA"/>
    <w:rsid w:val="00AE1B18"/>
    <w:rsid w:val="00AE1EBE"/>
    <w:rsid w:val="00AE3F47"/>
    <w:rsid w:val="00AE5217"/>
    <w:rsid w:val="00AE57E5"/>
    <w:rsid w:val="00AE5ACD"/>
    <w:rsid w:val="00AE7003"/>
    <w:rsid w:val="00AE78D4"/>
    <w:rsid w:val="00AF334F"/>
    <w:rsid w:val="00AF567D"/>
    <w:rsid w:val="00B03C9D"/>
    <w:rsid w:val="00B03D45"/>
    <w:rsid w:val="00B03DEF"/>
    <w:rsid w:val="00B04041"/>
    <w:rsid w:val="00B046DB"/>
    <w:rsid w:val="00B059FA"/>
    <w:rsid w:val="00B060AE"/>
    <w:rsid w:val="00B06286"/>
    <w:rsid w:val="00B06EEB"/>
    <w:rsid w:val="00B07376"/>
    <w:rsid w:val="00B10406"/>
    <w:rsid w:val="00B10517"/>
    <w:rsid w:val="00B1323D"/>
    <w:rsid w:val="00B1364D"/>
    <w:rsid w:val="00B13D51"/>
    <w:rsid w:val="00B13F34"/>
    <w:rsid w:val="00B14E76"/>
    <w:rsid w:val="00B15718"/>
    <w:rsid w:val="00B15757"/>
    <w:rsid w:val="00B161B8"/>
    <w:rsid w:val="00B2048C"/>
    <w:rsid w:val="00B22224"/>
    <w:rsid w:val="00B22E19"/>
    <w:rsid w:val="00B268D9"/>
    <w:rsid w:val="00B30B06"/>
    <w:rsid w:val="00B310B9"/>
    <w:rsid w:val="00B3183E"/>
    <w:rsid w:val="00B330FA"/>
    <w:rsid w:val="00B35211"/>
    <w:rsid w:val="00B35F3F"/>
    <w:rsid w:val="00B36CBB"/>
    <w:rsid w:val="00B370EB"/>
    <w:rsid w:val="00B40532"/>
    <w:rsid w:val="00B425E0"/>
    <w:rsid w:val="00B440AA"/>
    <w:rsid w:val="00B44B70"/>
    <w:rsid w:val="00B47B8F"/>
    <w:rsid w:val="00B50563"/>
    <w:rsid w:val="00B507B7"/>
    <w:rsid w:val="00B51BBE"/>
    <w:rsid w:val="00B53703"/>
    <w:rsid w:val="00B53C56"/>
    <w:rsid w:val="00B53E4F"/>
    <w:rsid w:val="00B54341"/>
    <w:rsid w:val="00B545A6"/>
    <w:rsid w:val="00B5556B"/>
    <w:rsid w:val="00B60A7E"/>
    <w:rsid w:val="00B6427E"/>
    <w:rsid w:val="00B67CE3"/>
    <w:rsid w:val="00B706F1"/>
    <w:rsid w:val="00B725E6"/>
    <w:rsid w:val="00B736DE"/>
    <w:rsid w:val="00B74FE7"/>
    <w:rsid w:val="00B753E0"/>
    <w:rsid w:val="00B7569F"/>
    <w:rsid w:val="00B75C09"/>
    <w:rsid w:val="00B76674"/>
    <w:rsid w:val="00B77EA6"/>
    <w:rsid w:val="00B80439"/>
    <w:rsid w:val="00B80BAB"/>
    <w:rsid w:val="00B81598"/>
    <w:rsid w:val="00B82F7D"/>
    <w:rsid w:val="00B839DA"/>
    <w:rsid w:val="00B83EE2"/>
    <w:rsid w:val="00B841F1"/>
    <w:rsid w:val="00B8480B"/>
    <w:rsid w:val="00B91D3E"/>
    <w:rsid w:val="00B92400"/>
    <w:rsid w:val="00B93AA8"/>
    <w:rsid w:val="00B944D6"/>
    <w:rsid w:val="00B96CD2"/>
    <w:rsid w:val="00BA054C"/>
    <w:rsid w:val="00BA0777"/>
    <w:rsid w:val="00BA0AED"/>
    <w:rsid w:val="00BA22CD"/>
    <w:rsid w:val="00BA3028"/>
    <w:rsid w:val="00BA3356"/>
    <w:rsid w:val="00BA49E7"/>
    <w:rsid w:val="00BA5298"/>
    <w:rsid w:val="00BB1990"/>
    <w:rsid w:val="00BB2D7E"/>
    <w:rsid w:val="00BB4C52"/>
    <w:rsid w:val="00BB4DF0"/>
    <w:rsid w:val="00BC0AE4"/>
    <w:rsid w:val="00BC1202"/>
    <w:rsid w:val="00BC1A97"/>
    <w:rsid w:val="00BC2731"/>
    <w:rsid w:val="00BC289F"/>
    <w:rsid w:val="00BC5361"/>
    <w:rsid w:val="00BC5460"/>
    <w:rsid w:val="00BC6B50"/>
    <w:rsid w:val="00BD0E25"/>
    <w:rsid w:val="00BD2458"/>
    <w:rsid w:val="00BD5121"/>
    <w:rsid w:val="00BD6D67"/>
    <w:rsid w:val="00BD6E57"/>
    <w:rsid w:val="00BE01DE"/>
    <w:rsid w:val="00BE218A"/>
    <w:rsid w:val="00BE39F0"/>
    <w:rsid w:val="00BE5FB5"/>
    <w:rsid w:val="00BE7259"/>
    <w:rsid w:val="00BF060C"/>
    <w:rsid w:val="00BF2962"/>
    <w:rsid w:val="00BF2E85"/>
    <w:rsid w:val="00BF5BD6"/>
    <w:rsid w:val="00BF6316"/>
    <w:rsid w:val="00BF718F"/>
    <w:rsid w:val="00C01DBE"/>
    <w:rsid w:val="00C03E31"/>
    <w:rsid w:val="00C05BAF"/>
    <w:rsid w:val="00C05CAD"/>
    <w:rsid w:val="00C05F29"/>
    <w:rsid w:val="00C06A2B"/>
    <w:rsid w:val="00C11626"/>
    <w:rsid w:val="00C137AD"/>
    <w:rsid w:val="00C13B26"/>
    <w:rsid w:val="00C1480D"/>
    <w:rsid w:val="00C1658B"/>
    <w:rsid w:val="00C23BFD"/>
    <w:rsid w:val="00C24603"/>
    <w:rsid w:val="00C259D0"/>
    <w:rsid w:val="00C30983"/>
    <w:rsid w:val="00C30D73"/>
    <w:rsid w:val="00C313B9"/>
    <w:rsid w:val="00C31B41"/>
    <w:rsid w:val="00C33276"/>
    <w:rsid w:val="00C33E72"/>
    <w:rsid w:val="00C3423D"/>
    <w:rsid w:val="00C342CE"/>
    <w:rsid w:val="00C34C84"/>
    <w:rsid w:val="00C34EED"/>
    <w:rsid w:val="00C354B2"/>
    <w:rsid w:val="00C35554"/>
    <w:rsid w:val="00C36831"/>
    <w:rsid w:val="00C4133E"/>
    <w:rsid w:val="00C41611"/>
    <w:rsid w:val="00C41EB1"/>
    <w:rsid w:val="00C426CE"/>
    <w:rsid w:val="00C42709"/>
    <w:rsid w:val="00C516E5"/>
    <w:rsid w:val="00C5216D"/>
    <w:rsid w:val="00C533CC"/>
    <w:rsid w:val="00C54531"/>
    <w:rsid w:val="00C5751C"/>
    <w:rsid w:val="00C61BFC"/>
    <w:rsid w:val="00C62B85"/>
    <w:rsid w:val="00C634C6"/>
    <w:rsid w:val="00C63DE6"/>
    <w:rsid w:val="00C65438"/>
    <w:rsid w:val="00C65FA1"/>
    <w:rsid w:val="00C663B4"/>
    <w:rsid w:val="00C66789"/>
    <w:rsid w:val="00C677E0"/>
    <w:rsid w:val="00C71C3C"/>
    <w:rsid w:val="00C73C9E"/>
    <w:rsid w:val="00C77033"/>
    <w:rsid w:val="00C77575"/>
    <w:rsid w:val="00C77955"/>
    <w:rsid w:val="00C77D11"/>
    <w:rsid w:val="00C80BE1"/>
    <w:rsid w:val="00C80E5E"/>
    <w:rsid w:val="00C87773"/>
    <w:rsid w:val="00C91BEF"/>
    <w:rsid w:val="00C91CBB"/>
    <w:rsid w:val="00C94460"/>
    <w:rsid w:val="00C94755"/>
    <w:rsid w:val="00C9494C"/>
    <w:rsid w:val="00C976D8"/>
    <w:rsid w:val="00C9779E"/>
    <w:rsid w:val="00CA1D7E"/>
    <w:rsid w:val="00CA4889"/>
    <w:rsid w:val="00CA6417"/>
    <w:rsid w:val="00CA7A47"/>
    <w:rsid w:val="00CA7CBE"/>
    <w:rsid w:val="00CB2258"/>
    <w:rsid w:val="00CB37D6"/>
    <w:rsid w:val="00CB5AA7"/>
    <w:rsid w:val="00CC09B6"/>
    <w:rsid w:val="00CC2ECC"/>
    <w:rsid w:val="00CC42AE"/>
    <w:rsid w:val="00CC5828"/>
    <w:rsid w:val="00CC666F"/>
    <w:rsid w:val="00CD0159"/>
    <w:rsid w:val="00CD1E3F"/>
    <w:rsid w:val="00CD2CD4"/>
    <w:rsid w:val="00CD2F8E"/>
    <w:rsid w:val="00CD33CA"/>
    <w:rsid w:val="00CD41F7"/>
    <w:rsid w:val="00CD7039"/>
    <w:rsid w:val="00CE07D1"/>
    <w:rsid w:val="00CE10F5"/>
    <w:rsid w:val="00CE245D"/>
    <w:rsid w:val="00CE298B"/>
    <w:rsid w:val="00CE41E9"/>
    <w:rsid w:val="00CE4476"/>
    <w:rsid w:val="00CE44F6"/>
    <w:rsid w:val="00CE49DA"/>
    <w:rsid w:val="00CE6166"/>
    <w:rsid w:val="00CE7B61"/>
    <w:rsid w:val="00CF0C95"/>
    <w:rsid w:val="00CF303D"/>
    <w:rsid w:val="00CF32A8"/>
    <w:rsid w:val="00CF47D0"/>
    <w:rsid w:val="00CF537A"/>
    <w:rsid w:val="00CF5A38"/>
    <w:rsid w:val="00D00095"/>
    <w:rsid w:val="00D007A3"/>
    <w:rsid w:val="00D00CD9"/>
    <w:rsid w:val="00D01872"/>
    <w:rsid w:val="00D01D1C"/>
    <w:rsid w:val="00D03F76"/>
    <w:rsid w:val="00D07457"/>
    <w:rsid w:val="00D120DF"/>
    <w:rsid w:val="00D12260"/>
    <w:rsid w:val="00D14981"/>
    <w:rsid w:val="00D17582"/>
    <w:rsid w:val="00D20620"/>
    <w:rsid w:val="00D21AB8"/>
    <w:rsid w:val="00D21B96"/>
    <w:rsid w:val="00D21FCA"/>
    <w:rsid w:val="00D23CC1"/>
    <w:rsid w:val="00D253CD"/>
    <w:rsid w:val="00D26091"/>
    <w:rsid w:val="00D26765"/>
    <w:rsid w:val="00D30031"/>
    <w:rsid w:val="00D34E7C"/>
    <w:rsid w:val="00D35489"/>
    <w:rsid w:val="00D41FB4"/>
    <w:rsid w:val="00D42D3C"/>
    <w:rsid w:val="00D43BB3"/>
    <w:rsid w:val="00D4531F"/>
    <w:rsid w:val="00D5056E"/>
    <w:rsid w:val="00D51276"/>
    <w:rsid w:val="00D577F9"/>
    <w:rsid w:val="00D6086D"/>
    <w:rsid w:val="00D60B63"/>
    <w:rsid w:val="00D60C6A"/>
    <w:rsid w:val="00D6672E"/>
    <w:rsid w:val="00D66F3E"/>
    <w:rsid w:val="00D67949"/>
    <w:rsid w:val="00D70080"/>
    <w:rsid w:val="00D7035F"/>
    <w:rsid w:val="00D70D9E"/>
    <w:rsid w:val="00D7255A"/>
    <w:rsid w:val="00D729A5"/>
    <w:rsid w:val="00D7311E"/>
    <w:rsid w:val="00D74434"/>
    <w:rsid w:val="00D74948"/>
    <w:rsid w:val="00D75E52"/>
    <w:rsid w:val="00D769DB"/>
    <w:rsid w:val="00D8058B"/>
    <w:rsid w:val="00D811F1"/>
    <w:rsid w:val="00D81CF0"/>
    <w:rsid w:val="00D86259"/>
    <w:rsid w:val="00D87885"/>
    <w:rsid w:val="00D9128F"/>
    <w:rsid w:val="00D938FB"/>
    <w:rsid w:val="00D95A81"/>
    <w:rsid w:val="00DA2414"/>
    <w:rsid w:val="00DA2E7B"/>
    <w:rsid w:val="00DA376F"/>
    <w:rsid w:val="00DA4CF4"/>
    <w:rsid w:val="00DA517E"/>
    <w:rsid w:val="00DA64CE"/>
    <w:rsid w:val="00DA65AC"/>
    <w:rsid w:val="00DA73F4"/>
    <w:rsid w:val="00DB1913"/>
    <w:rsid w:val="00DB23A2"/>
    <w:rsid w:val="00DB31AE"/>
    <w:rsid w:val="00DB469B"/>
    <w:rsid w:val="00DB6217"/>
    <w:rsid w:val="00DB6D81"/>
    <w:rsid w:val="00DB7682"/>
    <w:rsid w:val="00DB774B"/>
    <w:rsid w:val="00DB7B27"/>
    <w:rsid w:val="00DB7ED3"/>
    <w:rsid w:val="00DC1D19"/>
    <w:rsid w:val="00DC29F0"/>
    <w:rsid w:val="00DC410D"/>
    <w:rsid w:val="00DC482F"/>
    <w:rsid w:val="00DC4E3B"/>
    <w:rsid w:val="00DC53AB"/>
    <w:rsid w:val="00DC68CA"/>
    <w:rsid w:val="00DC7CBA"/>
    <w:rsid w:val="00DD0F4D"/>
    <w:rsid w:val="00DD109B"/>
    <w:rsid w:val="00DD2D64"/>
    <w:rsid w:val="00DD73B7"/>
    <w:rsid w:val="00DE28E8"/>
    <w:rsid w:val="00DE57ED"/>
    <w:rsid w:val="00DE6D3D"/>
    <w:rsid w:val="00DF0369"/>
    <w:rsid w:val="00DF256A"/>
    <w:rsid w:val="00DF28BC"/>
    <w:rsid w:val="00DF2BBE"/>
    <w:rsid w:val="00DF34B9"/>
    <w:rsid w:val="00DF36DA"/>
    <w:rsid w:val="00DF4EE4"/>
    <w:rsid w:val="00DF69F2"/>
    <w:rsid w:val="00E00C0C"/>
    <w:rsid w:val="00E01053"/>
    <w:rsid w:val="00E032C4"/>
    <w:rsid w:val="00E03AB5"/>
    <w:rsid w:val="00E04FF6"/>
    <w:rsid w:val="00E07ACF"/>
    <w:rsid w:val="00E07C49"/>
    <w:rsid w:val="00E1142E"/>
    <w:rsid w:val="00E11EA9"/>
    <w:rsid w:val="00E13C23"/>
    <w:rsid w:val="00E17451"/>
    <w:rsid w:val="00E176E0"/>
    <w:rsid w:val="00E20F23"/>
    <w:rsid w:val="00E21189"/>
    <w:rsid w:val="00E22344"/>
    <w:rsid w:val="00E22D73"/>
    <w:rsid w:val="00E24A28"/>
    <w:rsid w:val="00E2598A"/>
    <w:rsid w:val="00E26D43"/>
    <w:rsid w:val="00E2719A"/>
    <w:rsid w:val="00E331A1"/>
    <w:rsid w:val="00E33202"/>
    <w:rsid w:val="00E336A9"/>
    <w:rsid w:val="00E339F9"/>
    <w:rsid w:val="00E34D61"/>
    <w:rsid w:val="00E352AD"/>
    <w:rsid w:val="00E35DF9"/>
    <w:rsid w:val="00E36162"/>
    <w:rsid w:val="00E4020E"/>
    <w:rsid w:val="00E41572"/>
    <w:rsid w:val="00E42E24"/>
    <w:rsid w:val="00E4326C"/>
    <w:rsid w:val="00E43716"/>
    <w:rsid w:val="00E43E83"/>
    <w:rsid w:val="00E4418C"/>
    <w:rsid w:val="00E442E7"/>
    <w:rsid w:val="00E47FEC"/>
    <w:rsid w:val="00E50624"/>
    <w:rsid w:val="00E50EC1"/>
    <w:rsid w:val="00E559C8"/>
    <w:rsid w:val="00E559F4"/>
    <w:rsid w:val="00E568DF"/>
    <w:rsid w:val="00E6091E"/>
    <w:rsid w:val="00E63E1C"/>
    <w:rsid w:val="00E64269"/>
    <w:rsid w:val="00E648BF"/>
    <w:rsid w:val="00E67B9B"/>
    <w:rsid w:val="00E70395"/>
    <w:rsid w:val="00E71182"/>
    <w:rsid w:val="00E7180C"/>
    <w:rsid w:val="00E71EE8"/>
    <w:rsid w:val="00E759C7"/>
    <w:rsid w:val="00E778AF"/>
    <w:rsid w:val="00E82267"/>
    <w:rsid w:val="00E82D19"/>
    <w:rsid w:val="00E8382C"/>
    <w:rsid w:val="00E84714"/>
    <w:rsid w:val="00E879E6"/>
    <w:rsid w:val="00E9375F"/>
    <w:rsid w:val="00E938AA"/>
    <w:rsid w:val="00E95984"/>
    <w:rsid w:val="00E96D03"/>
    <w:rsid w:val="00EA010F"/>
    <w:rsid w:val="00EA039B"/>
    <w:rsid w:val="00EA2455"/>
    <w:rsid w:val="00EA262D"/>
    <w:rsid w:val="00EA4AA3"/>
    <w:rsid w:val="00EA4BCA"/>
    <w:rsid w:val="00EA545A"/>
    <w:rsid w:val="00EA5E4F"/>
    <w:rsid w:val="00EB2461"/>
    <w:rsid w:val="00EC1C2C"/>
    <w:rsid w:val="00EC25B6"/>
    <w:rsid w:val="00EC38BD"/>
    <w:rsid w:val="00EC3F04"/>
    <w:rsid w:val="00ED1B63"/>
    <w:rsid w:val="00ED29E6"/>
    <w:rsid w:val="00ED29EA"/>
    <w:rsid w:val="00ED360C"/>
    <w:rsid w:val="00ED3C1F"/>
    <w:rsid w:val="00ED4085"/>
    <w:rsid w:val="00ED420E"/>
    <w:rsid w:val="00ED6AD8"/>
    <w:rsid w:val="00ED71DF"/>
    <w:rsid w:val="00EE0963"/>
    <w:rsid w:val="00EE1FC9"/>
    <w:rsid w:val="00EE24E3"/>
    <w:rsid w:val="00EE2F57"/>
    <w:rsid w:val="00EE6332"/>
    <w:rsid w:val="00EF132A"/>
    <w:rsid w:val="00EF4C34"/>
    <w:rsid w:val="00EF5291"/>
    <w:rsid w:val="00EF64E8"/>
    <w:rsid w:val="00EF659B"/>
    <w:rsid w:val="00EF77C6"/>
    <w:rsid w:val="00EF7BDE"/>
    <w:rsid w:val="00EF7CA7"/>
    <w:rsid w:val="00F022B4"/>
    <w:rsid w:val="00F0292C"/>
    <w:rsid w:val="00F05438"/>
    <w:rsid w:val="00F0746A"/>
    <w:rsid w:val="00F110A1"/>
    <w:rsid w:val="00F113D8"/>
    <w:rsid w:val="00F118C3"/>
    <w:rsid w:val="00F1361C"/>
    <w:rsid w:val="00F14902"/>
    <w:rsid w:val="00F160C7"/>
    <w:rsid w:val="00F16FDE"/>
    <w:rsid w:val="00F20320"/>
    <w:rsid w:val="00F20532"/>
    <w:rsid w:val="00F21001"/>
    <w:rsid w:val="00F228F9"/>
    <w:rsid w:val="00F248A8"/>
    <w:rsid w:val="00F24E3F"/>
    <w:rsid w:val="00F26D60"/>
    <w:rsid w:val="00F30138"/>
    <w:rsid w:val="00F301B6"/>
    <w:rsid w:val="00F31EA1"/>
    <w:rsid w:val="00F3294D"/>
    <w:rsid w:val="00F354A9"/>
    <w:rsid w:val="00F36D8F"/>
    <w:rsid w:val="00F3744E"/>
    <w:rsid w:val="00F40698"/>
    <w:rsid w:val="00F406E9"/>
    <w:rsid w:val="00F417B1"/>
    <w:rsid w:val="00F460AB"/>
    <w:rsid w:val="00F50AC5"/>
    <w:rsid w:val="00F53E68"/>
    <w:rsid w:val="00F5454E"/>
    <w:rsid w:val="00F559FA"/>
    <w:rsid w:val="00F57903"/>
    <w:rsid w:val="00F602DF"/>
    <w:rsid w:val="00F6390A"/>
    <w:rsid w:val="00F6529E"/>
    <w:rsid w:val="00F6641D"/>
    <w:rsid w:val="00F75CC0"/>
    <w:rsid w:val="00F75CCC"/>
    <w:rsid w:val="00F75F9D"/>
    <w:rsid w:val="00F81FD9"/>
    <w:rsid w:val="00F82490"/>
    <w:rsid w:val="00F8281D"/>
    <w:rsid w:val="00F835D4"/>
    <w:rsid w:val="00F841AA"/>
    <w:rsid w:val="00F845B5"/>
    <w:rsid w:val="00F86932"/>
    <w:rsid w:val="00F875DB"/>
    <w:rsid w:val="00F87E73"/>
    <w:rsid w:val="00F905A4"/>
    <w:rsid w:val="00F92C70"/>
    <w:rsid w:val="00F93633"/>
    <w:rsid w:val="00F93DF5"/>
    <w:rsid w:val="00FA0947"/>
    <w:rsid w:val="00FA23E8"/>
    <w:rsid w:val="00FA2F5B"/>
    <w:rsid w:val="00FA4421"/>
    <w:rsid w:val="00FA4B00"/>
    <w:rsid w:val="00FA525F"/>
    <w:rsid w:val="00FA77AD"/>
    <w:rsid w:val="00FB0BBA"/>
    <w:rsid w:val="00FB1FF4"/>
    <w:rsid w:val="00FB55E6"/>
    <w:rsid w:val="00FC124C"/>
    <w:rsid w:val="00FC1E02"/>
    <w:rsid w:val="00FC3048"/>
    <w:rsid w:val="00FC4660"/>
    <w:rsid w:val="00FC46BC"/>
    <w:rsid w:val="00FC7DEF"/>
    <w:rsid w:val="00FD020D"/>
    <w:rsid w:val="00FD3016"/>
    <w:rsid w:val="00FD3828"/>
    <w:rsid w:val="00FD3CC1"/>
    <w:rsid w:val="00FD5BFE"/>
    <w:rsid w:val="00FE17BC"/>
    <w:rsid w:val="00FE2AD1"/>
    <w:rsid w:val="00FE4DB0"/>
    <w:rsid w:val="00FE5493"/>
    <w:rsid w:val="00FE625C"/>
    <w:rsid w:val="00FF1E02"/>
    <w:rsid w:val="00FF30B4"/>
    <w:rsid w:val="00FF66E8"/>
    <w:rsid w:val="01CF32DE"/>
    <w:rsid w:val="01D74DB7"/>
    <w:rsid w:val="01D86637"/>
    <w:rsid w:val="01F04616"/>
    <w:rsid w:val="03F359AA"/>
    <w:rsid w:val="045647CC"/>
    <w:rsid w:val="0463543B"/>
    <w:rsid w:val="048D6B52"/>
    <w:rsid w:val="04A56E6E"/>
    <w:rsid w:val="04D550AF"/>
    <w:rsid w:val="051A6F96"/>
    <w:rsid w:val="05C25E8C"/>
    <w:rsid w:val="06951176"/>
    <w:rsid w:val="07001BE1"/>
    <w:rsid w:val="07267DE7"/>
    <w:rsid w:val="081D7A53"/>
    <w:rsid w:val="088E4F3D"/>
    <w:rsid w:val="088F55D5"/>
    <w:rsid w:val="089C4B49"/>
    <w:rsid w:val="09081517"/>
    <w:rsid w:val="091B747D"/>
    <w:rsid w:val="0A19737C"/>
    <w:rsid w:val="0B7218AA"/>
    <w:rsid w:val="0B99373B"/>
    <w:rsid w:val="0BA37CB5"/>
    <w:rsid w:val="0BAE0408"/>
    <w:rsid w:val="0D0429D6"/>
    <w:rsid w:val="0D093B48"/>
    <w:rsid w:val="0D322E51"/>
    <w:rsid w:val="0D6C338E"/>
    <w:rsid w:val="0DB37F58"/>
    <w:rsid w:val="0E4000F7"/>
    <w:rsid w:val="0E6D2010"/>
    <w:rsid w:val="0E8A633C"/>
    <w:rsid w:val="0F5E6610"/>
    <w:rsid w:val="0FDB629D"/>
    <w:rsid w:val="10C055FF"/>
    <w:rsid w:val="11761AF6"/>
    <w:rsid w:val="11851C0B"/>
    <w:rsid w:val="11D56DF6"/>
    <w:rsid w:val="11ED6591"/>
    <w:rsid w:val="13367661"/>
    <w:rsid w:val="15F1786F"/>
    <w:rsid w:val="16BB723D"/>
    <w:rsid w:val="17283764"/>
    <w:rsid w:val="17BC7656"/>
    <w:rsid w:val="17EA348C"/>
    <w:rsid w:val="1840212F"/>
    <w:rsid w:val="184656CF"/>
    <w:rsid w:val="193C261A"/>
    <w:rsid w:val="19943114"/>
    <w:rsid w:val="19DE22C0"/>
    <w:rsid w:val="1AB026BC"/>
    <w:rsid w:val="1ABB32B6"/>
    <w:rsid w:val="1BF70747"/>
    <w:rsid w:val="1C06153F"/>
    <w:rsid w:val="1C986C96"/>
    <w:rsid w:val="1D214A68"/>
    <w:rsid w:val="1D7371C3"/>
    <w:rsid w:val="1DDC2BB3"/>
    <w:rsid w:val="1E34479D"/>
    <w:rsid w:val="1EF81F78"/>
    <w:rsid w:val="1F620905"/>
    <w:rsid w:val="1FB77434"/>
    <w:rsid w:val="201A6AB0"/>
    <w:rsid w:val="203B66A0"/>
    <w:rsid w:val="211A679A"/>
    <w:rsid w:val="23902475"/>
    <w:rsid w:val="23FA0B3C"/>
    <w:rsid w:val="240371BF"/>
    <w:rsid w:val="2435534E"/>
    <w:rsid w:val="24534F10"/>
    <w:rsid w:val="24BC729A"/>
    <w:rsid w:val="24DF6C66"/>
    <w:rsid w:val="253D03DB"/>
    <w:rsid w:val="25A20B86"/>
    <w:rsid w:val="25B1070F"/>
    <w:rsid w:val="25DD571A"/>
    <w:rsid w:val="265C1D1F"/>
    <w:rsid w:val="26BB36DB"/>
    <w:rsid w:val="271C5A93"/>
    <w:rsid w:val="276F1834"/>
    <w:rsid w:val="27B459F9"/>
    <w:rsid w:val="27C51E91"/>
    <w:rsid w:val="28513369"/>
    <w:rsid w:val="28BF6D42"/>
    <w:rsid w:val="29824F56"/>
    <w:rsid w:val="29FD04D3"/>
    <w:rsid w:val="2A067935"/>
    <w:rsid w:val="2B9618FA"/>
    <w:rsid w:val="2C1E1BB4"/>
    <w:rsid w:val="2CAE1BBE"/>
    <w:rsid w:val="2CCF04B2"/>
    <w:rsid w:val="2DF079DB"/>
    <w:rsid w:val="2E4C04E0"/>
    <w:rsid w:val="2EE71A3F"/>
    <w:rsid w:val="2F803D16"/>
    <w:rsid w:val="30CB71E3"/>
    <w:rsid w:val="30E36C85"/>
    <w:rsid w:val="31810DA9"/>
    <w:rsid w:val="31903F88"/>
    <w:rsid w:val="319F7F4E"/>
    <w:rsid w:val="323A1C2F"/>
    <w:rsid w:val="329448A6"/>
    <w:rsid w:val="32F45598"/>
    <w:rsid w:val="33447C07"/>
    <w:rsid w:val="348D5603"/>
    <w:rsid w:val="35244754"/>
    <w:rsid w:val="3649069A"/>
    <w:rsid w:val="364C2B74"/>
    <w:rsid w:val="364D41F6"/>
    <w:rsid w:val="36D700CC"/>
    <w:rsid w:val="36FD0156"/>
    <w:rsid w:val="38207F4E"/>
    <w:rsid w:val="384358B1"/>
    <w:rsid w:val="38681D8F"/>
    <w:rsid w:val="38D8034A"/>
    <w:rsid w:val="38F8371D"/>
    <w:rsid w:val="39226F5F"/>
    <w:rsid w:val="39902098"/>
    <w:rsid w:val="3A3A0F35"/>
    <w:rsid w:val="3A4E1148"/>
    <w:rsid w:val="3AB5249E"/>
    <w:rsid w:val="3AF15A98"/>
    <w:rsid w:val="3C8D2F9D"/>
    <w:rsid w:val="3CB53B3E"/>
    <w:rsid w:val="3CE0510E"/>
    <w:rsid w:val="3D0E3B71"/>
    <w:rsid w:val="3D1927CA"/>
    <w:rsid w:val="3D1E4B3E"/>
    <w:rsid w:val="3D8344ED"/>
    <w:rsid w:val="3E03620E"/>
    <w:rsid w:val="3E343C22"/>
    <w:rsid w:val="3E9C5D1B"/>
    <w:rsid w:val="3F512FA9"/>
    <w:rsid w:val="3FAC4683"/>
    <w:rsid w:val="3FEA5DFB"/>
    <w:rsid w:val="401C35B7"/>
    <w:rsid w:val="40B300C0"/>
    <w:rsid w:val="4119235A"/>
    <w:rsid w:val="41677310"/>
    <w:rsid w:val="422C2C46"/>
    <w:rsid w:val="4251506E"/>
    <w:rsid w:val="42B75819"/>
    <w:rsid w:val="43684120"/>
    <w:rsid w:val="444F07DA"/>
    <w:rsid w:val="44601E28"/>
    <w:rsid w:val="453A003B"/>
    <w:rsid w:val="46B9342F"/>
    <w:rsid w:val="471548BC"/>
    <w:rsid w:val="475E72DC"/>
    <w:rsid w:val="47F514AF"/>
    <w:rsid w:val="4839282C"/>
    <w:rsid w:val="48FD75BD"/>
    <w:rsid w:val="4A0E5A33"/>
    <w:rsid w:val="4A745623"/>
    <w:rsid w:val="4ABB35AF"/>
    <w:rsid w:val="4B187071"/>
    <w:rsid w:val="4C1A4723"/>
    <w:rsid w:val="4D090A1F"/>
    <w:rsid w:val="4D135D42"/>
    <w:rsid w:val="4D846266"/>
    <w:rsid w:val="4D8D78A2"/>
    <w:rsid w:val="4DF123A8"/>
    <w:rsid w:val="4E832A53"/>
    <w:rsid w:val="4F6F7A34"/>
    <w:rsid w:val="4FD74194"/>
    <w:rsid w:val="4FDA49F5"/>
    <w:rsid w:val="50AE413E"/>
    <w:rsid w:val="51656440"/>
    <w:rsid w:val="51E1640E"/>
    <w:rsid w:val="51EE42CA"/>
    <w:rsid w:val="52302EF2"/>
    <w:rsid w:val="52ED6284"/>
    <w:rsid w:val="5322283B"/>
    <w:rsid w:val="532B0C13"/>
    <w:rsid w:val="53BA6F17"/>
    <w:rsid w:val="53BE2B80"/>
    <w:rsid w:val="541505F1"/>
    <w:rsid w:val="54992FD0"/>
    <w:rsid w:val="55872E29"/>
    <w:rsid w:val="56D0674C"/>
    <w:rsid w:val="58BA52C3"/>
    <w:rsid w:val="58BC5D23"/>
    <w:rsid w:val="59E11CD3"/>
    <w:rsid w:val="5A857BDE"/>
    <w:rsid w:val="5BE202EA"/>
    <w:rsid w:val="5CFA7F1D"/>
    <w:rsid w:val="5D115372"/>
    <w:rsid w:val="5D9F600A"/>
    <w:rsid w:val="5E2506F8"/>
    <w:rsid w:val="5E5E7F75"/>
    <w:rsid w:val="5EA316D6"/>
    <w:rsid w:val="5ECE1AC8"/>
    <w:rsid w:val="5F3A07D2"/>
    <w:rsid w:val="5F593A88"/>
    <w:rsid w:val="5FF901AE"/>
    <w:rsid w:val="60651EAC"/>
    <w:rsid w:val="60BB3927"/>
    <w:rsid w:val="62A42EE2"/>
    <w:rsid w:val="62F14F12"/>
    <w:rsid w:val="630D013F"/>
    <w:rsid w:val="63347FC4"/>
    <w:rsid w:val="63604CB9"/>
    <w:rsid w:val="640F123C"/>
    <w:rsid w:val="64A36D0B"/>
    <w:rsid w:val="64C656C1"/>
    <w:rsid w:val="64F77166"/>
    <w:rsid w:val="658466A7"/>
    <w:rsid w:val="65DF63C9"/>
    <w:rsid w:val="662A7F2C"/>
    <w:rsid w:val="66D65FFA"/>
    <w:rsid w:val="67EB36EB"/>
    <w:rsid w:val="68DA2DB6"/>
    <w:rsid w:val="69725134"/>
    <w:rsid w:val="6A3F1ACC"/>
    <w:rsid w:val="6B4666B6"/>
    <w:rsid w:val="6CC85DA9"/>
    <w:rsid w:val="6D2A5F93"/>
    <w:rsid w:val="6D746B73"/>
    <w:rsid w:val="6D8F2D6B"/>
    <w:rsid w:val="6DB91990"/>
    <w:rsid w:val="6DC31436"/>
    <w:rsid w:val="6ECB49CF"/>
    <w:rsid w:val="6ECB5A2B"/>
    <w:rsid w:val="70202A42"/>
    <w:rsid w:val="70ED3F4C"/>
    <w:rsid w:val="72227D09"/>
    <w:rsid w:val="72E476B5"/>
    <w:rsid w:val="73BE3A62"/>
    <w:rsid w:val="746C7E4B"/>
    <w:rsid w:val="750E6C6B"/>
    <w:rsid w:val="755E374E"/>
    <w:rsid w:val="75B310E7"/>
    <w:rsid w:val="75B318F4"/>
    <w:rsid w:val="760A7ED3"/>
    <w:rsid w:val="76377F56"/>
    <w:rsid w:val="764B35A7"/>
    <w:rsid w:val="769E6A57"/>
    <w:rsid w:val="77451815"/>
    <w:rsid w:val="77B238DE"/>
    <w:rsid w:val="78A4106B"/>
    <w:rsid w:val="79975481"/>
    <w:rsid w:val="79B855EC"/>
    <w:rsid w:val="79F60BE5"/>
    <w:rsid w:val="7A1B4027"/>
    <w:rsid w:val="7A965738"/>
    <w:rsid w:val="7ABC1C9C"/>
    <w:rsid w:val="7B022DCE"/>
    <w:rsid w:val="7B272834"/>
    <w:rsid w:val="7B8F71DF"/>
    <w:rsid w:val="7C1568F9"/>
    <w:rsid w:val="7CB2612E"/>
    <w:rsid w:val="7CC25607"/>
    <w:rsid w:val="7DE859ED"/>
    <w:rsid w:val="7E4C610E"/>
    <w:rsid w:val="7F09108F"/>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Arial"/>
      <w:kern w:val="2"/>
      <w:sz w:val="21"/>
      <w:szCs w:val="24"/>
      <w:lang w:val="en-US" w:eastAsia="zh-CN" w:bidi="ar-SA"/>
    </w:rPr>
  </w:style>
  <w:style w:type="paragraph" w:styleId="4">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3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35"/>
    <w:unhideWhenUsed/>
    <w:qFormat/>
    <w:uiPriority w:val="9"/>
    <w:pPr>
      <w:keepNext/>
      <w:keepLines/>
      <w:spacing w:before="260" w:after="260" w:line="416" w:lineRule="auto"/>
      <w:outlineLvl w:val="2"/>
    </w:pPr>
    <w:rPr>
      <w:b/>
      <w:bCs/>
      <w:sz w:val="32"/>
      <w:szCs w:val="32"/>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rPr>
      <w:rFonts w:ascii="Times New Roman" w:hAnsi="Times New Roman" w:cs="Times New Roman"/>
    </w:rPr>
  </w:style>
  <w:style w:type="paragraph" w:styleId="3">
    <w:name w:val="Body Text Indent"/>
    <w:basedOn w:val="1"/>
    <w:next w:val="2"/>
    <w:unhideWhenUsed/>
    <w:qFormat/>
    <w:uiPriority w:val="99"/>
    <w:pPr>
      <w:spacing w:after="120"/>
      <w:ind w:left="420" w:leftChars="200"/>
    </w:pPr>
  </w:style>
  <w:style w:type="paragraph" w:styleId="7">
    <w:name w:val="Normal Indent"/>
    <w:basedOn w:val="1"/>
    <w:unhideWhenUsed/>
    <w:qFormat/>
    <w:uiPriority w:val="99"/>
    <w:pPr>
      <w:ind w:firstLine="680"/>
    </w:pPr>
  </w:style>
  <w:style w:type="paragraph" w:styleId="8">
    <w:name w:val="annotation text"/>
    <w:basedOn w:val="1"/>
    <w:semiHidden/>
    <w:unhideWhenUsed/>
    <w:qFormat/>
    <w:uiPriority w:val="99"/>
    <w:pPr>
      <w:jc w:val="left"/>
    </w:pPr>
  </w:style>
  <w:style w:type="paragraph" w:styleId="9">
    <w:name w:val="Body Text"/>
    <w:basedOn w:val="1"/>
    <w:link w:val="29"/>
    <w:qFormat/>
    <w:uiPriority w:val="99"/>
    <w:pPr>
      <w:spacing w:beforeLines="30"/>
    </w:pPr>
    <w:rPr>
      <w:rFonts w:ascii="仿宋_GB2312" w:eastAsia="仿宋_GB2312"/>
      <w:kern w:val="0"/>
      <w:sz w:val="30"/>
    </w:r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4"/>
    <w:semiHidden/>
    <w:unhideWhenUsed/>
    <w:qFormat/>
    <w:uiPriority w:val="99"/>
    <w:rPr>
      <w:sz w:val="18"/>
      <w:szCs w:val="18"/>
    </w:rPr>
  </w:style>
  <w:style w:type="paragraph" w:styleId="12">
    <w:name w:val="footer"/>
    <w:basedOn w:val="1"/>
    <w:link w:val="27"/>
    <w:qFormat/>
    <w:uiPriority w:val="99"/>
    <w:pPr>
      <w:tabs>
        <w:tab w:val="center" w:pos="4153"/>
        <w:tab w:val="right" w:pos="8306"/>
      </w:tabs>
      <w:snapToGrid w:val="0"/>
      <w:jc w:val="left"/>
    </w:pPr>
    <w:rPr>
      <w:kern w:val="0"/>
      <w:sz w:val="18"/>
      <w:szCs w:val="18"/>
    </w:rPr>
  </w:style>
  <w:style w:type="paragraph" w:styleId="13">
    <w:name w:val="header"/>
    <w:basedOn w:val="1"/>
    <w:link w:val="25"/>
    <w:semiHidden/>
    <w:qFormat/>
    <w:uiPriority w:val="99"/>
    <w:pPr>
      <w:pBdr>
        <w:bottom w:val="single" w:color="auto" w:sz="6" w:space="1"/>
      </w:pBdr>
      <w:tabs>
        <w:tab w:val="center" w:pos="4153"/>
        <w:tab w:val="right" w:pos="8306"/>
      </w:tabs>
      <w:snapToGrid w:val="0"/>
      <w:jc w:val="center"/>
    </w:pPr>
    <w:rPr>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table of figures"/>
    <w:basedOn w:val="1"/>
    <w:next w:val="1"/>
    <w:qFormat/>
    <w:uiPriority w:val="0"/>
    <w:pPr>
      <w:ind w:left="200" w:leftChars="200" w:hanging="200" w:hangingChars="200"/>
    </w:pPr>
  </w:style>
  <w:style w:type="paragraph" w:styleId="16">
    <w:name w:val="toc 2"/>
    <w:basedOn w:val="1"/>
    <w:next w:val="1"/>
    <w:unhideWhenUsed/>
    <w:qFormat/>
    <w:uiPriority w:val="39"/>
    <w:pPr>
      <w:tabs>
        <w:tab w:val="right" w:leader="dot" w:pos="8296"/>
      </w:tabs>
      <w:ind w:left="420" w:leftChars="200"/>
    </w:p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character" w:styleId="21">
    <w:name w:val="annotation reference"/>
    <w:basedOn w:val="18"/>
    <w:semiHidden/>
    <w:unhideWhenUsed/>
    <w:qFormat/>
    <w:uiPriority w:val="99"/>
    <w:rPr>
      <w:sz w:val="21"/>
      <w:szCs w:val="21"/>
    </w:rPr>
  </w:style>
  <w:style w:type="paragraph" w:customStyle="1" w:styleId="22">
    <w:name w:val="BodyText"/>
    <w:basedOn w:val="1"/>
    <w:qFormat/>
    <w:uiPriority w:val="0"/>
    <w:pPr>
      <w:spacing w:after="120"/>
      <w:textAlignment w:val="baseline"/>
    </w:pPr>
  </w:style>
  <w:style w:type="paragraph" w:customStyle="1" w:styleId="23">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character" w:customStyle="1" w:styleId="24">
    <w:name w:val="Header Char"/>
    <w:basedOn w:val="18"/>
    <w:semiHidden/>
    <w:qFormat/>
    <w:uiPriority w:val="99"/>
    <w:rPr>
      <w:rFonts w:ascii="Times New Roman" w:hAnsi="Times New Roman"/>
      <w:sz w:val="18"/>
      <w:szCs w:val="18"/>
    </w:rPr>
  </w:style>
  <w:style w:type="character" w:customStyle="1" w:styleId="25">
    <w:name w:val="页眉 Char"/>
    <w:link w:val="13"/>
    <w:semiHidden/>
    <w:qFormat/>
    <w:locked/>
    <w:uiPriority w:val="99"/>
    <w:rPr>
      <w:sz w:val="18"/>
    </w:rPr>
  </w:style>
  <w:style w:type="character" w:customStyle="1" w:styleId="26">
    <w:name w:val="Footer Char"/>
    <w:basedOn w:val="18"/>
    <w:semiHidden/>
    <w:qFormat/>
    <w:uiPriority w:val="99"/>
    <w:rPr>
      <w:rFonts w:ascii="Times New Roman" w:hAnsi="Times New Roman"/>
      <w:sz w:val="18"/>
      <w:szCs w:val="18"/>
    </w:rPr>
  </w:style>
  <w:style w:type="character" w:customStyle="1" w:styleId="27">
    <w:name w:val="页脚 Char"/>
    <w:link w:val="12"/>
    <w:qFormat/>
    <w:locked/>
    <w:uiPriority w:val="99"/>
    <w:rPr>
      <w:sz w:val="18"/>
    </w:rPr>
  </w:style>
  <w:style w:type="character" w:customStyle="1" w:styleId="28">
    <w:name w:val="Body Text Char"/>
    <w:basedOn w:val="18"/>
    <w:semiHidden/>
    <w:qFormat/>
    <w:uiPriority w:val="99"/>
    <w:rPr>
      <w:rFonts w:ascii="Times New Roman" w:hAnsi="Times New Roman"/>
      <w:szCs w:val="24"/>
    </w:rPr>
  </w:style>
  <w:style w:type="character" w:customStyle="1" w:styleId="29">
    <w:name w:val="正文文本 Char"/>
    <w:link w:val="9"/>
    <w:qFormat/>
    <w:locked/>
    <w:uiPriority w:val="99"/>
    <w:rPr>
      <w:rFonts w:ascii="仿宋_GB2312" w:hAnsi="Times New Roman" w:eastAsia="仿宋_GB2312"/>
      <w:sz w:val="24"/>
    </w:rPr>
  </w:style>
  <w:style w:type="paragraph" w:styleId="30">
    <w:name w:val="List Paragraph"/>
    <w:basedOn w:val="1"/>
    <w:qFormat/>
    <w:uiPriority w:val="34"/>
    <w:pPr>
      <w:ind w:firstLine="420" w:firstLineChars="200"/>
    </w:pPr>
  </w:style>
  <w:style w:type="character" w:customStyle="1" w:styleId="31">
    <w:name w:val="标题 1 Char"/>
    <w:basedOn w:val="18"/>
    <w:link w:val="4"/>
    <w:qFormat/>
    <w:uiPriority w:val="9"/>
    <w:rPr>
      <w:rFonts w:ascii="Times New Roman" w:hAnsi="Times New Roman"/>
      <w:b/>
      <w:bCs/>
      <w:kern w:val="44"/>
      <w:sz w:val="44"/>
      <w:szCs w:val="44"/>
    </w:rPr>
  </w:style>
  <w:style w:type="character" w:customStyle="1" w:styleId="32">
    <w:name w:val="标题 2 Char"/>
    <w:basedOn w:val="18"/>
    <w:link w:val="5"/>
    <w:qFormat/>
    <w:uiPriority w:val="9"/>
    <w:rPr>
      <w:rFonts w:asciiTheme="majorHAnsi" w:hAnsiTheme="majorHAnsi" w:eastAsiaTheme="majorEastAsia" w:cstheme="majorBidi"/>
      <w:b/>
      <w:bCs/>
      <w:kern w:val="2"/>
      <w:sz w:val="32"/>
      <w:szCs w:val="32"/>
    </w:rPr>
  </w:style>
  <w:style w:type="paragraph" w:customStyle="1" w:styleId="33">
    <w:name w:val="TOC 标题1"/>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4">
    <w:name w:val="批注框文本 Char"/>
    <w:basedOn w:val="18"/>
    <w:link w:val="11"/>
    <w:semiHidden/>
    <w:qFormat/>
    <w:uiPriority w:val="99"/>
    <w:rPr>
      <w:rFonts w:ascii="Times New Roman" w:hAnsi="Times New Roman"/>
      <w:kern w:val="2"/>
      <w:sz w:val="18"/>
      <w:szCs w:val="18"/>
    </w:rPr>
  </w:style>
  <w:style w:type="character" w:customStyle="1" w:styleId="35">
    <w:name w:val="标题 3 Char"/>
    <w:basedOn w:val="18"/>
    <w:link w:val="6"/>
    <w:qFormat/>
    <w:uiPriority w:val="9"/>
    <w:rPr>
      <w:rFonts w:ascii="Times New Roman" w:hAnsi="Times New Roman"/>
      <w:b/>
      <w:bCs/>
      <w:kern w:val="2"/>
      <w:sz w:val="32"/>
      <w:szCs w:val="32"/>
    </w:rPr>
  </w:style>
  <w:style w:type="paragraph" w:customStyle="1" w:styleId="36">
    <w:name w:val="NormalIndent"/>
    <w:basedOn w:val="1"/>
    <w:qFormat/>
    <w:uiPriority w:val="0"/>
    <w:pPr>
      <w:suppressAutoHyphens/>
      <w:ind w:firstLine="420" w:firstLineChars="200"/>
      <w:textAlignment w:val="baseline"/>
    </w:pPr>
    <w:rPr>
      <w:rFonts w:cs="Times New Roman"/>
      <w:color w:val="00000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收入</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Sheet1!$A$2:$A$3</c:f>
              <c:strCache>
                <c:ptCount val="2"/>
                <c:pt idx="0">
                  <c:v>2024年</c:v>
                </c:pt>
                <c:pt idx="1">
                  <c:v>2025年</c:v>
                </c:pt>
              </c:strCache>
            </c:strRef>
          </c:cat>
          <c:val>
            <c:numRef>
              <c:f>Sheet1!$B$2:$B$3</c:f>
              <c:numCache>
                <c:formatCode>#,##0.00</c:formatCode>
                <c:ptCount val="2"/>
                <c:pt idx="0">
                  <c:v>183.15</c:v>
                </c:pt>
                <c:pt idx="1">
                  <c:v>171.12</c:v>
                </c:pt>
              </c:numCache>
            </c:numRef>
          </c:val>
        </c:ser>
        <c:ser>
          <c:idx val="1"/>
          <c:order val="1"/>
          <c:tx>
            <c:strRef>
              <c:f>Sheet1!$C$1</c:f>
              <c:strCache>
                <c:ptCount val="1"/>
                <c:pt idx="0">
                  <c:v>支出</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Sheet1!$A$2:$A$3</c:f>
              <c:strCache>
                <c:ptCount val="2"/>
                <c:pt idx="0">
                  <c:v>2024年</c:v>
                </c:pt>
                <c:pt idx="1">
                  <c:v>2025年</c:v>
                </c:pt>
              </c:strCache>
            </c:strRef>
          </c:cat>
          <c:val>
            <c:numRef>
              <c:f>Sheet1!$C$2:$C$4</c:f>
              <c:numCache>
                <c:formatCode>#,##0.00</c:formatCode>
                <c:ptCount val="3"/>
                <c:pt idx="0">
                  <c:v>167.83</c:v>
                </c:pt>
                <c:pt idx="1">
                  <c:v>179.09</c:v>
                </c:pt>
              </c:numCache>
            </c:numRef>
          </c:val>
        </c:ser>
        <c:dLbls>
          <c:showLegendKey val="0"/>
          <c:showVal val="1"/>
          <c:showCatName val="0"/>
          <c:showSerName val="0"/>
          <c:showPercent val="0"/>
          <c:showBubbleSize val="0"/>
        </c:dLbls>
        <c:gapWidth val="150"/>
        <c:axId val="266759168"/>
        <c:axId val="280953984"/>
      </c:barChart>
      <c:catAx>
        <c:axId val="266759168"/>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0953984"/>
        <c:crosses val="autoZero"/>
        <c:auto val="1"/>
        <c:lblAlgn val="ctr"/>
        <c:lblOffset val="100"/>
        <c:noMultiLvlLbl val="0"/>
      </c:catAx>
      <c:valAx>
        <c:axId val="280953984"/>
        <c:scaling>
          <c:orientation val="minMax"/>
        </c:scaling>
        <c:delete val="0"/>
        <c:axPos val="l"/>
        <c:majorGridlines/>
        <c:numFmt formatCode="#,##0.00"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66759168"/>
        <c:crosses val="autoZero"/>
        <c:crossBetween val="between"/>
      </c:valAx>
      <c:spPr>
        <a:solidFill>
          <a:schemeClr val="bg1"/>
        </a:solid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a9364322-3411-4c0a-a13a-463f13284686}"/>
      </c:ext>
    </c:extLst>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view3D>
      <c:rotX val="30"/>
      <c:rotY val="0"/>
      <c:depthPercent val="100"/>
      <c:rAngAx val="0"/>
      <c:perspective val="30"/>
    </c:view3D>
    <c:floor>
      <c:thickness val="0"/>
    </c:floor>
    <c:sideWall>
      <c:thickness val="0"/>
    </c:sideWall>
    <c:backWall>
      <c:thickness val="0"/>
    </c:backWall>
    <c:plotArea>
      <c:layout/>
      <c:pie3DChart>
        <c:varyColors val="1"/>
        <c:ser>
          <c:idx val="0"/>
          <c:order val="0"/>
          <c:tx>
            <c:strRef>
              <c:f>Sheet1!$B$1</c:f>
              <c:strCache>
                <c:ptCount val="1"/>
                <c:pt idx="0">
                  <c:v>一般公共预算财政拨款收入</c:v>
                </c:pt>
              </c:strCache>
            </c:strRef>
          </c:tx>
          <c:explosion val="0"/>
          <c:dPt>
            <c:idx val="0"/>
            <c:bubble3D val="0"/>
          </c:dPt>
          <c:dPt>
            <c:idx val="1"/>
            <c:bubble3D val="0"/>
          </c:dPt>
          <c:dPt>
            <c:idx val="2"/>
            <c:bubble3D val="0"/>
          </c:dPt>
          <c:dPt>
            <c:idx val="3"/>
            <c:bubble3D val="0"/>
          </c:dPt>
          <c:dPt>
            <c:idx val="4"/>
            <c:bubble3D val="0"/>
          </c:dPt>
          <c:dPt>
            <c:idx val="5"/>
            <c:bubble3D val="0"/>
          </c:dPt>
          <c:dPt>
            <c:idx val="6"/>
            <c:bubble3D val="0"/>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Sheet1!$A$2:$A$8</c:f>
              <c:strCache>
                <c:ptCount val="7"/>
                <c:pt idx="0">
                  <c:v>一般公共预算财政拨款收入</c:v>
                </c:pt>
                <c:pt idx="1">
                  <c:v>政府性基金预算财政拨款收入</c:v>
                </c:pt>
                <c:pt idx="2">
                  <c:v>国有资本经营预算财政拨款收入</c:v>
                </c:pt>
                <c:pt idx="3">
                  <c:v>上级补助收入</c:v>
                </c:pt>
                <c:pt idx="4">
                  <c:v>事业收入</c:v>
                </c:pt>
                <c:pt idx="5">
                  <c:v>经营收入</c:v>
                </c:pt>
                <c:pt idx="6">
                  <c:v>其他收入</c:v>
                </c:pt>
              </c:strCache>
            </c:strRef>
          </c:cat>
          <c:val>
            <c:numRef>
              <c:f>Sheet1!$B$2:$B$8</c:f>
              <c:numCache>
                <c:formatCode>General</c:formatCode>
                <c:ptCount val="7"/>
                <c:pt idx="0">
                  <c:v>171.12</c:v>
                </c:pt>
                <c:pt idx="1">
                  <c:v>0</c:v>
                </c:pt>
                <c:pt idx="2">
                  <c:v>0</c:v>
                </c:pt>
                <c:pt idx="3">
                  <c:v>0</c:v>
                </c:pt>
                <c:pt idx="4">
                  <c:v>0</c:v>
                </c:pt>
                <c:pt idx="5">
                  <c:v>0</c:v>
                </c:pt>
                <c:pt idx="6">
                  <c:v>0</c:v>
                </c:pt>
              </c:numCache>
            </c:numRef>
          </c:val>
        </c:ser>
        <c:dLbls>
          <c:showLegendKey val="0"/>
          <c:showVal val="1"/>
          <c:showCatName val="0"/>
          <c:showSerName val="0"/>
          <c:showPercent val="0"/>
          <c:showBubbleSize val="0"/>
        </c:dLbls>
      </c:pie3D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a5639f82-0d8c-43d7-a9b8-bc8b98f30766}"/>
      </c:ext>
    </c:extLst>
  </c:chart>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pieChart>
        <c:varyColors val="1"/>
        <c:ser>
          <c:idx val="0"/>
          <c:order val="0"/>
          <c:tx>
            <c:strRef>
              <c:f>Sheet1!$B$1</c:f>
              <c:strCache>
                <c:ptCount val="1"/>
                <c:pt idx="0">
                  <c:v>支出决算数</c:v>
                </c:pt>
              </c:strCache>
            </c:strRef>
          </c:tx>
          <c:explosion val="0"/>
          <c:dPt>
            <c:idx val="0"/>
            <c:bubble3D val="0"/>
          </c:dPt>
          <c:dPt>
            <c:idx val="1"/>
            <c:bubble3D val="0"/>
          </c:dPt>
          <c:dPt>
            <c:idx val="2"/>
            <c:bubble3D val="0"/>
          </c:dPt>
          <c:dPt>
            <c:idx val="3"/>
            <c:bubble3D val="0"/>
          </c:dPt>
          <c:dPt>
            <c:idx val="4"/>
            <c:bubble3D val="0"/>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179.09</c:v>
                </c:pt>
                <c:pt idx="1">
                  <c:v>0</c:v>
                </c:pt>
                <c:pt idx="2">
                  <c:v>0</c:v>
                </c:pt>
                <c:pt idx="3">
                  <c:v>0</c:v>
                </c:pt>
                <c:pt idx="4">
                  <c:v>0</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e955a8b5-6825-40fa-8a27-4dc88d1938ab}"/>
      </c:ext>
    </c:extLst>
  </c:chart>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ndard"/>
        <c:varyColors val="0"/>
        <c:ser>
          <c:idx val="0"/>
          <c:order val="0"/>
          <c:tx>
            <c:strRef>
              <c:f>Sheet1!$B$1</c:f>
              <c:strCache>
                <c:ptCount val="1"/>
                <c:pt idx="0">
                  <c:v>收入</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2024年</c:v>
                </c:pt>
                <c:pt idx="1">
                  <c:v>2025年</c:v>
                </c:pt>
              </c:strCache>
            </c:strRef>
          </c:cat>
          <c:val>
            <c:numRef>
              <c:f>Sheet1!$B$2:$B$3</c:f>
              <c:numCache>
                <c:formatCode>General</c:formatCode>
                <c:ptCount val="2"/>
                <c:pt idx="0">
                  <c:v>183.15</c:v>
                </c:pt>
                <c:pt idx="1">
                  <c:v>171.12</c:v>
                </c:pt>
              </c:numCache>
            </c:numRef>
          </c:val>
        </c:ser>
        <c:ser>
          <c:idx val="1"/>
          <c:order val="1"/>
          <c:tx>
            <c:strRef>
              <c:f>Sheet1!$C$1</c:f>
              <c:strCache>
                <c:ptCount val="1"/>
                <c:pt idx="0">
                  <c:v>支出</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2024年</c:v>
                </c:pt>
                <c:pt idx="1">
                  <c:v>2025年</c:v>
                </c:pt>
              </c:strCache>
            </c:strRef>
          </c:cat>
          <c:val>
            <c:numRef>
              <c:f>Sheet1!$C$2:$C$3</c:f>
              <c:numCache>
                <c:formatCode>General</c:formatCode>
                <c:ptCount val="2"/>
                <c:pt idx="0">
                  <c:v>167.83</c:v>
                </c:pt>
                <c:pt idx="1">
                  <c:v>179.09</c:v>
                </c:pt>
              </c:numCache>
            </c:numRef>
          </c:val>
        </c:ser>
        <c:dLbls>
          <c:showLegendKey val="0"/>
          <c:showVal val="1"/>
          <c:showCatName val="0"/>
          <c:showSerName val="0"/>
          <c:showPercent val="0"/>
          <c:showBubbleSize val="0"/>
        </c:dLbls>
        <c:gapWidth val="150"/>
        <c:axId val="335333248"/>
        <c:axId val="335334784"/>
      </c:barChart>
      <c:catAx>
        <c:axId val="335333248"/>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35334784"/>
        <c:crosses val="autoZero"/>
        <c:auto val="1"/>
        <c:lblAlgn val="ctr"/>
        <c:lblOffset val="100"/>
        <c:noMultiLvlLbl val="0"/>
      </c:catAx>
      <c:valAx>
        <c:axId val="335334784"/>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35333248"/>
        <c:crosses val="autoZero"/>
        <c:crossBetween val="between"/>
      </c:valAx>
      <c:spPr>
        <a:solidFill>
          <a:schemeClr val="bg1"/>
        </a:solid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b42c9ecb-3e2a-42d3-a39b-87d193183539}"/>
      </c:ext>
    </c:extLst>
  </c:chart>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746107073721492"/>
          <c:y val="0.179576964644125"/>
          <c:w val="0.708715832023526"/>
          <c:h val="0.639425660027791"/>
        </c:manualLayout>
      </c:layout>
      <c:barChart>
        <c:barDir val="col"/>
        <c:grouping val="clustered"/>
        <c:varyColors val="0"/>
        <c:ser>
          <c:idx val="0"/>
          <c:order val="0"/>
          <c:tx>
            <c:strRef>
              <c:f>Sheet1!$A$2</c:f>
              <c:strCache>
                <c:ptCount val="1"/>
                <c:pt idx="0">
                  <c:v>2024年</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Sheet1!$B$1</c:f>
              <c:strCache>
                <c:ptCount val="1"/>
                <c:pt idx="0">
                  <c:v>一般公共预算财政拨款支出数</c:v>
                </c:pt>
              </c:strCache>
            </c:strRef>
          </c:cat>
          <c:val>
            <c:numRef>
              <c:f>Sheet1!$B$2</c:f>
              <c:numCache>
                <c:formatCode>General</c:formatCode>
                <c:ptCount val="1"/>
                <c:pt idx="0">
                  <c:v>167.83</c:v>
                </c:pt>
              </c:numCache>
            </c:numRef>
          </c:val>
        </c:ser>
        <c:ser>
          <c:idx val="1"/>
          <c:order val="1"/>
          <c:tx>
            <c:strRef>
              <c:f>Sheet1!$A$3</c:f>
              <c:strCache>
                <c:ptCount val="1"/>
                <c:pt idx="0">
                  <c:v>2025年</c:v>
                </c:pt>
              </c:strCache>
            </c:strRef>
          </c:tx>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Sheet1!$B$1</c:f>
              <c:strCache>
                <c:ptCount val="1"/>
                <c:pt idx="0">
                  <c:v>一般公共预算财政拨款支出数</c:v>
                </c:pt>
              </c:strCache>
            </c:strRef>
          </c:cat>
          <c:val>
            <c:numRef>
              <c:f>Sheet1!$B$3</c:f>
              <c:numCache>
                <c:formatCode>General</c:formatCode>
                <c:ptCount val="1"/>
                <c:pt idx="0">
                  <c:v>179.09</c:v>
                </c:pt>
              </c:numCache>
            </c:numRef>
          </c:val>
        </c:ser>
        <c:dLbls>
          <c:showLegendKey val="0"/>
          <c:showVal val="1"/>
          <c:showCatName val="0"/>
          <c:showSerName val="0"/>
          <c:showPercent val="0"/>
          <c:showBubbleSize val="0"/>
        </c:dLbls>
        <c:gapWidth val="150"/>
        <c:axId val="331854208"/>
        <c:axId val="331855744"/>
      </c:barChart>
      <c:catAx>
        <c:axId val="331854208"/>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31855744"/>
        <c:crosses val="autoZero"/>
        <c:auto val="1"/>
        <c:lblAlgn val="ctr"/>
        <c:lblOffset val="100"/>
        <c:noMultiLvlLbl val="0"/>
      </c:catAx>
      <c:valAx>
        <c:axId val="331855744"/>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31854208"/>
        <c:crosses val="autoZero"/>
        <c:crossBetween val="between"/>
      </c:valAx>
    </c:plotArea>
    <c:legend>
      <c:legendPos val="r"/>
      <c:layout>
        <c:manualLayout>
          <c:xMode val="edge"/>
          <c:yMode val="edge"/>
          <c:x val="0.152457288251923"/>
          <c:y val="0.872000195022062"/>
          <c:w val="0.508029107124913"/>
          <c:h val="0.124523536725092"/>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c9f019b0-78ce-4133-a9a0-f34e172a4565}"/>
      </c:ext>
    </c:extLst>
  </c:chart>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一般公共预算财政拨款支出决算</c:v>
                </c:pt>
              </c:strCache>
            </c:strRef>
          </c:tx>
          <c:explosion val="25"/>
          <c:dPt>
            <c:idx val="0"/>
            <c:bubble3D val="0"/>
          </c:dPt>
          <c:dPt>
            <c:idx val="1"/>
            <c:bubble3D val="0"/>
          </c:dPt>
          <c:dPt>
            <c:idx val="2"/>
            <c:bubble3D val="0"/>
          </c:dPt>
          <c:dPt>
            <c:idx val="3"/>
            <c:bubble3D val="0"/>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Sheet1!$A$2:$A$5</c:f>
              <c:strCache>
                <c:ptCount val="4"/>
                <c:pt idx="0">
                  <c:v>社会保障和就业支出</c:v>
                </c:pt>
                <c:pt idx="1">
                  <c:v>卫生健康支出</c:v>
                </c:pt>
                <c:pt idx="2">
                  <c:v>节能环保支出</c:v>
                </c:pt>
                <c:pt idx="3">
                  <c:v>住房保障支出</c:v>
                </c:pt>
              </c:strCache>
            </c:strRef>
          </c:cat>
          <c:val>
            <c:numRef>
              <c:f>Sheet1!$B$2:$B$5</c:f>
              <c:numCache>
                <c:formatCode>0.00%</c:formatCode>
                <c:ptCount val="4"/>
                <c:pt idx="0">
                  <c:v>0.1584</c:v>
                </c:pt>
                <c:pt idx="1">
                  <c:v>0.0618</c:v>
                </c:pt>
                <c:pt idx="2">
                  <c:v>0.6887</c:v>
                </c:pt>
                <c:pt idx="3">
                  <c:v>0.0912</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309c0d22-914f-4ff9-9f4e-4d2c015d68b5}"/>
      </c:ext>
    </c:extLst>
  </c:chart>
  <c:txPr>
    <a:bodyPr/>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ontractReview xmlns="http://schemas.wps.cn/vas-ai-hub/contract-review">
  <reviewItems>
    <reviewItem>
      <errorID>a7357b82-4a3d-49fe-9cd1-6aeea27b0ed0</errorID>
      <errorWord>:</errorWord>
      <group>L1_Format</group>
      <groupName>格式问题</groupName>
      <ability>L2_HalfPunc_CN</ability>
      <abilityName>全半角问题</abilityName>
      <candidateList>
        <item>：</item>
      </candidateList>
      <explain>文本全半角错误。</explain>
      <paraID>718D9FD3</paraID>
      <start>15</start>
      <end>16</end>
      <status>modified</status>
      <modifiedWord>：</modifiedWord>
      <trackRevisions>false</trackRevisions>
    </reviewItem>
    <reviewItem>
      <errorID>7e1cf9a7-5346-4f14-8e9b-5a8863e36b7a</errorID>
      <errorWord>问题专项政治</errorWord>
      <group>L1_Political</group>
      <groupName>政治性问题</groupName>
      <ability>L2_Keyword</ability>
      <abilityName>固定表述</abilityName>
      <candidateList>
        <item>问题专项整治</item>
      </candidateList>
      <explain>词汇“问题专项整治”在特定场景下为固定表述形式，请确认此处的“问题专项政治”是否存在不当。</explain>
      <paraID>20AC4E05</paraID>
      <start>58</start>
      <end>64</end>
      <status>modified</status>
      <modifiedWord>问题专项整治</modifiedWord>
      <trackRevisions>false</trackRevisions>
    </reviewItem>
    <reviewItem>
      <errorID>35060209-44ee-4c82-9bfb-5b4ead2e31fe</errorID>
      <errorWord>托</errorWord>
      <group>L1_Word</group>
      <groupName>字词问题</groupName>
      <ability>L2_Typo</ability>
      <abilityName>字词错误</abilityName>
      <candidateList>
        <item>托第</item>
      </candidateList>
      <explain/>
      <paraID>7E0BC45D</paraID>
      <start>173</start>
      <end>175</end>
      <status>modified</status>
      <modifiedWord>托第</modifiedWord>
      <trackRevisions>false</trackRevisions>
    </reviewItem>
    <reviewItem>
      <errorID>3ad64e32-2d2c-4fc9-a26f-48767b8d619c</errorID>
      <errorWord>中央环保督察</errorWord>
      <group>L1_Political</group>
      <groupName>政治性问题</groupName>
      <ability>L2_Unpolitical</ability>
      <abilityName>政治敏感错误</abilityName>
      <candidateList>
        <item>中央生态环境保护督察</item>
      </candidateList>
      <explain/>
      <paraID>7E0BC45D</paraID>
      <start>542</start>
      <end>552</end>
      <status>modified</status>
      <modifiedWord>中央生态环境保护督察</modifiedWord>
      <trackRevisions>false</trackRevisions>
    </reviewItem>
    <reviewItem>
      <errorID>69e3b16d-682b-4d76-b5d2-340a66a9f56d</errorID>
      <errorWord>验验</errorWord>
      <group>L1_Word</group>
      <groupName>字词问题</groupName>
      <ability>L2_Typo</ability>
      <abilityName>字词错误</abilityName>
      <candidateList>
        <item>验</item>
      </candidateList>
      <explain/>
      <paraID>32916D69</paraID>
      <start>153</start>
      <end>154</end>
      <status>modified</status>
      <modifiedWord>验</modifiedWord>
      <trackRevisions>false</trackRevisions>
    </reviewItem>
    <reviewItem>
      <errorID>e01e525c-6515-4ba9-baa1-28a967f76dad</errorID>
      <errorWord>已</errorWord>
      <group>L1_Word</group>
      <groupName>字词问题</groupName>
      <ability>L2_Typo</ability>
      <abilityName>字词错误</abilityName>
      <candidateList>
        <item>已纳</item>
      </candidateList>
      <explain/>
      <paraID>32916D69</paraID>
      <start>196</start>
      <end>198</end>
      <status>modified</status>
      <modifiedWord>已纳</modifiedWord>
      <trackRevisions>false</trackRevisions>
    </reviewItem>
    <reviewItem>
      <errorID>41bb076f-0674-44cf-8942-ee181ba9e2c1</errorID>
      <errorWord>本套</errorWord>
      <group>L1_Knowledge</group>
      <groupName>知识性问题</groupName>
      <ability>L2_Knowledge</ability>
      <abilityName>其他知识</abilityName>
      <candidateList>
        <item>本级</item>
      </candidateList>
      <explain/>
      <paraID>14EF73F2</paraID>
      <start>8</start>
      <end>10</end>
      <status>modified</status>
      <modifiedWord>本级</modifiedWord>
      <trackRevisions>false</trackRevisions>
    </reviewItem>
    <reviewItem>
      <errorID>cfbd462c-cd19-48f4-a73f-f9749ee5edfe</errorID>
      <errorWord>:</errorWord>
      <group>L1_Format</group>
      <groupName>格式问题</groupName>
      <ability>L2_HalfPunc_CN</ability>
      <abilityName>全半角问题</abilityName>
      <candidateList>
        <item>：</item>
      </candidateList>
      <explain>文本全半角错误。</explain>
      <paraID>5540B8B6</paraID>
      <start>34</start>
      <end>35</end>
      <status>modified</status>
      <modifiedWord>：</modifiedWord>
      <trackRevisions>false</trackRevisions>
    </reviewItem>
    <reviewItem>
      <errorID>f2866e0b-b798-4d1f-9d26-acea9bcb77e6</errorID>
      <errorWord>,</errorWord>
      <group>L1_Format</group>
      <groupName>格式问题</groupName>
      <ability>L2_HalfPunc_CN</ability>
      <abilityName>全半角问题</abilityName>
      <candidateList>
        <item>，</item>
      </candidateList>
      <explain>文本全半角错误。</explain>
      <paraID>72C9FC83</paraID>
      <start>19</start>
      <end>20</end>
      <status>modified</status>
      <modifiedWord>，</modifiedWord>
      <trackRevisions>false</trackRevisions>
    </reviewItem>
    <reviewItem>
      <errorID>6f79cc43-1387-413b-9f04-6d010686e734</errorID>
      <errorWord>,</errorWord>
      <group>L1_Format</group>
      <groupName>格式问题</groupName>
      <ability>L2_HalfPunc_CN</ability>
      <abilityName>全半角问题</abilityName>
      <candidateList>
        <item>，</item>
      </candidateList>
      <explain>文本全半角错误。</explain>
      <paraID>7E5B0E8C</paraID>
      <start>22</start>
      <end>23</end>
      <status>modified</status>
      <modifiedWord>，</modifiedWord>
      <trackRevisions>false</trackRevisions>
    </reviewItem>
    <reviewItem>
      <errorID>b58af7cc-6dcc-446d-96f9-0a6468213db5</errorID>
      <errorWord>政府基金预算</errorWord>
      <group>L1_Political</group>
      <groupName>政治性问题</groupName>
      <ability>L2_Unpolitical</ability>
      <abilityName>政治敏感错误</abilityName>
      <candidateList>
        <item>政府性基金预算</item>
      </candidateList>
      <explain/>
      <paraID>3FF3E0A8</paraID>
      <start>29</start>
      <end>36</end>
      <status>modified</status>
      <modifiedWord>政府性基金预算</modifiedWord>
      <trackRevisions>false</trackRevisions>
    </reviewItem>
    <reviewItem>
      <errorID>5108a14a-0276-44ab-91d0-6949e73d8f39</errorID>
      <errorWord>(</errorWord>
      <group>L1_Format</group>
      <groupName>格式问题</groupName>
      <ability>L2_HalfPunc_CN</ability>
      <abilityName>全半角问题</abilityName>
      <candidateList>
        <item>（</item>
      </candidateList>
      <explain>文本全半角错误。</explain>
      <paraID>483AB9DF</paraID>
      <start>11</start>
      <end>12</end>
      <status>modified</status>
      <modifiedWord>（</modifiedWord>
      <trackRevisions>false</trackRevisions>
    </reviewItem>
    <reviewItem>
      <errorID>c5688efe-ee1f-4ac6-9615-c70d60503fe1</errorID>
      <errorWord>)</errorWord>
      <group>L1_Format</group>
      <groupName>格式问题</groupName>
      <ability>L2_HalfPunc_CN</ability>
      <abilityName>全半角问题</abilityName>
      <candidateList>
        <item>）</item>
      </candidateList>
      <explain>文本全半角错误。</explain>
      <paraID>483AB9DF</paraID>
      <start>19</start>
      <end>20</end>
      <status>modified</status>
      <modifiedWord>）</modifiedWord>
      <trackRevisions>false</trackRevisions>
    </reviewItem>
    <reviewItem>
      <errorID>aa8c9e2a-fd89-437a-833c-0a7b93d030c9</errorID>
      <errorWord>主管部分</errorWord>
      <group>L1_Knowledge</group>
      <groupName>知识性问题</groupName>
      <ability>L2_Term</ability>
      <abilityName>专业术语</abilityName>
      <candidateList>
        <item>主管部门</item>
      </candidateList>
      <explain/>
      <paraID> 1B6D0FB</paraID>
      <start>51</start>
      <end>55</end>
      <status>modified</status>
      <modifiedWord>主管部门</modifiedWord>
      <trackRevisions>false</trackRevisions>
    </reviewItem>
    <reviewItem>
      <errorID>92e71bad-f326-407e-afc2-5ec1c3995090</errorID>
      <errorWord>政</errorWord>
      <group>L1_Word</group>
      <groupName>字词问题</groupName>
      <ability>L2_Typo</ability>
      <abilityName>字词错误</abilityName>
      <candidateList>
        <item>政局</item>
      </candidateList>
      <explain/>
      <paraID> 1B6D0FB</paraID>
      <start>58</start>
      <end>60</end>
      <status>modified</status>
      <modifiedWord>政局</modifiedWord>
      <trackRevisions>false</trackRevisions>
    </reviewItem>
    <reviewItem>
      <errorID>2da46897-3d28-4cf9-8545-a96d1e13d06e</errorID>
      <errorWord>;</errorWord>
      <group>L1_Format</group>
      <groupName>格式问题</groupName>
      <ability>L2_HalfPunc_CN</ability>
      <abilityName>全半角问题</abilityName>
      <candidateList>
        <item>；</item>
      </candidateList>
      <explain>文本全半角错误。</explain>
      <paraID>31462631</paraID>
      <start>46</start>
      <end>47</end>
      <status>modified</status>
      <modifiedWord>；</modifiedWord>
      <trackRevisions>false</trackRevisions>
    </reviewItem>
    <reviewItem>
      <errorID>91150590-a746-463d-996b-ffacfd2de9f1</errorID>
      <errorWord>,</errorWord>
      <group>L1_Format</group>
      <groupName>格式问题</groupName>
      <ability>L2_HalfPunc_CN</ability>
      <abilityName>全半角问题</abilityName>
      <candidateList>
        <item>，</item>
      </candidateList>
      <explain>文本全半角错误。</explain>
      <paraID>31462631</paraID>
      <start>65</start>
      <end>66</end>
      <status>modified</status>
      <modifiedWord>，</modifiedWord>
      <trackRevisions>false</trackRevisions>
    </reviewItem>
    <reviewItem>
      <errorID>fdf59461-41bd-4f66-a0de-5e2d326e79cd</errorID>
      <errorWord>.</errorWord>
      <group>L1_Format</group>
      <groupName>格式问题</groupName>
      <ability>L2_HalfPunc_CN</ability>
      <abilityName>全半角问题</abilityName>
      <candidateList>
        <item>。</item>
      </candidateList>
      <explain>文本全半角错误。</explain>
      <paraID>31462631</paraID>
      <start>94</start>
      <end>95</end>
      <status>modified</status>
      <modifiedWord>。</modifiedWord>
      <trackRevisions>false</trackRevisions>
    </reviewItem>
    <reviewItem>
      <errorID>ab2a1731-7373-4232-843e-1ebc3450511d</errorID>
      <errorWord>-</errorWord>
      <group>L1_Format</group>
      <groupName>格式问题</groupName>
      <ability>L2_HalfPunc_CN</ability>
      <abilityName>全半角问题</abilityName>
      <candidateList>
        <item>－</item>
      </candidateList>
      <explain>文本全半角错误。</explain>
      <paraID>293AF35A</paraID>
      <start>21</start>
      <end>22</end>
      <status>modified</status>
      <modifiedWord>－</modifiedWord>
      <trackRevisions>false</trackRevisions>
    </reviewItem>
    <reviewItem>
      <errorID>74fcb391-8070-44e3-85fa-8ccb629d8946</errorID>
      <errorWord>;</errorWord>
      <group>L1_Format</group>
      <groupName>格式问题</groupName>
      <ability>L2_HalfPunc_CN</ability>
      <abilityName>全半角问题</abilityName>
      <candidateList>
        <item>；</item>
      </candidateList>
      <explain>文本全半角错误。</explain>
      <paraID>1D9310F8</paraID>
      <start>46</start>
      <end>47</end>
      <status>modified</status>
      <modifiedWord>；</modifiedWord>
      <trackRevisions>false</trackRevisions>
    </reviewItem>
    <reviewItem>
      <errorID>f2c7db09-6822-4136-97f7-2ba8aa337b05</errorID>
      <errorWord>,</errorWord>
      <group>L1_Format</group>
      <groupName>格式问题</groupName>
      <ability>L2_HalfPunc_CN</ability>
      <abilityName>全半角问题</abilityName>
      <candidateList>
        <item>，</item>
      </candidateList>
      <explain>文本全半角错误。</explain>
      <paraID>1D9310F8</paraID>
      <start>65</start>
      <end>66</end>
      <status>modified</status>
      <modifiedWord>，</modifiedWord>
      <trackRevisions>false</trackRevisions>
    </reviewItem>
    <reviewItem>
      <errorID>33808d41-54f3-411a-92c5-58a2fd938878</errorID>
      <errorWord>.</errorWord>
      <group>L1_Format</group>
      <groupName>格式问题</groupName>
      <ability>L2_HalfPunc_CN</ability>
      <abilityName>全半角问题</abilityName>
      <candidateList>
        <item>。</item>
      </candidateList>
      <explain>文本全半角错误。</explain>
      <paraID>1D9310F8</paraID>
      <start>94</start>
      <end>95</end>
      <status>modified</status>
      <modifiedWord>。</modifiedWord>
      <trackRevisions>false</trackRevisions>
    </reviewItem>
    <reviewItem>
      <errorID>7f2b5382-b088-46c5-8acc-afcf7c1e65e4</errorID>
      <errorWord>-</errorWord>
      <group>L1_Format</group>
      <groupName>格式问题</groupName>
      <ability>L2_HalfPunc_CN</ability>
      <abilityName>全半角问题</abilityName>
      <candidateList>
        <item>－</item>
      </candidateList>
      <explain>文本全半角错误。</explain>
      <paraID>6E59D971</paraID>
      <start>21</start>
      <end>22</end>
      <status>modified</status>
      <modifiedWord>－</modifiedWord>
      <trackRevisions>false</trackRevisions>
    </reviewItem>
    <reviewItem>
      <errorID>f29f5f63-dc3a-43b1-9e51-c7cf605d5005</errorID>
      <errorWord>;</errorWord>
      <group>L1_Format</group>
      <groupName>格式问题</groupName>
      <ability>L2_HalfPunc_CN</ability>
      <abilityName>全半角问题</abilityName>
      <candidateList>
        <item>；</item>
      </candidateList>
      <explain>文本全半角错误。</explain>
      <paraID>7BAE1C39</paraID>
      <start>46</start>
      <end>47</end>
      <status>modified</status>
      <modifiedWord>；</modifiedWord>
      <trackRevisions>false</trackRevisions>
    </reviewItem>
    <reviewItem>
      <errorID>5ae345ab-2ac0-4529-8fc8-dcbe7517bca3</errorID>
      <errorWord>,</errorWord>
      <group>L1_Format</group>
      <groupName>格式问题</groupName>
      <ability>L2_HalfPunc_CN</ability>
      <abilityName>全半角问题</abilityName>
      <candidateList>
        <item>，</item>
      </candidateList>
      <explain>文本全半角错误。</explain>
      <paraID>7BAE1C39</paraID>
      <start>65</start>
      <end>66</end>
      <status>modified</status>
      <modifiedWord>，</modifiedWord>
      <trackRevisions>false</trackRevisions>
    </reviewItem>
    <reviewItem>
      <errorID>008786c2-1656-4a82-8175-9a66742c76c0</errorID>
      <errorWord>.</errorWord>
      <group>L1_Format</group>
      <groupName>格式问题</groupName>
      <ability>L2_HalfPunc_CN</ability>
      <abilityName>全半角问题</abilityName>
      <candidateList>
        <item>。</item>
      </candidateList>
      <explain>文本全半角错误。</explain>
      <paraID>7BAE1C39</paraID>
      <start>94</start>
      <end>95</end>
      <status>modified</status>
      <modifiedWord>。</modifiedWord>
      <trackRevisions>false</trackRevisions>
    </reviewItem>
    <reviewItem>
      <errorID>c3674a75-86f0-4b4a-bd01-89d6107eb20b</errorID>
      <errorWord>（</errorWord>
      <group>L1_Punc</group>
      <groupName>标点问题</groupName>
      <ability>L2_Punc_CN</ability>
      <abilityName>标点符号问题</abilityName>
      <candidateList/>
      <explain>同一形式括号套用。</explain>
      <paraID> DF9C468</paraID>
      <start>15</start>
      <end>16</end>
      <status>ignored</status>
      <modifiedWord/>
      <trackRevisions>false</trackRevisions>
    </reviewItem>
    <reviewItem>
      <errorID>80eb26b0-20f9-4c2a-927b-c1830868dabd</errorID>
      <errorWord>-</errorWord>
      <group>L1_Format</group>
      <groupName>格式问题</groupName>
      <ability>L2_HalfPunc_CN</ability>
      <abilityName>全半角问题</abilityName>
      <candidateList>
        <item>－</item>
      </candidateList>
      <explain>文本全半角错误。</explain>
      <paraID> DF9C468</paraID>
      <start>19</start>
      <end>20</end>
      <status>modified</status>
      <modifiedWord>－</modifiedWord>
      <trackRevisions>false</trackRevisions>
    </reviewItem>
    <reviewItem>
      <errorID>f8cc27c0-d270-44e4-9cf4-51c3d728ea71</errorID>
      <errorWord>）</errorWord>
      <group>L1_Punc</group>
      <groupName>标点问题</groupName>
      <ability>L2_Punc_CN</ability>
      <abilityName>标点符号问题</abilityName>
      <candidateList/>
      <explain>同一形式括号套用。</explain>
      <paraID> DF9C468</paraID>
      <start>23</start>
      <end>24</end>
      <status>ignored</status>
      <modifiedWord/>
      <trackRevisions>false</trackRevisions>
    </reviewItem>
    <reviewItem>
      <errorID>1cfdf017-273b-4d57-a697-4bc84727a82e</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4160FAA3</paraID>
      <start>0</start>
      <end>6</end>
      <status>modified</status>
      <modifiedWord>“三公”经费</modifiedWord>
      <trackRevisions>false</trackRevisions>
    </reviewItem>
    <reviewItem>
      <errorID>ed70af77-1a6f-4e91-9d84-2121ad9a5031</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4160FAA3</paraID>
      <start>17</start>
      <end>23</end>
      <status>modified</status>
      <modifiedWord>“三公”经费</modifiedWord>
      <trackRevisions>false</trackRevisions>
    </reviewItem>
    <reviewItem>
      <errorID>97ca63a2-6f7b-4f95-aaef-416edb9af60a</errorID>
      <errorWord>-</errorWord>
      <group>L1_Format</group>
      <groupName>格式问题</groupName>
      <ability>L2_HalfPunc_CN</ability>
      <abilityName>全半角问题</abilityName>
      <candidateList>
        <item>－</item>
      </candidateList>
      <explain>文本全半角错误。</explain>
      <paraID>612CDCEB</paraID>
      <start>21</start>
      <end>22</end>
      <status>modified</status>
      <modifiedWord>－</modifiedWord>
      <trackRevisions>false</trackRevisions>
    </reviewItem>
    <reviewItem>
      <errorID>6e7faafb-dec9-4e53-b5e8-f8da92acf6f8</errorID>
      <errorWord>;</errorWord>
      <group>L1_Format</group>
      <groupName>格式问题</groupName>
      <ability>L2_HalfPunc_CN</ability>
      <abilityName>全半角问题</abilityName>
      <candidateList>
        <item>；</item>
      </candidateList>
      <explain>文本全半角错误。</explain>
      <paraID>6A130F3F</paraID>
      <start>46</start>
      <end>47</end>
      <status>modified</status>
      <modifiedWord>；</modifiedWord>
      <trackRevisions>false</trackRevisions>
    </reviewItem>
    <reviewItem>
      <errorID>f6426d89-2148-421c-8436-e5e5177df723</errorID>
      <errorWord>,</errorWord>
      <group>L1_Format</group>
      <groupName>格式问题</groupName>
      <ability>L2_HalfPunc_CN</ability>
      <abilityName>全半角问题</abilityName>
      <candidateList>
        <item>，</item>
      </candidateList>
      <explain>文本全半角错误。</explain>
      <paraID>6A130F3F</paraID>
      <start>65</start>
      <end>66</end>
      <status>modified</status>
      <modifiedWord>，</modifiedWord>
      <trackRevisions>false</trackRevisions>
    </reviewItem>
    <reviewItem>
      <errorID>0edc08b9-5738-48eb-984b-3bb5ff3d2de7</errorID>
      <errorWord>.</errorWord>
      <group>L1_Format</group>
      <groupName>格式问题</groupName>
      <ability>L2_HalfPunc_CN</ability>
      <abilityName>全半角问题</abilityName>
      <candidateList>
        <item>。</item>
      </candidateList>
      <explain>文本全半角错误。</explain>
      <paraID>6A130F3F</paraID>
      <start>94</start>
      <end>95</end>
      <status>modified</status>
      <modifiedWord>。</modifiedWord>
      <trackRevisions>false</trackRevisions>
    </reviewItem>
    <reviewItem>
      <errorID>21869b34-28d6-4edb-bb4a-efc7060bab53</errorID>
      <errorWord>-</errorWord>
      <group>L1_Format</group>
      <groupName>格式问题</groupName>
      <ability>L2_HalfPunc_CN</ability>
      <abilityName>全半角问题</abilityName>
      <candidateList>
        <item>－</item>
      </candidateList>
      <explain>文本全半角错误。</explain>
      <paraID>2867B562</paraID>
      <start>21</start>
      <end>22</end>
      <status>modified</status>
      <modifiedWord>－</modifiedWord>
      <trackRevisions>false</trackRevisions>
    </reviewItem>
    <reviewItem>
      <errorID>0e640477-a718-4bca-8d80-2f0cc8130cb0</errorID>
      <errorWord>;</errorWord>
      <group>L1_Format</group>
      <groupName>格式问题</groupName>
      <ability>L2_HalfPunc_CN</ability>
      <abilityName>全半角问题</abilityName>
      <candidateList>
        <item>；</item>
      </candidateList>
      <explain>文本全半角错误。</explain>
      <paraID>1017E1E5</paraID>
      <start>46</start>
      <end>47</end>
      <status>modified</status>
      <modifiedWord>；</modifiedWord>
      <trackRevisions>false</trackRevisions>
    </reviewItem>
    <reviewItem>
      <errorID>81c68dd4-3256-42c7-80a3-07d36686235d</errorID>
      <errorWord>,</errorWord>
      <group>L1_Format</group>
      <groupName>格式问题</groupName>
      <ability>L2_HalfPunc_CN</ability>
      <abilityName>全半角问题</abilityName>
      <candidateList>
        <item>，</item>
      </candidateList>
      <explain>文本全半角错误。</explain>
      <paraID>1017E1E5</paraID>
      <start>65</start>
      <end>66</end>
      <status>modified</status>
      <modifiedWord>，</modifiedWord>
      <trackRevisions>false</trackRevisions>
    </reviewItem>
    <reviewItem>
      <errorID>e690539d-14c0-4669-bd37-9809d70aa636</errorID>
      <errorWord>.</errorWord>
      <group>L1_Format</group>
      <groupName>格式问题</groupName>
      <ability>L2_HalfPunc_CN</ability>
      <abilityName>全半角问题</abilityName>
      <candidateList>
        <item>。</item>
      </candidateList>
      <explain>文本全半角错误。</explain>
      <paraID>1017E1E5</paraID>
      <start>94</start>
      <end>95</end>
      <status>modified</status>
      <modifiedWord>。</modifiedWord>
      <trackRevisions>false</trackRevisions>
    </reviewItem>
    <reviewItem>
      <errorID>1d3477a8-6f9f-4a1a-9bc9-7ba8def7e298</errorID>
      <errorWord>（</errorWord>
      <group>L1_Punc</group>
      <groupName>标点问题</groupName>
      <ability>L2_Punc_CN</ability>
      <abilityName>标点符号问题</abilityName>
      <candidateList/>
      <explain>同一形式括号套用。</explain>
      <paraID>21A6A024</paraID>
      <start>15</start>
      <end>16</end>
      <status>ignored</status>
      <modifiedWord/>
      <trackRevisions>false</trackRevisions>
    </reviewItem>
    <reviewItem>
      <errorID>ba0e4d6a-8628-49bb-a267-42db661b90dc</errorID>
      <errorWord>-</errorWord>
      <group>L1_Format</group>
      <groupName>格式问题</groupName>
      <ability>L2_HalfPunc_CN</ability>
      <abilityName>全半角问题</abilityName>
      <candidateList>
        <item>－</item>
      </candidateList>
      <explain>文本全半角错误。</explain>
      <paraID>21A6A024</paraID>
      <start>19</start>
      <end>20</end>
      <status>modified</status>
      <modifiedWord>－</modifiedWord>
      <trackRevisions>false</trackRevisions>
    </reviewItem>
    <reviewItem>
      <errorID>f8d3fe85-9217-47b3-a8a0-a625b69a40bf</errorID>
      <errorWord>）</errorWord>
      <group>L1_Punc</group>
      <groupName>标点问题</groupName>
      <ability>L2_Punc_CN</ability>
      <abilityName>标点符号问题</abilityName>
      <candidateList/>
      <explain>同一形式括号套用。</explain>
      <paraID>21A6A024</paraID>
      <start>23</start>
      <end>24</end>
      <status>ignored</status>
      <modifiedWord/>
      <trackRevisions>false</trackRevisions>
    </reviewItem>
    <reviewItem>
      <errorID>a58ec143-a876-441a-a50b-fabd28024b95</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5CECD310</paraID>
      <start>0</start>
      <end>6</end>
      <status>modified</status>
      <modifiedWord>“三公”经费</modifiedWord>
      <trackRevisions>false</trackRevisions>
    </reviewItem>
    <reviewItem>
      <errorID>3486a1a2-2a2e-4e32-b690-94ef26a5108e</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5CECD310</paraID>
      <start>17</start>
      <end>23</end>
      <status>modified</status>
      <modifiedWord>“三公”经费</modifiedWord>
      <trackRevisions>false</trackRevisions>
    </reviewItem>
    <reviewItem>
      <errorID>c91a6c21-4f8b-4a62-bd0c-d305a48dd4fb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45145320</paraID>
      <start>0</start>
      <end>2</end>
      <status>modified</status>
      <modifiedWord>1.</modifiedWord>
      <trackRevisions>false</trackRevisions>
    </reviewItem>
    <reviewItem>
      <errorID>e572ea23-9aa1-4634-a763-01bdced0e1d8</errorID>
      <errorWord>:</errorWord>
      <group>L1_Format</group>
      <groupName>格式问题</groupName>
      <ability>L2_HalfPunc_CN</ability>
      <abilityName>全半角问题</abilityName>
      <candidateList>
        <item>：</item>
      </candidateList>
      <explain>文本全半角错误。</explain>
      <paraID>45145320</paraID>
      <start>6</start>
      <end>7</end>
      <status>modified</status>
      <modifiedWord>：</modifiedWord>
      <trackRevisions>false</trackRevisions>
    </reviewItem>
    <reviewItem>
      <errorID>6c0e07f0-26db-4e09-9f50-0fc654e80574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3933E93E</paraID>
      <start>0</start>
      <end>2</end>
      <status>modified</status>
      <modifiedWord>2.</modifiedWord>
      <trackRevisions>false</trackRevisions>
    </reviewItem>
  </reviewItems>
  <config/>
</contractReview>
</file>

<file path=customXml/itemProps1.xml><?xml version="1.0" encoding="utf-8"?>
<ds:datastoreItem xmlns:ds="http://schemas.openxmlformats.org/officeDocument/2006/customXml" ds:itemID="{4F473174-76C4-4149-AB5B-A6F7E7FE3C5F}">
  <ds:schemaRefs/>
</ds:datastoreItem>
</file>

<file path=customXml/itemProps2.xml><?xml version="1.0" encoding="utf-8"?>
<ds:datastoreItem xmlns:ds="http://schemas.openxmlformats.org/officeDocument/2006/customXml" ds:itemID="{51321c51-3bb0-4171-92b1-5e56ee2e3de6}">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28</Pages>
  <Words>6991</Words>
  <Characters>7863</Characters>
  <Lines>80</Lines>
  <Paragraphs>22</Paragraphs>
  <TotalTime>4</TotalTime>
  <ScaleCrop>false</ScaleCrop>
  <LinksUpToDate>false</LinksUpToDate>
  <CharactersWithSpaces>7952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2023-08-18T07:28:00Z</dcterms:created>
  <dc:creator>pjf</dc:creator>
  <cp:lastModifiedBy>qzuser</cp:lastModifiedBy>
  <cp:lastPrinted>2021-09-26T08:39:00Z</cp:lastPrinted>
  <dcterms:modified xsi:type="dcterms:W3CDTF">2026-09-10T03:00:59Z</dcterms:modified>
  <dc:title>四川省决算编制说明</dc:title>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7D0A9BE8E55242978E774B0A85F80801_13</vt:lpwstr>
  </property>
  <property fmtid="{D5CDD505-2E9C-101B-9397-08002B2CF9AE}" pid="4" name="KSOTemplateDocerSaveRecord">
    <vt:lpwstr>eyJoZGlkIjoiNjU3YjcxY2M1NzhkNzgyYWE4NGRjMGUxY2M2ZTA2MGMiLCJ1c2VySWQiOiIzMjM4NjQwNTgifQ==</vt:lpwstr>
  </property>
</Properties>
</file>