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B8C94">
      <w:pPr>
        <w:rPr>
          <w:rFonts w:hint="default" w:ascii="Times New Roman" w:hAnsi="Times New Roman" w:eastAsia="方正小标宋简体" w:cs="Times New Roman"/>
          <w:color w:val="000000"/>
          <w:sz w:val="72"/>
          <w:szCs w:val="72"/>
        </w:rPr>
      </w:pPr>
      <w:bookmarkStart w:id="0" w:name="_Toc15306267"/>
      <w:bookmarkStart w:id="1" w:name="_Toc15378441"/>
      <w:bookmarkStart w:id="2" w:name="_Toc15377425"/>
      <w:bookmarkStart w:id="3" w:name="_Toc15377193"/>
      <w:bookmarkStart w:id="4" w:name="_Toc15396475"/>
      <w:bookmarkStart w:id="5" w:name="_Toc15396597"/>
    </w:p>
    <w:p w14:paraId="4038335C">
      <w:pPr>
        <w:rPr>
          <w:rFonts w:hint="default" w:ascii="Times New Roman" w:hAnsi="Times New Roman" w:eastAsia="方正小标宋简体" w:cs="Times New Roman"/>
          <w:color w:val="000000"/>
          <w:sz w:val="72"/>
          <w:szCs w:val="72"/>
        </w:rPr>
      </w:pPr>
    </w:p>
    <w:p w14:paraId="7F8E0DD1">
      <w:pPr>
        <w:ind w:left="360" w:hanging="260" w:hangingChars="50"/>
        <w:jc w:val="center"/>
        <w:rPr>
          <w:rFonts w:hint="default" w:ascii="Times New Roman" w:hAnsi="Times New Roman" w:eastAsia="黑体" w:cs="Times New Roman"/>
          <w:sz w:val="52"/>
          <w:szCs w:val="52"/>
        </w:rPr>
      </w:pPr>
      <w:r>
        <w:rPr>
          <w:rFonts w:hint="default" w:ascii="Times New Roman" w:hAnsi="Times New Roman" w:eastAsia="黑体" w:cs="Times New Roman"/>
          <w:sz w:val="52"/>
          <w:szCs w:val="52"/>
        </w:rPr>
        <w:t>202</w:t>
      </w:r>
      <w:r>
        <w:rPr>
          <w:rFonts w:hint="eastAsia" w:eastAsia="黑体" w:cs="Times New Roman"/>
          <w:sz w:val="52"/>
          <w:szCs w:val="52"/>
          <w:lang w:val="en-US" w:eastAsia="zh-CN"/>
        </w:rPr>
        <w:t>5</w:t>
      </w:r>
      <w:r>
        <w:rPr>
          <w:rFonts w:hint="default" w:ascii="Times New Roman" w:hAnsi="Times New Roman" w:eastAsia="黑体" w:cs="Times New Roman"/>
          <w:sz w:val="52"/>
          <w:szCs w:val="52"/>
        </w:rPr>
        <w:t>年</w:t>
      </w:r>
      <w:bookmarkEnd w:id="0"/>
      <w:bookmarkEnd w:id="1"/>
      <w:bookmarkEnd w:id="2"/>
      <w:bookmarkEnd w:id="3"/>
      <w:bookmarkEnd w:id="4"/>
      <w:bookmarkEnd w:id="5"/>
      <w:bookmarkStart w:id="6" w:name="_Toc15306268"/>
      <w:bookmarkStart w:id="7" w:name="_Toc15396598"/>
      <w:bookmarkStart w:id="8" w:name="_Toc15396476"/>
      <w:bookmarkStart w:id="9" w:name="_Toc15377426"/>
      <w:bookmarkStart w:id="10" w:name="_Toc15378442"/>
      <w:bookmarkStart w:id="11" w:name="_Toc15377194"/>
      <w:r>
        <w:rPr>
          <w:rFonts w:hint="default" w:ascii="Times New Roman" w:hAnsi="Times New Roman" w:eastAsia="黑体" w:cs="Times New Roman"/>
          <w:sz w:val="52"/>
          <w:szCs w:val="52"/>
          <w:lang w:eastAsia="zh-CN"/>
        </w:rPr>
        <w:t>度</w:t>
      </w:r>
      <w:r>
        <w:rPr>
          <w:rFonts w:hint="eastAsia" w:eastAsia="黑体" w:cs="Times New Roman"/>
          <w:sz w:val="52"/>
          <w:szCs w:val="52"/>
          <w:lang w:val="en-US" w:eastAsia="zh-CN"/>
        </w:rPr>
        <w:t>四川省</w:t>
      </w:r>
      <w:r>
        <w:rPr>
          <w:rFonts w:hint="default" w:ascii="Times New Roman" w:hAnsi="Times New Roman" w:eastAsia="黑体" w:cs="Times New Roman"/>
          <w:sz w:val="52"/>
          <w:szCs w:val="52"/>
          <w:lang w:eastAsia="zh-CN"/>
        </w:rPr>
        <w:t>阿坝州</w:t>
      </w:r>
      <w:r>
        <w:rPr>
          <w:rFonts w:hint="default" w:ascii="Times New Roman" w:hAnsi="Times New Roman" w:eastAsia="黑体" w:cs="Times New Roman"/>
          <w:sz w:val="52"/>
          <w:szCs w:val="52"/>
        </w:rPr>
        <w:t>理县</w:t>
      </w:r>
    </w:p>
    <w:p w14:paraId="1A8F6290">
      <w:pPr>
        <w:ind w:left="360" w:hanging="260" w:hangingChars="50"/>
        <w:jc w:val="center"/>
        <w:rPr>
          <w:rFonts w:hint="default" w:ascii="Times New Roman" w:hAnsi="Times New Roman" w:eastAsia="黑体" w:cs="Times New Roman"/>
          <w:sz w:val="52"/>
          <w:szCs w:val="52"/>
          <w:lang w:eastAsia="zh-CN"/>
        </w:rPr>
      </w:pPr>
      <w:r>
        <w:rPr>
          <w:rFonts w:hint="default" w:ascii="Times New Roman" w:hAnsi="Times New Roman" w:eastAsia="黑体" w:cs="Times New Roman"/>
          <w:sz w:val="52"/>
          <w:szCs w:val="52"/>
          <w:lang w:eastAsia="zh-CN"/>
        </w:rPr>
        <w:t>环境监测站决算公开</w:t>
      </w:r>
      <w:bookmarkEnd w:id="6"/>
      <w:bookmarkEnd w:id="7"/>
      <w:bookmarkEnd w:id="8"/>
      <w:bookmarkEnd w:id="9"/>
      <w:bookmarkEnd w:id="10"/>
      <w:bookmarkEnd w:id="11"/>
    </w:p>
    <w:p w14:paraId="2CE62D5A">
      <w:pPr>
        <w:ind w:left="360" w:hanging="260" w:hangingChars="50"/>
        <w:jc w:val="center"/>
        <w:rPr>
          <w:rFonts w:hint="default" w:ascii="Times New Roman" w:hAnsi="Times New Roman" w:eastAsia="黑体" w:cs="Times New Roman"/>
          <w:sz w:val="52"/>
          <w:szCs w:val="52"/>
          <w:lang w:eastAsia="zh-CN"/>
        </w:rPr>
      </w:pPr>
    </w:p>
    <w:p w14:paraId="5FDBA019">
      <w:pPr>
        <w:rPr>
          <w:rFonts w:hint="default" w:ascii="Times New Roman" w:hAnsi="Times New Roman" w:eastAsia="方正小标宋简体" w:cs="Times New Roman"/>
          <w:sz w:val="36"/>
          <w:szCs w:val="36"/>
        </w:rPr>
      </w:pPr>
    </w:p>
    <w:p w14:paraId="5D273F52">
      <w:pPr>
        <w:rPr>
          <w:rFonts w:hint="default" w:ascii="Times New Roman" w:hAnsi="Times New Roman" w:eastAsia="方正小标宋简体" w:cs="Times New Roman"/>
          <w:sz w:val="36"/>
          <w:szCs w:val="36"/>
        </w:rPr>
      </w:pPr>
    </w:p>
    <w:p w14:paraId="61F62B04">
      <w:pPr>
        <w:rPr>
          <w:rFonts w:hint="default" w:ascii="Times New Roman" w:hAnsi="Times New Roman" w:eastAsia="方正小标宋简体" w:cs="Times New Roman"/>
          <w:sz w:val="36"/>
          <w:szCs w:val="36"/>
        </w:rPr>
      </w:pPr>
    </w:p>
    <w:p w14:paraId="76AFCD5D">
      <w:pPr>
        <w:rPr>
          <w:rFonts w:hint="default" w:ascii="Times New Roman" w:hAnsi="Times New Roman" w:eastAsia="方正小标宋简体" w:cs="Times New Roman"/>
          <w:sz w:val="36"/>
          <w:szCs w:val="36"/>
        </w:rPr>
      </w:pPr>
    </w:p>
    <w:p w14:paraId="7B06CF41">
      <w:pPr>
        <w:pStyle w:val="8"/>
        <w:spacing w:before="93"/>
        <w:jc w:val="center"/>
        <w:rPr>
          <w:rFonts w:hint="default" w:ascii="Times New Roman" w:hAnsi="Times New Roman" w:cs="Times New Roman"/>
        </w:rPr>
      </w:pPr>
      <w:r>
        <w:rPr>
          <w:rFonts w:hint="default" w:ascii="Times New Roman" w:hAnsi="Times New Roman" w:cs="Times New Roman"/>
          <w:sz w:val="32"/>
          <w:szCs w:val="32"/>
        </w:rPr>
        <w:t>保密审查情况：</w:t>
      </w:r>
      <w:bookmarkStart w:id="12" w:name="_Hlk113547609"/>
      <w:r>
        <w:rPr>
          <w:rFonts w:hint="default" w:ascii="Times New Roman" w:hAnsi="Times New Roman" w:cs="Times New Roman"/>
          <w:sz w:val="32"/>
          <w:szCs w:val="32"/>
        </w:rPr>
        <w:t>已经保密审查、内容审定，同意对外公开</w:t>
      </w:r>
      <w:bookmarkEnd w:id="12"/>
    </w:p>
    <w:p w14:paraId="3A1FF374">
      <w:pPr>
        <w:autoSpaceDE w:val="0"/>
        <w:autoSpaceDN w:val="0"/>
        <w:adjustRightInd w:val="0"/>
        <w:ind w:left="420" w:leftChars="200"/>
        <w:jc w:val="left"/>
        <w:rPr>
          <w:rFonts w:hint="default" w:ascii="Times New Roman" w:hAnsi="Times New Roman" w:cs="Times New Roman"/>
          <w:sz w:val="32"/>
          <w:szCs w:val="32"/>
        </w:rPr>
      </w:pPr>
    </w:p>
    <w:p w14:paraId="790F9C7E">
      <w:pPr>
        <w:autoSpaceDE w:val="0"/>
        <w:autoSpaceDN w:val="0"/>
        <w:adjustRightInd w:val="0"/>
        <w:ind w:left="420" w:leftChars="200"/>
        <w:jc w:val="left"/>
        <w:rPr>
          <w:rFonts w:hint="eastAsia" w:ascii="Times New Roman" w:hAnsi="Times New Roman" w:eastAsia="宋体" w:cs="Times New Roman"/>
          <w:sz w:val="32"/>
          <w:szCs w:val="32"/>
          <w:lang w:val="en-US" w:eastAsia="zh-CN"/>
        </w:rPr>
      </w:pPr>
      <w:r>
        <w:rPr>
          <w:rFonts w:hint="default" w:ascii="Times New Roman" w:hAnsi="Times New Roman" w:cs="Times New Roman"/>
          <w:sz w:val="32"/>
          <w:szCs w:val="32"/>
        </w:rPr>
        <w:t>部门主要负责人审签情况：</w:t>
      </w:r>
      <w:r>
        <w:rPr>
          <w:rFonts w:hint="eastAsia" w:cs="Times New Roman"/>
          <w:sz w:val="32"/>
          <w:szCs w:val="32"/>
          <w:lang w:val="en-US" w:eastAsia="zh-CN"/>
        </w:rPr>
        <w:t>嘉鸿剑</w:t>
      </w:r>
    </w:p>
    <w:p w14:paraId="3B9A8C30">
      <w:pPr>
        <w:widowControl/>
        <w:jc w:val="center"/>
        <w:rPr>
          <w:rFonts w:hint="default" w:ascii="Times New Roman" w:hAnsi="Times New Roman" w:eastAsia="方正小标宋简体" w:cs="Times New Roman"/>
          <w:color w:val="000000"/>
          <w:sz w:val="36"/>
          <w:szCs w:val="36"/>
        </w:rPr>
      </w:pPr>
    </w:p>
    <w:p w14:paraId="585303AB">
      <w:pPr>
        <w:widowControl/>
        <w:jc w:val="center"/>
        <w:rPr>
          <w:rFonts w:hint="default" w:ascii="Times New Roman" w:hAnsi="Times New Roman" w:eastAsia="黑体" w:cs="Times New Roman"/>
          <w:color w:val="000000"/>
          <w:sz w:val="48"/>
          <w:szCs w:val="48"/>
        </w:rPr>
      </w:pPr>
      <w:r>
        <w:rPr>
          <w:rFonts w:hint="default" w:ascii="Times New Roman" w:hAnsi="Times New Roman" w:eastAsia="方正小标宋简体" w:cs="Times New Roman"/>
          <w:sz w:val="36"/>
          <w:szCs w:val="36"/>
        </w:rPr>
        <w:br w:type="page"/>
      </w:r>
      <w:r>
        <w:rPr>
          <w:rFonts w:hint="default" w:ascii="Times New Roman" w:hAnsi="Times New Roman" w:eastAsia="黑体" w:cs="Times New Roman"/>
          <w:color w:val="000000"/>
          <w:sz w:val="48"/>
          <w:szCs w:val="48"/>
        </w:rPr>
        <w:t>目录</w:t>
      </w:r>
    </w:p>
    <w:p w14:paraId="4A61F70B">
      <w:pPr>
        <w:pStyle w:val="18"/>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公开时间：202</w:t>
      </w:r>
      <w:r>
        <w:rPr>
          <w:rFonts w:hint="eastAsia" w:ascii="Times New Roman" w:cs="Times New Roman"/>
          <w:b w:val="0"/>
          <w:bCs w:val="0"/>
          <w:sz w:val="24"/>
          <w:szCs w:val="24"/>
          <w:lang w:val="en-US" w:eastAsia="zh-CN"/>
        </w:rPr>
        <w:t>6</w:t>
      </w:r>
      <w:r>
        <w:rPr>
          <w:rFonts w:hint="default" w:ascii="Times New Roman" w:hAnsi="Times New Roman" w:cs="Times New Roman"/>
          <w:b w:val="0"/>
          <w:bCs w:val="0"/>
          <w:sz w:val="24"/>
          <w:szCs w:val="24"/>
        </w:rPr>
        <w:t xml:space="preserve">年 </w:t>
      </w:r>
      <w:r>
        <w:rPr>
          <w:rFonts w:hint="default" w:ascii="Times New Roman" w:hAnsi="Times New Roman" w:cs="Times New Roman"/>
          <w:b w:val="0"/>
          <w:bCs w:val="0"/>
          <w:sz w:val="24"/>
          <w:szCs w:val="24"/>
          <w:lang w:val="en-US" w:eastAsia="zh-CN"/>
        </w:rPr>
        <w:t>9</w:t>
      </w:r>
      <w:r>
        <w:rPr>
          <w:rFonts w:hint="default" w:ascii="Times New Roman" w:hAnsi="Times New Roman" w:cs="Times New Roman"/>
          <w:b w:val="0"/>
          <w:bCs w:val="0"/>
          <w:sz w:val="24"/>
          <w:szCs w:val="24"/>
        </w:rPr>
        <w:t>月</w:t>
      </w:r>
      <w:r>
        <w:rPr>
          <w:rFonts w:hint="eastAsia" w:ascii="Times New Roman" w:cs="Times New Roman"/>
          <w:b w:val="0"/>
          <w:bCs w:val="0"/>
          <w:sz w:val="24"/>
          <w:szCs w:val="24"/>
          <w:lang w:val="en-US" w:eastAsia="zh-CN"/>
        </w:rPr>
        <w:t>10</w:t>
      </w:r>
      <w:r>
        <w:rPr>
          <w:rFonts w:hint="default" w:ascii="Times New Roman" w:hAnsi="Times New Roman" w:cs="Times New Roman"/>
          <w:b w:val="0"/>
          <w:bCs w:val="0"/>
          <w:sz w:val="24"/>
          <w:szCs w:val="24"/>
        </w:rPr>
        <w:t>日</w:t>
      </w:r>
    </w:p>
    <w:p w14:paraId="68F480B3">
      <w:pPr>
        <w:pStyle w:val="18"/>
        <w:jc w:val="both"/>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fldChar w:fldCharType="begin"/>
      </w:r>
      <w:r>
        <w:rPr>
          <w:rFonts w:hint="default" w:ascii="Times New Roman" w:hAnsi="Times New Roman" w:eastAsia="仿宋_GB2312" w:cs="Times New Roman"/>
          <w:b w:val="0"/>
          <w:bCs w:val="0"/>
          <w:caps w:val="0"/>
          <w:smallCaps w:val="0"/>
          <w:kern w:val="2"/>
          <w:sz w:val="32"/>
          <w:szCs w:val="32"/>
          <w:lang w:val="en-US" w:eastAsia="zh-CN" w:bidi="ar-SA"/>
        </w:rPr>
        <w:instrText xml:space="preserve"> TOC \o \u </w:instrText>
      </w:r>
      <w:r>
        <w:rPr>
          <w:rFonts w:hint="default" w:ascii="Times New Roman" w:hAnsi="Times New Roman" w:eastAsia="仿宋_GB2312" w:cs="Times New Roman"/>
          <w:b w:val="0"/>
          <w:bCs w:val="0"/>
          <w:caps w:val="0"/>
          <w:smallCaps w:val="0"/>
          <w:kern w:val="2"/>
          <w:sz w:val="32"/>
          <w:szCs w:val="32"/>
          <w:lang w:val="en-US" w:eastAsia="zh-CN" w:bidi="ar-SA"/>
        </w:rPr>
        <w:fldChar w:fldCharType="separate"/>
      </w:r>
      <w:r>
        <w:rPr>
          <w:rFonts w:hint="default" w:ascii="Times New Roman" w:hAnsi="Times New Roman" w:eastAsia="仿宋_GB2312" w:cs="Times New Roman"/>
          <w:b w:val="0"/>
          <w:bCs w:val="0"/>
          <w:caps w:val="0"/>
          <w:smallCaps w:val="0"/>
          <w:kern w:val="2"/>
          <w:sz w:val="32"/>
          <w:szCs w:val="32"/>
          <w:lang w:val="en-US" w:eastAsia="zh-CN" w:bidi="ar-SA"/>
        </w:rPr>
        <w:t xml:space="preserve">第一部分 </w:t>
      </w:r>
      <w:r>
        <w:rPr>
          <w:rFonts w:hint="eastAsia" w:ascii="Times New Roman" w:eastAsia="仿宋_GB2312" w:cs="Times New Roman"/>
          <w:b w:val="0"/>
          <w:bCs w:val="0"/>
          <w:caps w:val="0"/>
          <w:smallCaps w:val="0"/>
          <w:kern w:val="2"/>
          <w:sz w:val="32"/>
          <w:szCs w:val="32"/>
          <w:lang w:val="en-US" w:eastAsia="zh-CN" w:bidi="ar-SA"/>
        </w:rPr>
        <w:t>单位</w:t>
      </w:r>
      <w:r>
        <w:rPr>
          <w:rFonts w:hint="default" w:ascii="Times New Roman" w:hAnsi="Times New Roman" w:eastAsia="仿宋_GB2312" w:cs="Times New Roman"/>
          <w:b w:val="0"/>
          <w:bCs w:val="0"/>
          <w:caps w:val="0"/>
          <w:smallCaps w:val="0"/>
          <w:kern w:val="2"/>
          <w:sz w:val="32"/>
          <w:szCs w:val="32"/>
          <w:lang w:val="en-US" w:eastAsia="zh-CN" w:bidi="ar-SA"/>
        </w:rPr>
        <w:t>概况</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w:t>
      </w:r>
      <w:r>
        <w:rPr>
          <w:rFonts w:hint="default" w:ascii="Times New Roman" w:hAnsi="Times New Roman" w:eastAsia="仿宋_GB2312" w:cs="Times New Roman"/>
          <w:b w:val="0"/>
          <w:bCs w:val="0"/>
          <w:caps w:val="0"/>
          <w:smallCaps w:val="0"/>
          <w:kern w:val="2"/>
          <w:sz w:val="32"/>
          <w:szCs w:val="32"/>
          <w:lang w:val="en-US" w:eastAsia="zh-CN" w:bidi="ar-SA"/>
        </w:rPr>
        <w:t>4</w:t>
      </w:r>
    </w:p>
    <w:p w14:paraId="781A5288">
      <w:pPr>
        <w:pStyle w:val="21"/>
        <w:tabs>
          <w:tab w:val="left" w:pos="840"/>
          <w:tab w:val="right" w:leader="dot" w:pos="8296"/>
        </w:tabs>
        <w:ind w:left="0" w:leftChars="0"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一、</w:t>
      </w:r>
      <w:r>
        <w:rPr>
          <w:rFonts w:hint="eastAsia" w:ascii="Times New Roman" w:eastAsia="仿宋_GB2312" w:cs="Times New Roman"/>
          <w:b w:val="0"/>
          <w:bCs w:val="0"/>
          <w:caps w:val="0"/>
          <w:smallCaps w:val="0"/>
          <w:kern w:val="2"/>
          <w:sz w:val="32"/>
          <w:szCs w:val="32"/>
          <w:lang w:val="en-US" w:eastAsia="zh-CN" w:bidi="ar-SA"/>
        </w:rPr>
        <w:t>主要职责</w:t>
      </w:r>
      <w:r>
        <w:rPr>
          <w:rFonts w:hint="default" w:ascii="Times New Roman" w:hAnsi="Times New Roman" w:eastAsia="仿宋_GB2312" w:cs="Times New Roman"/>
          <w:b w:val="0"/>
          <w:bCs w:val="0"/>
          <w:caps w:val="0"/>
          <w:smallCaps w:val="0"/>
          <w:kern w:val="2"/>
          <w:sz w:val="32"/>
          <w:szCs w:val="32"/>
          <w:lang w:val="en-US" w:eastAsia="zh-CN" w:bidi="ar-SA"/>
        </w:rPr>
        <w:tab/>
      </w:r>
      <w:r>
        <w:rPr>
          <w:rFonts w:hint="default" w:ascii="Times New Roman" w:hAnsi="Times New Roman" w:eastAsia="仿宋_GB2312" w:cs="Times New Roman"/>
          <w:b w:val="0"/>
          <w:bCs w:val="0"/>
          <w:caps w:val="0"/>
          <w:smallCaps w:val="0"/>
          <w:kern w:val="2"/>
          <w:sz w:val="32"/>
          <w:szCs w:val="32"/>
          <w:lang w:val="en-US" w:eastAsia="zh-CN" w:bidi="ar-SA"/>
        </w:rPr>
        <w:t>4</w:t>
      </w:r>
    </w:p>
    <w:p w14:paraId="322E3353">
      <w:pPr>
        <w:pStyle w:val="21"/>
        <w:tabs>
          <w:tab w:val="left" w:pos="840"/>
          <w:tab w:val="right" w:leader="dot" w:pos="8296"/>
        </w:tabs>
        <w:ind w:left="0" w:leftChars="0"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二、机构设置</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5</w:t>
      </w:r>
    </w:p>
    <w:p w14:paraId="6644A12D">
      <w:pPr>
        <w:pStyle w:val="21"/>
        <w:tabs>
          <w:tab w:val="left" w:pos="840"/>
          <w:tab w:val="right" w:leader="dot" w:pos="8296"/>
        </w:tabs>
        <w:ind w:left="0" w:leftChars="0" w:firstLine="0" w:firstLineChars="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第二部分 202</w:t>
      </w:r>
      <w:r>
        <w:rPr>
          <w:rFonts w:hint="eastAsia" w:ascii="Times New Roman" w:eastAsia="仿宋_GB2312" w:cs="Times New Roman"/>
          <w:b w:val="0"/>
          <w:bCs w:val="0"/>
          <w:caps w:val="0"/>
          <w:smallCaps w:val="0"/>
          <w:kern w:val="2"/>
          <w:sz w:val="32"/>
          <w:szCs w:val="32"/>
          <w:lang w:val="en-US" w:eastAsia="zh-CN" w:bidi="ar-SA"/>
        </w:rPr>
        <w:t>5</w:t>
      </w:r>
      <w:r>
        <w:rPr>
          <w:rFonts w:hint="default" w:ascii="Times New Roman" w:hAnsi="Times New Roman" w:eastAsia="仿宋_GB2312" w:cs="Times New Roman"/>
          <w:b w:val="0"/>
          <w:bCs w:val="0"/>
          <w:caps w:val="0"/>
          <w:smallCaps w:val="0"/>
          <w:kern w:val="2"/>
          <w:sz w:val="32"/>
          <w:szCs w:val="32"/>
          <w:lang w:val="en-US" w:eastAsia="zh-CN" w:bidi="ar-SA"/>
        </w:rPr>
        <w:t>年度</w:t>
      </w:r>
      <w:r>
        <w:rPr>
          <w:rFonts w:hint="eastAsia" w:ascii="Times New Roman" w:eastAsia="仿宋_GB2312" w:cs="Times New Roman"/>
          <w:b w:val="0"/>
          <w:bCs w:val="0"/>
          <w:caps w:val="0"/>
          <w:smallCaps w:val="0"/>
          <w:kern w:val="2"/>
          <w:sz w:val="32"/>
          <w:szCs w:val="32"/>
          <w:lang w:val="en-US" w:eastAsia="zh-CN" w:bidi="ar-SA"/>
        </w:rPr>
        <w:t>单位</w:t>
      </w:r>
      <w:r>
        <w:rPr>
          <w:rFonts w:hint="default" w:ascii="Times New Roman" w:hAnsi="Times New Roman" w:eastAsia="仿宋_GB2312" w:cs="Times New Roman"/>
          <w:b w:val="0"/>
          <w:bCs w:val="0"/>
          <w:caps w:val="0"/>
          <w:smallCaps w:val="0"/>
          <w:kern w:val="2"/>
          <w:sz w:val="32"/>
          <w:szCs w:val="32"/>
          <w:lang w:val="en-US" w:eastAsia="zh-CN" w:bidi="ar-SA"/>
        </w:rPr>
        <w:t>决算情况说明</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6</w:t>
      </w:r>
    </w:p>
    <w:p w14:paraId="3295256C">
      <w:pPr>
        <w:pStyle w:val="21"/>
        <w:tabs>
          <w:tab w:val="left" w:pos="840"/>
          <w:tab w:val="right" w:leader="dot" w:pos="8296"/>
        </w:tabs>
        <w:ind w:left="0" w:leftChars="0"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一、收入支出决算总体情况说明</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6</w:t>
      </w:r>
    </w:p>
    <w:p w14:paraId="6EF52AF5">
      <w:pPr>
        <w:pStyle w:val="21"/>
        <w:tabs>
          <w:tab w:val="left" w:pos="840"/>
          <w:tab w:val="right" w:leader="dot" w:pos="8296"/>
        </w:tabs>
        <w:ind w:left="0" w:leftChars="0"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二、收入决算情况说明</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6</w:t>
      </w:r>
    </w:p>
    <w:p w14:paraId="2BC2DF66">
      <w:pPr>
        <w:pStyle w:val="21"/>
        <w:tabs>
          <w:tab w:val="left" w:pos="840"/>
          <w:tab w:val="right" w:leader="dot" w:pos="8296"/>
        </w:tabs>
        <w:ind w:left="0" w:leftChars="0"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三、支出决算情况说明</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7</w:t>
      </w:r>
    </w:p>
    <w:p w14:paraId="01930881">
      <w:pPr>
        <w:pStyle w:val="21"/>
        <w:tabs>
          <w:tab w:val="left" w:pos="840"/>
          <w:tab w:val="right" w:leader="dot" w:pos="8296"/>
        </w:tabs>
        <w:ind w:left="0" w:leftChars="0"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四、财政拨款收入支出决算总体情况说明</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7</w:t>
      </w:r>
    </w:p>
    <w:p w14:paraId="1821E084">
      <w:pPr>
        <w:pStyle w:val="21"/>
        <w:tabs>
          <w:tab w:val="left" w:pos="840"/>
          <w:tab w:val="right" w:leader="dot" w:pos="8296"/>
        </w:tabs>
        <w:ind w:left="0" w:leftChars="0"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五、一般公共预算财政拨款支出决算情况说明</w:t>
      </w:r>
      <w:r>
        <w:rPr>
          <w:rFonts w:hint="default" w:ascii="Times New Roman" w:hAnsi="Times New Roman" w:eastAsia="仿宋_GB2312" w:cs="Times New Roman"/>
          <w:b w:val="0"/>
          <w:bCs w:val="0"/>
          <w:caps w:val="0"/>
          <w:smallCaps w:val="0"/>
          <w:kern w:val="2"/>
          <w:sz w:val="32"/>
          <w:szCs w:val="32"/>
          <w:lang w:val="en-US" w:eastAsia="zh-CN" w:bidi="ar-SA"/>
        </w:rPr>
        <w:tab/>
      </w:r>
      <w:r>
        <w:rPr>
          <w:rFonts w:hint="default" w:ascii="Times New Roman" w:hAnsi="Times New Roman" w:eastAsia="仿宋_GB2312" w:cs="Times New Roman"/>
          <w:b w:val="0"/>
          <w:bCs w:val="0"/>
          <w:caps w:val="0"/>
          <w:smallCaps w:val="0"/>
          <w:kern w:val="2"/>
          <w:sz w:val="32"/>
          <w:szCs w:val="32"/>
          <w:lang w:val="en-US" w:eastAsia="zh-CN" w:bidi="ar-SA"/>
        </w:rPr>
        <w:fldChar w:fldCharType="begin"/>
      </w:r>
      <w:r>
        <w:rPr>
          <w:rFonts w:hint="default" w:ascii="Times New Roman" w:hAnsi="Times New Roman" w:eastAsia="仿宋_GB2312" w:cs="Times New Roman"/>
          <w:b w:val="0"/>
          <w:bCs w:val="0"/>
          <w:caps w:val="0"/>
          <w:smallCaps w:val="0"/>
          <w:kern w:val="2"/>
          <w:sz w:val="32"/>
          <w:szCs w:val="32"/>
          <w:lang w:val="en-US" w:eastAsia="zh-CN" w:bidi="ar-SA"/>
        </w:rPr>
        <w:instrText xml:space="preserve"> PAGEREF _Toc79163864 \h </w:instrText>
      </w:r>
      <w:r>
        <w:rPr>
          <w:rFonts w:hint="default" w:ascii="Times New Roman" w:hAnsi="Times New Roman" w:eastAsia="仿宋_GB2312" w:cs="Times New Roman"/>
          <w:b w:val="0"/>
          <w:bCs w:val="0"/>
          <w:caps w:val="0"/>
          <w:smallCaps w:val="0"/>
          <w:kern w:val="2"/>
          <w:sz w:val="32"/>
          <w:szCs w:val="32"/>
          <w:lang w:val="en-US" w:eastAsia="zh-CN" w:bidi="ar-SA"/>
        </w:rPr>
        <w:fldChar w:fldCharType="separate"/>
      </w:r>
      <w:r>
        <w:rPr>
          <w:rFonts w:hint="default" w:ascii="Times New Roman" w:hAnsi="Times New Roman" w:eastAsia="仿宋_GB2312" w:cs="Times New Roman"/>
          <w:b w:val="0"/>
          <w:bCs w:val="0"/>
          <w:caps w:val="0"/>
          <w:smallCaps w:val="0"/>
          <w:kern w:val="2"/>
          <w:sz w:val="32"/>
          <w:szCs w:val="32"/>
          <w:lang w:val="en-US" w:eastAsia="zh-CN" w:bidi="ar-SA"/>
        </w:rPr>
        <w:t>8</w:t>
      </w:r>
      <w:r>
        <w:rPr>
          <w:rFonts w:hint="default" w:ascii="Times New Roman" w:hAnsi="Times New Roman" w:eastAsia="仿宋_GB2312" w:cs="Times New Roman"/>
          <w:b w:val="0"/>
          <w:bCs w:val="0"/>
          <w:caps w:val="0"/>
          <w:smallCaps w:val="0"/>
          <w:kern w:val="2"/>
          <w:sz w:val="32"/>
          <w:szCs w:val="32"/>
          <w:lang w:val="en-US" w:eastAsia="zh-CN" w:bidi="ar-SA"/>
        </w:rPr>
        <w:fldChar w:fldCharType="end"/>
      </w:r>
    </w:p>
    <w:p w14:paraId="138EEF7D">
      <w:pPr>
        <w:pStyle w:val="21"/>
        <w:tabs>
          <w:tab w:val="left" w:pos="840"/>
          <w:tab w:val="right" w:leader="dot" w:pos="8296"/>
        </w:tabs>
        <w:ind w:left="0" w:leftChars="0"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六、一般公共预算财政拨款基本支出决算情况说明</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10</w:t>
      </w:r>
    </w:p>
    <w:p w14:paraId="2F70DE8C">
      <w:pPr>
        <w:pStyle w:val="21"/>
        <w:tabs>
          <w:tab w:val="left" w:pos="840"/>
          <w:tab w:val="right" w:leader="dot" w:pos="8296"/>
        </w:tabs>
        <w:ind w:left="0" w:leftChars="0"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七、财政拨款“三公”经费支出决算情况说明</w:t>
      </w:r>
      <w:r>
        <w:rPr>
          <w:rFonts w:hint="default" w:ascii="Times New Roman" w:hAnsi="Times New Roman" w:eastAsia="仿宋_GB2312" w:cs="Times New Roman"/>
          <w:b w:val="0"/>
          <w:bCs w:val="0"/>
          <w:caps w:val="0"/>
          <w:smallCaps w:val="0"/>
          <w:kern w:val="2"/>
          <w:sz w:val="32"/>
          <w:szCs w:val="32"/>
          <w:lang w:val="en-US" w:eastAsia="zh-CN" w:bidi="ar-SA"/>
        </w:rPr>
        <w:tab/>
      </w:r>
      <w:r>
        <w:rPr>
          <w:rFonts w:hint="default" w:ascii="Times New Roman" w:hAnsi="Times New Roman" w:eastAsia="仿宋_GB2312" w:cs="Times New Roman"/>
          <w:b w:val="0"/>
          <w:bCs w:val="0"/>
          <w:caps w:val="0"/>
          <w:smallCaps w:val="0"/>
          <w:kern w:val="2"/>
          <w:sz w:val="32"/>
          <w:szCs w:val="32"/>
          <w:lang w:val="en-US" w:eastAsia="zh-CN" w:bidi="ar-SA"/>
        </w:rPr>
        <w:t>1</w:t>
      </w:r>
      <w:r>
        <w:rPr>
          <w:rFonts w:hint="eastAsia" w:ascii="Times New Roman" w:eastAsia="仿宋_GB2312" w:cs="Times New Roman"/>
          <w:b w:val="0"/>
          <w:bCs w:val="0"/>
          <w:caps w:val="0"/>
          <w:smallCaps w:val="0"/>
          <w:kern w:val="2"/>
          <w:sz w:val="32"/>
          <w:szCs w:val="32"/>
          <w:lang w:val="en-US" w:eastAsia="zh-CN" w:bidi="ar-SA"/>
        </w:rPr>
        <w:t>0</w:t>
      </w:r>
    </w:p>
    <w:p w14:paraId="14CE72B4">
      <w:pPr>
        <w:pStyle w:val="21"/>
        <w:tabs>
          <w:tab w:val="left" w:pos="840"/>
          <w:tab w:val="right" w:leader="dot" w:pos="8296"/>
        </w:tabs>
        <w:ind w:left="0" w:leftChars="0"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八、政府性基金预算支出决算情况说明</w:t>
      </w:r>
      <w:r>
        <w:rPr>
          <w:rFonts w:hint="default" w:ascii="Times New Roman" w:hAnsi="Times New Roman" w:eastAsia="仿宋_GB2312" w:cs="Times New Roman"/>
          <w:b w:val="0"/>
          <w:bCs w:val="0"/>
          <w:caps w:val="0"/>
          <w:smallCaps w:val="0"/>
          <w:kern w:val="2"/>
          <w:sz w:val="32"/>
          <w:szCs w:val="32"/>
          <w:lang w:val="en-US" w:eastAsia="zh-CN" w:bidi="ar-SA"/>
        </w:rPr>
        <w:tab/>
      </w:r>
      <w:r>
        <w:rPr>
          <w:rFonts w:hint="default" w:ascii="Times New Roman" w:hAnsi="Times New Roman" w:eastAsia="仿宋_GB2312" w:cs="Times New Roman"/>
          <w:b w:val="0"/>
          <w:bCs w:val="0"/>
          <w:caps w:val="0"/>
          <w:smallCaps w:val="0"/>
          <w:kern w:val="2"/>
          <w:sz w:val="32"/>
          <w:szCs w:val="32"/>
          <w:lang w:val="en-US" w:eastAsia="zh-CN" w:bidi="ar-SA"/>
        </w:rPr>
        <w:t>1</w:t>
      </w:r>
      <w:r>
        <w:rPr>
          <w:rFonts w:hint="eastAsia" w:ascii="Times New Roman" w:eastAsia="仿宋_GB2312" w:cs="Times New Roman"/>
          <w:b w:val="0"/>
          <w:bCs w:val="0"/>
          <w:caps w:val="0"/>
          <w:smallCaps w:val="0"/>
          <w:kern w:val="2"/>
          <w:sz w:val="32"/>
          <w:szCs w:val="32"/>
          <w:lang w:val="en-US" w:eastAsia="zh-CN" w:bidi="ar-SA"/>
        </w:rPr>
        <w:t>1</w:t>
      </w:r>
    </w:p>
    <w:p w14:paraId="7091C207">
      <w:pPr>
        <w:pStyle w:val="21"/>
        <w:tabs>
          <w:tab w:val="left" w:pos="840"/>
          <w:tab w:val="right" w:leader="dot" w:pos="8296"/>
        </w:tabs>
        <w:ind w:left="0" w:leftChars="0"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九</w:t>
      </w:r>
      <w:r>
        <w:rPr>
          <w:rFonts w:hint="eastAsia" w:ascii="Times New Roman" w:eastAsia="仿宋_GB2312" w:cs="Times New Roman"/>
          <w:b w:val="0"/>
          <w:bCs w:val="0"/>
          <w:caps w:val="0"/>
          <w:smallCaps w:val="0"/>
          <w:kern w:val="2"/>
          <w:sz w:val="32"/>
          <w:szCs w:val="32"/>
          <w:lang w:val="en-US" w:eastAsia="zh-CN" w:bidi="ar-SA"/>
        </w:rPr>
        <w:t>、</w:t>
      </w:r>
      <w:r>
        <w:rPr>
          <w:rFonts w:hint="default" w:ascii="Times New Roman" w:hAnsi="Times New Roman" w:eastAsia="仿宋_GB2312" w:cs="Times New Roman"/>
          <w:b w:val="0"/>
          <w:bCs w:val="0"/>
          <w:caps w:val="0"/>
          <w:smallCaps w:val="0"/>
          <w:kern w:val="2"/>
          <w:sz w:val="32"/>
          <w:szCs w:val="32"/>
          <w:lang w:val="en-US" w:eastAsia="zh-CN" w:bidi="ar-SA"/>
        </w:rPr>
        <w:t>国有资本经营预算支出决算情况说明</w:t>
      </w:r>
      <w:r>
        <w:rPr>
          <w:rFonts w:hint="default" w:ascii="Times New Roman" w:hAnsi="Times New Roman" w:eastAsia="仿宋_GB2312" w:cs="Times New Roman"/>
          <w:b w:val="0"/>
          <w:bCs w:val="0"/>
          <w:caps w:val="0"/>
          <w:smallCaps w:val="0"/>
          <w:kern w:val="2"/>
          <w:sz w:val="32"/>
          <w:szCs w:val="32"/>
          <w:lang w:val="en-US" w:eastAsia="zh-CN" w:bidi="ar-SA"/>
        </w:rPr>
        <w:tab/>
      </w:r>
      <w:r>
        <w:rPr>
          <w:rFonts w:hint="default" w:ascii="Times New Roman" w:hAnsi="Times New Roman" w:eastAsia="仿宋_GB2312" w:cs="Times New Roman"/>
          <w:b w:val="0"/>
          <w:bCs w:val="0"/>
          <w:caps w:val="0"/>
          <w:smallCaps w:val="0"/>
          <w:kern w:val="2"/>
          <w:sz w:val="32"/>
          <w:szCs w:val="32"/>
          <w:lang w:val="en-US" w:eastAsia="zh-CN" w:bidi="ar-SA"/>
        </w:rPr>
        <w:t>1</w:t>
      </w:r>
      <w:r>
        <w:rPr>
          <w:rFonts w:hint="eastAsia" w:ascii="Times New Roman" w:eastAsia="仿宋_GB2312" w:cs="Times New Roman"/>
          <w:b w:val="0"/>
          <w:bCs w:val="0"/>
          <w:caps w:val="0"/>
          <w:smallCaps w:val="0"/>
          <w:kern w:val="2"/>
          <w:sz w:val="32"/>
          <w:szCs w:val="32"/>
          <w:lang w:val="en-US" w:eastAsia="zh-CN" w:bidi="ar-SA"/>
        </w:rPr>
        <w:t>1</w:t>
      </w:r>
    </w:p>
    <w:p w14:paraId="3D95D597">
      <w:pPr>
        <w:pStyle w:val="21"/>
        <w:tabs>
          <w:tab w:val="left" w:pos="840"/>
          <w:tab w:val="right" w:leader="dot" w:pos="8296"/>
        </w:tabs>
        <w:ind w:left="0" w:leftChars="0"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十、其他重要事项的情况说明</w:t>
      </w:r>
      <w:r>
        <w:rPr>
          <w:rFonts w:hint="default" w:ascii="Times New Roman" w:hAnsi="Times New Roman" w:eastAsia="仿宋_GB2312" w:cs="Times New Roman"/>
          <w:b w:val="0"/>
          <w:bCs w:val="0"/>
          <w:caps w:val="0"/>
          <w:smallCaps w:val="0"/>
          <w:kern w:val="2"/>
          <w:sz w:val="32"/>
          <w:szCs w:val="32"/>
          <w:lang w:val="en-US" w:eastAsia="zh-CN" w:bidi="ar-SA"/>
        </w:rPr>
        <w:tab/>
      </w:r>
      <w:r>
        <w:rPr>
          <w:rFonts w:hint="default" w:ascii="Times New Roman" w:hAnsi="Times New Roman" w:eastAsia="仿宋_GB2312" w:cs="Times New Roman"/>
          <w:b w:val="0"/>
          <w:bCs w:val="0"/>
          <w:caps w:val="0"/>
          <w:smallCaps w:val="0"/>
          <w:kern w:val="2"/>
          <w:sz w:val="32"/>
          <w:szCs w:val="32"/>
          <w:lang w:val="en-US" w:eastAsia="zh-CN" w:bidi="ar-SA"/>
        </w:rPr>
        <w:t>1</w:t>
      </w:r>
      <w:r>
        <w:rPr>
          <w:rFonts w:hint="eastAsia" w:ascii="Times New Roman" w:eastAsia="仿宋_GB2312" w:cs="Times New Roman"/>
          <w:b w:val="0"/>
          <w:bCs w:val="0"/>
          <w:caps w:val="0"/>
          <w:smallCaps w:val="0"/>
          <w:kern w:val="2"/>
          <w:sz w:val="32"/>
          <w:szCs w:val="32"/>
          <w:lang w:val="en-US" w:eastAsia="zh-CN" w:bidi="ar-SA"/>
        </w:rPr>
        <w:t>1</w:t>
      </w:r>
    </w:p>
    <w:p w14:paraId="182690A2">
      <w:pPr>
        <w:pStyle w:val="18"/>
        <w:tabs>
          <w:tab w:val="right" w:leader="dot" w:pos="8296"/>
        </w:tabs>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第三部分 名词解释</w:t>
      </w:r>
      <w:r>
        <w:rPr>
          <w:rFonts w:hint="default" w:ascii="Times New Roman" w:hAnsi="Times New Roman" w:eastAsia="仿宋_GB2312" w:cs="Times New Roman"/>
          <w:b w:val="0"/>
          <w:bCs w:val="0"/>
          <w:caps w:val="0"/>
          <w:smallCaps w:val="0"/>
          <w:kern w:val="2"/>
          <w:sz w:val="32"/>
          <w:szCs w:val="32"/>
          <w:lang w:val="en-US" w:eastAsia="zh-CN" w:bidi="ar-SA"/>
        </w:rPr>
        <w:tab/>
      </w:r>
      <w:r>
        <w:rPr>
          <w:rFonts w:hint="default" w:ascii="Times New Roman" w:hAnsi="Times New Roman" w:eastAsia="仿宋_GB2312" w:cs="Times New Roman"/>
          <w:b w:val="0"/>
          <w:bCs w:val="0"/>
          <w:caps w:val="0"/>
          <w:smallCaps w:val="0"/>
          <w:kern w:val="2"/>
          <w:sz w:val="32"/>
          <w:szCs w:val="32"/>
          <w:lang w:val="en-US" w:eastAsia="zh-CN" w:bidi="ar-SA"/>
        </w:rPr>
        <w:t>1</w:t>
      </w:r>
      <w:r>
        <w:rPr>
          <w:rFonts w:hint="eastAsia" w:ascii="Times New Roman" w:eastAsia="仿宋_GB2312" w:cs="Times New Roman"/>
          <w:b w:val="0"/>
          <w:bCs w:val="0"/>
          <w:caps w:val="0"/>
          <w:smallCaps w:val="0"/>
          <w:kern w:val="2"/>
          <w:sz w:val="32"/>
          <w:szCs w:val="32"/>
          <w:lang w:val="en-US" w:eastAsia="zh-CN" w:bidi="ar-SA"/>
        </w:rPr>
        <w:t>2</w:t>
      </w:r>
    </w:p>
    <w:p w14:paraId="3FF5167A">
      <w:pPr>
        <w:pStyle w:val="18"/>
        <w:tabs>
          <w:tab w:val="right" w:leader="dot" w:pos="8296"/>
        </w:tabs>
        <w:rPr>
          <w:rFonts w:hint="default" w:asci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第四部分 附</w:t>
      </w:r>
      <w:r>
        <w:rPr>
          <w:rFonts w:hint="eastAsia" w:ascii="Times New Roman" w:eastAsia="仿宋_GB2312" w:cs="Times New Roman"/>
          <w:b w:val="0"/>
          <w:bCs w:val="0"/>
          <w:caps w:val="0"/>
          <w:smallCaps w:val="0"/>
          <w:kern w:val="2"/>
          <w:sz w:val="32"/>
          <w:szCs w:val="32"/>
          <w:lang w:val="en-US" w:eastAsia="zh-CN" w:bidi="ar-SA"/>
        </w:rPr>
        <w:t>件</w:t>
      </w:r>
      <w:r>
        <w:rPr>
          <w:rFonts w:hint="default" w:ascii="Times New Roman" w:hAnsi="Times New Roman" w:eastAsia="仿宋_GB2312" w:cs="Times New Roman"/>
          <w:b w:val="0"/>
          <w:bCs w:val="0"/>
          <w:caps w:val="0"/>
          <w:smallCaps w:val="0"/>
          <w:kern w:val="2"/>
          <w:sz w:val="32"/>
          <w:szCs w:val="32"/>
          <w:lang w:val="en-US" w:eastAsia="zh-CN" w:bidi="ar-SA"/>
        </w:rPr>
        <w:tab/>
      </w:r>
      <w:r>
        <w:rPr>
          <w:rFonts w:hint="default" w:ascii="Times New Roman" w:hAnsi="Times New Roman" w:eastAsia="仿宋_GB2312" w:cs="Times New Roman"/>
          <w:b w:val="0"/>
          <w:bCs w:val="0"/>
          <w:caps w:val="0"/>
          <w:smallCaps w:val="0"/>
          <w:kern w:val="2"/>
          <w:sz w:val="32"/>
          <w:szCs w:val="32"/>
          <w:lang w:val="en-US" w:eastAsia="zh-CN" w:bidi="ar-SA"/>
        </w:rPr>
        <w:t>1</w:t>
      </w:r>
      <w:r>
        <w:rPr>
          <w:rFonts w:hint="eastAsia" w:ascii="Times New Roman" w:eastAsia="仿宋_GB2312" w:cs="Times New Roman"/>
          <w:b w:val="0"/>
          <w:bCs w:val="0"/>
          <w:caps w:val="0"/>
          <w:smallCaps w:val="0"/>
          <w:kern w:val="2"/>
          <w:sz w:val="32"/>
          <w:szCs w:val="32"/>
          <w:lang w:val="en-US" w:eastAsia="zh-CN" w:bidi="ar-SA"/>
        </w:rPr>
        <w:t>5</w:t>
      </w:r>
    </w:p>
    <w:p w14:paraId="0D661ED8">
      <w:pPr>
        <w:rPr>
          <w:rFonts w:hint="default"/>
          <w:lang w:val="en-US" w:eastAsia="zh-CN"/>
        </w:rPr>
      </w:pPr>
      <w:r>
        <w:rPr>
          <w:rFonts w:hint="eastAsia" w:eastAsia="仿宋_GB2312" w:cs="Times New Roman"/>
          <w:b w:val="0"/>
          <w:bCs w:val="0"/>
          <w:caps w:val="0"/>
          <w:smallCaps w:val="0"/>
          <w:kern w:val="2"/>
          <w:sz w:val="32"/>
          <w:szCs w:val="32"/>
          <w:lang w:val="en-US" w:eastAsia="zh-CN" w:bidi="ar-SA"/>
        </w:rPr>
        <w:t>第五部分 附表.........................................................................20</w:t>
      </w:r>
    </w:p>
    <w:p w14:paraId="5EA4CC5F">
      <w:pPr>
        <w:pStyle w:val="21"/>
        <w:tabs>
          <w:tab w:val="right" w:leader="dot" w:pos="8296"/>
        </w:tabs>
        <w:ind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一、收入支出决算总表</w:t>
      </w:r>
      <w:r>
        <w:rPr>
          <w:rFonts w:hint="eastAsia" w:ascii="Times New Roman" w:eastAsia="仿宋_GB2312" w:cs="Times New Roman"/>
          <w:b w:val="0"/>
          <w:bCs w:val="0"/>
          <w:caps w:val="0"/>
          <w:smallCaps w:val="0"/>
          <w:kern w:val="2"/>
          <w:sz w:val="32"/>
          <w:szCs w:val="32"/>
          <w:lang w:val="en-US" w:eastAsia="zh-CN" w:bidi="ar-SA"/>
        </w:rPr>
        <w:t>.................................................20</w:t>
      </w:r>
    </w:p>
    <w:p w14:paraId="12C4D841">
      <w:pPr>
        <w:pStyle w:val="21"/>
        <w:tabs>
          <w:tab w:val="right" w:leader="dot" w:pos="8296"/>
        </w:tabs>
        <w:ind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二、收入决算表</w:t>
      </w:r>
      <w:r>
        <w:rPr>
          <w:rFonts w:hint="eastAsia" w:ascii="Times New Roman" w:eastAsia="仿宋_GB2312" w:cs="Times New Roman"/>
          <w:b w:val="0"/>
          <w:bCs w:val="0"/>
          <w:caps w:val="0"/>
          <w:smallCaps w:val="0"/>
          <w:kern w:val="2"/>
          <w:sz w:val="32"/>
          <w:szCs w:val="32"/>
          <w:lang w:val="en-US" w:eastAsia="zh-CN" w:bidi="ar-SA"/>
        </w:rPr>
        <w:t>.............................................................20</w:t>
      </w:r>
    </w:p>
    <w:p w14:paraId="0D88FFF2">
      <w:pPr>
        <w:pStyle w:val="21"/>
        <w:tabs>
          <w:tab w:val="right" w:leader="dot" w:pos="8296"/>
        </w:tabs>
        <w:ind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三、支出决算表</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20</w:t>
      </w:r>
    </w:p>
    <w:p w14:paraId="022254D9">
      <w:pPr>
        <w:pStyle w:val="21"/>
        <w:tabs>
          <w:tab w:val="right" w:leader="dot" w:pos="8296"/>
        </w:tabs>
        <w:ind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四、财政拨款收入支出决算总表</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20</w:t>
      </w:r>
    </w:p>
    <w:p w14:paraId="3007BB70">
      <w:pPr>
        <w:pStyle w:val="21"/>
        <w:tabs>
          <w:tab w:val="right" w:leader="dot" w:pos="8296"/>
        </w:tabs>
        <w:ind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五、财政拨款支出决算明细表</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20</w:t>
      </w:r>
    </w:p>
    <w:p w14:paraId="0342A1AD">
      <w:pPr>
        <w:pStyle w:val="21"/>
        <w:tabs>
          <w:tab w:val="right" w:leader="dot" w:pos="8296"/>
        </w:tabs>
        <w:ind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六、一般公共预算财政拨款支出决算表</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20</w:t>
      </w:r>
    </w:p>
    <w:p w14:paraId="2B9A7D57">
      <w:pPr>
        <w:pStyle w:val="21"/>
        <w:tabs>
          <w:tab w:val="right" w:leader="dot" w:pos="8296"/>
        </w:tabs>
        <w:ind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七、一般公共预算财政拨款支出决算明细表</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20</w:t>
      </w:r>
    </w:p>
    <w:p w14:paraId="1F7E1877">
      <w:pPr>
        <w:pStyle w:val="21"/>
        <w:tabs>
          <w:tab w:val="right" w:leader="dot" w:pos="8296"/>
        </w:tabs>
        <w:ind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八、一般公共预算财政拨款基本支出决算表</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20</w:t>
      </w:r>
    </w:p>
    <w:p w14:paraId="3216ADC2">
      <w:pPr>
        <w:pStyle w:val="21"/>
        <w:tabs>
          <w:tab w:val="right" w:leader="dot" w:pos="8296"/>
        </w:tabs>
        <w:ind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九、一般公共预算财政拨款项目支出决算表</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20</w:t>
      </w:r>
    </w:p>
    <w:p w14:paraId="5BAD03F6">
      <w:pPr>
        <w:pStyle w:val="21"/>
        <w:tabs>
          <w:tab w:val="right" w:leader="dot" w:pos="8296"/>
        </w:tabs>
        <w:ind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十、政府性基金预算财政拨款收入支出决算表</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20</w:t>
      </w:r>
    </w:p>
    <w:p w14:paraId="0D84BD5A">
      <w:pPr>
        <w:pStyle w:val="21"/>
        <w:tabs>
          <w:tab w:val="right" w:leader="dot" w:pos="8296"/>
        </w:tabs>
        <w:ind w:firstLine="640" w:firstLineChars="200"/>
        <w:rPr>
          <w:rFonts w:hint="default" w:asci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十</w:t>
      </w:r>
      <w:r>
        <w:rPr>
          <w:rFonts w:hint="eastAsia" w:ascii="Times New Roman" w:eastAsia="仿宋_GB2312" w:cs="Times New Roman"/>
          <w:b w:val="0"/>
          <w:bCs w:val="0"/>
          <w:caps w:val="0"/>
          <w:smallCaps w:val="0"/>
          <w:kern w:val="2"/>
          <w:sz w:val="32"/>
          <w:szCs w:val="32"/>
          <w:lang w:val="en-US" w:eastAsia="zh-CN" w:bidi="ar-SA"/>
        </w:rPr>
        <w:t>一</w:t>
      </w:r>
      <w:r>
        <w:rPr>
          <w:rFonts w:hint="default" w:ascii="Times New Roman" w:hAnsi="Times New Roman" w:eastAsia="仿宋_GB2312" w:cs="Times New Roman"/>
          <w:b w:val="0"/>
          <w:bCs w:val="0"/>
          <w:caps w:val="0"/>
          <w:smallCaps w:val="0"/>
          <w:kern w:val="2"/>
          <w:sz w:val="32"/>
          <w:szCs w:val="32"/>
          <w:lang w:val="en-US" w:eastAsia="zh-CN" w:bidi="ar-SA"/>
        </w:rPr>
        <w:t>、</w:t>
      </w:r>
      <w:r>
        <w:rPr>
          <w:rFonts w:hint="eastAsia" w:ascii="Times New Roman" w:eastAsia="仿宋_GB2312" w:cs="Times New Roman"/>
          <w:b w:val="0"/>
          <w:bCs w:val="0"/>
          <w:caps w:val="0"/>
          <w:smallCaps w:val="0"/>
          <w:kern w:val="2"/>
          <w:sz w:val="32"/>
          <w:szCs w:val="32"/>
          <w:lang w:val="en-US" w:eastAsia="zh-CN" w:bidi="ar-SA"/>
        </w:rPr>
        <w:t>国有资本经营预算财政拨款收入支出决算表.</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20</w:t>
      </w:r>
    </w:p>
    <w:p w14:paraId="57E52A85">
      <w:pPr>
        <w:pStyle w:val="21"/>
        <w:tabs>
          <w:tab w:val="right" w:leader="dot" w:pos="8296"/>
        </w:tabs>
        <w:ind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eastAsia" w:ascii="Times New Roman" w:hAnsi="Times New Roman" w:eastAsia="仿宋_GB2312" w:cs="Times New Roman"/>
          <w:b w:val="0"/>
          <w:bCs w:val="0"/>
          <w:caps w:val="0"/>
          <w:smallCaps w:val="0"/>
          <w:kern w:val="2"/>
          <w:sz w:val="32"/>
          <w:szCs w:val="32"/>
          <w:lang w:val="en-US" w:eastAsia="zh-CN" w:bidi="ar-SA"/>
        </w:rPr>
        <w:t>十二、国有资本经营预算财政拨款支出决算表.........</w:t>
      </w:r>
      <w:r>
        <w:rPr>
          <w:rFonts w:hint="eastAsia" w:ascii="Times New Roman" w:eastAsia="仿宋_GB2312" w:cs="Times New Roman"/>
          <w:b w:val="0"/>
          <w:bCs w:val="0"/>
          <w:caps w:val="0"/>
          <w:smallCaps w:val="0"/>
          <w:kern w:val="2"/>
          <w:sz w:val="32"/>
          <w:szCs w:val="32"/>
          <w:lang w:val="en-US" w:eastAsia="zh-CN" w:bidi="ar-SA"/>
        </w:rPr>
        <w:t>20</w:t>
      </w:r>
    </w:p>
    <w:p w14:paraId="2DB7083C">
      <w:pPr>
        <w:pStyle w:val="21"/>
        <w:tabs>
          <w:tab w:val="right" w:leader="dot" w:pos="8296"/>
        </w:tabs>
        <w:ind w:firstLine="640" w:firstLineChars="200"/>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t>十</w:t>
      </w:r>
      <w:r>
        <w:rPr>
          <w:rFonts w:hint="eastAsia" w:ascii="Times New Roman" w:eastAsia="仿宋_GB2312" w:cs="Times New Roman"/>
          <w:b w:val="0"/>
          <w:bCs w:val="0"/>
          <w:caps w:val="0"/>
          <w:smallCaps w:val="0"/>
          <w:kern w:val="2"/>
          <w:sz w:val="32"/>
          <w:szCs w:val="32"/>
          <w:lang w:val="en-US" w:eastAsia="zh-CN" w:bidi="ar-SA"/>
        </w:rPr>
        <w:t>三</w:t>
      </w:r>
      <w:r>
        <w:rPr>
          <w:rFonts w:hint="default" w:ascii="Times New Roman" w:hAnsi="Times New Roman" w:eastAsia="仿宋_GB2312" w:cs="Times New Roman"/>
          <w:b w:val="0"/>
          <w:bCs w:val="0"/>
          <w:caps w:val="0"/>
          <w:smallCaps w:val="0"/>
          <w:kern w:val="2"/>
          <w:sz w:val="32"/>
          <w:szCs w:val="32"/>
          <w:lang w:val="en-US" w:eastAsia="zh-CN" w:bidi="ar-SA"/>
        </w:rPr>
        <w:t>、财政拨款“三公”经费支出决算</w:t>
      </w:r>
      <w:r>
        <w:rPr>
          <w:rFonts w:hint="eastAsia" w:ascii="Times New Roman" w:eastAsia="仿宋_GB2312" w:cs="Times New Roman"/>
          <w:b w:val="0"/>
          <w:bCs w:val="0"/>
          <w:caps w:val="0"/>
          <w:smallCaps w:val="0"/>
          <w:kern w:val="2"/>
          <w:sz w:val="32"/>
          <w:szCs w:val="32"/>
          <w:lang w:val="en-US" w:eastAsia="zh-CN" w:bidi="ar-SA"/>
        </w:rPr>
        <w:t>表</w:t>
      </w:r>
      <w:r>
        <w:rPr>
          <w:rFonts w:hint="default" w:ascii="Times New Roman" w:hAnsi="Times New Roman" w:eastAsia="仿宋_GB2312" w:cs="Times New Roman"/>
          <w:b w:val="0"/>
          <w:bCs w:val="0"/>
          <w:caps w:val="0"/>
          <w:smallCaps w:val="0"/>
          <w:kern w:val="2"/>
          <w:sz w:val="32"/>
          <w:szCs w:val="32"/>
          <w:lang w:val="en-US" w:eastAsia="zh-CN" w:bidi="ar-SA"/>
        </w:rPr>
        <w:tab/>
      </w:r>
      <w:r>
        <w:rPr>
          <w:rFonts w:hint="eastAsia" w:ascii="Times New Roman" w:eastAsia="仿宋_GB2312" w:cs="Times New Roman"/>
          <w:b w:val="0"/>
          <w:bCs w:val="0"/>
          <w:caps w:val="0"/>
          <w:smallCaps w:val="0"/>
          <w:kern w:val="2"/>
          <w:sz w:val="32"/>
          <w:szCs w:val="32"/>
          <w:lang w:val="en-US" w:eastAsia="zh-CN" w:bidi="ar-SA"/>
        </w:rPr>
        <w:t>20</w:t>
      </w:r>
    </w:p>
    <w:p w14:paraId="018A0B43">
      <w:pPr>
        <w:pStyle w:val="21"/>
        <w:tabs>
          <w:tab w:val="right" w:leader="dot" w:pos="8296"/>
        </w:tabs>
        <w:rPr>
          <w:rFonts w:hint="default" w:ascii="Times New Roman" w:hAnsi="Times New Roman" w:eastAsia="仿宋_GB2312" w:cs="Times New Roman"/>
          <w:b w:val="0"/>
          <w:bCs w:val="0"/>
          <w:caps w:val="0"/>
          <w:smallCaps w:val="0"/>
          <w:kern w:val="2"/>
          <w:sz w:val="32"/>
          <w:szCs w:val="32"/>
          <w:lang w:val="en-US" w:eastAsia="zh-CN" w:bidi="ar-SA"/>
        </w:rPr>
      </w:pPr>
    </w:p>
    <w:p w14:paraId="25374449">
      <w:pPr>
        <w:rPr>
          <w:rFonts w:hint="default" w:ascii="Times New Roman" w:hAnsi="Times New Roman" w:eastAsia="仿宋_GB2312" w:cs="Times New Roman"/>
          <w:b w:val="0"/>
          <w:bCs w:val="0"/>
          <w:caps w:val="0"/>
          <w:smallCaps w:val="0"/>
          <w:kern w:val="2"/>
          <w:sz w:val="32"/>
          <w:szCs w:val="32"/>
          <w:lang w:val="en-US" w:eastAsia="zh-CN" w:bidi="ar-SA"/>
        </w:rPr>
      </w:pPr>
      <w:r>
        <w:rPr>
          <w:rFonts w:hint="default" w:ascii="Times New Roman" w:hAnsi="Times New Roman" w:eastAsia="仿宋_GB2312" w:cs="Times New Roman"/>
          <w:b w:val="0"/>
          <w:bCs w:val="0"/>
          <w:caps w:val="0"/>
          <w:smallCaps w:val="0"/>
          <w:kern w:val="2"/>
          <w:sz w:val="32"/>
          <w:szCs w:val="32"/>
          <w:lang w:val="en-US" w:eastAsia="zh-CN" w:bidi="ar-SA"/>
        </w:rPr>
        <w:fldChar w:fldCharType="end"/>
      </w:r>
      <w:bookmarkStart w:id="13" w:name="_Toc15377196"/>
      <w:bookmarkStart w:id="14" w:name="_Toc79163851"/>
      <w:bookmarkStart w:id="15" w:name="_Toc79163601"/>
      <w:bookmarkStart w:id="16" w:name="_Toc15396599"/>
    </w:p>
    <w:p w14:paraId="26D22BA4">
      <w:pPr>
        <w:pStyle w:val="10"/>
        <w:rPr>
          <w:rFonts w:hint="default" w:ascii="Times New Roman" w:hAnsi="Times New Roman" w:eastAsia="仿宋" w:cs="Times New Roman"/>
          <w:b w:val="0"/>
          <w:bCs w:val="0"/>
          <w:caps w:val="0"/>
          <w:smallCaps/>
          <w:color w:val="000000"/>
          <w:kern w:val="2"/>
          <w:sz w:val="30"/>
          <w:szCs w:val="30"/>
          <w:lang w:val="en-US" w:eastAsia="zh-CN" w:bidi="ar-SA"/>
        </w:rPr>
      </w:pPr>
    </w:p>
    <w:p w14:paraId="6169AAD7">
      <w:pPr>
        <w:pStyle w:val="11"/>
        <w:rPr>
          <w:rFonts w:hint="default" w:ascii="Times New Roman" w:hAnsi="Times New Roman" w:eastAsia="仿宋" w:cs="Times New Roman"/>
          <w:b w:val="0"/>
          <w:bCs w:val="0"/>
          <w:caps w:val="0"/>
          <w:smallCaps/>
          <w:color w:val="000000"/>
          <w:kern w:val="2"/>
          <w:sz w:val="30"/>
          <w:szCs w:val="30"/>
          <w:lang w:val="en-US" w:eastAsia="zh-CN" w:bidi="ar-SA"/>
        </w:rPr>
      </w:pPr>
    </w:p>
    <w:p w14:paraId="15BEB5A7">
      <w:pPr>
        <w:pStyle w:val="11"/>
        <w:rPr>
          <w:rFonts w:hint="default" w:ascii="Times New Roman" w:hAnsi="Times New Roman" w:eastAsia="仿宋" w:cs="Times New Roman"/>
          <w:b w:val="0"/>
          <w:bCs w:val="0"/>
          <w:caps w:val="0"/>
          <w:smallCaps/>
          <w:color w:val="000000"/>
          <w:kern w:val="2"/>
          <w:sz w:val="30"/>
          <w:szCs w:val="30"/>
          <w:lang w:val="en-US" w:eastAsia="zh-CN" w:bidi="ar-SA"/>
        </w:rPr>
      </w:pPr>
    </w:p>
    <w:p w14:paraId="02784FEB">
      <w:pPr>
        <w:pStyle w:val="11"/>
        <w:rPr>
          <w:rFonts w:hint="default" w:ascii="Times New Roman" w:hAnsi="Times New Roman" w:eastAsia="仿宋" w:cs="Times New Roman"/>
          <w:b w:val="0"/>
          <w:bCs w:val="0"/>
          <w:caps w:val="0"/>
          <w:smallCaps/>
          <w:color w:val="000000"/>
          <w:kern w:val="2"/>
          <w:sz w:val="30"/>
          <w:szCs w:val="30"/>
          <w:lang w:val="en-US" w:eastAsia="zh-CN" w:bidi="ar-SA"/>
        </w:rPr>
      </w:pPr>
    </w:p>
    <w:p w14:paraId="081A1522">
      <w:pPr>
        <w:pStyle w:val="11"/>
        <w:rPr>
          <w:rFonts w:hint="default" w:ascii="Times New Roman" w:hAnsi="Times New Roman" w:eastAsia="仿宋" w:cs="Times New Roman"/>
          <w:b w:val="0"/>
          <w:bCs w:val="0"/>
          <w:caps w:val="0"/>
          <w:smallCaps/>
          <w:color w:val="000000"/>
          <w:kern w:val="2"/>
          <w:sz w:val="30"/>
          <w:szCs w:val="30"/>
          <w:lang w:val="en-US" w:eastAsia="zh-CN" w:bidi="ar-SA"/>
        </w:rPr>
      </w:pPr>
    </w:p>
    <w:p w14:paraId="6E627ACB">
      <w:pPr>
        <w:pStyle w:val="11"/>
        <w:rPr>
          <w:rFonts w:hint="default" w:ascii="Times New Roman" w:hAnsi="Times New Roman" w:eastAsia="仿宋" w:cs="Times New Roman"/>
          <w:b w:val="0"/>
          <w:bCs w:val="0"/>
          <w:caps w:val="0"/>
          <w:smallCaps/>
          <w:color w:val="000000"/>
          <w:kern w:val="2"/>
          <w:sz w:val="30"/>
          <w:szCs w:val="30"/>
          <w:lang w:val="en-US" w:eastAsia="zh-CN" w:bidi="ar-SA"/>
        </w:rPr>
      </w:pPr>
    </w:p>
    <w:p w14:paraId="6341408F">
      <w:pPr>
        <w:pStyle w:val="11"/>
        <w:rPr>
          <w:rFonts w:hint="default" w:ascii="Times New Roman" w:hAnsi="Times New Roman" w:eastAsia="仿宋" w:cs="Times New Roman"/>
          <w:b w:val="0"/>
          <w:bCs w:val="0"/>
          <w:caps w:val="0"/>
          <w:smallCaps/>
          <w:color w:val="000000"/>
          <w:kern w:val="2"/>
          <w:sz w:val="30"/>
          <w:szCs w:val="30"/>
          <w:lang w:val="en-US" w:eastAsia="zh-CN" w:bidi="ar-SA"/>
        </w:rPr>
      </w:pPr>
    </w:p>
    <w:p w14:paraId="32806251">
      <w:pPr>
        <w:pStyle w:val="3"/>
        <w:jc w:val="center"/>
        <w:rPr>
          <w:rFonts w:hint="default" w:ascii="Times New Roman" w:hAnsi="Times New Roman" w:eastAsia="黑体" w:cs="Times New Roman"/>
          <w:color w:val="000000"/>
          <w:sz w:val="32"/>
          <w:szCs w:val="32"/>
        </w:rPr>
      </w:pPr>
      <w:r>
        <w:rPr>
          <w:rFonts w:hint="default" w:ascii="Times New Roman" w:hAnsi="Times New Roman" w:eastAsia="黑体" w:cs="Times New Roman"/>
          <w:b w:val="0"/>
        </w:rPr>
        <w:t xml:space="preserve">第一部分 </w:t>
      </w:r>
      <w:r>
        <w:rPr>
          <w:rStyle w:val="29"/>
          <w:rFonts w:hint="default" w:ascii="Times New Roman" w:hAnsi="Times New Roman" w:eastAsia="黑体" w:cs="Times New Roman"/>
          <w:b w:val="0"/>
          <w:bCs w:val="0"/>
        </w:rPr>
        <w:t>部门概况</w:t>
      </w:r>
      <w:bookmarkEnd w:id="13"/>
      <w:bookmarkEnd w:id="14"/>
      <w:bookmarkEnd w:id="15"/>
      <w:bookmarkEnd w:id="16"/>
    </w:p>
    <w:p w14:paraId="4FB13F62">
      <w:pPr>
        <w:pStyle w:val="4"/>
        <w:numPr>
          <w:ilvl w:val="0"/>
          <w:numId w:val="0"/>
        </w:numPr>
        <w:ind w:leftChars="0" w:firstLine="640" w:firstLineChars="200"/>
        <w:rPr>
          <w:rStyle w:val="30"/>
          <w:rFonts w:hint="default" w:ascii="Times New Roman" w:hAnsi="Times New Roman" w:eastAsia="黑体" w:cs="Times New Roman"/>
          <w:b w:val="0"/>
          <w:bCs w:val="0"/>
        </w:rPr>
      </w:pPr>
      <w:bookmarkStart w:id="17" w:name="_Toc79163602"/>
      <w:bookmarkStart w:id="18" w:name="_Toc15396600"/>
      <w:bookmarkStart w:id="19" w:name="_Toc79163852"/>
      <w:bookmarkStart w:id="20" w:name="_Toc15377197"/>
      <w:r>
        <w:rPr>
          <w:rFonts w:hint="default" w:ascii="Times New Roman" w:hAnsi="Times New Roman" w:eastAsia="黑体" w:cs="Times New Roman"/>
          <w:b w:val="0"/>
          <w:color w:val="000000"/>
          <w:lang w:eastAsia="zh-CN"/>
        </w:rPr>
        <w:t>一、</w:t>
      </w:r>
      <w:bookmarkEnd w:id="17"/>
      <w:bookmarkEnd w:id="18"/>
      <w:bookmarkEnd w:id="19"/>
      <w:bookmarkEnd w:id="20"/>
      <w:r>
        <w:rPr>
          <w:rFonts w:hint="eastAsia" w:ascii="Times New Roman" w:hAnsi="Times New Roman" w:eastAsia="黑体" w:cs="Times New Roman"/>
          <w:b w:val="0"/>
          <w:color w:val="000000"/>
          <w:lang w:eastAsia="zh-CN"/>
        </w:rPr>
        <w:t>部门职责</w:t>
      </w:r>
    </w:p>
    <w:p w14:paraId="6C641852">
      <w:pPr>
        <w:ind w:firstLine="803" w:firstLineChars="250"/>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(一)主要职能</w:t>
      </w:r>
    </w:p>
    <w:p w14:paraId="7BC9C23E">
      <w:pPr>
        <w:spacing w:line="580" w:lineRule="exact"/>
        <w:ind w:firstLine="640" w:firstLineChars="200"/>
        <w:rPr>
          <w:rFonts w:hint="default" w:ascii="Times New Roman" w:hAnsi="Times New Roman" w:eastAsia="仿宋_GB2312" w:cs="Times New Roman"/>
          <w:sz w:val="32"/>
          <w:szCs w:val="32"/>
        </w:rPr>
      </w:pPr>
      <w:bookmarkStart w:id="21" w:name="_Toc15377199"/>
      <w:bookmarkStart w:id="22" w:name="_Toc79163854"/>
      <w:bookmarkStart w:id="23" w:name="_Toc15378446"/>
      <w:bookmarkStart w:id="24" w:name="_Toc79163604"/>
      <w:r>
        <w:rPr>
          <w:rFonts w:hint="default" w:ascii="Times New Roman" w:hAnsi="Times New Roman" w:eastAsia="仿宋_GB2312" w:cs="Times New Roman"/>
          <w:sz w:val="32"/>
          <w:szCs w:val="32"/>
        </w:rPr>
        <w:t>1.负责建立健全生态环境保护监督管理制度。贯彻落实生态环境保护方面的法律法规和国家、省、州标准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贯彻执行生态环境监测制度、规范和有关标准。会同有关部门统一规划生态环境质量监测站点设置。组织实施生态环境质量监测、污染源监督性监测、温室气体减排监测、应急监测。组织开展生态环境质量状况的调查评价、预警预测。依法公开环境质量、环境监测等环境信息。</w:t>
      </w:r>
    </w:p>
    <w:p w14:paraId="028FA507">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.完成州生态环境监测中心站交办的</w:t>
      </w:r>
      <w:r>
        <w:rPr>
          <w:rFonts w:hint="default" w:ascii="Times New Roman" w:hAnsi="Times New Roman" w:eastAsia="仿宋_GB2312" w:cs="Times New Roman"/>
          <w:sz w:val="32"/>
          <w:szCs w:val="32"/>
          <w:lang w:eastAsia="zh-CN"/>
        </w:rPr>
        <w:t>各项工作</w:t>
      </w:r>
      <w:r>
        <w:rPr>
          <w:rFonts w:hint="default" w:ascii="Times New Roman" w:hAnsi="Times New Roman" w:eastAsia="仿宋_GB2312" w:cs="Times New Roman"/>
          <w:sz w:val="32"/>
          <w:szCs w:val="32"/>
        </w:rPr>
        <w:t>任务</w:t>
      </w:r>
      <w:r>
        <w:rPr>
          <w:rFonts w:hint="default" w:ascii="Times New Roman" w:hAnsi="Times New Roman" w:eastAsia="仿宋_GB2312" w:cs="Times New Roman"/>
          <w:sz w:val="32"/>
          <w:szCs w:val="32"/>
          <w:lang w:eastAsia="zh-CN"/>
        </w:rPr>
        <w:t>，同时积极配合县生态环境局完成其他环境监测工作</w:t>
      </w:r>
      <w:r>
        <w:rPr>
          <w:rFonts w:hint="default" w:ascii="Times New Roman" w:hAnsi="Times New Roman" w:eastAsia="仿宋_GB2312" w:cs="Times New Roman"/>
          <w:sz w:val="32"/>
          <w:szCs w:val="32"/>
        </w:rPr>
        <w:t>。</w:t>
      </w:r>
    </w:p>
    <w:p w14:paraId="1650F2D1">
      <w:pPr>
        <w:spacing w:line="580" w:lineRule="exact"/>
        <w:ind w:firstLine="640" w:firstLineChars="200"/>
        <w:rPr>
          <w:rFonts w:hint="default" w:ascii="Times New Roman" w:hAnsi="Times New Roman" w:cs="Times New Roman"/>
          <w:kern w:val="2"/>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配合</w:t>
      </w:r>
      <w:r>
        <w:rPr>
          <w:rFonts w:hint="default" w:ascii="Times New Roman" w:hAnsi="Times New Roman" w:eastAsia="仿宋_GB2312" w:cs="Times New Roman"/>
          <w:sz w:val="32"/>
          <w:szCs w:val="32"/>
          <w:lang w:eastAsia="zh-CN"/>
        </w:rPr>
        <w:t>相关</w:t>
      </w:r>
      <w:r>
        <w:rPr>
          <w:rFonts w:hint="default" w:ascii="Times New Roman" w:hAnsi="Times New Roman" w:eastAsia="仿宋_GB2312" w:cs="Times New Roman"/>
          <w:sz w:val="32"/>
          <w:szCs w:val="32"/>
        </w:rPr>
        <w:t>部门做好组织实施和监督工作</w:t>
      </w:r>
      <w:r>
        <w:rPr>
          <w:rFonts w:hint="default" w:ascii="Times New Roman" w:hAnsi="Times New Roman" w:eastAsia="仿宋_GB2312" w:cs="Times New Roman"/>
          <w:sz w:val="32"/>
          <w:szCs w:val="32"/>
          <w:lang w:eastAsia="zh-CN"/>
        </w:rPr>
        <w:t>，积极</w:t>
      </w:r>
      <w:r>
        <w:rPr>
          <w:rFonts w:hint="default" w:ascii="Times New Roman" w:hAnsi="Times New Roman" w:eastAsia="仿宋_GB2312" w:cs="Times New Roman"/>
          <w:sz w:val="32"/>
          <w:szCs w:val="32"/>
        </w:rPr>
        <w:t>参与指导推动循环经济和生态环保产业发展。</w:t>
      </w:r>
    </w:p>
    <w:p w14:paraId="2DA5FB95">
      <w:pPr>
        <w:widowControl/>
        <w:adjustRightInd w:val="0"/>
        <w:snapToGrid w:val="0"/>
        <w:spacing w:line="600" w:lineRule="exact"/>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4.完成生态环境局交办的其他各项工作任务。</w:t>
      </w:r>
    </w:p>
    <w:p w14:paraId="6758707D">
      <w:pPr>
        <w:pStyle w:val="8"/>
        <w:adjustRightInd w:val="0"/>
        <w:snapToGrid w:val="0"/>
        <w:spacing w:before="93" w:line="600" w:lineRule="exact"/>
        <w:ind w:firstLine="675" w:firstLineChars="210"/>
        <w:outlineLvl w:val="2"/>
        <w:rPr>
          <w:rFonts w:hint="default" w:ascii="Times New Roman" w:hAnsi="Times New Roman" w:eastAsia="仿宋" w:cs="Times New Roman"/>
          <w:b/>
          <w:bCs/>
          <w:color w:val="000000"/>
          <w:sz w:val="32"/>
          <w:szCs w:val="32"/>
        </w:rPr>
      </w:pPr>
      <w:r>
        <w:rPr>
          <w:rFonts w:hint="default" w:ascii="Times New Roman" w:hAnsi="Times New Roman" w:eastAsia="仿宋" w:cs="Times New Roman"/>
          <w:b/>
          <w:bCs/>
          <w:color w:val="000000"/>
          <w:sz w:val="32"/>
          <w:szCs w:val="32"/>
        </w:rPr>
        <w:t>（二）202</w:t>
      </w:r>
      <w:r>
        <w:rPr>
          <w:rFonts w:hint="eastAsia" w:ascii="Times New Roman" w:eastAsia="仿宋" w:cs="Times New Roman"/>
          <w:b/>
          <w:bCs/>
          <w:color w:val="000000"/>
          <w:sz w:val="32"/>
          <w:szCs w:val="32"/>
          <w:lang w:val="en-US" w:eastAsia="zh-CN"/>
        </w:rPr>
        <w:t>5</w:t>
      </w:r>
      <w:r>
        <w:rPr>
          <w:rFonts w:hint="default" w:ascii="Times New Roman" w:hAnsi="Times New Roman" w:eastAsia="仿宋" w:cs="Times New Roman"/>
          <w:b/>
          <w:bCs/>
          <w:color w:val="000000"/>
          <w:sz w:val="32"/>
          <w:szCs w:val="32"/>
        </w:rPr>
        <w:t>年重点工作完成情况。</w:t>
      </w:r>
      <w:bookmarkEnd w:id="21"/>
      <w:bookmarkEnd w:id="22"/>
      <w:bookmarkEnd w:id="23"/>
      <w:bookmarkEnd w:id="24"/>
    </w:p>
    <w:p w14:paraId="3EA8877C">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right="0" w:firstLine="640" w:firstLineChars="200"/>
        <w:textAlignment w:val="auto"/>
        <w:rPr>
          <w:rStyle w:val="26"/>
          <w:rFonts w:hint="default" w:ascii="Times New Roman" w:hAnsi="Times New Roman" w:eastAsia="方正楷体_GBK" w:cs="Times New Roman"/>
          <w:b/>
          <w:bCs/>
          <w:i w:val="0"/>
          <w:iCs w:val="0"/>
          <w:caps w:val="0"/>
          <w:color w:val="0F1115"/>
          <w:spacing w:val="0"/>
          <w:sz w:val="32"/>
          <w:szCs w:val="32"/>
          <w:shd w:val="clear" w:color="auto" w:fill="FFFFFF"/>
          <w:lang w:eastAsia="zh-CN"/>
        </w:rPr>
      </w:pPr>
      <w:bookmarkStart w:id="25" w:name="_Toc79163855"/>
      <w:bookmarkStart w:id="26" w:name="_Toc15396601"/>
      <w:bookmarkStart w:id="27" w:name="_Toc79163605"/>
      <w:bookmarkStart w:id="28" w:name="_Toc15377200"/>
      <w:r>
        <w:rPr>
          <w:rStyle w:val="26"/>
          <w:rFonts w:hint="default" w:ascii="Times New Roman" w:hAnsi="Times New Roman" w:eastAsia="方正楷体_GBK" w:cs="Times New Roman"/>
          <w:b/>
          <w:bCs/>
          <w:i w:val="0"/>
          <w:iCs w:val="0"/>
          <w:caps w:val="0"/>
          <w:color w:val="0F1115"/>
          <w:spacing w:val="0"/>
          <w:sz w:val="32"/>
          <w:szCs w:val="32"/>
          <w:shd w:val="clear" w:color="auto" w:fill="FFFFFF"/>
          <w:lang w:eastAsia="zh-CN"/>
        </w:rPr>
        <w:t>聚焦污染防治攻坚，巩固生态环境质量标杆。</w:t>
      </w:r>
    </w:p>
    <w:p w14:paraId="3F572FFB">
      <w:pPr>
        <w:spacing w:line="580" w:lineRule="exact"/>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lang w:val="en-US" w:eastAsia="zh-CN"/>
        </w:rPr>
        <w:t>始终将打好污染防治攻坚战作为全局工作的重中之重，坚持精准治污、科学治污、依法治污，蓝天、碧水、净土、固废保卫战取得关键进展，全县生态环境质量实现持续优化并稳居全省前列。</w:t>
      </w:r>
      <w:r>
        <w:rPr>
          <w:rFonts w:hint="eastAsia" w:eastAsia="仿宋_GB2312" w:cs="Times New Roman"/>
          <w:b/>
          <w:bCs/>
          <w:sz w:val="32"/>
          <w:szCs w:val="32"/>
          <w:lang w:val="en-US" w:eastAsia="zh-CN"/>
        </w:rPr>
        <w:t>一是</w:t>
      </w:r>
      <w:r>
        <w:rPr>
          <w:rFonts w:hint="default" w:ascii="Times New Roman" w:hAnsi="Times New Roman" w:eastAsia="仿宋_GB2312" w:cs="Times New Roman"/>
          <w:sz w:val="32"/>
          <w:szCs w:val="32"/>
          <w:lang w:val="en-US" w:eastAsia="zh-CN"/>
        </w:rPr>
        <w:t>大气环境显著改善。 坚持源头防控、过程管控、末端治理相结合，深入推进工业源、</w:t>
      </w:r>
      <w:r>
        <w:rPr>
          <w:rFonts w:hint="default" w:ascii="Times New Roman" w:hAnsi="Times New Roman" w:eastAsia="仿宋_GB2312" w:cs="Times New Roman"/>
          <w:kern w:val="2"/>
          <w:sz w:val="32"/>
          <w:szCs w:val="32"/>
          <w:lang w:val="en-US" w:eastAsia="zh-CN" w:bidi="ar-SA"/>
        </w:rPr>
        <w:t>移动源、扬</w:t>
      </w:r>
      <w:r>
        <w:rPr>
          <w:rFonts w:hint="default" w:ascii="Times New Roman" w:hAnsi="Times New Roman" w:eastAsia="仿宋_GB2312" w:cs="Times New Roman"/>
          <w:sz w:val="32"/>
          <w:szCs w:val="32"/>
          <w:lang w:val="en-US" w:eastAsia="zh-CN"/>
        </w:rPr>
        <w:t>尘源等多污染源协同控制。截至2025年11月，理县大气环境质量综合指数排名稳定保持全省第4位，其中，可吸入颗粒物（PM10）平均浓度同比下降41.2%，细颗粒物（PM2.5）平均浓度同比下降14.3%，优良天数比例进一步提升，县域空气质量改善幅度明显，人民群众的“蓝天幸福感”持续增强。</w:t>
      </w:r>
      <w:r>
        <w:rPr>
          <w:rFonts w:hint="eastAsia" w:eastAsia="仿宋_GB2312" w:cs="Times New Roman"/>
          <w:b/>
          <w:bCs/>
          <w:sz w:val="32"/>
          <w:szCs w:val="32"/>
          <w:lang w:val="en-US" w:eastAsia="zh-CN"/>
        </w:rPr>
        <w:t>二是</w:t>
      </w:r>
      <w:r>
        <w:rPr>
          <w:rFonts w:hint="default" w:ascii="Times New Roman" w:hAnsi="Times New Roman" w:eastAsia="仿宋_GB2312" w:cs="Times New Roman"/>
          <w:sz w:val="32"/>
          <w:szCs w:val="32"/>
          <w:lang w:val="en-US" w:eastAsia="zh-CN"/>
        </w:rPr>
        <w:t>水环境质量稳定优良。 持续强化入河排污口监管和水源地环境风险排查。国考断面—杂谷脑河五里界牌断面水质常年稳定保持Ⅰ类标准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集中式饮用水水源地环境保护专项行动深入开展，水源保护区规范化建设持续推进，确保了城乡居民饮水安全，集中式饮用水水源地水质达标率连续多年保持100%。</w:t>
      </w:r>
      <w:r>
        <w:rPr>
          <w:rFonts w:hint="eastAsia" w:eastAsia="仿宋_GB2312" w:cs="Times New Roman"/>
          <w:b/>
          <w:bCs/>
          <w:sz w:val="32"/>
          <w:szCs w:val="32"/>
          <w:lang w:val="en-US" w:eastAsia="zh-CN"/>
        </w:rPr>
        <w:t>三是</w:t>
      </w:r>
      <w:r>
        <w:rPr>
          <w:rFonts w:hint="default" w:ascii="Times New Roman" w:hAnsi="Times New Roman" w:eastAsia="仿宋_GB2312" w:cs="Times New Roman"/>
          <w:sz w:val="32"/>
          <w:szCs w:val="32"/>
          <w:lang w:val="en-US" w:eastAsia="zh-CN"/>
        </w:rPr>
        <w:t>土壤与固废安全可控。 扎实推进土壤污染状况详查和风险评估，强化重点监管单位土壤污染防治义务落实。在固体废物管理方面，持续开展危险废物专项整治，规范医疗废物收集、转运和处置流程，提升工业固废综合利用水平。重点建设用地安全利用率保持100%，未发生因耕地土壤污染导致农产品超标事件和因污染地块再开发利用不当引发的环境社会风险，土壤环境风险得到有效管控，固废处置体系日趋完善。</w:t>
      </w:r>
    </w:p>
    <w:p w14:paraId="17BD6D02">
      <w:pPr>
        <w:spacing w:line="520" w:lineRule="exact"/>
        <w:ind w:firstLine="643" w:firstLineChars="200"/>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二、机构设置</w:t>
      </w:r>
      <w:bookmarkEnd w:id="25"/>
      <w:bookmarkEnd w:id="26"/>
      <w:bookmarkEnd w:id="27"/>
      <w:bookmarkEnd w:id="28"/>
      <w:bookmarkStart w:id="29" w:name="_Toc79163859"/>
      <w:bookmarkStart w:id="30" w:name="_Toc15396602"/>
      <w:bookmarkStart w:id="31" w:name="_Toc15377204"/>
      <w:bookmarkStart w:id="32" w:name="_Toc79163609"/>
    </w:p>
    <w:p w14:paraId="06E7AFFA">
      <w:pPr>
        <w:spacing w:line="58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理县环境监测站属于二级预算单位。本部门内设机构1个。总编制1</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名，均属于事业编制。在职人员总数</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人（其中：管理人员1人。专业技术人员</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人）；离休人员0人，退休人员0人；编外长期聘用的人员0名。</w:t>
      </w:r>
    </w:p>
    <w:p w14:paraId="21E9FD52">
      <w:pPr>
        <w:pStyle w:val="3"/>
        <w:spacing w:before="0" w:after="0" w:line="240" w:lineRule="auto"/>
        <w:ind w:right="0"/>
        <w:jc w:val="center"/>
        <w:rPr>
          <w:rFonts w:hint="default" w:ascii="Times New Roman" w:hAnsi="Times New Roman" w:cs="Times New Roman"/>
        </w:rPr>
      </w:pPr>
      <w:r>
        <w:rPr>
          <w:rFonts w:hint="default" w:ascii="Times New Roman" w:hAnsi="Times New Roman" w:eastAsia="黑体" w:cs="Times New Roman"/>
          <w:b w:val="0"/>
          <w:color w:val="000000"/>
        </w:rPr>
        <w:t>第二部分</w:t>
      </w:r>
      <w:r>
        <w:rPr>
          <w:rFonts w:hint="default" w:ascii="Times New Roman" w:hAnsi="Times New Roman" w:eastAsia="黑体" w:cs="Times New Roman"/>
          <w:color w:val="000000"/>
        </w:rPr>
        <w:t xml:space="preserve"> </w:t>
      </w:r>
      <w:r>
        <w:rPr>
          <w:rStyle w:val="29"/>
          <w:rFonts w:hint="default" w:ascii="Times New Roman" w:hAnsi="Times New Roman" w:eastAsia="黑体" w:cs="Times New Roman"/>
          <w:b w:val="0"/>
          <w:bCs w:val="0"/>
        </w:rPr>
        <w:t>202</w:t>
      </w:r>
      <w:r>
        <w:rPr>
          <w:rStyle w:val="29"/>
          <w:rFonts w:hint="eastAsia" w:eastAsia="黑体" w:cs="Times New Roman"/>
          <w:b w:val="0"/>
          <w:bCs w:val="0"/>
          <w:lang w:val="en-US" w:eastAsia="zh-CN"/>
        </w:rPr>
        <w:t>5</w:t>
      </w:r>
      <w:r>
        <w:rPr>
          <w:rStyle w:val="29"/>
          <w:rFonts w:hint="default" w:ascii="Times New Roman" w:hAnsi="Times New Roman" w:eastAsia="黑体" w:cs="Times New Roman"/>
          <w:b w:val="0"/>
          <w:bCs w:val="0"/>
        </w:rPr>
        <w:t>年度</w:t>
      </w:r>
      <w:r>
        <w:rPr>
          <w:rStyle w:val="29"/>
          <w:rFonts w:hint="eastAsia" w:eastAsia="黑体" w:cs="Times New Roman"/>
          <w:b w:val="0"/>
          <w:bCs w:val="0"/>
          <w:lang w:val="en-US" w:eastAsia="zh-CN"/>
        </w:rPr>
        <w:t>单位</w:t>
      </w:r>
      <w:r>
        <w:rPr>
          <w:rStyle w:val="29"/>
          <w:rFonts w:hint="default" w:ascii="Times New Roman" w:hAnsi="Times New Roman" w:eastAsia="黑体" w:cs="Times New Roman"/>
          <w:b w:val="0"/>
          <w:bCs w:val="0"/>
        </w:rPr>
        <w:t>决算情况说明</w:t>
      </w:r>
      <w:bookmarkEnd w:id="29"/>
      <w:bookmarkEnd w:id="30"/>
      <w:bookmarkEnd w:id="31"/>
      <w:bookmarkEnd w:id="32"/>
    </w:p>
    <w:p w14:paraId="1BD6085A">
      <w:pPr>
        <w:pStyle w:val="40"/>
        <w:numPr>
          <w:ilvl w:val="0"/>
          <w:numId w:val="0"/>
        </w:numPr>
        <w:spacing w:line="600" w:lineRule="exact"/>
        <w:ind w:left="640" w:leftChars="0"/>
        <w:outlineLvl w:val="1"/>
        <w:rPr>
          <w:rFonts w:hint="eastAsia" w:eastAsia="黑体" w:cs="Times New Roman"/>
          <w:color w:val="000000"/>
          <w:sz w:val="32"/>
          <w:szCs w:val="32"/>
          <w:lang w:eastAsia="zh-CN"/>
        </w:rPr>
      </w:pPr>
      <w:bookmarkStart w:id="33" w:name="_Toc79163610"/>
      <w:bookmarkStart w:id="34" w:name="_Toc15377205"/>
      <w:bookmarkStart w:id="35" w:name="_Toc15396603"/>
      <w:bookmarkStart w:id="36" w:name="_Toc79163860"/>
    </w:p>
    <w:p w14:paraId="5F3DE922">
      <w:pPr>
        <w:pStyle w:val="40"/>
        <w:numPr>
          <w:ilvl w:val="0"/>
          <w:numId w:val="0"/>
        </w:numPr>
        <w:spacing w:line="600" w:lineRule="exact"/>
        <w:ind w:left="640" w:leftChars="0"/>
        <w:outlineLvl w:val="1"/>
        <w:rPr>
          <w:rStyle w:val="30"/>
          <w:rFonts w:hint="default" w:ascii="Times New Roman" w:hAnsi="Times New Roman" w:eastAsia="黑体" w:cs="Times New Roman"/>
          <w:b w:val="0"/>
        </w:rPr>
      </w:pPr>
      <w:r>
        <w:rPr>
          <w:rFonts w:hint="eastAsia" w:eastAsia="黑体" w:cs="Times New Roman"/>
          <w:color w:val="000000"/>
          <w:sz w:val="32"/>
          <w:szCs w:val="32"/>
          <w:lang w:eastAsia="zh-CN"/>
        </w:rPr>
        <w:t>一、</w:t>
      </w:r>
      <w:r>
        <w:rPr>
          <w:rFonts w:hint="default" w:ascii="Times New Roman" w:hAnsi="Times New Roman" w:eastAsia="黑体" w:cs="Times New Roman"/>
          <w:color w:val="000000"/>
          <w:sz w:val="32"/>
          <w:szCs w:val="32"/>
        </w:rPr>
        <w:t>收</w:t>
      </w:r>
      <w:r>
        <w:rPr>
          <w:rStyle w:val="30"/>
          <w:rFonts w:hint="default" w:ascii="Times New Roman" w:hAnsi="Times New Roman" w:eastAsia="黑体" w:cs="Times New Roman"/>
          <w:b w:val="0"/>
        </w:rPr>
        <w:t>入支出决算总体情况说明</w:t>
      </w:r>
      <w:bookmarkEnd w:id="33"/>
      <w:bookmarkEnd w:id="34"/>
      <w:bookmarkEnd w:id="35"/>
      <w:bookmarkEnd w:id="36"/>
    </w:p>
    <w:p w14:paraId="402F47B0">
      <w:pPr>
        <w:spacing w:line="58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年度收</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支总计</w:t>
      </w:r>
      <w:r>
        <w:rPr>
          <w:rFonts w:hint="eastAsia" w:ascii="Times New Roman" w:hAnsi="Times New Roman" w:eastAsia="仿宋_GB2312" w:cs="Times New Roman"/>
          <w:sz w:val="32"/>
          <w:szCs w:val="32"/>
          <w:lang w:val="en-US" w:eastAsia="zh-CN"/>
        </w:rPr>
        <w:t>均为</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55.28</w:t>
      </w:r>
      <w:r>
        <w:rPr>
          <w:rFonts w:hint="default"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与2024年度相比，收、支总计各减少4.42万元，下降2.8%，主要变动原因是人员减少人。</w:t>
      </w:r>
    </w:p>
    <w:p w14:paraId="29278933">
      <w:pPr>
        <w:spacing w:line="58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（图1：收、支决算总计变动情况图）（柱状图）</w:t>
      </w:r>
    </w:p>
    <w:p w14:paraId="359BE71F">
      <w:pPr>
        <w:widowControl/>
        <w:shd w:val="clear" w:color="auto" w:fill="FFFFFF"/>
        <w:rPr>
          <w:rFonts w:hint="eastAsia" w:eastAsia="黑体" w:cs="Times New Roman"/>
          <w:color w:val="000000"/>
          <w:sz w:val="32"/>
          <w:szCs w:val="32"/>
          <w:lang w:val="en-US" w:eastAsia="zh-CN"/>
        </w:rPr>
      </w:pPr>
      <w:r>
        <w:rPr>
          <w:rFonts w:hint="default" w:ascii="Times New Roman" w:hAnsi="Times New Roman" w:eastAsia="微软雅黑" w:cs="Times New Roman"/>
          <w:color w:val="333333"/>
          <w:kern w:val="0"/>
          <w:szCs w:val="21"/>
        </w:rPr>
        <w:drawing>
          <wp:inline distT="0" distB="0" distL="114300" distR="114300">
            <wp:extent cx="5194300" cy="3512185"/>
            <wp:effectExtent l="4445" t="4445" r="20955" b="762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bookmarkStart w:id="37" w:name="_Toc15396604"/>
      <w:bookmarkStart w:id="38" w:name="_Toc79163861"/>
      <w:bookmarkStart w:id="39" w:name="_Toc15377206"/>
      <w:bookmarkStart w:id="40" w:name="_Toc79163611"/>
    </w:p>
    <w:p w14:paraId="7FFF10A8">
      <w:pPr>
        <w:pStyle w:val="40"/>
        <w:numPr>
          <w:ilvl w:val="0"/>
          <w:numId w:val="0"/>
        </w:numPr>
        <w:spacing w:line="600" w:lineRule="exact"/>
        <w:ind w:left="640" w:leftChars="0"/>
        <w:outlineLvl w:val="1"/>
        <w:rPr>
          <w:rStyle w:val="30"/>
          <w:rFonts w:hint="default" w:ascii="Times New Roman" w:hAnsi="Times New Roman" w:eastAsia="黑体" w:cs="Times New Roman"/>
          <w:b w:val="0"/>
        </w:rPr>
      </w:pPr>
      <w:r>
        <w:rPr>
          <w:rFonts w:hint="eastAsia" w:eastAsia="黑体" w:cs="Times New Roman"/>
          <w:color w:val="000000"/>
          <w:sz w:val="32"/>
          <w:szCs w:val="32"/>
          <w:lang w:val="en-US" w:eastAsia="zh-CN"/>
        </w:rPr>
        <w:t>二、</w:t>
      </w:r>
      <w:r>
        <w:rPr>
          <w:rFonts w:hint="default" w:ascii="Times New Roman" w:hAnsi="Times New Roman" w:eastAsia="黑体" w:cs="Times New Roman"/>
          <w:color w:val="000000"/>
          <w:sz w:val="32"/>
          <w:szCs w:val="32"/>
        </w:rPr>
        <w:t>收</w:t>
      </w:r>
      <w:r>
        <w:rPr>
          <w:rStyle w:val="30"/>
          <w:rFonts w:hint="default" w:ascii="Times New Roman" w:hAnsi="Times New Roman" w:eastAsia="黑体" w:cs="Times New Roman"/>
          <w:b w:val="0"/>
        </w:rPr>
        <w:t>入决算情况说明</w:t>
      </w:r>
      <w:bookmarkEnd w:id="37"/>
      <w:bookmarkEnd w:id="38"/>
      <w:bookmarkEnd w:id="39"/>
      <w:bookmarkEnd w:id="40"/>
    </w:p>
    <w:p w14:paraId="04BAFA41">
      <w:pPr>
        <w:spacing w:line="60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年本年收入合计1</w:t>
      </w:r>
      <w:r>
        <w:rPr>
          <w:rFonts w:hint="eastAsia" w:ascii="Times New Roman" w:hAnsi="Times New Roman" w:eastAsia="仿宋_GB2312" w:cs="Times New Roman"/>
          <w:sz w:val="32"/>
          <w:szCs w:val="32"/>
          <w:lang w:val="en-US" w:eastAsia="zh-CN"/>
        </w:rPr>
        <w:t>55.28</w:t>
      </w:r>
      <w:r>
        <w:rPr>
          <w:rFonts w:hint="default" w:ascii="Times New Roman" w:hAnsi="Times New Roman" w:eastAsia="仿宋_GB2312" w:cs="Times New Roman"/>
          <w:sz w:val="32"/>
          <w:szCs w:val="32"/>
          <w:lang w:val="en-US" w:eastAsia="zh-CN"/>
        </w:rPr>
        <w:t>万元，一般公共预算财政拨款收入1</w:t>
      </w:r>
      <w:r>
        <w:rPr>
          <w:rFonts w:hint="eastAsia" w:ascii="Times New Roman" w:hAnsi="Times New Roman" w:eastAsia="仿宋_GB2312" w:cs="Times New Roman"/>
          <w:sz w:val="32"/>
          <w:szCs w:val="32"/>
          <w:lang w:val="en-US" w:eastAsia="zh-CN"/>
        </w:rPr>
        <w:t>55.28</w:t>
      </w:r>
      <w:r>
        <w:rPr>
          <w:rFonts w:hint="default" w:ascii="Times New Roman" w:hAnsi="Times New Roman" w:eastAsia="仿宋_GB2312" w:cs="Times New Roman"/>
          <w:sz w:val="32"/>
          <w:szCs w:val="32"/>
          <w:lang w:val="en-US" w:eastAsia="zh-CN"/>
        </w:rPr>
        <w:t>万元，占100%；政府性基金预算财政拨款收入0万元，占0%；</w:t>
      </w:r>
      <w:r>
        <w:rPr>
          <w:rFonts w:hint="eastAsia" w:ascii="Times New Roman" w:hAnsi="Times New Roman" w:eastAsia="仿宋_GB2312" w:cs="Times New Roman"/>
          <w:sz w:val="32"/>
          <w:szCs w:val="32"/>
          <w:lang w:val="en-US" w:eastAsia="zh-CN"/>
        </w:rPr>
        <w:t>国有资本经营预算财政拨款收入占0万元；</w:t>
      </w:r>
      <w:r>
        <w:rPr>
          <w:rFonts w:hint="default" w:ascii="Times New Roman" w:hAnsi="Times New Roman" w:eastAsia="仿宋_GB2312" w:cs="Times New Roman"/>
          <w:sz w:val="32"/>
          <w:szCs w:val="32"/>
          <w:lang w:val="en-US" w:eastAsia="zh-CN"/>
        </w:rPr>
        <w:t>上级补助收入0万元，占0%；事业收入0万元，占0%；经营收入0万元，占0%；附属单位上缴收入0万元，占0%；其他收入0万元，占0%。</w:t>
      </w:r>
    </w:p>
    <w:p w14:paraId="76B12618">
      <w:pPr>
        <w:spacing w:line="600" w:lineRule="exact"/>
        <w:ind w:firstLine="640" w:firstLineChars="200"/>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color w:val="FF0000"/>
          <w:sz w:val="32"/>
          <w:szCs w:val="32"/>
        </w:rPr>
        <w:drawing>
          <wp:anchor distT="0" distB="0" distL="114300" distR="114300" simplePos="0" relativeHeight="251660288" behindDoc="0" locked="0" layoutInCell="1" allowOverlap="1">
            <wp:simplePos x="0" y="0"/>
            <wp:positionH relativeFrom="column">
              <wp:posOffset>161290</wp:posOffset>
            </wp:positionH>
            <wp:positionV relativeFrom="paragraph">
              <wp:posOffset>604520</wp:posOffset>
            </wp:positionV>
            <wp:extent cx="5234940" cy="2184400"/>
            <wp:effectExtent l="4445" t="4445" r="18415" b="20955"/>
            <wp:wrapSquare wrapText="bothSides"/>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default" w:ascii="Times New Roman" w:hAnsi="Times New Roman" w:eastAsia="仿宋" w:cs="Times New Roman"/>
          <w:color w:val="000000"/>
          <w:sz w:val="32"/>
          <w:szCs w:val="32"/>
        </w:rPr>
        <w:t>（图2：收入决算结构图）（饼状图）</w:t>
      </w:r>
    </w:p>
    <w:p w14:paraId="09D4BE67">
      <w:pPr>
        <w:pStyle w:val="40"/>
        <w:numPr>
          <w:ilvl w:val="0"/>
          <w:numId w:val="0"/>
        </w:numPr>
        <w:spacing w:line="600" w:lineRule="exact"/>
        <w:ind w:left="640" w:leftChars="0"/>
        <w:outlineLvl w:val="1"/>
        <w:rPr>
          <w:rStyle w:val="30"/>
          <w:rFonts w:hint="default" w:ascii="Times New Roman" w:hAnsi="Times New Roman" w:eastAsia="黑体" w:cs="Times New Roman"/>
          <w:b w:val="0"/>
        </w:rPr>
      </w:pPr>
      <w:bookmarkStart w:id="41" w:name="_Toc15396605"/>
      <w:bookmarkStart w:id="42" w:name="_Toc15377207"/>
      <w:bookmarkStart w:id="43" w:name="_Toc79163862"/>
      <w:bookmarkStart w:id="44" w:name="_Toc79163612"/>
      <w:r>
        <w:rPr>
          <w:rFonts w:hint="eastAsia" w:eastAsia="黑体" w:cs="Times New Roman"/>
          <w:color w:val="000000"/>
          <w:sz w:val="32"/>
          <w:szCs w:val="32"/>
          <w:lang w:eastAsia="zh-CN"/>
        </w:rPr>
        <w:t>三、</w:t>
      </w:r>
      <w:r>
        <w:rPr>
          <w:rFonts w:hint="default" w:ascii="Times New Roman" w:hAnsi="Times New Roman" w:eastAsia="黑体" w:cs="Times New Roman"/>
          <w:color w:val="000000"/>
          <w:sz w:val="32"/>
          <w:szCs w:val="32"/>
        </w:rPr>
        <w:t>支</w:t>
      </w:r>
      <w:r>
        <w:rPr>
          <w:rStyle w:val="30"/>
          <w:rFonts w:hint="default" w:ascii="Times New Roman" w:hAnsi="Times New Roman" w:eastAsia="黑体" w:cs="Times New Roman"/>
          <w:b w:val="0"/>
        </w:rPr>
        <w:t>出决算情况说明</w:t>
      </w:r>
      <w:bookmarkEnd w:id="41"/>
      <w:bookmarkEnd w:id="42"/>
      <w:bookmarkEnd w:id="43"/>
      <w:bookmarkEnd w:id="44"/>
    </w:p>
    <w:p w14:paraId="1BC8547D">
      <w:pPr>
        <w:spacing w:line="60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度</w:t>
      </w:r>
      <w:r>
        <w:rPr>
          <w:rFonts w:hint="default" w:ascii="Times New Roman" w:hAnsi="Times New Roman" w:eastAsia="仿宋_GB2312" w:cs="Times New Roman"/>
          <w:sz w:val="32"/>
          <w:szCs w:val="32"/>
          <w:lang w:val="en-US" w:eastAsia="zh-CN"/>
        </w:rPr>
        <w:t>本年支出合计</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55.28</w:t>
      </w:r>
      <w:r>
        <w:rPr>
          <w:rFonts w:hint="default" w:ascii="Times New Roman" w:hAnsi="Times New Roman" w:eastAsia="仿宋_GB2312" w:cs="Times New Roman"/>
          <w:sz w:val="32"/>
          <w:szCs w:val="32"/>
          <w:lang w:val="en-US" w:eastAsia="zh-CN"/>
        </w:rPr>
        <w:t>万元，其中：基本支出</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55.28</w:t>
      </w:r>
      <w:r>
        <w:rPr>
          <w:rFonts w:hint="default" w:ascii="Times New Roman" w:hAnsi="Times New Roman" w:eastAsia="仿宋_GB2312" w:cs="Times New Roman"/>
          <w:sz w:val="32"/>
          <w:szCs w:val="32"/>
          <w:lang w:val="en-US" w:eastAsia="zh-CN"/>
        </w:rPr>
        <w:t>万元，占</w:t>
      </w:r>
      <w:r>
        <w:rPr>
          <w:rFonts w:hint="default" w:ascii="Times New Roman" w:hAnsi="Times New Roman" w:eastAsia="仿宋_GB2312" w:cs="Times New Roman"/>
          <w:sz w:val="32"/>
          <w:szCs w:val="32"/>
          <w:lang w:val="en-US" w:eastAsia="zh-CN"/>
        </w:rPr>
        <w:t>100%；项目支出</w:t>
      </w:r>
      <w:r>
        <w:rPr>
          <w:rFonts w:hint="default" w:ascii="Times New Roman" w:hAnsi="Times New Roman" w:eastAsia="仿宋_GB2312" w:cs="Times New Roman"/>
          <w:sz w:val="32"/>
          <w:szCs w:val="32"/>
          <w:lang w:val="en-US" w:eastAsia="zh-CN"/>
        </w:rPr>
        <w:t>0万元，占</w:t>
      </w:r>
      <w:r>
        <w:rPr>
          <w:rFonts w:hint="default" w:ascii="Times New Roman" w:hAnsi="Times New Roman" w:eastAsia="仿宋_GB2312" w:cs="Times New Roman"/>
          <w:sz w:val="32"/>
          <w:szCs w:val="32"/>
          <w:lang w:val="en-US" w:eastAsia="zh-CN"/>
        </w:rPr>
        <w:t>0%；上缴上级支出0万元，占0%；经营支出0万元，占0%；对附属单位补助支出0万元，占0%。</w:t>
      </w:r>
    </w:p>
    <w:p w14:paraId="41DE9A8F">
      <w:pPr>
        <w:spacing w:line="60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（图3：支出决算结构图）（饼状图）</w:t>
      </w:r>
    </w:p>
    <w:p w14:paraId="7F8C8719">
      <w:pPr>
        <w:pStyle w:val="11"/>
        <w:rPr>
          <w:rFonts w:hint="default" w:ascii="Times New Roman" w:hAnsi="Times New Roman" w:eastAsia="黑体" w:cs="Times New Roman"/>
          <w:color w:val="000000"/>
          <w:sz w:val="32"/>
          <w:szCs w:val="32"/>
        </w:rPr>
      </w:pPr>
      <w:bookmarkStart w:id="45" w:name="_Toc79163613"/>
      <w:bookmarkStart w:id="46" w:name="_Toc15396606"/>
      <w:bookmarkStart w:id="47" w:name="_Toc15377208"/>
      <w:bookmarkStart w:id="48" w:name="_Toc79163863"/>
      <w:r>
        <w:rPr>
          <w:rFonts w:hint="default" w:ascii="Times New Roman" w:hAnsi="Times New Roman" w:eastAsia="仿宋" w:cs="Times New Roman"/>
          <w:color w:val="000000"/>
          <w:sz w:val="32"/>
          <w:szCs w:val="32"/>
          <w:lang w:eastAsia="zh-CN"/>
        </w:rPr>
        <w:drawing>
          <wp:inline distT="0" distB="0" distL="114300" distR="114300">
            <wp:extent cx="4965700" cy="2049780"/>
            <wp:effectExtent l="4445" t="4445" r="20955" b="22225"/>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425A46C">
      <w:pPr>
        <w:spacing w:line="600" w:lineRule="exact"/>
        <w:ind w:firstLine="640" w:firstLineChars="200"/>
        <w:rPr>
          <w:rStyle w:val="30"/>
          <w:rFonts w:hint="default" w:ascii="Times New Roman" w:hAnsi="Times New Roman" w:eastAsia="黑体" w:cs="Times New Roman"/>
          <w:b w:val="0"/>
        </w:rPr>
      </w:pPr>
      <w:r>
        <w:rPr>
          <w:rFonts w:hint="default" w:ascii="Times New Roman" w:hAnsi="Times New Roman" w:eastAsia="黑体" w:cs="Times New Roman"/>
          <w:color w:val="000000"/>
          <w:sz w:val="32"/>
          <w:szCs w:val="32"/>
        </w:rPr>
        <w:t>四、财政</w:t>
      </w:r>
      <w:r>
        <w:rPr>
          <w:rStyle w:val="30"/>
          <w:rFonts w:hint="default" w:ascii="Times New Roman" w:hAnsi="Times New Roman" w:eastAsia="黑体" w:cs="Times New Roman"/>
          <w:b w:val="0"/>
        </w:rPr>
        <w:t>拨款收入支出决算总体情况说明</w:t>
      </w:r>
      <w:bookmarkEnd w:id="45"/>
      <w:bookmarkEnd w:id="46"/>
      <w:bookmarkEnd w:id="47"/>
      <w:bookmarkEnd w:id="48"/>
    </w:p>
    <w:p w14:paraId="32F9EAC2">
      <w:pPr>
        <w:spacing w:line="60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年度收</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支总计</w:t>
      </w:r>
      <w:r>
        <w:rPr>
          <w:rFonts w:hint="eastAsia" w:ascii="Times New Roman" w:hAnsi="Times New Roman" w:eastAsia="仿宋_GB2312" w:cs="Times New Roman"/>
          <w:sz w:val="32"/>
          <w:szCs w:val="32"/>
          <w:lang w:val="en-US" w:eastAsia="zh-CN"/>
        </w:rPr>
        <w:t>均为</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55.28</w:t>
      </w:r>
      <w:r>
        <w:rPr>
          <w:rFonts w:hint="default"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与2024年度相比，财政拨款收、支总计各减少4.42万元，下降2.8%，主要变动原因是人员减少人。</w:t>
      </w:r>
    </w:p>
    <w:p w14:paraId="48C73734">
      <w:pPr>
        <w:spacing w:line="600" w:lineRule="exact"/>
        <w:ind w:firstLine="640" w:firstLineChars="200"/>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drawing>
          <wp:anchor distT="0" distB="0" distL="114300" distR="114300" simplePos="0" relativeHeight="251659264" behindDoc="0" locked="0" layoutInCell="1" allowOverlap="1">
            <wp:simplePos x="0" y="0"/>
            <wp:positionH relativeFrom="column">
              <wp:posOffset>94615</wp:posOffset>
            </wp:positionH>
            <wp:positionV relativeFrom="paragraph">
              <wp:posOffset>529590</wp:posOffset>
            </wp:positionV>
            <wp:extent cx="5137785" cy="2324100"/>
            <wp:effectExtent l="4445" t="4445" r="20320" b="14605"/>
            <wp:wrapSquare wrapText="bothSides"/>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default" w:ascii="Times New Roman" w:hAnsi="Times New Roman" w:eastAsia="仿宋_GB2312" w:cs="Times New Roman"/>
          <w:sz w:val="32"/>
          <w:szCs w:val="32"/>
          <w:lang w:val="en-US" w:eastAsia="zh-CN"/>
        </w:rPr>
        <w:t>（</w:t>
      </w:r>
      <w:bookmarkStart w:id="49" w:name="_Toc15396607"/>
      <w:bookmarkStart w:id="50" w:name="_Toc15377209"/>
      <w:bookmarkStart w:id="51" w:name="_Toc79163614"/>
      <w:bookmarkStart w:id="52" w:name="_Toc79163864"/>
      <w:r>
        <w:rPr>
          <w:rFonts w:hint="default" w:ascii="Times New Roman" w:hAnsi="Times New Roman" w:eastAsia="仿宋_GB2312" w:cs="Times New Roman"/>
          <w:sz w:val="32"/>
          <w:szCs w:val="32"/>
          <w:lang w:val="en-US" w:eastAsia="zh-CN"/>
        </w:rPr>
        <w:t>图4：财政拨款收、支决算总计变动情况）（柱状图）</w:t>
      </w:r>
    </w:p>
    <w:p w14:paraId="11383499">
      <w:pPr>
        <w:spacing w:line="600" w:lineRule="exact"/>
        <w:ind w:left="638" w:leftChars="304" w:firstLine="0" w:firstLineChars="0"/>
        <w:outlineLvl w:val="1"/>
        <w:rPr>
          <w:rStyle w:val="30"/>
          <w:rFonts w:hint="default" w:ascii="Times New Roman" w:hAnsi="Times New Roman" w:eastAsia="黑体" w:cs="Times New Roman"/>
          <w:b w:val="0"/>
        </w:rPr>
      </w:pPr>
      <w:r>
        <w:rPr>
          <w:rFonts w:hint="eastAsia" w:eastAsia="黑体" w:cs="Times New Roman"/>
          <w:b/>
          <w:color w:val="000000"/>
          <w:sz w:val="32"/>
          <w:szCs w:val="32"/>
          <w:lang w:eastAsia="zh-CN"/>
        </w:rPr>
        <w:t>五</w:t>
      </w:r>
      <w:r>
        <w:rPr>
          <w:rFonts w:hint="default" w:ascii="Times New Roman" w:hAnsi="Times New Roman" w:eastAsia="黑体" w:cs="Times New Roman"/>
          <w:b/>
          <w:color w:val="000000"/>
          <w:sz w:val="32"/>
          <w:szCs w:val="32"/>
          <w:lang w:eastAsia="zh-CN"/>
        </w:rPr>
        <w:t>、</w:t>
      </w:r>
      <w:r>
        <w:rPr>
          <w:rFonts w:hint="default" w:ascii="Times New Roman" w:hAnsi="Times New Roman" w:eastAsia="黑体" w:cs="Times New Roman"/>
          <w:b/>
          <w:color w:val="000000"/>
          <w:sz w:val="32"/>
          <w:szCs w:val="32"/>
        </w:rPr>
        <w:t>一</w:t>
      </w:r>
      <w:r>
        <w:rPr>
          <w:rStyle w:val="30"/>
          <w:rFonts w:hint="default" w:ascii="Times New Roman" w:hAnsi="Times New Roman" w:eastAsia="黑体" w:cs="Times New Roman"/>
          <w:b w:val="0"/>
        </w:rPr>
        <w:t>般公共预算财政拨款支出决算情况说</w:t>
      </w:r>
      <w:bookmarkEnd w:id="49"/>
      <w:bookmarkEnd w:id="50"/>
      <w:bookmarkEnd w:id="51"/>
      <w:bookmarkEnd w:id="52"/>
    </w:p>
    <w:p w14:paraId="7EB7ECF0">
      <w:pPr>
        <w:spacing w:line="600" w:lineRule="exact"/>
        <w:ind w:firstLine="643" w:firstLineChars="200"/>
        <w:outlineLvl w:val="2"/>
        <w:rPr>
          <w:rFonts w:hint="default" w:ascii="Times New Roman" w:hAnsi="Times New Roman" w:eastAsia="仿宋" w:cs="Times New Roman"/>
          <w:b/>
          <w:color w:val="000000"/>
          <w:sz w:val="32"/>
          <w:szCs w:val="32"/>
        </w:rPr>
      </w:pPr>
      <w:bookmarkStart w:id="53" w:name="_Toc15377210"/>
      <w:bookmarkStart w:id="54" w:name="_Toc79163615"/>
      <w:bookmarkStart w:id="55" w:name="_Toc79163865"/>
      <w:r>
        <w:rPr>
          <w:rFonts w:hint="default" w:ascii="Times New Roman" w:hAnsi="Times New Roman" w:eastAsia="仿宋" w:cs="Times New Roman"/>
          <w:b/>
          <w:color w:val="000000"/>
          <w:sz w:val="32"/>
          <w:szCs w:val="32"/>
        </w:rPr>
        <w:t>（一）一般公共预算财政拨款支出决算总体情况</w:t>
      </w:r>
      <w:bookmarkEnd w:id="53"/>
      <w:bookmarkEnd w:id="54"/>
      <w:bookmarkEnd w:id="55"/>
    </w:p>
    <w:p w14:paraId="7E1559AD">
      <w:pPr>
        <w:spacing w:line="600" w:lineRule="exact"/>
        <w:ind w:firstLine="640" w:firstLineChars="200"/>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度</w:t>
      </w:r>
      <w:r>
        <w:rPr>
          <w:rFonts w:hint="default" w:ascii="Times New Roman" w:hAnsi="Times New Roman" w:eastAsia="仿宋_GB2312" w:cs="Times New Roman"/>
          <w:sz w:val="32"/>
          <w:szCs w:val="32"/>
          <w:lang w:val="en-US" w:eastAsia="zh-CN"/>
        </w:rPr>
        <w:t>一般公共预算财政拨款支出</w:t>
      </w:r>
      <w:r>
        <w:rPr>
          <w:rFonts w:hint="eastAsia" w:ascii="Times New Roman" w:hAnsi="Times New Roman" w:eastAsia="仿宋_GB2312" w:cs="Times New Roman"/>
          <w:sz w:val="32"/>
          <w:szCs w:val="32"/>
          <w:lang w:val="en-US" w:eastAsia="zh-CN"/>
        </w:rPr>
        <w:t>155.28</w:t>
      </w:r>
      <w:r>
        <w:rPr>
          <w:rFonts w:hint="default" w:ascii="Times New Roman" w:hAnsi="Times New Roman" w:eastAsia="仿宋_GB2312" w:cs="Times New Roman"/>
          <w:sz w:val="32"/>
          <w:szCs w:val="32"/>
          <w:lang w:val="en-US" w:eastAsia="zh-CN"/>
        </w:rPr>
        <w:t>万元，占本年支出合计的100%</w:t>
      </w:r>
      <w:bookmarkStart w:id="56" w:name="_Toc79163866"/>
      <w:bookmarkStart w:id="57" w:name="_Toc15377211"/>
      <w:bookmarkStart w:id="58" w:name="_Toc79163616"/>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与2024年度相比，一般公共预算财政拨款支出减少4.42万元，下降2.8%，主要变动原因是人员减少人。</w:t>
      </w:r>
    </w:p>
    <w:p w14:paraId="5816F51E">
      <w:pPr>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（图5：一般公共预算财政拨款支出决算变动情况)（柱状图）</w:t>
      </w:r>
    </w:p>
    <w:p w14:paraId="5F8F60A1">
      <w:pPr>
        <w:rPr>
          <w:rFonts w:hint="default" w:ascii="Times New Roman" w:hAnsi="Times New Roman" w:eastAsia="仿宋" w:cs="Times New Roman"/>
          <w:b/>
          <w:color w:val="000000"/>
          <w:sz w:val="32"/>
          <w:szCs w:val="32"/>
        </w:rPr>
      </w:pPr>
      <w:r>
        <w:rPr>
          <w:rFonts w:hint="default" w:ascii="Times New Roman" w:hAnsi="Times New Roman" w:eastAsia="微软雅黑" w:cs="Times New Roman"/>
          <w:color w:val="333333"/>
          <w:kern w:val="0"/>
          <w:szCs w:val="21"/>
        </w:rPr>
        <w:drawing>
          <wp:inline distT="0" distB="0" distL="114300" distR="114300">
            <wp:extent cx="5269865" cy="2471420"/>
            <wp:effectExtent l="4445" t="4445" r="21590" b="1968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8AD5996">
      <w:pPr>
        <w:spacing w:line="600" w:lineRule="exact"/>
        <w:ind w:firstLine="643" w:firstLineChars="200"/>
        <w:outlineLvl w:val="2"/>
        <w:rPr>
          <w:rFonts w:hint="default" w:ascii="Times New Roman" w:hAnsi="Times New Roman" w:eastAsia="仿宋" w:cs="Times New Roman"/>
          <w:b/>
          <w:color w:val="000000"/>
          <w:sz w:val="32"/>
          <w:szCs w:val="32"/>
        </w:rPr>
      </w:pPr>
      <w:r>
        <w:rPr>
          <w:rFonts w:hint="default" w:ascii="Times New Roman" w:hAnsi="Times New Roman" w:eastAsia="仿宋" w:cs="Times New Roman"/>
          <w:b/>
          <w:color w:val="000000"/>
          <w:sz w:val="32"/>
          <w:szCs w:val="32"/>
        </w:rPr>
        <w:t>（二）一般公共预算财政拨款支出决算结构情况</w:t>
      </w:r>
      <w:bookmarkEnd w:id="56"/>
      <w:bookmarkEnd w:id="57"/>
      <w:bookmarkEnd w:id="58"/>
    </w:p>
    <w:p w14:paraId="55C01F9F">
      <w:pPr>
        <w:spacing w:line="60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度</w:t>
      </w:r>
      <w:r>
        <w:rPr>
          <w:rFonts w:hint="default" w:ascii="Times New Roman" w:hAnsi="Times New Roman" w:eastAsia="仿宋_GB2312" w:cs="Times New Roman"/>
          <w:sz w:val="32"/>
          <w:szCs w:val="32"/>
          <w:lang w:val="en-US" w:eastAsia="zh-CN"/>
        </w:rPr>
        <w:t>一般公共预算财政拨款支出</w:t>
      </w:r>
      <w:r>
        <w:rPr>
          <w:rFonts w:hint="eastAsia" w:ascii="Times New Roman" w:hAnsi="Times New Roman" w:eastAsia="仿宋_GB2312" w:cs="Times New Roman"/>
          <w:sz w:val="32"/>
          <w:szCs w:val="32"/>
          <w:lang w:val="en-US" w:eastAsia="zh-CN"/>
        </w:rPr>
        <w:t>155.28</w:t>
      </w:r>
      <w:r>
        <w:rPr>
          <w:rFonts w:hint="default" w:ascii="Times New Roman" w:hAnsi="Times New Roman" w:eastAsia="仿宋_GB2312" w:cs="Times New Roman"/>
          <w:sz w:val="32"/>
          <w:szCs w:val="32"/>
          <w:lang w:val="en-US" w:eastAsia="zh-CN"/>
        </w:rPr>
        <w:t>万元，主要用于以下方面:社会保障和就业（类）支出</w:t>
      </w:r>
      <w:r>
        <w:rPr>
          <w:rFonts w:hint="eastAsia" w:ascii="Times New Roman" w:hAnsi="Times New Roman" w:eastAsia="仿宋_GB2312" w:cs="Times New Roman"/>
          <w:sz w:val="32"/>
          <w:szCs w:val="32"/>
          <w:lang w:val="en-US" w:eastAsia="zh-CN"/>
        </w:rPr>
        <w:t>26.03</w:t>
      </w:r>
      <w:r>
        <w:rPr>
          <w:rFonts w:hint="default" w:ascii="Times New Roman" w:hAnsi="Times New Roman" w:eastAsia="仿宋_GB2312" w:cs="Times New Roman"/>
          <w:sz w:val="32"/>
          <w:szCs w:val="32"/>
          <w:lang w:val="en-US" w:eastAsia="zh-CN"/>
        </w:rPr>
        <w:t>万元，占</w:t>
      </w:r>
      <w:r>
        <w:rPr>
          <w:rFonts w:hint="eastAsia" w:ascii="Times New Roman" w:hAnsi="Times New Roman" w:eastAsia="仿宋_GB2312" w:cs="Times New Roman"/>
          <w:sz w:val="32"/>
          <w:szCs w:val="32"/>
          <w:lang w:val="en-US" w:eastAsia="zh-CN"/>
        </w:rPr>
        <w:t>16.8</w:t>
      </w:r>
      <w:r>
        <w:rPr>
          <w:rFonts w:hint="default" w:ascii="Times New Roman" w:hAnsi="Times New Roman" w:eastAsia="仿宋_GB2312" w:cs="Times New Roman"/>
          <w:sz w:val="32"/>
          <w:szCs w:val="32"/>
          <w:lang w:val="en-US" w:eastAsia="zh-CN"/>
        </w:rPr>
        <w:t>%；卫生健康支出</w:t>
      </w:r>
      <w:r>
        <w:rPr>
          <w:rFonts w:hint="eastAsia" w:ascii="Times New Roman" w:hAnsi="Times New Roman" w:eastAsia="仿宋_GB2312" w:cs="Times New Roman"/>
          <w:sz w:val="32"/>
          <w:szCs w:val="32"/>
          <w:lang w:val="en-US" w:eastAsia="zh-CN"/>
        </w:rPr>
        <w:t>9.43</w:t>
      </w:r>
      <w:r>
        <w:rPr>
          <w:rFonts w:hint="default" w:ascii="Times New Roman" w:hAnsi="Times New Roman" w:eastAsia="仿宋_GB2312" w:cs="Times New Roman"/>
          <w:sz w:val="32"/>
          <w:szCs w:val="32"/>
          <w:lang w:val="en-US" w:eastAsia="zh-CN"/>
        </w:rPr>
        <w:t>万元，占</w:t>
      </w:r>
      <w:r>
        <w:rPr>
          <w:rFonts w:hint="eastAsia" w:ascii="Times New Roman" w:hAnsi="Times New Roman" w:eastAsia="仿宋_GB2312" w:cs="Times New Roman"/>
          <w:sz w:val="32"/>
          <w:szCs w:val="32"/>
          <w:lang w:val="en-US" w:eastAsia="zh-CN"/>
        </w:rPr>
        <w:t>6.1</w:t>
      </w:r>
      <w:r>
        <w:rPr>
          <w:rFonts w:hint="default" w:ascii="Times New Roman" w:hAnsi="Times New Roman" w:eastAsia="仿宋_GB2312" w:cs="Times New Roman"/>
          <w:sz w:val="32"/>
          <w:szCs w:val="32"/>
          <w:lang w:val="en-US" w:eastAsia="zh-CN"/>
        </w:rPr>
        <w:t>%；节能环保支出</w:t>
      </w:r>
      <w:r>
        <w:rPr>
          <w:rFonts w:hint="eastAsia" w:ascii="Times New Roman" w:hAnsi="Times New Roman" w:eastAsia="仿宋_GB2312" w:cs="Times New Roman"/>
          <w:sz w:val="32"/>
          <w:szCs w:val="32"/>
          <w:lang w:val="en-US" w:eastAsia="zh-CN"/>
        </w:rPr>
        <w:t>104.86</w:t>
      </w:r>
      <w:r>
        <w:rPr>
          <w:rFonts w:hint="default" w:ascii="Times New Roman" w:hAnsi="Times New Roman" w:eastAsia="仿宋_GB2312" w:cs="Times New Roman"/>
          <w:sz w:val="32"/>
          <w:szCs w:val="32"/>
          <w:lang w:val="en-US" w:eastAsia="zh-CN"/>
        </w:rPr>
        <w:t>万元，占67</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住房保障支出1</w:t>
      </w:r>
      <w:r>
        <w:rPr>
          <w:rFonts w:hint="eastAsia" w:ascii="Times New Roman" w:hAnsi="Times New Roman" w:eastAsia="仿宋_GB2312" w:cs="Times New Roman"/>
          <w:sz w:val="32"/>
          <w:szCs w:val="32"/>
          <w:lang w:val="en-US" w:eastAsia="zh-CN"/>
        </w:rPr>
        <w:t>4.96</w:t>
      </w:r>
      <w:r>
        <w:rPr>
          <w:rFonts w:hint="default" w:ascii="Times New Roman" w:hAnsi="Times New Roman" w:eastAsia="仿宋_GB2312" w:cs="Times New Roman"/>
          <w:sz w:val="32"/>
          <w:szCs w:val="32"/>
          <w:lang w:val="en-US" w:eastAsia="zh-CN"/>
        </w:rPr>
        <w:t>万元，占</w:t>
      </w:r>
      <w:r>
        <w:rPr>
          <w:rFonts w:hint="eastAsia" w:ascii="Times New Roman" w:hAnsi="Times New Roman" w:eastAsia="仿宋_GB2312" w:cs="Times New Roman"/>
          <w:sz w:val="32"/>
          <w:szCs w:val="32"/>
          <w:lang w:val="en-US" w:eastAsia="zh-CN"/>
        </w:rPr>
        <w:t>9.6</w:t>
      </w:r>
      <w:r>
        <w:rPr>
          <w:rFonts w:hint="default" w:ascii="Times New Roman" w:hAnsi="Times New Roman" w:eastAsia="仿宋_GB2312" w:cs="Times New Roman"/>
          <w:sz w:val="32"/>
          <w:szCs w:val="32"/>
          <w:lang w:val="en-US" w:eastAsia="zh-CN"/>
        </w:rPr>
        <w:t>%；。</w:t>
      </w:r>
    </w:p>
    <w:p w14:paraId="5190483E">
      <w:pPr>
        <w:spacing w:line="600" w:lineRule="exact"/>
        <w:ind w:firstLine="640" w:firstLineChars="200"/>
        <w:rPr>
          <w:rFonts w:hint="default" w:ascii="Times New Roman" w:hAnsi="Times New Roman" w:eastAsia="仿宋" w:cs="Times New Roman"/>
          <w:color w:val="000000"/>
          <w:sz w:val="32"/>
          <w:szCs w:val="32"/>
        </w:rPr>
      </w:pPr>
      <w:r>
        <w:rPr>
          <w:rFonts w:hint="default" w:ascii="Times New Roman" w:hAnsi="Times New Roman" w:eastAsia="仿宋_GB2312" w:cs="Times New Roman"/>
          <w:sz w:val="32"/>
          <w:szCs w:val="32"/>
          <w:lang w:val="en-US" w:eastAsia="zh-CN"/>
        </w:rPr>
        <w:t>（图</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：一般公共预算财政拨款支出决算结构）（饼状图）</w:t>
      </w:r>
    </w:p>
    <w:p w14:paraId="33D8D960">
      <w:pPr>
        <w:pStyle w:val="11"/>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eastAsia="zh-CN"/>
        </w:rPr>
        <w:drawing>
          <wp:inline distT="0" distB="0" distL="114300" distR="114300">
            <wp:extent cx="5375275" cy="2600960"/>
            <wp:effectExtent l="4445" t="4445" r="11430" b="23495"/>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5C36B35">
      <w:pPr>
        <w:spacing w:line="600" w:lineRule="exact"/>
        <w:ind w:firstLine="643" w:firstLineChars="200"/>
        <w:rPr>
          <w:rFonts w:hint="default" w:ascii="Times New Roman" w:hAnsi="Times New Roman" w:eastAsia="仿宋" w:cs="Times New Roman"/>
          <w:b/>
          <w:color w:val="000000"/>
          <w:sz w:val="32"/>
          <w:szCs w:val="32"/>
        </w:rPr>
      </w:pPr>
      <w:bookmarkStart w:id="59" w:name="_Toc79163867"/>
      <w:bookmarkStart w:id="60" w:name="_Toc79163617"/>
      <w:bookmarkStart w:id="61" w:name="_Toc15377212"/>
      <w:r>
        <w:rPr>
          <w:rFonts w:hint="default" w:ascii="Times New Roman" w:hAnsi="Times New Roman" w:eastAsia="仿宋" w:cs="Times New Roman"/>
          <w:b/>
          <w:color w:val="000000"/>
          <w:sz w:val="32"/>
          <w:szCs w:val="32"/>
        </w:rPr>
        <w:t>（三）一般公共预算财政拨款支出决算具体情况</w:t>
      </w:r>
      <w:bookmarkEnd w:id="59"/>
      <w:bookmarkEnd w:id="60"/>
      <w:bookmarkEnd w:id="61"/>
    </w:p>
    <w:p w14:paraId="5440221E">
      <w:pPr>
        <w:spacing w:line="600" w:lineRule="exact"/>
        <w:ind w:firstLine="640" w:firstLineChars="200"/>
        <w:rPr>
          <w:rFonts w:hint="default" w:ascii="Times New Roman" w:hAnsi="Times New Roman" w:eastAsia="仿宋_GB2312" w:cs="Times New Roman"/>
          <w:sz w:val="32"/>
          <w:szCs w:val="32"/>
          <w:lang w:val="en-US" w:eastAsia="zh-CN"/>
        </w:rPr>
      </w:pPr>
      <w:bookmarkStart w:id="62" w:name="_Toc15377444"/>
      <w:bookmarkStart w:id="63" w:name="_Toc15378460"/>
      <w:bookmarkStart w:id="64" w:name="_Toc15377213"/>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度</w:t>
      </w:r>
      <w:r>
        <w:rPr>
          <w:rFonts w:hint="default" w:ascii="Times New Roman" w:hAnsi="Times New Roman" w:eastAsia="仿宋_GB2312" w:cs="Times New Roman"/>
          <w:sz w:val="32"/>
          <w:szCs w:val="32"/>
          <w:lang w:val="en-US" w:eastAsia="zh-CN"/>
        </w:rPr>
        <w:t>一般公共预算支出决算数为1</w:t>
      </w:r>
      <w:r>
        <w:rPr>
          <w:rFonts w:hint="eastAsia" w:ascii="Times New Roman" w:hAnsi="Times New Roman" w:eastAsia="仿宋_GB2312" w:cs="Times New Roman"/>
          <w:sz w:val="32"/>
          <w:szCs w:val="32"/>
          <w:lang w:val="en-US" w:eastAsia="zh-CN"/>
        </w:rPr>
        <w:t>55.28</w:t>
      </w:r>
      <w:r>
        <w:rPr>
          <w:rFonts w:hint="default" w:ascii="Times New Roman" w:hAnsi="Times New Roman" w:eastAsia="仿宋_GB2312" w:cs="Times New Roman"/>
          <w:sz w:val="32"/>
          <w:szCs w:val="32"/>
          <w:lang w:val="en-US" w:eastAsia="zh-CN"/>
        </w:rPr>
        <w:t>万元，完成预算100%。其中：</w:t>
      </w:r>
      <w:bookmarkEnd w:id="62"/>
      <w:bookmarkEnd w:id="63"/>
      <w:bookmarkEnd w:id="64"/>
    </w:p>
    <w:p w14:paraId="0609D099">
      <w:pPr>
        <w:spacing w:line="60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1.社会保障和就业（类）208（款）05（项）: 支出决算为2</w:t>
      </w:r>
      <w:r>
        <w:rPr>
          <w:rFonts w:hint="eastAsia" w:ascii="Times New Roman" w:hAnsi="Times New Roman" w:eastAsia="仿宋_GB2312" w:cs="Times New Roman"/>
          <w:sz w:val="32"/>
          <w:szCs w:val="32"/>
          <w:lang w:val="en-US" w:eastAsia="zh-CN"/>
        </w:rPr>
        <w:t>6.03</w:t>
      </w:r>
      <w:r>
        <w:rPr>
          <w:rFonts w:hint="default" w:ascii="Times New Roman" w:hAnsi="Times New Roman" w:eastAsia="仿宋_GB2312" w:cs="Times New Roman"/>
          <w:sz w:val="32"/>
          <w:szCs w:val="32"/>
          <w:lang w:val="en-US" w:eastAsia="zh-CN"/>
        </w:rPr>
        <w:t>万元，完成预算</w:t>
      </w:r>
      <w:r>
        <w:rPr>
          <w:rFonts w:hint="eastAsia"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lang w:val="en-US" w:eastAsia="zh-CN"/>
        </w:rPr>
        <w:t>%。 </w:t>
      </w:r>
    </w:p>
    <w:p w14:paraId="5169347E">
      <w:pPr>
        <w:spacing w:line="60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2.卫生健康（类）210（款）11（项）支出决算为</w:t>
      </w:r>
      <w:r>
        <w:rPr>
          <w:rFonts w:hint="eastAsia" w:ascii="Times New Roman" w:hAnsi="Times New Roman" w:eastAsia="仿宋_GB2312" w:cs="Times New Roman"/>
          <w:sz w:val="32"/>
          <w:szCs w:val="32"/>
          <w:lang w:val="en-US" w:eastAsia="zh-CN"/>
        </w:rPr>
        <w:t>9.43</w:t>
      </w:r>
      <w:r>
        <w:rPr>
          <w:rFonts w:hint="default" w:ascii="Times New Roman" w:hAnsi="Times New Roman" w:eastAsia="仿宋_GB2312" w:cs="Times New Roman"/>
          <w:sz w:val="32"/>
          <w:szCs w:val="32"/>
          <w:lang w:val="en-US" w:eastAsia="zh-CN"/>
        </w:rPr>
        <w:t>万元，完成预算</w:t>
      </w:r>
      <w:r>
        <w:rPr>
          <w:rFonts w:hint="eastAsia"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lang w:val="en-US" w:eastAsia="zh-CN"/>
        </w:rPr>
        <w:t>%。</w:t>
      </w:r>
    </w:p>
    <w:p w14:paraId="7C556115">
      <w:pPr>
        <w:spacing w:line="60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3.节能环保支出（类）211（款）：支出决算为</w:t>
      </w:r>
      <w:r>
        <w:rPr>
          <w:rFonts w:hint="eastAsia" w:ascii="Times New Roman" w:hAnsi="Times New Roman" w:eastAsia="仿宋_GB2312" w:cs="Times New Roman"/>
          <w:sz w:val="32"/>
          <w:szCs w:val="32"/>
          <w:lang w:val="en-US" w:eastAsia="zh-CN"/>
        </w:rPr>
        <w:t>104.86</w:t>
      </w:r>
      <w:r>
        <w:rPr>
          <w:rFonts w:hint="default" w:ascii="Times New Roman" w:hAnsi="Times New Roman" w:eastAsia="仿宋_GB2312" w:cs="Times New Roman"/>
          <w:sz w:val="32"/>
          <w:szCs w:val="32"/>
          <w:lang w:val="en-US" w:eastAsia="zh-CN"/>
        </w:rPr>
        <w:t>万元，完成预算</w:t>
      </w:r>
      <w:r>
        <w:rPr>
          <w:rFonts w:hint="eastAsia"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lang w:val="en-US" w:eastAsia="zh-CN"/>
        </w:rPr>
        <w:t>%，</w:t>
      </w:r>
    </w:p>
    <w:p w14:paraId="4E21EF78">
      <w:pPr>
        <w:spacing w:line="600" w:lineRule="exact"/>
        <w:ind w:firstLine="640" w:firstLineChars="200"/>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val="en-US" w:eastAsia="zh-CN"/>
        </w:rPr>
        <w:t>4</w:t>
      </w:r>
      <w:r>
        <w:rPr>
          <w:rFonts w:hint="default" w:ascii="Times New Roman" w:hAnsi="Times New Roman" w:eastAsia="仿宋" w:cs="Times New Roman"/>
          <w:color w:val="000000"/>
          <w:sz w:val="32"/>
          <w:szCs w:val="32"/>
        </w:rPr>
        <w:t>.住房保障支</w:t>
      </w:r>
      <w:r>
        <w:rPr>
          <w:rFonts w:hint="default" w:ascii="Times New Roman" w:hAnsi="Times New Roman" w:eastAsia="仿宋" w:cs="Times New Roman"/>
          <w:color w:val="000000"/>
          <w:sz w:val="32"/>
          <w:szCs w:val="32"/>
          <w:lang w:eastAsia="zh-CN"/>
        </w:rPr>
        <w:t>出</w:t>
      </w:r>
      <w:r>
        <w:rPr>
          <w:rFonts w:hint="default" w:ascii="Times New Roman" w:hAnsi="Times New Roman" w:eastAsia="仿宋" w:cs="Times New Roman"/>
          <w:color w:val="000000"/>
          <w:sz w:val="32"/>
          <w:szCs w:val="32"/>
        </w:rPr>
        <w:t>（类）221（款）02（项）01：支出决算为</w:t>
      </w:r>
      <w:r>
        <w:rPr>
          <w:rFonts w:hint="default" w:ascii="Times New Roman" w:hAnsi="Times New Roman" w:eastAsia="仿宋" w:cs="Times New Roman"/>
          <w:color w:val="000000"/>
          <w:sz w:val="32"/>
          <w:szCs w:val="32"/>
          <w:lang w:val="en-US" w:eastAsia="zh-CN"/>
        </w:rPr>
        <w:t>1</w:t>
      </w:r>
      <w:r>
        <w:rPr>
          <w:rFonts w:hint="eastAsia" w:eastAsia="仿宋" w:cs="Times New Roman"/>
          <w:color w:val="000000"/>
          <w:sz w:val="32"/>
          <w:szCs w:val="32"/>
          <w:lang w:val="en-US" w:eastAsia="zh-CN"/>
        </w:rPr>
        <w:t>4.96</w:t>
      </w:r>
      <w:r>
        <w:rPr>
          <w:rFonts w:hint="default" w:ascii="Times New Roman" w:hAnsi="Times New Roman" w:eastAsia="仿宋" w:cs="Times New Roman"/>
          <w:color w:val="000000"/>
          <w:sz w:val="32"/>
          <w:szCs w:val="32"/>
        </w:rPr>
        <w:t>万元，完成预算</w:t>
      </w:r>
      <w:r>
        <w:rPr>
          <w:rFonts w:hint="eastAsia" w:eastAsia="仿宋" w:cs="Times New Roman"/>
          <w:color w:val="000000"/>
          <w:sz w:val="32"/>
          <w:szCs w:val="32"/>
          <w:lang w:val="en-US" w:eastAsia="zh-CN"/>
        </w:rPr>
        <w:t>100</w:t>
      </w:r>
      <w:r>
        <w:rPr>
          <w:rFonts w:hint="default" w:ascii="Times New Roman" w:hAnsi="Times New Roman" w:eastAsia="仿宋" w:cs="Times New Roman"/>
          <w:color w:val="000000"/>
          <w:sz w:val="32"/>
          <w:szCs w:val="32"/>
        </w:rPr>
        <w:t>%，</w:t>
      </w:r>
    </w:p>
    <w:p w14:paraId="59F4B048">
      <w:pPr>
        <w:spacing w:line="600" w:lineRule="exact"/>
        <w:ind w:firstLine="643" w:firstLineChars="200"/>
        <w:rPr>
          <w:rFonts w:hint="default" w:ascii="Times New Roman" w:hAnsi="Times New Roman" w:eastAsia="仿宋" w:cs="Times New Roman"/>
          <w:b/>
          <w:bCs/>
          <w:color w:val="000000"/>
          <w:sz w:val="32"/>
          <w:szCs w:val="32"/>
        </w:rPr>
      </w:pPr>
      <w:bookmarkStart w:id="65" w:name="_Toc79163618"/>
      <w:bookmarkStart w:id="66" w:name="_Toc79163868"/>
      <w:bookmarkStart w:id="67" w:name="_Toc15396608"/>
      <w:bookmarkStart w:id="68" w:name="_Toc15377214"/>
      <w:r>
        <w:rPr>
          <w:rFonts w:hint="default" w:ascii="Times New Roman" w:hAnsi="Times New Roman" w:eastAsia="仿宋" w:cs="Times New Roman"/>
          <w:b/>
          <w:bCs/>
          <w:color w:val="000000"/>
          <w:sz w:val="32"/>
          <w:szCs w:val="32"/>
        </w:rPr>
        <w:t>六、一般公共预算财政拨款基本支出决算情况说明</w:t>
      </w:r>
      <w:bookmarkEnd w:id="65"/>
      <w:bookmarkEnd w:id="66"/>
      <w:bookmarkEnd w:id="67"/>
      <w:bookmarkEnd w:id="68"/>
      <w:r>
        <w:rPr>
          <w:rFonts w:hint="default" w:ascii="Times New Roman" w:hAnsi="Times New Roman" w:eastAsia="仿宋" w:cs="Times New Roman"/>
          <w:b/>
          <w:bCs/>
          <w:color w:val="000000"/>
          <w:sz w:val="32"/>
          <w:szCs w:val="32"/>
        </w:rPr>
        <w:tab/>
      </w:r>
    </w:p>
    <w:p w14:paraId="2E3ECFC9">
      <w:pPr>
        <w:spacing w:line="600" w:lineRule="exact"/>
        <w:ind w:firstLine="640" w:firstLineChars="200"/>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lang w:val="en-US" w:eastAsia="zh-CN"/>
        </w:rPr>
        <w:t>202</w:t>
      </w:r>
      <w:r>
        <w:rPr>
          <w:rFonts w:hint="eastAsia" w:ascii="Times New Roman" w:hAnsi="Times New Roman" w:eastAsia="仿宋" w:cs="Times New Roman"/>
          <w:color w:val="000000"/>
          <w:sz w:val="32"/>
          <w:szCs w:val="32"/>
          <w:lang w:val="en-US" w:eastAsia="zh-CN"/>
        </w:rPr>
        <w:t>5</w:t>
      </w:r>
      <w:r>
        <w:rPr>
          <w:rFonts w:hint="default" w:ascii="Times New Roman" w:hAnsi="Times New Roman" w:eastAsia="仿宋" w:cs="Times New Roman"/>
          <w:color w:val="000000"/>
          <w:sz w:val="32"/>
          <w:szCs w:val="32"/>
          <w:lang w:val="en-US" w:eastAsia="zh-CN"/>
        </w:rPr>
        <w:t>年</w:t>
      </w:r>
      <w:r>
        <w:rPr>
          <w:rFonts w:hint="eastAsia" w:ascii="Times New Roman" w:hAnsi="Times New Roman" w:eastAsia="仿宋" w:cs="Times New Roman"/>
          <w:color w:val="000000"/>
          <w:sz w:val="32"/>
          <w:szCs w:val="32"/>
          <w:lang w:val="en-US" w:eastAsia="zh-CN"/>
        </w:rPr>
        <w:t>度</w:t>
      </w:r>
      <w:r>
        <w:rPr>
          <w:rFonts w:hint="default" w:ascii="Times New Roman" w:hAnsi="Times New Roman" w:eastAsia="仿宋" w:cs="Times New Roman"/>
          <w:color w:val="000000"/>
          <w:sz w:val="32"/>
          <w:szCs w:val="32"/>
          <w:lang w:val="en-US" w:eastAsia="zh-CN"/>
        </w:rPr>
        <w:t>一般公共预算财政拨款基本支出</w:t>
      </w:r>
      <w:r>
        <w:rPr>
          <w:rFonts w:hint="default" w:ascii="Times New Roman" w:hAnsi="Times New Roman" w:eastAsia="仿宋" w:cs="Times New Roman"/>
          <w:color w:val="000000"/>
          <w:sz w:val="32"/>
          <w:szCs w:val="32"/>
          <w:lang w:val="en-US" w:eastAsia="zh-CN"/>
        </w:rPr>
        <w:t>1</w:t>
      </w:r>
      <w:r>
        <w:rPr>
          <w:rFonts w:hint="eastAsia" w:ascii="Times New Roman" w:hAnsi="Times New Roman" w:eastAsia="仿宋" w:cs="Times New Roman"/>
          <w:color w:val="000000"/>
          <w:sz w:val="32"/>
          <w:szCs w:val="32"/>
          <w:lang w:val="en-US" w:eastAsia="zh-CN"/>
        </w:rPr>
        <w:t>55.28</w:t>
      </w:r>
      <w:r>
        <w:rPr>
          <w:rFonts w:hint="default" w:ascii="Times New Roman" w:hAnsi="Times New Roman" w:eastAsia="仿宋" w:cs="Times New Roman"/>
          <w:color w:val="000000"/>
          <w:sz w:val="32"/>
          <w:szCs w:val="32"/>
          <w:lang w:val="en-US" w:eastAsia="zh-CN"/>
        </w:rPr>
        <w:t>万元，其中：</w:t>
      </w:r>
    </w:p>
    <w:p w14:paraId="2EC1A50F">
      <w:pPr>
        <w:spacing w:line="600" w:lineRule="exact"/>
        <w:ind w:firstLine="640" w:firstLineChars="200"/>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lang w:val="en-US" w:eastAsia="zh-CN"/>
        </w:rPr>
        <w:t>人员经费</w:t>
      </w:r>
      <w:r>
        <w:rPr>
          <w:rFonts w:hint="eastAsia" w:ascii="Times New Roman" w:hAnsi="Times New Roman" w:eastAsia="仿宋" w:cs="Times New Roman"/>
          <w:color w:val="000000"/>
          <w:sz w:val="32"/>
          <w:szCs w:val="32"/>
          <w:lang w:val="en-US" w:eastAsia="zh-CN"/>
        </w:rPr>
        <w:t>141.54</w:t>
      </w:r>
      <w:r>
        <w:rPr>
          <w:rFonts w:hint="default" w:ascii="Times New Roman" w:hAnsi="Times New Roman" w:eastAsia="仿宋" w:cs="Times New Roman"/>
          <w:color w:val="000000"/>
          <w:sz w:val="32"/>
          <w:szCs w:val="32"/>
          <w:lang w:val="en-US" w:eastAsia="zh-CN"/>
        </w:rPr>
        <w:t>万元，主要包括：基本工资</w:t>
      </w:r>
      <w:r>
        <w:rPr>
          <w:rFonts w:hint="eastAsia" w:ascii="Times New Roman" w:hAnsi="Times New Roman" w:eastAsia="仿宋" w:cs="Times New Roman"/>
          <w:color w:val="000000"/>
          <w:sz w:val="32"/>
          <w:szCs w:val="32"/>
          <w:lang w:val="en-US" w:eastAsia="zh-CN"/>
        </w:rPr>
        <w:t>43.45</w:t>
      </w:r>
      <w:r>
        <w:rPr>
          <w:rFonts w:hint="default" w:ascii="Times New Roman" w:hAnsi="Times New Roman" w:eastAsia="仿宋" w:cs="Times New Roman"/>
          <w:color w:val="000000"/>
          <w:sz w:val="32"/>
          <w:szCs w:val="32"/>
          <w:lang w:val="en-US" w:eastAsia="zh-CN"/>
        </w:rPr>
        <w:t>万元、津贴补贴</w:t>
      </w:r>
      <w:r>
        <w:rPr>
          <w:rFonts w:hint="eastAsia" w:ascii="Times New Roman" w:hAnsi="Times New Roman" w:eastAsia="仿宋" w:cs="Times New Roman"/>
          <w:color w:val="000000"/>
          <w:sz w:val="32"/>
          <w:szCs w:val="32"/>
          <w:lang w:val="en-US" w:eastAsia="zh-CN"/>
        </w:rPr>
        <w:t>4.99</w:t>
      </w:r>
      <w:r>
        <w:rPr>
          <w:rFonts w:hint="default" w:ascii="Times New Roman" w:hAnsi="Times New Roman" w:eastAsia="仿宋" w:cs="Times New Roman"/>
          <w:color w:val="000000"/>
          <w:sz w:val="32"/>
          <w:szCs w:val="32"/>
          <w:lang w:val="en-US" w:eastAsia="zh-CN"/>
        </w:rPr>
        <w:t>万元、绩效工资</w:t>
      </w:r>
      <w:r>
        <w:rPr>
          <w:rFonts w:hint="eastAsia" w:ascii="Times New Roman" w:hAnsi="Times New Roman" w:eastAsia="仿宋" w:cs="Times New Roman"/>
          <w:color w:val="000000"/>
          <w:sz w:val="32"/>
          <w:szCs w:val="32"/>
          <w:lang w:val="en-US" w:eastAsia="zh-CN"/>
        </w:rPr>
        <w:t>41.82</w:t>
      </w:r>
      <w:r>
        <w:rPr>
          <w:rFonts w:hint="default" w:ascii="Times New Roman" w:hAnsi="Times New Roman" w:eastAsia="仿宋" w:cs="Times New Roman"/>
          <w:color w:val="000000"/>
          <w:sz w:val="32"/>
          <w:szCs w:val="32"/>
          <w:lang w:val="en-US" w:eastAsia="zh-CN"/>
        </w:rPr>
        <w:t>万元、机关事业单位基本养老保险缴费</w:t>
      </w:r>
      <w:r>
        <w:rPr>
          <w:rFonts w:hint="default" w:ascii="Times New Roman" w:hAnsi="Times New Roman" w:eastAsia="仿宋" w:cs="Times New Roman"/>
          <w:color w:val="000000"/>
          <w:sz w:val="32"/>
          <w:szCs w:val="32"/>
          <w:lang w:val="en-US" w:eastAsia="zh-CN"/>
        </w:rPr>
        <w:t>1</w:t>
      </w:r>
      <w:r>
        <w:rPr>
          <w:rFonts w:hint="eastAsia" w:ascii="Times New Roman" w:hAnsi="Times New Roman" w:eastAsia="仿宋" w:cs="Times New Roman"/>
          <w:color w:val="000000"/>
          <w:sz w:val="32"/>
          <w:szCs w:val="32"/>
          <w:lang w:val="en-US" w:eastAsia="zh-CN"/>
        </w:rPr>
        <w:t>7.35</w:t>
      </w:r>
      <w:r>
        <w:rPr>
          <w:rFonts w:hint="default" w:ascii="Times New Roman" w:hAnsi="Times New Roman" w:eastAsia="仿宋" w:cs="Times New Roman"/>
          <w:color w:val="000000"/>
          <w:sz w:val="32"/>
          <w:szCs w:val="32"/>
          <w:lang w:val="en-US" w:eastAsia="zh-CN"/>
        </w:rPr>
        <w:t>万元、职业年金缴费</w:t>
      </w:r>
      <w:r>
        <w:rPr>
          <w:rFonts w:hint="eastAsia" w:ascii="Times New Roman" w:hAnsi="Times New Roman" w:eastAsia="仿宋" w:cs="Times New Roman"/>
          <w:color w:val="000000"/>
          <w:sz w:val="32"/>
          <w:szCs w:val="32"/>
          <w:lang w:val="en-US" w:eastAsia="zh-CN"/>
        </w:rPr>
        <w:t>8.68</w:t>
      </w:r>
      <w:r>
        <w:rPr>
          <w:rFonts w:hint="default" w:ascii="Times New Roman" w:hAnsi="Times New Roman" w:eastAsia="仿宋" w:cs="Times New Roman"/>
          <w:color w:val="000000"/>
          <w:sz w:val="32"/>
          <w:szCs w:val="32"/>
          <w:lang w:val="en-US" w:eastAsia="zh-CN"/>
        </w:rPr>
        <w:t>万元、职工基本医疗</w:t>
      </w:r>
      <w:r>
        <w:rPr>
          <w:rFonts w:hint="eastAsia" w:ascii="Times New Roman" w:hAnsi="Times New Roman" w:eastAsia="仿宋" w:cs="Times New Roman"/>
          <w:color w:val="000000"/>
          <w:sz w:val="32"/>
          <w:szCs w:val="32"/>
          <w:lang w:val="en-US" w:eastAsia="zh-CN"/>
        </w:rPr>
        <w:t>7.55</w:t>
      </w:r>
      <w:r>
        <w:rPr>
          <w:rFonts w:hint="default" w:ascii="Times New Roman" w:hAnsi="Times New Roman" w:eastAsia="仿宋" w:cs="Times New Roman"/>
          <w:color w:val="000000"/>
          <w:sz w:val="32"/>
          <w:szCs w:val="32"/>
          <w:lang w:val="en-US" w:eastAsia="zh-CN"/>
        </w:rPr>
        <w:t>万元、其他社会保障缴费</w:t>
      </w:r>
      <w:r>
        <w:rPr>
          <w:rFonts w:hint="eastAsia" w:ascii="Times New Roman" w:hAnsi="Times New Roman" w:eastAsia="仿宋" w:cs="Times New Roman"/>
          <w:color w:val="000000"/>
          <w:sz w:val="32"/>
          <w:szCs w:val="32"/>
          <w:lang w:val="en-US" w:eastAsia="zh-CN"/>
        </w:rPr>
        <w:t>2.74</w:t>
      </w:r>
      <w:r>
        <w:rPr>
          <w:rFonts w:hint="default" w:ascii="Times New Roman" w:hAnsi="Times New Roman" w:eastAsia="仿宋" w:cs="Times New Roman"/>
          <w:color w:val="000000"/>
          <w:sz w:val="32"/>
          <w:szCs w:val="32"/>
          <w:lang w:val="en-US" w:eastAsia="zh-CN"/>
        </w:rPr>
        <w:t>万元、住房公积金</w:t>
      </w:r>
      <w:r>
        <w:rPr>
          <w:rFonts w:hint="default" w:ascii="Times New Roman" w:hAnsi="Times New Roman" w:eastAsia="仿宋" w:cs="Times New Roman"/>
          <w:color w:val="000000"/>
          <w:sz w:val="32"/>
          <w:szCs w:val="32"/>
          <w:lang w:val="en-US" w:eastAsia="zh-CN"/>
        </w:rPr>
        <w:t>1</w:t>
      </w:r>
      <w:r>
        <w:rPr>
          <w:rFonts w:hint="eastAsia" w:ascii="Times New Roman" w:hAnsi="Times New Roman" w:eastAsia="仿宋" w:cs="Times New Roman"/>
          <w:color w:val="000000"/>
          <w:sz w:val="32"/>
          <w:szCs w:val="32"/>
          <w:lang w:val="en-US" w:eastAsia="zh-CN"/>
        </w:rPr>
        <w:t>4.96</w:t>
      </w:r>
      <w:r>
        <w:rPr>
          <w:rFonts w:hint="default" w:ascii="Times New Roman" w:hAnsi="Times New Roman" w:eastAsia="仿宋" w:cs="Times New Roman"/>
          <w:color w:val="000000"/>
          <w:sz w:val="32"/>
          <w:szCs w:val="32"/>
          <w:lang w:val="en-US" w:eastAsia="zh-CN"/>
        </w:rPr>
        <w:t>万。</w:t>
      </w:r>
    </w:p>
    <w:p w14:paraId="6FCB7715">
      <w:pPr>
        <w:spacing w:line="600" w:lineRule="exact"/>
        <w:ind w:firstLine="640" w:firstLineChars="200"/>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lang w:val="en-US" w:eastAsia="zh-CN"/>
        </w:rPr>
        <w:t>日常公用经费</w:t>
      </w:r>
      <w:r>
        <w:rPr>
          <w:rFonts w:hint="default" w:ascii="Times New Roman" w:hAnsi="Times New Roman" w:eastAsia="仿宋" w:cs="Times New Roman"/>
          <w:color w:val="000000"/>
          <w:sz w:val="32"/>
          <w:szCs w:val="32"/>
          <w:lang w:val="en-US" w:eastAsia="zh-CN"/>
        </w:rPr>
        <w:t>1</w:t>
      </w:r>
      <w:r>
        <w:rPr>
          <w:rFonts w:hint="eastAsia" w:ascii="Times New Roman" w:hAnsi="Times New Roman" w:eastAsia="仿宋" w:cs="Times New Roman"/>
          <w:color w:val="000000"/>
          <w:sz w:val="32"/>
          <w:szCs w:val="32"/>
          <w:lang w:val="en-US" w:eastAsia="zh-CN"/>
        </w:rPr>
        <w:t>3.73</w:t>
      </w:r>
      <w:r>
        <w:rPr>
          <w:rFonts w:hint="default" w:ascii="Times New Roman" w:hAnsi="Times New Roman" w:eastAsia="仿宋" w:cs="Times New Roman"/>
          <w:color w:val="000000"/>
          <w:sz w:val="32"/>
          <w:szCs w:val="32"/>
          <w:lang w:val="en-US" w:eastAsia="zh-CN"/>
        </w:rPr>
        <w:t>万元，主要包括：办公费</w:t>
      </w:r>
      <w:r>
        <w:rPr>
          <w:rFonts w:hint="eastAsia" w:ascii="Times New Roman" w:hAnsi="Times New Roman" w:eastAsia="仿宋" w:cs="Times New Roman"/>
          <w:color w:val="000000"/>
          <w:sz w:val="32"/>
          <w:szCs w:val="32"/>
          <w:lang w:val="en-US" w:eastAsia="zh-CN"/>
        </w:rPr>
        <w:t>1.03</w:t>
      </w:r>
      <w:r>
        <w:rPr>
          <w:rFonts w:hint="default" w:ascii="Times New Roman" w:hAnsi="Times New Roman" w:eastAsia="仿宋" w:cs="Times New Roman"/>
          <w:color w:val="000000"/>
          <w:sz w:val="32"/>
          <w:szCs w:val="32"/>
          <w:lang w:val="en-US" w:eastAsia="zh-CN"/>
        </w:rPr>
        <w:t>万元</w:t>
      </w:r>
      <w:r>
        <w:rPr>
          <w:rFonts w:hint="eastAsia" w:ascii="Times New Roman" w:hAnsi="Times New Roman" w:eastAsia="仿宋" w:cs="Times New Roman"/>
          <w:color w:val="000000"/>
          <w:sz w:val="32"/>
          <w:szCs w:val="32"/>
          <w:lang w:val="en-US" w:eastAsia="zh-CN"/>
        </w:rPr>
        <w:t>、</w:t>
      </w:r>
      <w:r>
        <w:rPr>
          <w:rFonts w:hint="default" w:ascii="Times New Roman" w:hAnsi="Times New Roman" w:eastAsia="仿宋" w:cs="Times New Roman"/>
          <w:color w:val="000000"/>
          <w:sz w:val="32"/>
          <w:szCs w:val="32"/>
          <w:lang w:val="en-US" w:eastAsia="zh-CN"/>
        </w:rPr>
        <w:t>水费</w:t>
      </w:r>
      <w:r>
        <w:rPr>
          <w:rFonts w:hint="default" w:ascii="Times New Roman" w:hAnsi="Times New Roman" w:eastAsia="仿宋" w:cs="Times New Roman"/>
          <w:color w:val="000000"/>
          <w:sz w:val="32"/>
          <w:szCs w:val="32"/>
          <w:lang w:val="en-US" w:eastAsia="zh-CN"/>
        </w:rPr>
        <w:t>0.</w:t>
      </w:r>
      <w:r>
        <w:rPr>
          <w:rFonts w:hint="eastAsia" w:ascii="Times New Roman" w:hAnsi="Times New Roman" w:eastAsia="仿宋" w:cs="Times New Roman"/>
          <w:color w:val="000000"/>
          <w:sz w:val="32"/>
          <w:szCs w:val="32"/>
          <w:lang w:val="en-US" w:eastAsia="zh-CN"/>
        </w:rPr>
        <w:t>39</w:t>
      </w:r>
      <w:r>
        <w:rPr>
          <w:rFonts w:hint="default" w:ascii="Times New Roman" w:hAnsi="Times New Roman" w:eastAsia="仿宋" w:cs="Times New Roman"/>
          <w:color w:val="000000"/>
          <w:sz w:val="32"/>
          <w:szCs w:val="32"/>
          <w:lang w:val="en-US" w:eastAsia="zh-CN"/>
        </w:rPr>
        <w:t>万元、电费0</w:t>
      </w:r>
      <w:r>
        <w:rPr>
          <w:rFonts w:hint="default" w:ascii="Times New Roman" w:hAnsi="Times New Roman" w:eastAsia="仿宋" w:cs="Times New Roman"/>
          <w:color w:val="000000"/>
          <w:sz w:val="32"/>
          <w:szCs w:val="32"/>
          <w:lang w:val="en-US" w:eastAsia="zh-CN"/>
        </w:rPr>
        <w:t>.</w:t>
      </w:r>
      <w:r>
        <w:rPr>
          <w:rFonts w:hint="eastAsia" w:ascii="Times New Roman" w:hAnsi="Times New Roman" w:eastAsia="仿宋" w:cs="Times New Roman"/>
          <w:color w:val="000000"/>
          <w:sz w:val="32"/>
          <w:szCs w:val="32"/>
          <w:lang w:val="en-US" w:eastAsia="zh-CN"/>
        </w:rPr>
        <w:t>5</w:t>
      </w:r>
      <w:r>
        <w:rPr>
          <w:rFonts w:hint="default" w:ascii="Times New Roman" w:hAnsi="Times New Roman" w:eastAsia="仿宋" w:cs="Times New Roman"/>
          <w:color w:val="000000"/>
          <w:sz w:val="32"/>
          <w:szCs w:val="32"/>
          <w:lang w:val="en-US" w:eastAsia="zh-CN"/>
        </w:rPr>
        <w:t>万元、邮电费</w:t>
      </w:r>
      <w:r>
        <w:rPr>
          <w:rFonts w:hint="eastAsia" w:ascii="Times New Roman" w:hAnsi="Times New Roman" w:eastAsia="仿宋" w:cs="Times New Roman"/>
          <w:color w:val="000000"/>
          <w:sz w:val="32"/>
          <w:szCs w:val="32"/>
          <w:lang w:val="en-US" w:eastAsia="zh-CN"/>
        </w:rPr>
        <w:t>2.18</w:t>
      </w:r>
      <w:r>
        <w:rPr>
          <w:rFonts w:hint="default" w:ascii="Times New Roman" w:hAnsi="Times New Roman" w:eastAsia="仿宋" w:cs="Times New Roman"/>
          <w:color w:val="000000"/>
          <w:sz w:val="32"/>
          <w:szCs w:val="32"/>
          <w:lang w:val="en-US" w:eastAsia="zh-CN"/>
        </w:rPr>
        <w:t>万元、差旅费</w:t>
      </w:r>
      <w:r>
        <w:rPr>
          <w:rFonts w:hint="eastAsia" w:ascii="Times New Roman" w:hAnsi="Times New Roman" w:eastAsia="仿宋" w:cs="Times New Roman"/>
          <w:color w:val="000000"/>
          <w:sz w:val="32"/>
          <w:szCs w:val="32"/>
          <w:lang w:val="en-US" w:eastAsia="zh-CN"/>
        </w:rPr>
        <w:t>4.99</w:t>
      </w:r>
      <w:r>
        <w:rPr>
          <w:rFonts w:hint="default" w:ascii="Times New Roman" w:hAnsi="Times New Roman" w:eastAsia="仿宋" w:cs="Times New Roman"/>
          <w:color w:val="000000"/>
          <w:sz w:val="32"/>
          <w:szCs w:val="32"/>
          <w:lang w:val="en-US" w:eastAsia="zh-CN"/>
        </w:rPr>
        <w:t>万元、福利费</w:t>
      </w:r>
      <w:r>
        <w:rPr>
          <w:rFonts w:hint="eastAsia" w:ascii="Times New Roman" w:hAnsi="Times New Roman" w:eastAsia="仿宋" w:cs="Times New Roman"/>
          <w:color w:val="000000"/>
          <w:sz w:val="32"/>
          <w:szCs w:val="32"/>
          <w:lang w:val="en-US" w:eastAsia="zh-CN"/>
        </w:rPr>
        <w:t>1.87</w:t>
      </w:r>
      <w:r>
        <w:rPr>
          <w:rFonts w:hint="default" w:ascii="Times New Roman" w:hAnsi="Times New Roman" w:eastAsia="仿宋" w:cs="Times New Roman"/>
          <w:color w:val="000000"/>
          <w:sz w:val="32"/>
          <w:szCs w:val="32"/>
          <w:lang w:val="en-US" w:eastAsia="zh-CN"/>
        </w:rPr>
        <w:t>万元、其他商品服务支出</w:t>
      </w:r>
      <w:r>
        <w:rPr>
          <w:rFonts w:hint="eastAsia" w:ascii="Times New Roman" w:hAnsi="Times New Roman" w:eastAsia="仿宋" w:cs="Times New Roman"/>
          <w:color w:val="000000"/>
          <w:sz w:val="32"/>
          <w:szCs w:val="32"/>
          <w:lang w:val="en-US" w:eastAsia="zh-CN"/>
        </w:rPr>
        <w:t>2.78</w:t>
      </w:r>
      <w:r>
        <w:rPr>
          <w:rFonts w:hint="default" w:ascii="Times New Roman" w:hAnsi="Times New Roman" w:eastAsia="仿宋" w:cs="Times New Roman"/>
          <w:color w:val="000000"/>
          <w:sz w:val="32"/>
          <w:szCs w:val="32"/>
          <w:lang w:val="en-US" w:eastAsia="zh-CN"/>
        </w:rPr>
        <w:t>万元等。</w:t>
      </w:r>
    </w:p>
    <w:p w14:paraId="252AE7A6">
      <w:pPr>
        <w:spacing w:line="600" w:lineRule="exact"/>
        <w:ind w:firstLine="640" w:firstLineChars="200"/>
        <w:rPr>
          <w:rFonts w:hint="default" w:ascii="Times New Roman" w:hAnsi="Times New Roman" w:eastAsia="仿宋" w:cs="Times New Roman"/>
          <w:color w:val="000000"/>
          <w:sz w:val="32"/>
          <w:szCs w:val="32"/>
          <w:lang w:val="en-US" w:eastAsia="zh-CN"/>
        </w:rPr>
      </w:pPr>
      <w:bookmarkStart w:id="69" w:name="_Toc15377215"/>
      <w:bookmarkStart w:id="70" w:name="_Toc79163619"/>
      <w:bookmarkStart w:id="71" w:name="_Toc79163869"/>
      <w:bookmarkStart w:id="72" w:name="_Toc15396609"/>
      <w:r>
        <w:rPr>
          <w:rFonts w:hint="default" w:ascii="Times New Roman" w:hAnsi="Times New Roman" w:eastAsia="仿宋" w:cs="Times New Roman"/>
          <w:color w:val="000000"/>
          <w:sz w:val="32"/>
          <w:szCs w:val="32"/>
          <w:lang w:val="en-US" w:eastAsia="zh-CN"/>
        </w:rPr>
        <w:t>七、财政拨款“三公”经费支出决算情况说明</w:t>
      </w:r>
      <w:bookmarkEnd w:id="69"/>
      <w:bookmarkEnd w:id="70"/>
      <w:bookmarkEnd w:id="71"/>
      <w:bookmarkEnd w:id="72"/>
    </w:p>
    <w:p w14:paraId="33272BC6">
      <w:pPr>
        <w:spacing w:line="600" w:lineRule="exact"/>
        <w:ind w:firstLine="640"/>
        <w:outlineLvl w:val="2"/>
        <w:rPr>
          <w:rFonts w:hint="default" w:ascii="Times New Roman" w:hAnsi="Times New Roman" w:eastAsia="仿宋" w:cs="Times New Roman"/>
          <w:b/>
          <w:color w:val="000000"/>
          <w:sz w:val="32"/>
          <w:szCs w:val="32"/>
        </w:rPr>
      </w:pPr>
      <w:bookmarkStart w:id="73" w:name="_Toc79163620"/>
      <w:bookmarkStart w:id="74" w:name="_Toc15377216"/>
      <w:bookmarkStart w:id="75" w:name="_Toc79163870"/>
      <w:r>
        <w:rPr>
          <w:rFonts w:hint="default" w:ascii="Times New Roman" w:hAnsi="Times New Roman" w:eastAsia="仿宋" w:cs="Times New Roman"/>
          <w:b/>
          <w:color w:val="000000"/>
          <w:sz w:val="32"/>
          <w:szCs w:val="32"/>
        </w:rPr>
        <w:t>（一）“三公”经费财政拨款支出决算总体情况说明</w:t>
      </w:r>
      <w:bookmarkEnd w:id="73"/>
      <w:bookmarkEnd w:id="74"/>
      <w:bookmarkEnd w:id="75"/>
    </w:p>
    <w:p w14:paraId="33ADB4EF">
      <w:pPr>
        <w:spacing w:line="600" w:lineRule="exact"/>
        <w:ind w:firstLine="640" w:firstLineChars="200"/>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lang w:val="en-US" w:eastAsia="zh-CN"/>
        </w:rPr>
        <w:t>202</w:t>
      </w:r>
      <w:r>
        <w:rPr>
          <w:rFonts w:hint="eastAsia" w:ascii="Times New Roman" w:hAnsi="Times New Roman" w:eastAsia="仿宋" w:cs="Times New Roman"/>
          <w:color w:val="000000"/>
          <w:sz w:val="32"/>
          <w:szCs w:val="32"/>
          <w:lang w:val="en-US" w:eastAsia="zh-CN"/>
        </w:rPr>
        <w:t>5</w:t>
      </w:r>
      <w:r>
        <w:rPr>
          <w:rFonts w:hint="default" w:ascii="Times New Roman" w:hAnsi="Times New Roman" w:eastAsia="仿宋" w:cs="Times New Roman"/>
          <w:color w:val="000000"/>
          <w:sz w:val="32"/>
          <w:szCs w:val="32"/>
          <w:lang w:val="en-US" w:eastAsia="zh-CN"/>
        </w:rPr>
        <w:t>年</w:t>
      </w:r>
      <w:r>
        <w:rPr>
          <w:rFonts w:hint="eastAsia" w:ascii="Times New Roman" w:hAnsi="Times New Roman" w:eastAsia="仿宋" w:cs="Times New Roman"/>
          <w:color w:val="000000"/>
          <w:sz w:val="32"/>
          <w:szCs w:val="32"/>
          <w:lang w:val="en-US" w:eastAsia="zh-CN"/>
        </w:rPr>
        <w:t>度</w:t>
      </w:r>
      <w:r>
        <w:rPr>
          <w:rFonts w:hint="default" w:ascii="Times New Roman" w:hAnsi="Times New Roman" w:eastAsia="仿宋" w:cs="Times New Roman"/>
          <w:color w:val="000000"/>
          <w:sz w:val="32"/>
          <w:szCs w:val="32"/>
          <w:lang w:val="en-US" w:eastAsia="zh-CN"/>
        </w:rPr>
        <w:t>“三公”经费财政拨款支出决算为</w:t>
      </w:r>
      <w:r>
        <w:rPr>
          <w:rFonts w:hint="eastAsia" w:ascii="Times New Roman" w:hAnsi="Times New Roman" w:eastAsia="仿宋" w:cs="Times New Roman"/>
          <w:color w:val="000000"/>
          <w:sz w:val="32"/>
          <w:szCs w:val="32"/>
          <w:lang w:val="en-US" w:eastAsia="zh-CN"/>
        </w:rPr>
        <w:t>0</w:t>
      </w:r>
      <w:r>
        <w:rPr>
          <w:rFonts w:hint="default" w:ascii="Times New Roman" w:hAnsi="Times New Roman" w:eastAsia="仿宋" w:cs="Times New Roman"/>
          <w:color w:val="000000"/>
          <w:sz w:val="32"/>
          <w:szCs w:val="32"/>
          <w:lang w:val="en-US" w:eastAsia="zh-CN"/>
        </w:rPr>
        <w:t>万元，完成预算</w:t>
      </w:r>
      <w:r>
        <w:rPr>
          <w:rFonts w:hint="eastAsia" w:ascii="Times New Roman" w:hAnsi="Times New Roman" w:eastAsia="仿宋" w:cs="Times New Roman"/>
          <w:color w:val="000000"/>
          <w:sz w:val="32"/>
          <w:szCs w:val="32"/>
          <w:lang w:val="en-US" w:eastAsia="zh-CN"/>
        </w:rPr>
        <w:t>0</w:t>
      </w:r>
      <w:r>
        <w:rPr>
          <w:rFonts w:hint="default" w:ascii="Times New Roman" w:hAnsi="Times New Roman" w:eastAsia="仿宋" w:cs="Times New Roman"/>
          <w:color w:val="000000"/>
          <w:sz w:val="32"/>
          <w:szCs w:val="32"/>
          <w:lang w:val="en-US" w:eastAsia="zh-CN"/>
        </w:rPr>
        <w:t>%</w:t>
      </w:r>
      <w:r>
        <w:rPr>
          <w:rFonts w:hint="eastAsia" w:ascii="Times New Roman" w:hAnsi="Times New Roman" w:eastAsia="仿宋" w:cs="Times New Roman"/>
          <w:color w:val="000000"/>
          <w:sz w:val="32"/>
          <w:szCs w:val="32"/>
          <w:lang w:val="en-US" w:eastAsia="zh-CN"/>
        </w:rPr>
        <w:t>，较上年度减少0.28万元，下降100%，决算数小于预算数的主要原因是2025年未发生公务接待费用。</w:t>
      </w:r>
    </w:p>
    <w:p w14:paraId="7B7EE048">
      <w:pPr>
        <w:spacing w:line="600" w:lineRule="exact"/>
        <w:ind w:firstLine="640"/>
        <w:outlineLvl w:val="2"/>
        <w:rPr>
          <w:rFonts w:hint="default" w:ascii="Times New Roman" w:hAnsi="Times New Roman" w:eastAsia="仿宋" w:cs="Times New Roman"/>
          <w:b/>
          <w:color w:val="000000"/>
          <w:sz w:val="32"/>
          <w:szCs w:val="32"/>
        </w:rPr>
      </w:pPr>
      <w:bookmarkStart w:id="76" w:name="_Toc15377217"/>
      <w:bookmarkStart w:id="77" w:name="_Toc79163621"/>
      <w:bookmarkStart w:id="78" w:name="_Toc79163871"/>
      <w:r>
        <w:rPr>
          <w:rFonts w:hint="default" w:ascii="Times New Roman" w:hAnsi="Times New Roman" w:eastAsia="仿宋" w:cs="Times New Roman"/>
          <w:b/>
          <w:color w:val="000000"/>
          <w:sz w:val="32"/>
          <w:szCs w:val="32"/>
        </w:rPr>
        <w:t>（二）“三公”经费财政拨款支出决算具体情况说明</w:t>
      </w:r>
      <w:bookmarkEnd w:id="76"/>
      <w:bookmarkEnd w:id="77"/>
      <w:bookmarkEnd w:id="78"/>
    </w:p>
    <w:p w14:paraId="48812840">
      <w:pPr>
        <w:spacing w:line="600" w:lineRule="exact"/>
        <w:ind w:firstLine="640" w:firstLineChars="200"/>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lang w:val="en-US" w:eastAsia="zh-CN"/>
        </w:rPr>
        <w:t>202</w:t>
      </w:r>
      <w:r>
        <w:rPr>
          <w:rFonts w:hint="eastAsia" w:ascii="Times New Roman" w:hAnsi="Times New Roman" w:eastAsia="仿宋" w:cs="Times New Roman"/>
          <w:color w:val="000000"/>
          <w:sz w:val="32"/>
          <w:szCs w:val="32"/>
          <w:lang w:val="en-US" w:eastAsia="zh-CN"/>
        </w:rPr>
        <w:t>5</w:t>
      </w:r>
      <w:r>
        <w:rPr>
          <w:rFonts w:hint="default" w:ascii="Times New Roman" w:hAnsi="Times New Roman" w:eastAsia="仿宋" w:cs="Times New Roman"/>
          <w:color w:val="000000"/>
          <w:sz w:val="32"/>
          <w:szCs w:val="32"/>
          <w:lang w:val="en-US" w:eastAsia="zh-CN"/>
        </w:rPr>
        <w:t>年</w:t>
      </w:r>
      <w:r>
        <w:rPr>
          <w:rFonts w:hint="eastAsia" w:ascii="Times New Roman" w:hAnsi="Times New Roman" w:eastAsia="仿宋" w:cs="Times New Roman"/>
          <w:color w:val="000000"/>
          <w:sz w:val="32"/>
          <w:szCs w:val="32"/>
          <w:lang w:val="en-US" w:eastAsia="zh-CN"/>
        </w:rPr>
        <w:t>度</w:t>
      </w:r>
      <w:r>
        <w:rPr>
          <w:rFonts w:hint="default" w:ascii="Times New Roman" w:hAnsi="Times New Roman" w:eastAsia="仿宋" w:cs="Times New Roman"/>
          <w:color w:val="000000"/>
          <w:sz w:val="32"/>
          <w:szCs w:val="32"/>
          <w:lang w:val="en-US" w:eastAsia="zh-CN"/>
        </w:rPr>
        <w:t>“三公”经费财政拨款支出决算中，因公出国（境）费支出决算0万元，占0%；公务用车购置及运行维护费支出决算</w:t>
      </w:r>
      <w:r>
        <w:rPr>
          <w:rFonts w:hint="default" w:ascii="Times New Roman" w:hAnsi="Times New Roman" w:eastAsia="仿宋" w:cs="Times New Roman"/>
          <w:color w:val="000000"/>
          <w:sz w:val="32"/>
          <w:szCs w:val="32"/>
          <w:lang w:val="en-US" w:eastAsia="zh-CN"/>
        </w:rPr>
        <w:t>0万元，占</w:t>
      </w:r>
      <w:r>
        <w:rPr>
          <w:rFonts w:hint="default" w:ascii="Times New Roman" w:hAnsi="Times New Roman" w:eastAsia="仿宋" w:cs="Times New Roman"/>
          <w:color w:val="000000"/>
          <w:sz w:val="32"/>
          <w:szCs w:val="32"/>
          <w:lang w:val="en-US" w:eastAsia="zh-CN"/>
        </w:rPr>
        <w:t>0%；公务接待费支出决算0万元，占</w:t>
      </w:r>
      <w:r>
        <w:rPr>
          <w:rFonts w:hint="eastAsia" w:ascii="Times New Roman" w:hAnsi="Times New Roman" w:eastAsia="仿宋" w:cs="Times New Roman"/>
          <w:color w:val="000000"/>
          <w:sz w:val="32"/>
          <w:szCs w:val="32"/>
          <w:lang w:val="en-US" w:eastAsia="zh-CN"/>
        </w:rPr>
        <w:t>0</w:t>
      </w:r>
      <w:r>
        <w:rPr>
          <w:rFonts w:hint="default" w:ascii="Times New Roman" w:hAnsi="Times New Roman" w:eastAsia="仿宋" w:cs="Times New Roman"/>
          <w:color w:val="000000"/>
          <w:sz w:val="32"/>
          <w:szCs w:val="32"/>
          <w:lang w:val="en-US" w:eastAsia="zh-CN"/>
        </w:rPr>
        <w:t>%。</w:t>
      </w:r>
    </w:p>
    <w:p w14:paraId="3C41269A">
      <w:pPr>
        <w:spacing w:line="600" w:lineRule="exact"/>
        <w:ind w:firstLine="643" w:firstLineChars="200"/>
        <w:rPr>
          <w:rFonts w:hint="default" w:ascii="Times New Roman" w:hAnsi="Times New Roman" w:eastAsia="仿宋" w:cs="Times New Roman"/>
          <w:color w:val="000000"/>
          <w:sz w:val="28"/>
          <w:szCs w:val="28"/>
          <w:lang w:val="en-US" w:eastAsia="zh-CN"/>
        </w:rPr>
      </w:pPr>
      <w:r>
        <w:rPr>
          <w:rFonts w:hint="eastAsia" w:eastAsia="仿宋_GB2312" w:cs="Times New Roman"/>
          <w:b/>
          <w:color w:val="000000"/>
          <w:sz w:val="32"/>
          <w:szCs w:val="32"/>
          <w:lang w:val="en-US" w:eastAsia="zh-CN"/>
        </w:rPr>
        <w:t xml:space="preserve">   </w:t>
      </w:r>
      <w:r>
        <w:rPr>
          <w:rFonts w:hint="eastAsia" w:ascii="Times New Roman" w:hAnsi="Times New Roman" w:eastAsia="仿宋" w:cs="Times New Roman"/>
          <w:color w:val="000000"/>
          <w:sz w:val="28"/>
          <w:szCs w:val="28"/>
          <w:lang w:val="en-US" w:eastAsia="zh-CN"/>
        </w:rPr>
        <w:t xml:space="preserve"> </w:t>
      </w:r>
      <w:r>
        <w:rPr>
          <w:rFonts w:hint="default" w:ascii="Times New Roman" w:hAnsi="Times New Roman" w:eastAsia="仿宋" w:cs="Times New Roman"/>
          <w:color w:val="000000"/>
          <w:sz w:val="28"/>
          <w:szCs w:val="28"/>
          <w:lang w:val="en-US" w:eastAsia="zh-CN"/>
        </w:rPr>
        <w:t>1.因公出国（境）经费支出0万元，</w:t>
      </w:r>
      <w:r>
        <w:rPr>
          <w:rFonts w:hint="eastAsia" w:ascii="Times New Roman" w:hAnsi="Times New Roman" w:eastAsia="仿宋" w:cs="Times New Roman"/>
          <w:color w:val="000000"/>
          <w:sz w:val="28"/>
          <w:szCs w:val="28"/>
          <w:lang w:val="en-US" w:eastAsia="zh-CN"/>
        </w:rPr>
        <w:t>无因公出国（境）经费预算</w:t>
      </w:r>
      <w:r>
        <w:rPr>
          <w:rFonts w:hint="default" w:ascii="Times New Roman" w:hAnsi="Times New Roman" w:eastAsia="仿宋" w:cs="Times New Roman"/>
          <w:color w:val="000000"/>
          <w:sz w:val="28"/>
          <w:szCs w:val="28"/>
          <w:lang w:val="en-US" w:eastAsia="zh-CN"/>
        </w:rPr>
        <w:t xml:space="preserve">。全年安排因公出国（境）团组0次，出国（境）0人。      </w:t>
      </w:r>
    </w:p>
    <w:p w14:paraId="2689F4D3">
      <w:pPr>
        <w:spacing w:line="600" w:lineRule="exact"/>
        <w:ind w:firstLine="560" w:firstLineChars="200"/>
        <w:rPr>
          <w:rFonts w:hint="eastAsia" w:ascii="Times New Roman" w:hAnsi="Times New Roman" w:eastAsia="仿宋" w:cs="Times New Roman"/>
          <w:color w:val="000000"/>
          <w:sz w:val="28"/>
          <w:szCs w:val="28"/>
          <w:lang w:val="en-US" w:eastAsia="zh-CN"/>
        </w:rPr>
      </w:pPr>
      <w:r>
        <w:rPr>
          <w:rFonts w:hint="default" w:ascii="Times New Roman" w:hAnsi="Times New Roman" w:eastAsia="仿宋" w:cs="Times New Roman"/>
          <w:color w:val="000000"/>
          <w:sz w:val="28"/>
          <w:szCs w:val="28"/>
          <w:lang w:val="en-US" w:eastAsia="zh-CN"/>
        </w:rPr>
        <w:t>2.公务用车购置及运行维护费支出0万元,</w:t>
      </w:r>
      <w:r>
        <w:rPr>
          <w:rFonts w:hint="eastAsia" w:ascii="Times New Roman" w:hAnsi="Times New Roman" w:eastAsia="仿宋" w:cs="Times New Roman"/>
          <w:color w:val="000000"/>
          <w:sz w:val="28"/>
          <w:szCs w:val="28"/>
          <w:lang w:val="en-US" w:eastAsia="zh-CN"/>
        </w:rPr>
        <w:t>无公务用车购置及运行维护费预算。</w:t>
      </w:r>
    </w:p>
    <w:p w14:paraId="65BF1C27">
      <w:pPr>
        <w:spacing w:line="600" w:lineRule="exact"/>
        <w:ind w:firstLine="560" w:firstLineChars="200"/>
        <w:rPr>
          <w:rFonts w:hint="default" w:ascii="Times New Roman" w:hAnsi="Times New Roman" w:eastAsia="仿宋" w:cs="Times New Roman"/>
          <w:color w:val="000000"/>
          <w:sz w:val="28"/>
          <w:szCs w:val="28"/>
          <w:lang w:val="en-US" w:eastAsia="zh-CN"/>
        </w:rPr>
      </w:pPr>
      <w:r>
        <w:rPr>
          <w:rFonts w:hint="default" w:ascii="Times New Roman" w:hAnsi="Times New Roman" w:eastAsia="仿宋" w:cs="Times New Roman"/>
          <w:color w:val="000000"/>
          <w:sz w:val="28"/>
          <w:szCs w:val="28"/>
          <w:lang w:val="en-US" w:eastAsia="zh-CN"/>
        </w:rPr>
        <w:t>3.公务接待费支出0万元，</w:t>
      </w:r>
      <w:r>
        <w:rPr>
          <w:rFonts w:hint="eastAsia" w:ascii="Times New Roman" w:hAnsi="Times New Roman" w:eastAsia="仿宋" w:cs="Times New Roman"/>
          <w:color w:val="000000"/>
          <w:sz w:val="28"/>
          <w:szCs w:val="28"/>
          <w:lang w:val="en-US" w:eastAsia="zh-CN"/>
        </w:rPr>
        <w:t>完成预算0</w:t>
      </w:r>
      <w:r>
        <w:rPr>
          <w:rFonts w:hint="default" w:ascii="Times New Roman" w:hAnsi="Times New Roman" w:eastAsia="仿宋" w:cs="Times New Roman"/>
          <w:color w:val="000000"/>
          <w:sz w:val="28"/>
          <w:szCs w:val="28"/>
          <w:lang w:val="en-US" w:eastAsia="zh-CN"/>
        </w:rPr>
        <w:t>%。</w:t>
      </w:r>
      <w:r>
        <w:rPr>
          <w:rFonts w:hint="eastAsia" w:ascii="Times New Roman" w:hAnsi="Times New Roman" w:eastAsia="仿宋" w:cs="Times New Roman"/>
          <w:color w:val="000000"/>
          <w:sz w:val="28"/>
          <w:szCs w:val="28"/>
          <w:lang w:val="en-US" w:eastAsia="zh-CN"/>
        </w:rPr>
        <w:t>公务接待费支出决算比上年度减少0.28万元，下降100%，主要原因是2025年度未产生公务接待费用支出。</w:t>
      </w:r>
    </w:p>
    <w:p w14:paraId="0EA317A3">
      <w:pPr>
        <w:spacing w:line="600" w:lineRule="exact"/>
        <w:ind w:firstLine="640"/>
        <w:outlineLvl w:val="1"/>
        <w:rPr>
          <w:rStyle w:val="30"/>
          <w:rFonts w:hint="default" w:ascii="Times New Roman" w:hAnsi="Times New Roman" w:eastAsia="黑体" w:cs="Times New Roman"/>
        </w:rPr>
      </w:pPr>
      <w:bookmarkStart w:id="79" w:name="_Toc15377218"/>
      <w:bookmarkStart w:id="80" w:name="_Toc79163872"/>
      <w:bookmarkStart w:id="81" w:name="_Toc79163622"/>
      <w:bookmarkStart w:id="82" w:name="_Toc15396610"/>
      <w:r>
        <w:rPr>
          <w:rFonts w:hint="default" w:ascii="Times New Roman" w:hAnsi="Times New Roman" w:eastAsia="黑体" w:cs="Times New Roman"/>
          <w:color w:val="000000"/>
          <w:sz w:val="32"/>
          <w:szCs w:val="32"/>
        </w:rPr>
        <w:t>八、</w:t>
      </w:r>
      <w:r>
        <w:rPr>
          <w:rStyle w:val="30"/>
          <w:rFonts w:hint="default" w:ascii="Times New Roman" w:hAnsi="Times New Roman" w:eastAsia="黑体" w:cs="Times New Roman"/>
          <w:b w:val="0"/>
        </w:rPr>
        <w:t>政府性基金预算支出决算情况说明</w:t>
      </w:r>
      <w:bookmarkEnd w:id="79"/>
      <w:bookmarkEnd w:id="80"/>
      <w:bookmarkEnd w:id="81"/>
      <w:bookmarkEnd w:id="82"/>
    </w:p>
    <w:p w14:paraId="4E137453">
      <w:pPr>
        <w:spacing w:line="60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202</w:t>
      </w:r>
      <w:r>
        <w:rPr>
          <w:rFonts w:hint="eastAsia"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年</w:t>
      </w:r>
      <w:r>
        <w:rPr>
          <w:rFonts w:hint="eastAsia" w:eastAsia="仿宋_GB2312" w:cs="Times New Roman"/>
          <w:color w:val="000000"/>
          <w:sz w:val="32"/>
          <w:szCs w:val="32"/>
          <w:lang w:eastAsia="zh-CN"/>
        </w:rPr>
        <w:t>度</w:t>
      </w:r>
      <w:r>
        <w:rPr>
          <w:rFonts w:hint="default" w:ascii="Times New Roman" w:hAnsi="Times New Roman" w:eastAsia="仿宋_GB2312" w:cs="Times New Roman"/>
          <w:color w:val="000000"/>
          <w:sz w:val="32"/>
          <w:szCs w:val="32"/>
        </w:rPr>
        <w:t>政府性基金预算拨款支出</w:t>
      </w:r>
      <w:r>
        <w:rPr>
          <w:rFonts w:hint="default" w:ascii="Times New Roman" w:hAnsi="Times New Roman" w:eastAsia="仿宋_GB2312" w:cs="Times New Roman"/>
          <w:color w:val="000000"/>
          <w:sz w:val="32"/>
          <w:szCs w:val="32"/>
          <w:lang w:val="en-US" w:eastAsia="zh-CN"/>
        </w:rPr>
        <w:t>0万元</w:t>
      </w:r>
      <w:r>
        <w:rPr>
          <w:rFonts w:hint="default" w:ascii="Times New Roman" w:hAnsi="Times New Roman" w:eastAsia="仿宋_GB2312" w:cs="Times New Roman"/>
          <w:color w:val="000000"/>
          <w:sz w:val="32"/>
          <w:szCs w:val="32"/>
        </w:rPr>
        <w:t>。</w:t>
      </w:r>
    </w:p>
    <w:p w14:paraId="55DFE61A">
      <w:pPr>
        <w:numPr>
          <w:ilvl w:val="0"/>
          <w:numId w:val="1"/>
        </w:numPr>
        <w:spacing w:line="600" w:lineRule="exact"/>
        <w:ind w:firstLine="640"/>
        <w:outlineLvl w:val="1"/>
        <w:rPr>
          <w:rStyle w:val="30"/>
          <w:rFonts w:hint="default" w:ascii="Times New Roman" w:hAnsi="Times New Roman" w:eastAsia="黑体" w:cs="Times New Roman"/>
          <w:b w:val="0"/>
        </w:rPr>
      </w:pPr>
      <w:bookmarkStart w:id="83" w:name="_Toc15396611"/>
      <w:bookmarkStart w:id="84" w:name="_Toc79163623"/>
      <w:bookmarkStart w:id="85" w:name="_Toc79163873"/>
      <w:bookmarkStart w:id="86" w:name="_Toc15377219"/>
      <w:r>
        <w:rPr>
          <w:rStyle w:val="30"/>
          <w:rFonts w:hint="default" w:ascii="Times New Roman" w:hAnsi="Times New Roman" w:eastAsia="黑体" w:cs="Times New Roman"/>
          <w:b w:val="0"/>
        </w:rPr>
        <w:t>国有资本经营预算支出决算情况说明</w:t>
      </w:r>
      <w:bookmarkEnd w:id="83"/>
      <w:bookmarkEnd w:id="84"/>
      <w:bookmarkEnd w:id="85"/>
      <w:bookmarkEnd w:id="86"/>
    </w:p>
    <w:p w14:paraId="05092C83">
      <w:pPr>
        <w:spacing w:line="60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202</w:t>
      </w:r>
      <w:r>
        <w:rPr>
          <w:rFonts w:hint="eastAsia" w:ascii="Times New Roman" w:hAnsi="Times New Roman" w:eastAsia="仿宋_GB2312" w:cs="Times New Roman"/>
          <w:color w:val="000000"/>
          <w:sz w:val="32"/>
          <w:szCs w:val="32"/>
          <w:lang w:val="en-US" w:eastAsia="zh-CN"/>
        </w:rPr>
        <w:t>5</w:t>
      </w:r>
      <w:r>
        <w:rPr>
          <w:rFonts w:hint="eastAsia" w:ascii="Times New Roman" w:hAnsi="Times New Roman" w:eastAsia="仿宋_GB2312" w:cs="Times New Roman"/>
          <w:color w:val="000000"/>
          <w:sz w:val="32"/>
          <w:szCs w:val="32"/>
          <w:lang w:eastAsia="zh-CN"/>
        </w:rPr>
        <w:t>年度</w:t>
      </w:r>
      <w:r>
        <w:rPr>
          <w:rFonts w:hint="default" w:ascii="Times New Roman" w:hAnsi="Times New Roman" w:eastAsia="仿宋_GB2312" w:cs="Times New Roman"/>
          <w:color w:val="000000"/>
          <w:sz w:val="32"/>
          <w:szCs w:val="32"/>
        </w:rPr>
        <w:t>国有资本经营预算拨款支出0万元。</w:t>
      </w:r>
    </w:p>
    <w:p w14:paraId="37942827">
      <w:pPr>
        <w:spacing w:line="600" w:lineRule="exact"/>
        <w:ind w:firstLine="640" w:firstLineChars="200"/>
        <w:outlineLvl w:val="1"/>
        <w:rPr>
          <w:rStyle w:val="30"/>
          <w:rFonts w:hint="default" w:ascii="Times New Roman" w:hAnsi="Times New Roman" w:eastAsia="黑体" w:cs="Times New Roman"/>
        </w:rPr>
      </w:pPr>
      <w:bookmarkStart w:id="87" w:name="_Toc15377221"/>
      <w:bookmarkStart w:id="88" w:name="_Toc15396612"/>
      <w:bookmarkStart w:id="89" w:name="_Toc79163624"/>
      <w:bookmarkStart w:id="90" w:name="_Toc79163874"/>
      <w:r>
        <w:rPr>
          <w:rFonts w:hint="default" w:ascii="Times New Roman" w:hAnsi="Times New Roman" w:eastAsia="黑体" w:cs="Times New Roman"/>
          <w:color w:val="000000"/>
          <w:sz w:val="32"/>
          <w:szCs w:val="32"/>
        </w:rPr>
        <w:t>十</w:t>
      </w:r>
      <w:r>
        <w:rPr>
          <w:rStyle w:val="30"/>
          <w:rFonts w:hint="default" w:ascii="Times New Roman" w:hAnsi="Times New Roman" w:eastAsia="黑体" w:cs="Times New Roman"/>
        </w:rPr>
        <w:t>、</w:t>
      </w:r>
      <w:r>
        <w:rPr>
          <w:rStyle w:val="30"/>
          <w:rFonts w:hint="default" w:ascii="Times New Roman" w:hAnsi="Times New Roman" w:eastAsia="黑体" w:cs="Times New Roman"/>
          <w:b w:val="0"/>
        </w:rPr>
        <w:t>其他重要事项的情况说明</w:t>
      </w:r>
      <w:bookmarkEnd w:id="87"/>
      <w:bookmarkEnd w:id="88"/>
      <w:bookmarkEnd w:id="89"/>
      <w:bookmarkEnd w:id="90"/>
    </w:p>
    <w:p w14:paraId="38FC728F">
      <w:pPr>
        <w:widowControl/>
        <w:shd w:val="clear" w:color="auto" w:fill="FFFFFF"/>
        <w:spacing w:line="600" w:lineRule="atLeast"/>
        <w:ind w:firstLine="643"/>
        <w:rPr>
          <w:rFonts w:hint="default" w:ascii="Times New Roman" w:hAnsi="Times New Roman" w:eastAsia="微软雅黑" w:cs="Times New Roman"/>
          <w:color w:val="333333"/>
          <w:kern w:val="0"/>
          <w:szCs w:val="21"/>
        </w:rPr>
      </w:pPr>
      <w:r>
        <w:rPr>
          <w:rFonts w:hint="default" w:ascii="Times New Roman" w:hAnsi="Times New Roman" w:cs="Times New Roman"/>
          <w:b/>
          <w:bCs/>
          <w:color w:val="000000"/>
          <w:kern w:val="0"/>
          <w:sz w:val="32"/>
          <w:szCs w:val="32"/>
        </w:rPr>
        <w:t>(一）</w:t>
      </w:r>
      <w:r>
        <w:rPr>
          <w:rFonts w:hint="default" w:ascii="Times New Roman" w:hAnsi="Times New Roman" w:cs="Times New Roman"/>
          <w:b/>
          <w:bCs/>
          <w:color w:val="000000"/>
          <w:kern w:val="0"/>
          <w:sz w:val="32"/>
          <w:szCs w:val="32"/>
          <w:lang w:eastAsia="zh-CN"/>
        </w:rPr>
        <w:t>事业单位</w:t>
      </w:r>
      <w:r>
        <w:rPr>
          <w:rFonts w:hint="default" w:ascii="Times New Roman" w:hAnsi="Times New Roman" w:cs="Times New Roman"/>
          <w:b/>
          <w:bCs/>
          <w:color w:val="000000"/>
          <w:kern w:val="0"/>
          <w:sz w:val="32"/>
          <w:szCs w:val="32"/>
        </w:rPr>
        <w:t>运行经费支出情况</w:t>
      </w:r>
    </w:p>
    <w:p w14:paraId="6585466F">
      <w:pPr>
        <w:spacing w:line="600" w:lineRule="exact"/>
        <w:ind w:firstLine="640"/>
        <w:rPr>
          <w:rFonts w:hint="eastAsia"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202</w:t>
      </w:r>
      <w:r>
        <w:rPr>
          <w:rFonts w:hint="eastAsia"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年</w:t>
      </w:r>
      <w:r>
        <w:rPr>
          <w:rFonts w:hint="eastAsia" w:ascii="Times New Roman" w:hAnsi="Times New Roman" w:eastAsia="仿宋_GB2312" w:cs="Times New Roman"/>
          <w:color w:val="000000"/>
          <w:sz w:val="32"/>
          <w:szCs w:val="32"/>
          <w:lang w:eastAsia="zh-CN"/>
        </w:rPr>
        <w:t>度</w:t>
      </w:r>
      <w:r>
        <w:rPr>
          <w:rFonts w:hint="default" w:ascii="Times New Roman" w:hAnsi="Times New Roman" w:eastAsia="仿宋_GB2312" w:cs="Times New Roman"/>
          <w:color w:val="000000"/>
          <w:sz w:val="32"/>
          <w:szCs w:val="32"/>
          <w:lang w:eastAsia="zh-CN"/>
        </w:rPr>
        <w:t>理县环境监测站</w:t>
      </w:r>
      <w:r>
        <w:rPr>
          <w:rFonts w:hint="default" w:ascii="Times New Roman" w:hAnsi="Times New Roman" w:eastAsia="仿宋_GB2312" w:cs="Times New Roman"/>
          <w:color w:val="000000"/>
          <w:sz w:val="32"/>
          <w:szCs w:val="32"/>
        </w:rPr>
        <w:t>运行经费支出</w:t>
      </w:r>
      <w:r>
        <w:rPr>
          <w:rFonts w:hint="default" w:ascii="Times New Roman" w:hAnsi="Times New Roman" w:eastAsia="仿宋_GB2312" w:cs="Times New Roman"/>
          <w:color w:val="000000"/>
          <w:sz w:val="32"/>
          <w:szCs w:val="32"/>
          <w:lang w:val="en-US" w:eastAsia="zh-CN"/>
        </w:rPr>
        <w:t>1</w:t>
      </w:r>
      <w:r>
        <w:rPr>
          <w:rFonts w:hint="eastAsia" w:ascii="Times New Roman" w:hAnsi="Times New Roman" w:eastAsia="仿宋_GB2312" w:cs="Times New Roman"/>
          <w:color w:val="000000"/>
          <w:sz w:val="32"/>
          <w:szCs w:val="32"/>
          <w:lang w:val="en-US" w:eastAsia="zh-CN"/>
        </w:rPr>
        <w:t>3.73</w:t>
      </w:r>
      <w:r>
        <w:rPr>
          <w:rFonts w:hint="default" w:ascii="Times New Roman" w:hAnsi="Times New Roman" w:eastAsia="仿宋_GB2312" w:cs="Times New Roman"/>
          <w:color w:val="000000"/>
          <w:sz w:val="32"/>
          <w:szCs w:val="32"/>
        </w:rPr>
        <w:t>万元</w:t>
      </w:r>
      <w:r>
        <w:rPr>
          <w:rFonts w:hint="eastAsia" w:eastAsia="仿宋_GB2312" w:cs="Times New Roman"/>
          <w:color w:val="000000"/>
          <w:sz w:val="32"/>
          <w:szCs w:val="32"/>
          <w:lang w:eastAsia="zh-CN"/>
        </w:rPr>
        <w:t>。</w:t>
      </w:r>
    </w:p>
    <w:p w14:paraId="4EA720D6">
      <w:pPr>
        <w:widowControl/>
        <w:shd w:val="clear" w:color="auto" w:fill="FFFFFF"/>
        <w:spacing w:line="600" w:lineRule="atLeast"/>
        <w:ind w:firstLine="643"/>
        <w:jc w:val="left"/>
        <w:rPr>
          <w:rFonts w:hint="default" w:ascii="Times New Roman" w:hAnsi="Times New Roman" w:eastAsia="微软雅黑" w:cs="Times New Roman"/>
          <w:color w:val="333333"/>
          <w:kern w:val="0"/>
          <w:szCs w:val="21"/>
        </w:rPr>
      </w:pPr>
      <w:r>
        <w:rPr>
          <w:rFonts w:hint="default" w:ascii="Times New Roman" w:hAnsi="Times New Roman" w:cs="Times New Roman"/>
          <w:b/>
          <w:bCs/>
          <w:color w:val="000000"/>
          <w:kern w:val="0"/>
          <w:sz w:val="32"/>
          <w:szCs w:val="32"/>
        </w:rPr>
        <w:t>（二）政府采购支出情况</w:t>
      </w:r>
    </w:p>
    <w:p w14:paraId="2FF9E2EE">
      <w:pPr>
        <w:spacing w:line="600" w:lineRule="exact"/>
        <w:ind w:firstLine="64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202</w:t>
      </w:r>
      <w:r>
        <w:rPr>
          <w:rFonts w:hint="eastAsia" w:ascii="Times New Roman" w:hAnsi="Times New Roman" w:eastAsia="仿宋_GB2312" w:cs="Times New Roman"/>
          <w:color w:val="000000"/>
          <w:sz w:val="32"/>
          <w:szCs w:val="32"/>
          <w:lang w:val="en-US" w:eastAsia="zh-CN"/>
        </w:rPr>
        <w:t>5年度</w:t>
      </w:r>
      <w:r>
        <w:rPr>
          <w:rFonts w:hint="default" w:ascii="Times New Roman" w:hAnsi="Times New Roman" w:eastAsia="仿宋_GB2312" w:cs="Times New Roman"/>
          <w:color w:val="000000"/>
          <w:sz w:val="32"/>
          <w:szCs w:val="32"/>
          <w:lang w:val="en-US" w:eastAsia="zh-CN"/>
        </w:rPr>
        <w:t>理县环境监测站无政府采购支出</w:t>
      </w:r>
      <w:r>
        <w:rPr>
          <w:rFonts w:hint="default" w:ascii="Times New Roman" w:hAnsi="Times New Roman" w:eastAsia="仿宋_GB2312" w:cs="Times New Roman"/>
          <w:color w:val="000000"/>
          <w:sz w:val="32"/>
          <w:szCs w:val="32"/>
          <w:lang w:eastAsia="zh-CN"/>
        </w:rPr>
        <w:t>。</w:t>
      </w:r>
    </w:p>
    <w:p w14:paraId="04F5202F">
      <w:pPr>
        <w:widowControl/>
        <w:shd w:val="clear" w:color="auto" w:fill="FFFFFF"/>
        <w:spacing w:line="600" w:lineRule="atLeast"/>
        <w:ind w:firstLine="643"/>
        <w:jc w:val="left"/>
        <w:rPr>
          <w:rFonts w:hint="default" w:ascii="Times New Roman" w:hAnsi="Times New Roman" w:eastAsia="微软雅黑" w:cs="Times New Roman"/>
          <w:color w:val="333333"/>
          <w:kern w:val="0"/>
          <w:szCs w:val="21"/>
        </w:rPr>
      </w:pPr>
      <w:r>
        <w:rPr>
          <w:rFonts w:hint="default" w:ascii="Times New Roman" w:hAnsi="Times New Roman" w:cs="Times New Roman"/>
          <w:b/>
          <w:bCs/>
          <w:color w:val="000000"/>
          <w:kern w:val="0"/>
          <w:sz w:val="32"/>
          <w:szCs w:val="32"/>
        </w:rPr>
        <w:t>（三）国有资产占有使用情况</w:t>
      </w:r>
    </w:p>
    <w:p w14:paraId="7878D1C5">
      <w:pPr>
        <w:spacing w:line="600" w:lineRule="exact"/>
        <w:ind w:firstLine="64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截至202</w:t>
      </w:r>
      <w:r>
        <w:rPr>
          <w:rFonts w:hint="eastAsia"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lang w:eastAsia="zh-CN"/>
        </w:rPr>
        <w:t>年12月31日，</w:t>
      </w:r>
      <w:r>
        <w:rPr>
          <w:rFonts w:hint="default" w:ascii="Times New Roman" w:hAnsi="Times New Roman" w:eastAsia="仿宋_GB2312" w:cs="Times New Roman"/>
          <w:color w:val="000000"/>
          <w:sz w:val="32"/>
          <w:szCs w:val="32"/>
          <w:lang w:eastAsia="zh-CN"/>
        </w:rPr>
        <w:t>理县环境监测站资产同理县生态环境局资产合并使用</w:t>
      </w:r>
      <w:r>
        <w:rPr>
          <w:rFonts w:hint="eastAsia" w:ascii="Times New Roman" w:hAnsi="Times New Roman" w:eastAsia="仿宋_GB2312" w:cs="Times New Roman"/>
          <w:color w:val="000000"/>
          <w:sz w:val="32"/>
          <w:szCs w:val="32"/>
          <w:lang w:eastAsia="zh-CN"/>
        </w:rPr>
        <w:t>。</w:t>
      </w:r>
    </w:p>
    <w:p w14:paraId="4BDF75FE">
      <w:pPr>
        <w:widowControl/>
        <w:shd w:val="clear" w:color="auto" w:fill="FFFFFF"/>
        <w:spacing w:line="600" w:lineRule="atLeast"/>
        <w:ind w:firstLine="643"/>
        <w:jc w:val="left"/>
        <w:rPr>
          <w:rFonts w:hint="default" w:ascii="Times New Roman" w:hAnsi="Times New Roman" w:cs="Times New Roman"/>
          <w:b/>
          <w:bCs/>
          <w:color w:val="000000"/>
          <w:kern w:val="0"/>
          <w:sz w:val="32"/>
          <w:szCs w:val="32"/>
        </w:rPr>
      </w:pPr>
      <w:r>
        <w:rPr>
          <w:rFonts w:hint="default" w:ascii="Times New Roman" w:hAnsi="Times New Roman" w:cs="Times New Roman"/>
          <w:b/>
          <w:bCs/>
          <w:color w:val="000000"/>
          <w:kern w:val="0"/>
          <w:sz w:val="32"/>
          <w:szCs w:val="32"/>
        </w:rPr>
        <w:t>（四）预算绩效管理情况。</w:t>
      </w:r>
    </w:p>
    <w:p w14:paraId="3475980B">
      <w:pPr>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根据预算绩效管理要求，对202</w:t>
      </w:r>
      <w:r>
        <w:rPr>
          <w:rFonts w:hint="eastAsia"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lang w:eastAsia="zh-CN"/>
        </w:rPr>
        <w:t>年</w:t>
      </w:r>
      <w:r>
        <w:rPr>
          <w:rFonts w:hint="eastAsia" w:ascii="Times New Roman" w:hAnsi="Times New Roman" w:eastAsia="仿宋_GB2312" w:cs="Times New Roman"/>
          <w:color w:val="000000"/>
          <w:sz w:val="32"/>
          <w:szCs w:val="32"/>
          <w:lang w:eastAsia="zh-CN"/>
        </w:rPr>
        <w:t>度</w:t>
      </w:r>
      <w:r>
        <w:rPr>
          <w:rFonts w:hint="default" w:ascii="Times New Roman" w:hAnsi="Times New Roman" w:eastAsia="仿宋_GB2312" w:cs="Times New Roman"/>
          <w:color w:val="000000"/>
          <w:sz w:val="32"/>
          <w:szCs w:val="32"/>
          <w:lang w:eastAsia="zh-CN"/>
        </w:rPr>
        <w:t>部门整体支出开展绩效自评，加强预算收支管理，不断建立健全内部管理制度，梳理内部管理流程，部门整体支出管理情况得到提升。预算决策、管理、执行等日益规范，能较好地满足工作需要，取</w:t>
      </w:r>
      <w:r>
        <w:rPr>
          <w:rFonts w:hint="default" w:ascii="Times New Roman" w:hAnsi="Times New Roman" w:eastAsia="仿宋_GB2312" w:cs="Times New Roman"/>
          <w:color w:val="000000"/>
          <w:sz w:val="32"/>
          <w:szCs w:val="32"/>
        </w:rPr>
        <w:t>得了良好经济效益和社会效益。</w:t>
      </w:r>
    </w:p>
    <w:p w14:paraId="4607C2F9">
      <w:pPr>
        <w:spacing w:line="600" w:lineRule="exact"/>
        <w:ind w:firstLine="640" w:firstLineChars="200"/>
        <w:rPr>
          <w:rFonts w:hint="default" w:ascii="Times New Roman" w:hAnsi="Times New Roman" w:eastAsia="仿宋_GB2312" w:cs="Times New Roman"/>
          <w:color w:val="000000"/>
          <w:sz w:val="72"/>
          <w:szCs w:val="72"/>
        </w:rPr>
      </w:pPr>
      <w:r>
        <w:rPr>
          <w:rFonts w:hint="eastAsia" w:ascii="Times New Roman" w:hAnsi="Times New Roman" w:eastAsia="仿宋_GB2312" w:cs="Times New Roman"/>
          <w:color w:val="000000"/>
          <w:sz w:val="32"/>
          <w:szCs w:val="32"/>
          <w:lang w:val="en-US" w:eastAsia="zh-CN"/>
        </w:rPr>
        <w:t>本单位在202</w:t>
      </w:r>
      <w:r>
        <w:rPr>
          <w:rFonts w:hint="eastAsia" w:eastAsia="仿宋_GB2312" w:cs="Times New Roman"/>
          <w:color w:val="000000"/>
          <w:sz w:val="32"/>
          <w:szCs w:val="32"/>
          <w:lang w:val="en-US" w:eastAsia="zh-CN"/>
        </w:rPr>
        <w:t>5</w:t>
      </w:r>
      <w:r>
        <w:rPr>
          <w:rFonts w:hint="eastAsia" w:ascii="Times New Roman" w:hAnsi="Times New Roman" w:eastAsia="仿宋_GB2312" w:cs="Times New Roman"/>
          <w:color w:val="000000"/>
          <w:sz w:val="32"/>
          <w:szCs w:val="32"/>
          <w:lang w:val="en-US" w:eastAsia="zh-CN"/>
        </w:rPr>
        <w:t>年度预算编制阶段组织了对工资性支出、单位缴费、日常公用经费</w:t>
      </w:r>
      <w:r>
        <w:rPr>
          <w:rFonts w:hint="eastAsia" w:eastAsia="仿宋_GB2312" w:cs="Times New Roman"/>
          <w:color w:val="000000"/>
          <w:sz w:val="32"/>
          <w:szCs w:val="32"/>
          <w:lang w:val="en-US" w:eastAsia="zh-CN"/>
        </w:rPr>
        <w:t>、追加人员工资性支出</w:t>
      </w:r>
      <w:r>
        <w:rPr>
          <w:rFonts w:hint="eastAsia" w:ascii="Times New Roman" w:hAnsi="Times New Roman" w:eastAsia="仿宋_GB2312" w:cs="Times New Roman"/>
          <w:color w:val="000000"/>
          <w:sz w:val="32"/>
          <w:szCs w:val="32"/>
          <w:lang w:val="en-US" w:eastAsia="zh-CN"/>
        </w:rPr>
        <w:t>等项目开展了预算事前绩效评估，对该</w:t>
      </w:r>
      <w:r>
        <w:rPr>
          <w:rFonts w:hint="eastAsia" w:eastAsia="仿宋_GB2312" w:cs="Times New Roman"/>
          <w:color w:val="000000"/>
          <w:sz w:val="32"/>
          <w:szCs w:val="32"/>
          <w:lang w:val="en-US" w:eastAsia="zh-CN"/>
        </w:rPr>
        <w:t>4</w:t>
      </w:r>
      <w:r>
        <w:rPr>
          <w:rFonts w:hint="eastAsia" w:ascii="Times New Roman" w:hAnsi="Times New Roman" w:eastAsia="仿宋_GB2312" w:cs="Times New Roman"/>
          <w:color w:val="000000"/>
          <w:sz w:val="32"/>
          <w:szCs w:val="32"/>
          <w:lang w:val="en-US" w:eastAsia="zh-CN"/>
        </w:rPr>
        <w:t>个项目编制了绩效目标，预算执行过程中，对所有项目开展绩效监控，组织对</w:t>
      </w:r>
      <w:r>
        <w:rPr>
          <w:rFonts w:hint="eastAsia" w:eastAsia="仿宋_GB2312" w:cs="Times New Roman"/>
          <w:color w:val="000000"/>
          <w:sz w:val="32"/>
          <w:szCs w:val="32"/>
          <w:lang w:val="en-US" w:eastAsia="zh-CN"/>
        </w:rPr>
        <w:t>4</w:t>
      </w:r>
      <w:r>
        <w:rPr>
          <w:rFonts w:hint="eastAsia" w:ascii="Times New Roman" w:hAnsi="Times New Roman" w:eastAsia="仿宋_GB2312" w:cs="Times New Roman"/>
          <w:color w:val="000000"/>
          <w:sz w:val="32"/>
          <w:szCs w:val="32"/>
          <w:lang w:val="en-US" w:eastAsia="zh-CN"/>
        </w:rPr>
        <w:t>个项目开展了绩效自评，绩效自评表祥见第四部分附件。</w:t>
      </w:r>
    </w:p>
    <w:p w14:paraId="543873D5">
      <w:pPr>
        <w:rPr>
          <w:rFonts w:hint="default"/>
        </w:rPr>
      </w:pPr>
    </w:p>
    <w:p w14:paraId="22DE5627">
      <w:pPr>
        <w:pStyle w:val="2"/>
        <w:rPr>
          <w:rFonts w:hint="default"/>
        </w:rPr>
      </w:pPr>
    </w:p>
    <w:p w14:paraId="15776CAA">
      <w:pPr>
        <w:numPr>
          <w:ilvl w:val="0"/>
          <w:numId w:val="2"/>
        </w:numPr>
        <w:spacing w:line="600" w:lineRule="exact"/>
        <w:ind w:firstLine="660" w:firstLineChars="150"/>
        <w:jc w:val="center"/>
        <w:outlineLvl w:val="0"/>
        <w:rPr>
          <w:rStyle w:val="29"/>
          <w:rFonts w:hint="default" w:ascii="Times New Roman" w:hAnsi="Times New Roman" w:eastAsia="黑体" w:cs="Times New Roman"/>
          <w:b w:val="0"/>
        </w:rPr>
      </w:pPr>
      <w:bookmarkStart w:id="91" w:name="_Toc79163629"/>
      <w:bookmarkStart w:id="92" w:name="_Toc15377225"/>
      <w:bookmarkStart w:id="93" w:name="_Toc79163879"/>
      <w:bookmarkStart w:id="94" w:name="_Toc15396613"/>
      <w:r>
        <w:rPr>
          <w:rFonts w:hint="default" w:ascii="Times New Roman" w:hAnsi="Times New Roman" w:eastAsia="黑体" w:cs="Times New Roman"/>
          <w:color w:val="000000"/>
          <w:sz w:val="44"/>
          <w:szCs w:val="44"/>
        </w:rPr>
        <w:t>名</w:t>
      </w:r>
      <w:r>
        <w:rPr>
          <w:rStyle w:val="29"/>
          <w:rFonts w:hint="default" w:ascii="Times New Roman" w:hAnsi="Times New Roman" w:eastAsia="黑体" w:cs="Times New Roman"/>
          <w:b w:val="0"/>
        </w:rPr>
        <w:t>词解释</w:t>
      </w:r>
      <w:bookmarkEnd w:id="91"/>
      <w:bookmarkEnd w:id="92"/>
      <w:bookmarkEnd w:id="93"/>
      <w:bookmarkEnd w:id="94"/>
    </w:p>
    <w:p w14:paraId="6EF54FD1">
      <w:pPr>
        <w:spacing w:line="600" w:lineRule="exact"/>
        <w:jc w:val="left"/>
        <w:rPr>
          <w:rFonts w:hint="default" w:ascii="Times New Roman" w:hAnsi="Times New Roman" w:cs="Times New Roman"/>
          <w:b/>
          <w:color w:val="000000"/>
          <w:sz w:val="44"/>
          <w:szCs w:val="44"/>
        </w:rPr>
      </w:pPr>
    </w:p>
    <w:p w14:paraId="4821B2E3">
      <w:pPr>
        <w:spacing w:line="600" w:lineRule="exact"/>
        <w:ind w:firstLine="640" w:firstLineChars="200"/>
        <w:rPr>
          <w:rFonts w:hint="default" w:ascii="Times New Roman" w:hAnsi="Times New Roman" w:eastAsia="仿宋_GB2312" w:cs="Times New Roman"/>
          <w:color w:val="000000"/>
          <w:sz w:val="32"/>
          <w:szCs w:val="32"/>
          <w:lang w:eastAsia="zh-CN"/>
        </w:rPr>
      </w:pPr>
      <w:bookmarkStart w:id="95" w:name="_Toc15396614"/>
      <w:bookmarkStart w:id="96" w:name="_Toc79163630"/>
      <w:bookmarkStart w:id="97" w:name="_Toc79163880"/>
      <w:bookmarkStart w:id="98" w:name="_Toc15377226"/>
      <w:r>
        <w:rPr>
          <w:rFonts w:hint="default" w:ascii="Times New Roman" w:hAnsi="Times New Roman" w:eastAsia="仿宋_GB2312" w:cs="Times New Roman"/>
          <w:color w:val="000000"/>
          <w:sz w:val="32"/>
          <w:szCs w:val="32"/>
          <w:lang w:eastAsia="zh-CN"/>
        </w:rPr>
        <w:t>1.财政拨款收入：指单位从同级财政部门取得的财政预算资金。 </w:t>
      </w:r>
    </w:p>
    <w:p w14:paraId="57386BE3">
      <w:pPr>
        <w:spacing w:line="60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2.事业收入：指事业单位开展专业业务活动及辅助活动取得的收入。 </w:t>
      </w:r>
    </w:p>
    <w:p w14:paraId="176A092E">
      <w:pPr>
        <w:spacing w:line="60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3.经营收入：指事业单位在专业业务活动及其辅助活动之外开展非独立核算经营活动取得的收入。 </w:t>
      </w:r>
    </w:p>
    <w:p w14:paraId="43260DD8">
      <w:pPr>
        <w:spacing w:line="60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4.其他收入：指单位取得的除上述收入以外的各项收入。主要是利息收入等。  </w:t>
      </w:r>
    </w:p>
    <w:p w14:paraId="5DDCE1DA">
      <w:pPr>
        <w:spacing w:line="60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5.</w:t>
      </w:r>
      <w:r>
        <w:rPr>
          <w:rFonts w:hint="eastAsia" w:ascii="Times New Roman" w:hAnsi="Times New Roman" w:eastAsia="仿宋_GB2312" w:cs="Times New Roman"/>
          <w:color w:val="000000"/>
          <w:sz w:val="32"/>
          <w:szCs w:val="32"/>
          <w:lang w:eastAsia="zh-CN"/>
        </w:rPr>
        <w:t>使用非财政拨款结余（含专用结余）：指事业单位使用以前年度积累的非财政拨款结余弥补当年收支差额的金额</w:t>
      </w:r>
      <w:r>
        <w:rPr>
          <w:rFonts w:hint="default" w:ascii="Times New Roman" w:hAnsi="Times New Roman" w:eastAsia="仿宋_GB2312" w:cs="Times New Roman"/>
          <w:color w:val="000000"/>
          <w:sz w:val="32"/>
          <w:szCs w:val="32"/>
          <w:lang w:eastAsia="zh-CN"/>
        </w:rPr>
        <w:t>。 </w:t>
      </w:r>
    </w:p>
    <w:p w14:paraId="40B1AE9E">
      <w:pPr>
        <w:spacing w:line="60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6.年初结转和结余：指以前年度尚未完成、结转到本年按有关规定继续使用的资金。  </w:t>
      </w:r>
    </w:p>
    <w:p w14:paraId="6639E911">
      <w:pPr>
        <w:spacing w:line="60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7.结余分配：指事业单位按照事业单位会计制度的规定从非财政补助结余中分配的事业基金和职工福利基金等。 </w:t>
      </w:r>
    </w:p>
    <w:p w14:paraId="71D8537B">
      <w:pPr>
        <w:spacing w:line="60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8.年末结转和结余：指单位按有关规定结转到下年或以后年度继续使用的资金。 </w:t>
      </w:r>
    </w:p>
    <w:p w14:paraId="772B2C6C">
      <w:pPr>
        <w:spacing w:line="60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eastAsia="zh-CN"/>
        </w:rPr>
        <w:t>9.</w:t>
      </w:r>
      <w:r>
        <w:rPr>
          <w:rFonts w:hint="eastAsia" w:ascii="Times New Roman" w:hAnsi="Times New Roman" w:eastAsia="仿宋_GB2312" w:cs="Times New Roman"/>
          <w:color w:val="000000"/>
          <w:sz w:val="32"/>
          <w:szCs w:val="32"/>
          <w:lang w:val="en-US" w:eastAsia="zh-CN"/>
        </w:rPr>
        <w:t>节能环保支出（211）环境监测与监察（21102）其他环境监测与监察支出（2110299）</w:t>
      </w:r>
    </w:p>
    <w:p w14:paraId="52CD1875">
      <w:pPr>
        <w:spacing w:line="60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1</w:t>
      </w:r>
      <w:r>
        <w:rPr>
          <w:rFonts w:hint="eastAsia"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lang w:eastAsia="zh-CN"/>
        </w:rPr>
        <w:t>.社会保障和就业（208）行政事业单位离退休（20805）机关事业单位基本养老保险（2080505）机关事业单位职业年金（2080506）：指机关事业单位实施养老保险制度由单位缴纳的 基本养老保险费支出和职业年金支出。 </w:t>
      </w:r>
    </w:p>
    <w:p w14:paraId="44E9E757">
      <w:pPr>
        <w:spacing w:line="60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1</w:t>
      </w:r>
      <w:r>
        <w:rPr>
          <w:rFonts w:hint="eastAsia"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lang w:eastAsia="zh-CN"/>
        </w:rPr>
        <w:t>.医疗卫生与计划生育(210)医疗保障（21011）事业单位医疗（2101102）:指事业单位医疗方面的支出；</w:t>
      </w:r>
      <w:r>
        <w:rPr>
          <w:rFonts w:hint="eastAsia" w:ascii="Times New Roman" w:hAnsi="Times New Roman" w:eastAsia="仿宋_GB2312" w:cs="Times New Roman"/>
          <w:color w:val="000000"/>
          <w:sz w:val="32"/>
          <w:szCs w:val="32"/>
          <w:lang w:val="en-US" w:eastAsia="zh-CN"/>
        </w:rPr>
        <w:t>其他行政事业单位医疗支出</w:t>
      </w:r>
      <w:r>
        <w:rPr>
          <w:rFonts w:hint="default" w:ascii="Times New Roman" w:hAnsi="Times New Roman" w:eastAsia="仿宋_GB2312" w:cs="Times New Roman"/>
          <w:color w:val="000000"/>
          <w:sz w:val="32"/>
          <w:szCs w:val="32"/>
          <w:lang w:eastAsia="zh-CN"/>
        </w:rPr>
        <w:t>（21011</w:t>
      </w:r>
      <w:r>
        <w:rPr>
          <w:rFonts w:hint="eastAsia" w:ascii="Times New Roman" w:hAnsi="Times New Roman" w:eastAsia="仿宋_GB2312" w:cs="Times New Roman"/>
          <w:color w:val="000000"/>
          <w:sz w:val="32"/>
          <w:szCs w:val="32"/>
          <w:lang w:val="en-US" w:eastAsia="zh-CN"/>
        </w:rPr>
        <w:t>99</w:t>
      </w:r>
      <w:r>
        <w:rPr>
          <w:rFonts w:hint="default"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指事业医疗补助</w:t>
      </w:r>
      <w:r>
        <w:rPr>
          <w:rFonts w:hint="default" w:ascii="Times New Roman" w:hAnsi="Times New Roman" w:eastAsia="仿宋_GB2312" w:cs="Times New Roman"/>
          <w:color w:val="000000"/>
          <w:sz w:val="32"/>
          <w:szCs w:val="32"/>
          <w:lang w:eastAsia="zh-CN"/>
        </w:rPr>
        <w:t>。 </w:t>
      </w:r>
    </w:p>
    <w:p w14:paraId="0F2532C4">
      <w:pPr>
        <w:spacing w:line="60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1</w:t>
      </w:r>
      <w:r>
        <w:rPr>
          <w:rFonts w:hint="eastAsia"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lang w:eastAsia="zh-CN"/>
        </w:rPr>
        <w:t>.住房保障支出（221）住房改革支出（22102）住房公积金（2210201）：指反映行政事业单位按人力资源和社会保障部、财政部规定的基本工资和津贴补贴以及规定比例为职工缴纳的住房公积金。 </w:t>
      </w:r>
    </w:p>
    <w:p w14:paraId="196CF07D">
      <w:pPr>
        <w:spacing w:line="60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1</w:t>
      </w:r>
      <w:r>
        <w:rPr>
          <w:rFonts w:hint="eastAsia"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lang w:eastAsia="zh-CN"/>
        </w:rPr>
        <w:t>.结余分配：指事业单位按规定提取的职工福利基金、事业基金和缴纳的所得税，以及建设单位按规定应交回的基本建设竣工项目结余资金。 </w:t>
      </w:r>
    </w:p>
    <w:p w14:paraId="72946BA4">
      <w:pPr>
        <w:spacing w:line="60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1</w:t>
      </w:r>
      <w:r>
        <w:rPr>
          <w:rFonts w:hint="eastAsia"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lang w:eastAsia="zh-CN"/>
        </w:rPr>
        <w:t>.年末结转和结余：指本年度或以前年度预算安排、因客观条件发生变化无法按原计划实施，需延迟到以后年度按有关规定继续使用的资金。 </w:t>
      </w:r>
    </w:p>
    <w:p w14:paraId="13858A41">
      <w:pPr>
        <w:spacing w:line="600" w:lineRule="exact"/>
        <w:ind w:firstLine="640" w:firstLineChars="200"/>
        <w:rPr>
          <w:rFonts w:hint="default"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val="en-US" w:eastAsia="zh-CN"/>
        </w:rPr>
        <w:t>15</w:t>
      </w:r>
      <w:r>
        <w:rPr>
          <w:rFonts w:hint="default" w:ascii="Times New Roman" w:hAnsi="Times New Roman" w:eastAsia="仿宋_GB2312" w:cs="Times New Roman"/>
          <w:color w:val="000000"/>
          <w:sz w:val="32"/>
          <w:szCs w:val="32"/>
          <w:lang w:eastAsia="zh-CN"/>
        </w:rPr>
        <w:t>.基本支出：指为保障机构正常运转、完成日常工作任务而发生的人员支出和公用支出。 </w:t>
      </w:r>
    </w:p>
    <w:p w14:paraId="3CCA8BFA">
      <w:pPr>
        <w:spacing w:line="600" w:lineRule="exact"/>
        <w:ind w:firstLine="640" w:firstLineChars="200"/>
        <w:rPr>
          <w:rFonts w:hint="default"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val="en-US" w:eastAsia="zh-CN"/>
        </w:rPr>
        <w:t>16</w:t>
      </w:r>
      <w:r>
        <w:rPr>
          <w:rFonts w:hint="default" w:ascii="Times New Roman" w:hAnsi="Times New Roman" w:eastAsia="仿宋_GB2312" w:cs="Times New Roman"/>
          <w:color w:val="000000"/>
          <w:sz w:val="32"/>
          <w:szCs w:val="32"/>
          <w:lang w:eastAsia="zh-CN"/>
        </w:rPr>
        <w:t>.项目支出：指在基本支出之外为完成特定行政任务和事业发展目标所发生的支出。  </w:t>
      </w:r>
    </w:p>
    <w:p w14:paraId="78311019">
      <w:pPr>
        <w:spacing w:line="600" w:lineRule="exact"/>
        <w:ind w:firstLine="640" w:firstLineChars="200"/>
        <w:rPr>
          <w:rFonts w:hint="default"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val="en-US" w:eastAsia="zh-CN"/>
        </w:rPr>
        <w:t>17</w:t>
      </w:r>
      <w:r>
        <w:rPr>
          <w:rFonts w:hint="default" w:ascii="Times New Roman" w:hAnsi="Times New Roman" w:eastAsia="仿宋_GB2312" w:cs="Times New Roman"/>
          <w:color w:val="000000"/>
          <w:sz w:val="32"/>
          <w:szCs w:val="32"/>
          <w:lang w:eastAsia="zh-CN"/>
        </w:rPr>
        <w:t>.经营支出：指事业单位在专业业务活动及其辅助活动之外开展非独立核算经营活动发生的支出。 </w:t>
      </w:r>
    </w:p>
    <w:p w14:paraId="5A023793">
      <w:pPr>
        <w:spacing w:line="600" w:lineRule="exact"/>
        <w:ind w:firstLine="640" w:firstLineChars="200"/>
        <w:rPr>
          <w:rFonts w:hint="default"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val="en-US" w:eastAsia="zh-CN"/>
        </w:rPr>
        <w:t>18</w:t>
      </w:r>
      <w:r>
        <w:rPr>
          <w:rFonts w:hint="default" w:ascii="Times New Roman" w:hAnsi="Times New Roman" w:eastAsia="仿宋_GB2312" w:cs="Times New Roman"/>
          <w:color w:val="000000"/>
          <w:sz w:val="32"/>
          <w:szCs w:val="32"/>
          <w:lang w:eastAsia="zh-CN"/>
        </w:rPr>
        <w:t>.“三公”经费：纳入县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612DEFBA">
      <w:pPr>
        <w:spacing w:line="60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19</w:t>
      </w:r>
      <w:r>
        <w:rPr>
          <w:rFonts w:hint="default"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eastAsia="zh-CN"/>
        </w:rPr>
        <w:t>事业运行</w:t>
      </w:r>
      <w:r>
        <w:rPr>
          <w:rFonts w:hint="default" w:ascii="Times New Roman" w:hAnsi="Times New Roman" w:eastAsia="仿宋_GB2312" w:cs="Times New Roman"/>
          <w:color w:val="000000"/>
          <w:sz w:val="32"/>
          <w:szCs w:val="32"/>
          <w:lang w:eastAsia="zh-CN"/>
        </w:rPr>
        <w:t>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87FEE4D">
      <w:pPr>
        <w:spacing w:line="600" w:lineRule="exact"/>
        <w:ind w:firstLine="640" w:firstLineChars="200"/>
        <w:rPr>
          <w:rFonts w:hint="eastAsia" w:ascii="Times New Roman" w:hAnsi="Times New Roman" w:eastAsia="仿宋_GB2312" w:cs="Times New Roman"/>
          <w:color w:val="000000"/>
          <w:sz w:val="32"/>
          <w:szCs w:val="32"/>
          <w:lang w:val="en-US" w:eastAsia="zh-CN"/>
        </w:rPr>
      </w:pPr>
    </w:p>
    <w:p w14:paraId="2DDEDD36">
      <w:pPr>
        <w:spacing w:line="600" w:lineRule="exact"/>
        <w:ind w:firstLine="640" w:firstLineChars="200"/>
        <w:rPr>
          <w:rFonts w:hint="eastAsia" w:ascii="Times New Roman" w:hAnsi="Times New Roman" w:eastAsia="仿宋_GB2312" w:cs="Times New Roman"/>
          <w:color w:val="000000"/>
          <w:sz w:val="32"/>
          <w:szCs w:val="32"/>
          <w:lang w:val="en-US" w:eastAsia="zh-CN"/>
        </w:rPr>
      </w:pPr>
    </w:p>
    <w:p w14:paraId="14CF2256">
      <w:pPr>
        <w:spacing w:line="600" w:lineRule="exact"/>
        <w:ind w:firstLine="640" w:firstLineChars="200"/>
        <w:rPr>
          <w:rFonts w:hint="eastAsia" w:ascii="Times New Roman" w:hAnsi="Times New Roman" w:eastAsia="仿宋_GB2312" w:cs="Times New Roman"/>
          <w:color w:val="000000"/>
          <w:sz w:val="32"/>
          <w:szCs w:val="32"/>
          <w:lang w:val="en-US" w:eastAsia="zh-CN"/>
        </w:rPr>
      </w:pPr>
    </w:p>
    <w:p w14:paraId="3FF549ED">
      <w:pPr>
        <w:spacing w:line="600" w:lineRule="exact"/>
        <w:ind w:firstLine="640" w:firstLineChars="200"/>
        <w:rPr>
          <w:rFonts w:hint="eastAsia" w:ascii="Times New Roman" w:hAnsi="Times New Roman" w:eastAsia="仿宋_GB2312" w:cs="Times New Roman"/>
          <w:color w:val="000000"/>
          <w:sz w:val="32"/>
          <w:szCs w:val="32"/>
          <w:lang w:val="en-US" w:eastAsia="zh-CN"/>
        </w:rPr>
      </w:pPr>
    </w:p>
    <w:p w14:paraId="26228AA1">
      <w:pPr>
        <w:numPr>
          <w:ilvl w:val="0"/>
          <w:numId w:val="0"/>
        </w:numPr>
        <w:spacing w:line="600" w:lineRule="exact"/>
        <w:jc w:val="center"/>
        <w:outlineLvl w:val="0"/>
        <w:rPr>
          <w:rFonts w:hint="eastAsia" w:eastAsia="黑体" w:cs="Times New Roman"/>
          <w:color w:val="000000"/>
          <w:sz w:val="44"/>
          <w:szCs w:val="44"/>
          <w:lang w:val="en-US" w:eastAsia="zh-CN"/>
        </w:rPr>
      </w:pPr>
      <w:r>
        <w:rPr>
          <w:rFonts w:hint="eastAsia" w:eastAsia="黑体" w:cs="Times New Roman"/>
          <w:color w:val="000000"/>
          <w:sz w:val="44"/>
          <w:szCs w:val="44"/>
          <w:lang w:val="en-US" w:eastAsia="zh-CN"/>
        </w:rPr>
        <w:t>第四部分  附件</w:t>
      </w:r>
    </w:p>
    <w:p w14:paraId="2B1DC7B2">
      <w:pPr>
        <w:pStyle w:val="2"/>
        <w:rPr>
          <w:rFonts w:hint="default"/>
          <w:lang w:eastAsia="zh-CN"/>
        </w:rPr>
      </w:pPr>
    </w:p>
    <w:tbl>
      <w:tblPr>
        <w:tblStyle w:val="24"/>
        <w:tblW w:w="94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7"/>
        <w:gridCol w:w="1207"/>
        <w:gridCol w:w="1312"/>
        <w:gridCol w:w="1482"/>
        <w:gridCol w:w="598"/>
        <w:gridCol w:w="732"/>
        <w:gridCol w:w="523"/>
        <w:gridCol w:w="973"/>
        <w:gridCol w:w="510"/>
        <w:gridCol w:w="486"/>
        <w:gridCol w:w="805"/>
      </w:tblGrid>
      <w:tr w14:paraId="56ECE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1A9FF8A">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8478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0373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92E9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51320023R000009914893-工资性支出</w:t>
            </w:r>
          </w:p>
        </w:tc>
      </w:tr>
      <w:tr w14:paraId="34BCC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3FA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F9C1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7EA81249">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E52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理县环境监测站</w:t>
            </w:r>
          </w:p>
        </w:tc>
      </w:tr>
      <w:tr w14:paraId="6F255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9B8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D08C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2D7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F3023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DC84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27697">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1E484">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9466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FAC9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完成了2025年度职工工资发放</w:t>
            </w:r>
          </w:p>
        </w:tc>
      </w:tr>
      <w:tr w14:paraId="5A7CE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26BA2">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36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1238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每月经组织部审核后，按时足额兑现。</w:t>
            </w:r>
          </w:p>
        </w:tc>
      </w:tr>
      <w:tr w14:paraId="5126D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12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9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90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8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05A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0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F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10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A0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61E5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CE677">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E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5F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93.07</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B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87.16</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27F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87.16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55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2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DD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85193">
            <w:pPr>
              <w:rPr>
                <w:rFonts w:hint="eastAsia" w:ascii="黑体" w:hAnsi="黑体" w:eastAsia="黑体" w:cs="黑体"/>
                <w:i/>
                <w:iCs/>
                <w:color w:val="000000"/>
                <w:sz w:val="18"/>
                <w:szCs w:val="18"/>
                <w:u w:val="none"/>
              </w:rPr>
            </w:pPr>
          </w:p>
        </w:tc>
      </w:tr>
      <w:tr w14:paraId="49AD3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E3F96">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AB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00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93.07</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84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87.16</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FD6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87.16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8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40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4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713A7">
            <w:pPr>
              <w:rPr>
                <w:rFonts w:hint="eastAsia" w:ascii="黑体" w:hAnsi="黑体" w:eastAsia="黑体" w:cs="黑体"/>
                <w:i/>
                <w:iCs/>
                <w:color w:val="000000"/>
                <w:sz w:val="18"/>
                <w:szCs w:val="18"/>
                <w:u w:val="none"/>
              </w:rPr>
            </w:pPr>
          </w:p>
        </w:tc>
      </w:tr>
      <w:tr w14:paraId="1374E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84DC1">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1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50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C2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6C6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F9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68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44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FD274">
            <w:pPr>
              <w:rPr>
                <w:rFonts w:hint="eastAsia" w:ascii="黑体" w:hAnsi="黑体" w:eastAsia="黑体" w:cs="黑体"/>
                <w:i/>
                <w:iCs/>
                <w:color w:val="000000"/>
                <w:sz w:val="18"/>
                <w:szCs w:val="18"/>
                <w:u w:val="none"/>
              </w:rPr>
            </w:pPr>
          </w:p>
        </w:tc>
      </w:tr>
      <w:tr w14:paraId="60BE3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AFC9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E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6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3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373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EC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B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9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DDB37">
            <w:pPr>
              <w:rPr>
                <w:rFonts w:hint="eastAsia" w:ascii="黑体" w:hAnsi="黑体" w:eastAsia="黑体" w:cs="黑体"/>
                <w:i/>
                <w:iCs/>
                <w:color w:val="000000"/>
                <w:sz w:val="18"/>
                <w:szCs w:val="18"/>
                <w:u w:val="none"/>
              </w:rPr>
            </w:pPr>
          </w:p>
        </w:tc>
      </w:tr>
      <w:tr w14:paraId="7AE0F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58976">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6DF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0EBD">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435F0">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172457">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B815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F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8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63DE3">
            <w:pPr>
              <w:rPr>
                <w:rFonts w:hint="eastAsia" w:ascii="黑体" w:hAnsi="黑体" w:eastAsia="黑体" w:cs="黑体"/>
                <w:i/>
                <w:iCs/>
                <w:color w:val="000000"/>
                <w:sz w:val="18"/>
                <w:szCs w:val="18"/>
                <w:u w:val="none"/>
              </w:rPr>
            </w:pPr>
          </w:p>
        </w:tc>
      </w:tr>
      <w:tr w14:paraId="2826C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B89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44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D3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5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D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1F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D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6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EE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F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BC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38CC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FB987">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0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8D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A3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5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B4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FE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B40E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6A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0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0C6B2">
            <w:pPr>
              <w:jc w:val="center"/>
              <w:rPr>
                <w:rFonts w:hint="eastAsia" w:ascii="微软雅黑" w:hAnsi="微软雅黑" w:eastAsia="微软雅黑" w:cs="微软雅黑"/>
                <w:i/>
                <w:iCs/>
                <w:color w:val="000000"/>
                <w:sz w:val="16"/>
                <w:szCs w:val="16"/>
                <w:u w:val="none"/>
              </w:rPr>
            </w:pPr>
          </w:p>
        </w:tc>
      </w:tr>
      <w:tr w14:paraId="23F57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1870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72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F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12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1C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A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B0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F943A">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5A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F9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5D8B">
            <w:pPr>
              <w:jc w:val="center"/>
              <w:rPr>
                <w:rFonts w:hint="eastAsia" w:ascii="微软雅黑" w:hAnsi="微软雅黑" w:eastAsia="微软雅黑" w:cs="微软雅黑"/>
                <w:i/>
                <w:iCs/>
                <w:color w:val="000000"/>
                <w:sz w:val="16"/>
                <w:szCs w:val="16"/>
                <w:u w:val="none"/>
              </w:rPr>
            </w:pPr>
          </w:p>
        </w:tc>
      </w:tr>
      <w:tr w14:paraId="33302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CE6A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9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CD7A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E10C9">
            <w:pPr>
              <w:rPr>
                <w:rFonts w:hint="eastAsia" w:ascii="宋体" w:hAnsi="宋体" w:eastAsia="宋体" w:cs="宋体"/>
                <w:i w:val="0"/>
                <w:iCs w:val="0"/>
                <w:color w:val="000000"/>
                <w:sz w:val="18"/>
                <w:szCs w:val="18"/>
                <w:u w:val="none"/>
              </w:rPr>
            </w:pPr>
          </w:p>
        </w:tc>
      </w:tr>
      <w:tr w14:paraId="3DF21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6B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79EDA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足额保障了2025年度人员工资支出，自查得分100分。</w:t>
            </w:r>
          </w:p>
        </w:tc>
      </w:tr>
      <w:tr w14:paraId="4D570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7B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5164F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267F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5D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66D37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2C25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9D12C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0" w:type="auto"/>
            <w:tcBorders>
              <w:top w:val="nil"/>
              <w:left w:val="nil"/>
              <w:bottom w:val="nil"/>
              <w:right w:val="nil"/>
            </w:tcBorders>
            <w:shd w:val="clear" w:color="auto" w:fill="auto"/>
            <w:noWrap/>
            <w:vAlign w:val="center"/>
          </w:tcPr>
          <w:p w14:paraId="5A3E305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129BC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E414E3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34D63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FDD554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33CE7E3">
            <w:pPr>
              <w:rPr>
                <w:rFonts w:hint="eastAsia" w:ascii="宋体" w:hAnsi="宋体" w:eastAsia="宋体" w:cs="宋体"/>
                <w:i w:val="0"/>
                <w:iCs w:val="0"/>
                <w:color w:val="000000"/>
                <w:sz w:val="22"/>
                <w:szCs w:val="22"/>
                <w:u w:val="none"/>
              </w:rPr>
            </w:pPr>
          </w:p>
        </w:tc>
      </w:tr>
      <w:tr w14:paraId="3E7E0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773BC79C">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0CF7B192">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0D1F511E">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7774F27F">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393EEF7B">
            <w:pPr>
              <w:rPr>
                <w:rFonts w:hint="eastAsia" w:ascii="宋体" w:hAnsi="宋体" w:eastAsia="宋体" w:cs="宋体"/>
                <w:i w:val="0"/>
                <w:iCs w:val="0"/>
                <w:color w:val="000000"/>
                <w:sz w:val="18"/>
                <w:szCs w:val="18"/>
                <w:u w:val="none"/>
              </w:rPr>
            </w:pP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665CB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23D22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E155F0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F30D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28E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B61B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51320023R000009915221-单位缴费</w:t>
            </w:r>
          </w:p>
        </w:tc>
      </w:tr>
      <w:tr w14:paraId="0297B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FC4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012B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51420AB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474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理县环境监测站</w:t>
            </w:r>
          </w:p>
        </w:tc>
      </w:tr>
      <w:tr w14:paraId="32F79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22C0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5757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CEF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BCAE9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08F6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85F4F">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F7373">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6AF3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D1E5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完成了2025年度单位缴费</w:t>
            </w:r>
          </w:p>
        </w:tc>
      </w:tr>
      <w:tr w14:paraId="77626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AA2DF">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E5D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699A2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每月经社保、医保、住房公积金等相关部门审核，按时缴纳，保障了职工的利益。</w:t>
            </w:r>
          </w:p>
        </w:tc>
      </w:tr>
      <w:tr w14:paraId="65468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FB5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8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A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4D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51F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5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6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45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5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CDDB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0861C">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0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04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67.21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B8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51.28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A1D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51.28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68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C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1E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FA272">
            <w:pPr>
              <w:rPr>
                <w:rFonts w:hint="eastAsia" w:ascii="黑体" w:hAnsi="黑体" w:eastAsia="黑体" w:cs="黑体"/>
                <w:i/>
                <w:iCs/>
                <w:color w:val="000000"/>
                <w:sz w:val="18"/>
                <w:szCs w:val="18"/>
                <w:u w:val="none"/>
              </w:rPr>
            </w:pPr>
          </w:p>
        </w:tc>
      </w:tr>
      <w:tr w14:paraId="3102F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5399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8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29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67.21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B5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51.28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2C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51.28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7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FD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FF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6BF78">
            <w:pPr>
              <w:rPr>
                <w:rFonts w:hint="eastAsia" w:ascii="黑体" w:hAnsi="黑体" w:eastAsia="黑体" w:cs="黑体"/>
                <w:i/>
                <w:iCs/>
                <w:color w:val="000000"/>
                <w:sz w:val="18"/>
                <w:szCs w:val="18"/>
                <w:u w:val="none"/>
              </w:rPr>
            </w:pPr>
          </w:p>
        </w:tc>
      </w:tr>
      <w:tr w14:paraId="3E093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50D86">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BD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70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61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C1D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3B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81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5A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23C79">
            <w:pPr>
              <w:rPr>
                <w:rFonts w:hint="eastAsia" w:ascii="黑体" w:hAnsi="黑体" w:eastAsia="黑体" w:cs="黑体"/>
                <w:i/>
                <w:iCs/>
                <w:color w:val="000000"/>
                <w:sz w:val="18"/>
                <w:szCs w:val="18"/>
                <w:u w:val="none"/>
              </w:rPr>
            </w:pPr>
          </w:p>
        </w:tc>
      </w:tr>
      <w:tr w14:paraId="522D9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BA70E">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A6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1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1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9CE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1F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C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86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7D473">
            <w:pPr>
              <w:rPr>
                <w:rFonts w:hint="eastAsia" w:ascii="黑体" w:hAnsi="黑体" w:eastAsia="黑体" w:cs="黑体"/>
                <w:i/>
                <w:iCs/>
                <w:color w:val="000000"/>
                <w:sz w:val="18"/>
                <w:szCs w:val="18"/>
                <w:u w:val="none"/>
              </w:rPr>
            </w:pPr>
          </w:p>
        </w:tc>
      </w:tr>
      <w:tr w14:paraId="0421B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9FB41">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7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CF0E">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54C10">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65E8A7">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1E6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5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91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815CB">
            <w:pPr>
              <w:rPr>
                <w:rFonts w:hint="eastAsia" w:ascii="黑体" w:hAnsi="黑体" w:eastAsia="黑体" w:cs="黑体"/>
                <w:i/>
                <w:iCs/>
                <w:color w:val="000000"/>
                <w:sz w:val="18"/>
                <w:szCs w:val="18"/>
                <w:u w:val="none"/>
              </w:rPr>
            </w:pPr>
          </w:p>
        </w:tc>
      </w:tr>
      <w:tr w14:paraId="69A3B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57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1A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3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37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DE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55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5D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E9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50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E1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02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623C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CDC9E">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8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CA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42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8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A4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6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75DCE">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C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C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6234A">
            <w:pPr>
              <w:jc w:val="center"/>
              <w:rPr>
                <w:rFonts w:hint="eastAsia" w:ascii="微软雅黑" w:hAnsi="微软雅黑" w:eastAsia="微软雅黑" w:cs="微软雅黑"/>
                <w:i/>
                <w:iCs/>
                <w:color w:val="000000"/>
                <w:sz w:val="16"/>
                <w:szCs w:val="16"/>
                <w:u w:val="none"/>
              </w:rPr>
            </w:pPr>
          </w:p>
        </w:tc>
      </w:tr>
      <w:tr w14:paraId="4CDF0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4A76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B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F1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E0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92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0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1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5E30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6F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57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1BD59">
            <w:pPr>
              <w:jc w:val="center"/>
              <w:rPr>
                <w:rFonts w:hint="eastAsia" w:ascii="微软雅黑" w:hAnsi="微软雅黑" w:eastAsia="微软雅黑" w:cs="微软雅黑"/>
                <w:i/>
                <w:iCs/>
                <w:color w:val="000000"/>
                <w:sz w:val="16"/>
                <w:szCs w:val="16"/>
                <w:u w:val="none"/>
              </w:rPr>
            </w:pPr>
          </w:p>
        </w:tc>
      </w:tr>
      <w:tr w14:paraId="582EC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F68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3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947A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6FD77">
            <w:pPr>
              <w:rPr>
                <w:rFonts w:hint="eastAsia" w:ascii="宋体" w:hAnsi="宋体" w:eastAsia="宋体" w:cs="宋体"/>
                <w:i w:val="0"/>
                <w:iCs w:val="0"/>
                <w:color w:val="000000"/>
                <w:sz w:val="18"/>
                <w:szCs w:val="18"/>
                <w:u w:val="none"/>
              </w:rPr>
            </w:pPr>
          </w:p>
        </w:tc>
      </w:tr>
      <w:tr w14:paraId="22C30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8D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2B959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每月经相关部门审核后，按时足额缴纳，保障了职工的利益。自查得分100分。</w:t>
            </w:r>
          </w:p>
        </w:tc>
      </w:tr>
      <w:tr w14:paraId="29699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85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3BEE0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C4CE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D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7955E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A052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27A8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2566B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4E722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7A911548">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094B6CB3">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507B457B">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576CE9FC">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113ECB41">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00799518">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71F4AA72">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65EC525C">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1B0F7EF2">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2843E24E">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31E24A5E">
            <w:pPr>
              <w:rPr>
                <w:rFonts w:hint="eastAsia" w:ascii="宋体" w:hAnsi="宋体" w:eastAsia="宋体" w:cs="宋体"/>
                <w:i w:val="0"/>
                <w:iCs w:val="0"/>
                <w:color w:val="000000"/>
                <w:sz w:val="18"/>
                <w:szCs w:val="18"/>
                <w:u w:val="none"/>
              </w:rPr>
            </w:pPr>
          </w:p>
        </w:tc>
      </w:tr>
      <w:tr w14:paraId="0F316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819FDE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0F09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B2D7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0C2C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51320023Y000009917272-日常公用经费</w:t>
            </w:r>
          </w:p>
        </w:tc>
      </w:tr>
      <w:tr w14:paraId="26F86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BD06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E289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3A53D7E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C3D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理县环境监测站</w:t>
            </w:r>
          </w:p>
        </w:tc>
      </w:tr>
      <w:tr w14:paraId="32622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EF36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71FF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427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CB67C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DA4C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D5788">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F9CA0">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9245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E99F9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完成了2025年各项生态环境目标任务</w:t>
            </w:r>
          </w:p>
        </w:tc>
      </w:tr>
      <w:tr w14:paraId="2BCDF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29E87">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0FB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D928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开展2025年生态环境保护工作，确保正常运转。</w:t>
            </w:r>
          </w:p>
        </w:tc>
      </w:tr>
      <w:tr w14:paraId="3C982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1F2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C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7D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D4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388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A9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4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F8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5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317B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72D5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A5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C7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9.39</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8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6.91</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400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13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22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6D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04DE6D">
            <w:pPr>
              <w:rPr>
                <w:rFonts w:hint="eastAsia" w:ascii="黑体" w:hAnsi="黑体" w:eastAsia="黑体" w:cs="黑体"/>
                <w:i/>
                <w:iCs/>
                <w:color w:val="000000"/>
                <w:sz w:val="18"/>
                <w:szCs w:val="18"/>
                <w:u w:val="none"/>
              </w:rPr>
            </w:pPr>
          </w:p>
        </w:tc>
      </w:tr>
      <w:tr w14:paraId="2990C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5952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24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C7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9.39</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C7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6.91</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0C3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24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1A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9A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21D71">
            <w:pPr>
              <w:rPr>
                <w:rFonts w:hint="eastAsia" w:ascii="黑体" w:hAnsi="黑体" w:eastAsia="黑体" w:cs="黑体"/>
                <w:i/>
                <w:iCs/>
                <w:color w:val="000000"/>
                <w:sz w:val="18"/>
                <w:szCs w:val="18"/>
                <w:u w:val="none"/>
              </w:rPr>
            </w:pPr>
          </w:p>
        </w:tc>
      </w:tr>
      <w:tr w14:paraId="31A8D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A8A36">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4E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B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0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210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1F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7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A6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A2B05">
            <w:pPr>
              <w:rPr>
                <w:rFonts w:hint="eastAsia" w:ascii="黑体" w:hAnsi="黑体" w:eastAsia="黑体" w:cs="黑体"/>
                <w:i/>
                <w:iCs/>
                <w:color w:val="000000"/>
                <w:sz w:val="18"/>
                <w:szCs w:val="18"/>
                <w:u w:val="none"/>
              </w:rPr>
            </w:pPr>
          </w:p>
        </w:tc>
      </w:tr>
      <w:tr w14:paraId="3950A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8A24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12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E1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61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768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78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B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8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A6B92">
            <w:pPr>
              <w:rPr>
                <w:rFonts w:hint="eastAsia" w:ascii="黑体" w:hAnsi="黑体" w:eastAsia="黑体" w:cs="黑体"/>
                <w:i/>
                <w:iCs/>
                <w:color w:val="000000"/>
                <w:sz w:val="18"/>
                <w:szCs w:val="18"/>
                <w:u w:val="none"/>
              </w:rPr>
            </w:pPr>
          </w:p>
        </w:tc>
      </w:tr>
      <w:tr w14:paraId="4949C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B6CA7">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44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6F66">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752CD">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26F007">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E6AE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F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C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770D5">
            <w:pPr>
              <w:rPr>
                <w:rFonts w:hint="eastAsia" w:ascii="黑体" w:hAnsi="黑体" w:eastAsia="黑体" w:cs="黑体"/>
                <w:i/>
                <w:iCs/>
                <w:color w:val="000000"/>
                <w:sz w:val="18"/>
                <w:szCs w:val="18"/>
                <w:u w:val="none"/>
              </w:rPr>
            </w:pPr>
          </w:p>
        </w:tc>
      </w:tr>
      <w:tr w14:paraId="636A2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0D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1A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12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E6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BE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0E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8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7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8F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D7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AB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877C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7D93A">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B9E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C4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1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6F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7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15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21A5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E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B6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3D801">
            <w:pPr>
              <w:jc w:val="center"/>
              <w:rPr>
                <w:rFonts w:hint="eastAsia" w:ascii="微软雅黑" w:hAnsi="微软雅黑" w:eastAsia="微软雅黑" w:cs="微软雅黑"/>
                <w:i/>
                <w:iCs/>
                <w:color w:val="000000"/>
                <w:sz w:val="16"/>
                <w:szCs w:val="16"/>
                <w:u w:val="none"/>
              </w:rPr>
            </w:pPr>
          </w:p>
        </w:tc>
      </w:tr>
      <w:tr w14:paraId="17AF8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7CF67">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E1D8E">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8F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2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94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27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D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475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A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4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3A65">
            <w:pPr>
              <w:jc w:val="center"/>
              <w:rPr>
                <w:rFonts w:hint="eastAsia" w:ascii="微软雅黑" w:hAnsi="微软雅黑" w:eastAsia="微软雅黑" w:cs="微软雅黑"/>
                <w:i/>
                <w:iCs/>
                <w:color w:val="000000"/>
                <w:sz w:val="16"/>
                <w:szCs w:val="16"/>
                <w:u w:val="none"/>
              </w:rPr>
            </w:pPr>
          </w:p>
        </w:tc>
      </w:tr>
      <w:tr w14:paraId="7C68A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AF7DD">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1B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6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03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6E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B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C1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7BA8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7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DF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2E002">
            <w:pPr>
              <w:jc w:val="center"/>
              <w:rPr>
                <w:rFonts w:hint="eastAsia" w:ascii="微软雅黑" w:hAnsi="微软雅黑" w:eastAsia="微软雅黑" w:cs="微软雅黑"/>
                <w:i/>
                <w:iCs/>
                <w:color w:val="000000"/>
                <w:sz w:val="16"/>
                <w:szCs w:val="16"/>
                <w:u w:val="none"/>
              </w:rPr>
            </w:pPr>
          </w:p>
        </w:tc>
      </w:tr>
      <w:tr w14:paraId="76ED3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AE0B4">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5CE25">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2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7B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E1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CB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4E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1545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9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94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B82C3">
            <w:pPr>
              <w:jc w:val="center"/>
              <w:rPr>
                <w:rFonts w:hint="eastAsia" w:ascii="微软雅黑" w:hAnsi="微软雅黑" w:eastAsia="微软雅黑" w:cs="微软雅黑"/>
                <w:i/>
                <w:iCs/>
                <w:color w:val="000000"/>
                <w:sz w:val="16"/>
                <w:szCs w:val="16"/>
                <w:u w:val="none"/>
              </w:rPr>
            </w:pPr>
          </w:p>
        </w:tc>
      </w:tr>
      <w:tr w14:paraId="3315A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AB7A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9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9A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1A5A">
            <w:pPr>
              <w:rPr>
                <w:rFonts w:hint="eastAsia" w:ascii="宋体" w:hAnsi="宋体" w:eastAsia="宋体" w:cs="宋体"/>
                <w:i w:val="0"/>
                <w:iCs w:val="0"/>
                <w:color w:val="000000"/>
                <w:sz w:val="18"/>
                <w:szCs w:val="18"/>
                <w:u w:val="none"/>
              </w:rPr>
            </w:pPr>
          </w:p>
        </w:tc>
      </w:tr>
      <w:tr w14:paraId="3818B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0A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0BB8C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保障了2025年单位开展日常工作运转，自查得分89分</w:t>
            </w:r>
          </w:p>
        </w:tc>
      </w:tr>
      <w:tr w14:paraId="50C73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F9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974BA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912B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23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A3495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8741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73F79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90E3C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01A46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1B393B33">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3EFB3464">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5B52E345">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56C388E6">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66B6321D">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6B07F363">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2879FBFE">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5600E317">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7AC781B7">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06B14D90">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74FCD2B2">
            <w:pPr>
              <w:rPr>
                <w:rFonts w:hint="eastAsia" w:ascii="宋体" w:hAnsi="宋体" w:eastAsia="宋体" w:cs="宋体"/>
                <w:i w:val="0"/>
                <w:iCs w:val="0"/>
                <w:color w:val="000000"/>
                <w:sz w:val="18"/>
                <w:szCs w:val="18"/>
                <w:u w:val="none"/>
              </w:rPr>
            </w:pPr>
          </w:p>
        </w:tc>
      </w:tr>
      <w:tr w14:paraId="64150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0A2EF6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59B0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5D7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3F94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51320025R000012338995-追加人员工资性支出</w:t>
            </w:r>
          </w:p>
        </w:tc>
      </w:tr>
      <w:tr w14:paraId="3C710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794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498B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6325C8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5D9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理县环境监测站</w:t>
            </w:r>
          </w:p>
        </w:tc>
      </w:tr>
      <w:tr w14:paraId="37197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59B4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DBB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DE5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FA567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CD2D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D66D5">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1F6B5">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EB91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DCD52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足额保障了2025年度人员工资发放</w:t>
            </w:r>
          </w:p>
        </w:tc>
      </w:tr>
      <w:tr w14:paraId="220AC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A4690">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45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B45E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用于人员调入、正常晋升、职务职级变动等。</w:t>
            </w:r>
          </w:p>
        </w:tc>
      </w:tr>
      <w:tr w14:paraId="32B3E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76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FC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D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E5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951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EF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4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23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1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F12D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7E0A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BB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05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09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F97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EF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51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7F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40CFF1">
            <w:pPr>
              <w:rPr>
                <w:rFonts w:hint="eastAsia" w:ascii="黑体" w:hAnsi="黑体" w:eastAsia="黑体" w:cs="黑体"/>
                <w:i/>
                <w:iCs/>
                <w:color w:val="000000"/>
                <w:sz w:val="18"/>
                <w:szCs w:val="18"/>
                <w:u w:val="none"/>
              </w:rPr>
            </w:pPr>
          </w:p>
        </w:tc>
      </w:tr>
      <w:tr w14:paraId="3BE9E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140D0">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3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74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D2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919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11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B5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8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968AA">
            <w:pPr>
              <w:rPr>
                <w:rFonts w:hint="eastAsia" w:ascii="黑体" w:hAnsi="黑体" w:eastAsia="黑体" w:cs="黑体"/>
                <w:i/>
                <w:iCs/>
                <w:color w:val="000000"/>
                <w:sz w:val="18"/>
                <w:szCs w:val="18"/>
                <w:u w:val="none"/>
              </w:rPr>
            </w:pPr>
          </w:p>
        </w:tc>
      </w:tr>
      <w:tr w14:paraId="752C4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D9B48">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4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81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D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237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3D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5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5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445BE">
            <w:pPr>
              <w:rPr>
                <w:rFonts w:hint="eastAsia" w:ascii="黑体" w:hAnsi="黑体" w:eastAsia="黑体" w:cs="黑体"/>
                <w:i/>
                <w:iCs/>
                <w:color w:val="000000"/>
                <w:sz w:val="18"/>
                <w:szCs w:val="18"/>
                <w:u w:val="none"/>
              </w:rPr>
            </w:pPr>
          </w:p>
        </w:tc>
      </w:tr>
      <w:tr w14:paraId="7170F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A35B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06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2F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22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865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D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0A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5C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BB833">
            <w:pPr>
              <w:rPr>
                <w:rFonts w:hint="eastAsia" w:ascii="黑体" w:hAnsi="黑体" w:eastAsia="黑体" w:cs="黑体"/>
                <w:i/>
                <w:iCs/>
                <w:color w:val="000000"/>
                <w:sz w:val="18"/>
                <w:szCs w:val="18"/>
                <w:u w:val="none"/>
              </w:rPr>
            </w:pPr>
          </w:p>
        </w:tc>
      </w:tr>
      <w:tr w14:paraId="00CA0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A13C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8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2902B">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D547">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595B29">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2CD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B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BC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B1806">
            <w:pPr>
              <w:rPr>
                <w:rFonts w:hint="eastAsia" w:ascii="黑体" w:hAnsi="黑体" w:eastAsia="黑体" w:cs="黑体"/>
                <w:i/>
                <w:iCs/>
                <w:color w:val="000000"/>
                <w:sz w:val="18"/>
                <w:szCs w:val="18"/>
                <w:u w:val="none"/>
              </w:rPr>
            </w:pPr>
          </w:p>
        </w:tc>
      </w:tr>
      <w:tr w14:paraId="7AAAC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AA1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B4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7A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0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9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B9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9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93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E2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D2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7C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946D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18700">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CA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8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3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8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7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44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5FE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91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7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5E4D9">
            <w:pPr>
              <w:jc w:val="center"/>
              <w:rPr>
                <w:rFonts w:hint="eastAsia" w:ascii="微软雅黑" w:hAnsi="微软雅黑" w:eastAsia="微软雅黑" w:cs="微软雅黑"/>
                <w:i/>
                <w:iCs/>
                <w:color w:val="000000"/>
                <w:sz w:val="16"/>
                <w:szCs w:val="16"/>
                <w:u w:val="none"/>
              </w:rPr>
            </w:pPr>
          </w:p>
        </w:tc>
      </w:tr>
      <w:tr w14:paraId="635F8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73FC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BB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6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C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7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43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4F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A5D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AB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9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E903">
            <w:pPr>
              <w:jc w:val="center"/>
              <w:rPr>
                <w:rFonts w:hint="eastAsia" w:ascii="微软雅黑" w:hAnsi="微软雅黑" w:eastAsia="微软雅黑" w:cs="微软雅黑"/>
                <w:i/>
                <w:iCs/>
                <w:color w:val="000000"/>
                <w:sz w:val="16"/>
                <w:szCs w:val="16"/>
                <w:u w:val="none"/>
              </w:rPr>
            </w:pPr>
          </w:p>
        </w:tc>
      </w:tr>
      <w:tr w14:paraId="6B65F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CC8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96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9C4C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C509">
            <w:pPr>
              <w:rPr>
                <w:rFonts w:hint="eastAsia" w:ascii="宋体" w:hAnsi="宋体" w:eastAsia="宋体" w:cs="宋体"/>
                <w:i w:val="0"/>
                <w:iCs w:val="0"/>
                <w:color w:val="000000"/>
                <w:sz w:val="18"/>
                <w:szCs w:val="18"/>
                <w:u w:val="none"/>
              </w:rPr>
            </w:pPr>
          </w:p>
        </w:tc>
      </w:tr>
      <w:tr w14:paraId="0AA1A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5C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D425F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足额保障了2025年度人员工资支出，自查得分100分。</w:t>
            </w:r>
          </w:p>
        </w:tc>
      </w:tr>
      <w:tr w14:paraId="185EB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03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88CA3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2E71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10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C5D95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CA22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119F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C610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3CE66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1E3A6F7F">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064F19E5">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670B8D8F">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3E5E376A">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68E39714">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389171E6">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0E70052B">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60F03D09">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21491061">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43BD6D91">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46E812B6">
            <w:pPr>
              <w:rPr>
                <w:rFonts w:hint="eastAsia" w:ascii="宋体" w:hAnsi="宋体" w:eastAsia="宋体" w:cs="宋体"/>
                <w:i w:val="0"/>
                <w:iCs w:val="0"/>
                <w:color w:val="000000"/>
                <w:sz w:val="18"/>
                <w:szCs w:val="18"/>
                <w:u w:val="none"/>
              </w:rPr>
            </w:pPr>
          </w:p>
        </w:tc>
      </w:tr>
      <w:tr w14:paraId="60F0A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81757F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1A8E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9006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DDA0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51320025Y000012974203-日常公用经费（其他运转类）</w:t>
            </w:r>
          </w:p>
        </w:tc>
      </w:tr>
      <w:tr w14:paraId="0AABC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FD0F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073D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4D21CEF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EC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理县环境监测站</w:t>
            </w:r>
          </w:p>
        </w:tc>
      </w:tr>
      <w:tr w14:paraId="5F3BC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E1AD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48C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ECA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E20B9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C626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87443">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36A84">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673D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85ABF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完成了2025年目标任务</w:t>
            </w:r>
          </w:p>
        </w:tc>
      </w:tr>
      <w:tr w14:paraId="7AFCE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F114C">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9B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46FB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开展2025年度各项生态环境保护工作</w:t>
            </w:r>
          </w:p>
        </w:tc>
      </w:tr>
      <w:tr w14:paraId="1EC6C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EE6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FD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4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96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01C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45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D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84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2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B963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E34F0">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3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BE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16.65</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AE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48E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F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ED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1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A5FCE">
            <w:pPr>
              <w:rPr>
                <w:rFonts w:hint="eastAsia" w:ascii="黑体" w:hAnsi="黑体" w:eastAsia="黑体" w:cs="黑体"/>
                <w:i/>
                <w:iCs/>
                <w:color w:val="000000"/>
                <w:sz w:val="18"/>
                <w:szCs w:val="18"/>
                <w:u w:val="none"/>
              </w:rPr>
            </w:pPr>
          </w:p>
        </w:tc>
      </w:tr>
      <w:tr w14:paraId="1DA3B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95B76">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EA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C4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16.65</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86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21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81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7E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EF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CD5C9">
            <w:pPr>
              <w:rPr>
                <w:rFonts w:hint="eastAsia" w:ascii="黑体" w:hAnsi="黑体" w:eastAsia="黑体" w:cs="黑体"/>
                <w:i/>
                <w:iCs/>
                <w:color w:val="000000"/>
                <w:sz w:val="18"/>
                <w:szCs w:val="18"/>
                <w:u w:val="none"/>
              </w:rPr>
            </w:pPr>
          </w:p>
        </w:tc>
      </w:tr>
      <w:tr w14:paraId="277EE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9629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EF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A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E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9B2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A4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33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E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28C63">
            <w:pPr>
              <w:rPr>
                <w:rFonts w:hint="eastAsia" w:ascii="黑体" w:hAnsi="黑体" w:eastAsia="黑体" w:cs="黑体"/>
                <w:i/>
                <w:iCs/>
                <w:color w:val="000000"/>
                <w:sz w:val="18"/>
                <w:szCs w:val="18"/>
                <w:u w:val="none"/>
              </w:rPr>
            </w:pPr>
          </w:p>
        </w:tc>
      </w:tr>
      <w:tr w14:paraId="40191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053C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BC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C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C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68F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CB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2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68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B255B">
            <w:pPr>
              <w:rPr>
                <w:rFonts w:hint="eastAsia" w:ascii="黑体" w:hAnsi="黑体" w:eastAsia="黑体" w:cs="黑体"/>
                <w:i/>
                <w:iCs/>
                <w:color w:val="000000"/>
                <w:sz w:val="18"/>
                <w:szCs w:val="18"/>
                <w:u w:val="none"/>
              </w:rPr>
            </w:pPr>
          </w:p>
        </w:tc>
      </w:tr>
      <w:tr w14:paraId="42174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A3D8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50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8487">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C0B7">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D83E38">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B6BB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3F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47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E2A1D">
            <w:pPr>
              <w:rPr>
                <w:rFonts w:hint="eastAsia" w:ascii="黑体" w:hAnsi="黑体" w:eastAsia="黑体" w:cs="黑体"/>
                <w:i/>
                <w:iCs/>
                <w:color w:val="000000"/>
                <w:sz w:val="18"/>
                <w:szCs w:val="18"/>
                <w:u w:val="none"/>
              </w:rPr>
            </w:pPr>
          </w:p>
        </w:tc>
      </w:tr>
      <w:tr w14:paraId="3D810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464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7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7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8C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4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CB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A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5C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9B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B8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6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1815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45792">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23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4E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91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3C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2A5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47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45BC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3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5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13A42">
            <w:pPr>
              <w:jc w:val="center"/>
              <w:rPr>
                <w:rFonts w:hint="eastAsia" w:ascii="微软雅黑" w:hAnsi="微软雅黑" w:eastAsia="微软雅黑" w:cs="微软雅黑"/>
                <w:i/>
                <w:iCs/>
                <w:color w:val="000000"/>
                <w:sz w:val="16"/>
                <w:szCs w:val="16"/>
                <w:u w:val="none"/>
              </w:rPr>
            </w:pPr>
          </w:p>
        </w:tc>
      </w:tr>
      <w:tr w14:paraId="02DC3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E28DA">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12722">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2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40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F4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E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D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426C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9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91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FC66E">
            <w:pPr>
              <w:jc w:val="center"/>
              <w:rPr>
                <w:rFonts w:hint="eastAsia" w:ascii="微软雅黑" w:hAnsi="微软雅黑" w:eastAsia="微软雅黑" w:cs="微软雅黑"/>
                <w:i/>
                <w:iCs/>
                <w:color w:val="000000"/>
                <w:sz w:val="16"/>
                <w:szCs w:val="16"/>
                <w:u w:val="none"/>
              </w:rPr>
            </w:pPr>
          </w:p>
        </w:tc>
      </w:tr>
      <w:tr w14:paraId="24219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77DA1">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BA9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3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A1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28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94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9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FFD2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9F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C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79EAF">
            <w:pPr>
              <w:jc w:val="center"/>
              <w:rPr>
                <w:rFonts w:hint="eastAsia" w:ascii="微软雅黑" w:hAnsi="微软雅黑" w:eastAsia="微软雅黑" w:cs="微软雅黑"/>
                <w:i/>
                <w:iCs/>
                <w:color w:val="000000"/>
                <w:sz w:val="16"/>
                <w:szCs w:val="16"/>
                <w:u w:val="none"/>
              </w:rPr>
            </w:pPr>
          </w:p>
        </w:tc>
      </w:tr>
      <w:tr w14:paraId="0C8A0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1AF84">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B6B7B">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6B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5F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49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6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26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CEAE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2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08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C595">
            <w:pPr>
              <w:jc w:val="center"/>
              <w:rPr>
                <w:rFonts w:hint="eastAsia" w:ascii="微软雅黑" w:hAnsi="微软雅黑" w:eastAsia="微软雅黑" w:cs="微软雅黑"/>
                <w:i/>
                <w:iCs/>
                <w:color w:val="000000"/>
                <w:sz w:val="16"/>
                <w:szCs w:val="16"/>
                <w:u w:val="none"/>
              </w:rPr>
            </w:pPr>
          </w:p>
        </w:tc>
      </w:tr>
      <w:tr w14:paraId="50CD0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D99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76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ECF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92F2">
            <w:pPr>
              <w:rPr>
                <w:rFonts w:hint="eastAsia" w:ascii="宋体" w:hAnsi="宋体" w:eastAsia="宋体" w:cs="宋体"/>
                <w:i w:val="0"/>
                <w:iCs w:val="0"/>
                <w:color w:val="000000"/>
                <w:sz w:val="18"/>
                <w:szCs w:val="18"/>
                <w:u w:val="none"/>
              </w:rPr>
            </w:pPr>
          </w:p>
        </w:tc>
      </w:tr>
      <w:tr w14:paraId="32B7B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E9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91430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完成了2025年各项生态环境目标工作任务，经费得到保障，自查得分85分。</w:t>
            </w:r>
          </w:p>
        </w:tc>
      </w:tr>
      <w:tr w14:paraId="0BCF7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1A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0B6AC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1036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35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2C058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8980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D9997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9C575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5BE05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18D00236">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5F481644">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5A279B85">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4C74D674">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1C3C4D61">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0790EA8A">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69815C54">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0D3DE24D">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1E2EB80B">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553441B1">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4C34A802">
            <w:pPr>
              <w:rPr>
                <w:rFonts w:hint="eastAsia" w:ascii="宋体" w:hAnsi="宋体" w:eastAsia="宋体" w:cs="宋体"/>
                <w:i w:val="0"/>
                <w:iCs w:val="0"/>
                <w:color w:val="000000"/>
                <w:sz w:val="18"/>
                <w:szCs w:val="18"/>
                <w:u w:val="none"/>
              </w:rPr>
            </w:pPr>
          </w:p>
        </w:tc>
      </w:tr>
      <w:tr w14:paraId="7CCDF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465" w:type="dxa"/>
            <w:gridSpan w:val="11"/>
            <w:tcBorders>
              <w:top w:val="nil"/>
              <w:left w:val="nil"/>
              <w:bottom w:val="nil"/>
              <w:right w:val="nil"/>
            </w:tcBorders>
            <w:shd w:val="clear" w:color="auto" w:fill="auto"/>
            <w:vAlign w:val="center"/>
          </w:tcPr>
          <w:p w14:paraId="19385E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1、报表说明:该报表查询项目信息、绩效目标信息、预算及执行情况，用于预算单位查询导出开展项目自评。</w:t>
            </w:r>
          </w:p>
        </w:tc>
      </w:tr>
      <w:tr w14:paraId="59E7A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465" w:type="dxa"/>
            <w:gridSpan w:val="11"/>
            <w:tcBorders>
              <w:top w:val="nil"/>
              <w:left w:val="nil"/>
              <w:bottom w:val="nil"/>
              <w:right w:val="nil"/>
            </w:tcBorders>
            <w:shd w:val="clear" w:color="auto" w:fill="auto"/>
            <w:vAlign w:val="center"/>
          </w:tcPr>
          <w:p w14:paraId="587071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2、取数口径：部门项目绩效目标表信息，包括年初预算、追加预算、结转预算和调整预算的绩效目标（以项目的最终绩效目标为准）。</w:t>
            </w:r>
          </w:p>
        </w:tc>
      </w:tr>
      <w:tr w14:paraId="4EE2F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465" w:type="dxa"/>
            <w:gridSpan w:val="11"/>
            <w:tcBorders>
              <w:top w:val="nil"/>
              <w:left w:val="nil"/>
              <w:bottom w:val="nil"/>
              <w:right w:val="nil"/>
            </w:tcBorders>
            <w:shd w:val="clear" w:color="auto" w:fill="auto"/>
            <w:vAlign w:val="center"/>
          </w:tcPr>
          <w:p w14:paraId="245217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14:paraId="018DD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465" w:type="dxa"/>
            <w:gridSpan w:val="11"/>
            <w:tcBorders>
              <w:top w:val="nil"/>
              <w:left w:val="nil"/>
              <w:bottom w:val="nil"/>
              <w:right w:val="nil"/>
            </w:tcBorders>
            <w:shd w:val="clear" w:color="auto" w:fill="auto"/>
            <w:vAlign w:val="center"/>
          </w:tcPr>
          <w:p w14:paraId="57860C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r w14:paraId="0FF2E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00958FC2">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7159BD7D">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436675A8">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3627A2DD">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1E7CEA51">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562F0C9">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53D1D471">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0DEDEF10">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243D3814">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58D72B02">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501189E3">
            <w:pPr>
              <w:rPr>
                <w:rFonts w:hint="eastAsia" w:ascii="宋体" w:hAnsi="宋体" w:eastAsia="宋体" w:cs="宋体"/>
                <w:i w:val="0"/>
                <w:iCs w:val="0"/>
                <w:color w:val="000000"/>
                <w:sz w:val="18"/>
                <w:szCs w:val="18"/>
                <w:u w:val="none"/>
              </w:rPr>
            </w:pPr>
          </w:p>
        </w:tc>
      </w:tr>
      <w:bookmarkEnd w:id="95"/>
      <w:bookmarkEnd w:id="96"/>
      <w:bookmarkEnd w:id="97"/>
    </w:tbl>
    <w:p w14:paraId="1371CE61">
      <w:pPr>
        <w:numPr>
          <w:ilvl w:val="0"/>
          <w:numId w:val="0"/>
        </w:numPr>
        <w:spacing w:line="600" w:lineRule="exact"/>
        <w:ind w:firstLine="440" w:firstLineChars="100"/>
        <w:jc w:val="center"/>
        <w:outlineLvl w:val="0"/>
        <w:rPr>
          <w:rFonts w:hint="default" w:ascii="Times New Roman" w:hAnsi="Times New Roman" w:eastAsia="黑体" w:cs="Times New Roman"/>
          <w:color w:val="000000"/>
          <w:sz w:val="44"/>
          <w:szCs w:val="44"/>
          <w:lang w:eastAsia="zh-CN"/>
        </w:rPr>
      </w:pPr>
      <w:bookmarkStart w:id="99" w:name="_Toc79163635"/>
      <w:bookmarkStart w:id="100" w:name="_Toc79163885"/>
      <w:bookmarkStart w:id="101" w:name="_Toc15396618"/>
    </w:p>
    <w:p w14:paraId="567AD1EF">
      <w:pPr>
        <w:numPr>
          <w:ilvl w:val="0"/>
          <w:numId w:val="0"/>
        </w:numPr>
        <w:spacing w:line="600" w:lineRule="exact"/>
        <w:ind w:firstLine="440" w:firstLineChars="100"/>
        <w:jc w:val="center"/>
        <w:outlineLvl w:val="0"/>
        <w:rPr>
          <w:rFonts w:hint="default" w:ascii="Times New Roman" w:hAnsi="Times New Roman" w:eastAsia="仿宋_GB2312" w:cs="Times New Roman"/>
          <w:color w:val="000000"/>
          <w:sz w:val="32"/>
          <w:szCs w:val="32"/>
          <w:lang w:val="en-US" w:eastAsia="zh-CN"/>
        </w:rPr>
      </w:pPr>
      <w:r>
        <w:rPr>
          <w:rFonts w:hint="default" w:ascii="Times New Roman" w:hAnsi="Times New Roman" w:eastAsia="黑体" w:cs="Times New Roman"/>
          <w:color w:val="000000"/>
          <w:sz w:val="44"/>
          <w:szCs w:val="44"/>
          <w:lang w:eastAsia="zh-CN"/>
        </w:rPr>
        <w:t>第</w:t>
      </w:r>
      <w:r>
        <w:rPr>
          <w:rFonts w:hint="eastAsia" w:eastAsia="黑体" w:cs="Times New Roman"/>
          <w:color w:val="000000"/>
          <w:sz w:val="44"/>
          <w:szCs w:val="44"/>
          <w:lang w:val="en-US" w:eastAsia="zh-CN"/>
        </w:rPr>
        <w:t>五</w:t>
      </w:r>
      <w:r>
        <w:rPr>
          <w:rFonts w:hint="default" w:ascii="Times New Roman" w:hAnsi="Times New Roman" w:eastAsia="黑体" w:cs="Times New Roman"/>
          <w:color w:val="000000"/>
          <w:sz w:val="44"/>
          <w:szCs w:val="44"/>
          <w:lang w:eastAsia="zh-CN"/>
        </w:rPr>
        <w:t>部分 附表</w:t>
      </w:r>
      <w:bookmarkEnd w:id="98"/>
      <w:bookmarkEnd w:id="99"/>
      <w:bookmarkEnd w:id="100"/>
      <w:bookmarkEnd w:id="101"/>
      <w:bookmarkStart w:id="102" w:name="_Toc79163886"/>
      <w:bookmarkStart w:id="103" w:name="_Toc15396619"/>
      <w:bookmarkStart w:id="104" w:name="_Toc79163636"/>
    </w:p>
    <w:p w14:paraId="1054BB01">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default" w:ascii="Times New Roman" w:hAnsi="Times New Roman" w:eastAsia="仿宋_GB2312" w:cs="Times New Roman"/>
          <w:color w:val="000000"/>
          <w:sz w:val="32"/>
          <w:szCs w:val="32"/>
          <w:lang w:val="en-US" w:eastAsia="zh-CN"/>
        </w:rPr>
      </w:pPr>
    </w:p>
    <w:p w14:paraId="7682F029">
      <w:pPr>
        <w:spacing w:line="60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一、收入支出决算总表</w:t>
      </w:r>
      <w:bookmarkEnd w:id="102"/>
      <w:bookmarkEnd w:id="103"/>
      <w:bookmarkEnd w:id="104"/>
    </w:p>
    <w:p w14:paraId="68ABDA84">
      <w:pPr>
        <w:spacing w:line="600" w:lineRule="exact"/>
        <w:ind w:firstLine="640" w:firstLineChars="200"/>
        <w:rPr>
          <w:rFonts w:hint="default" w:ascii="Times New Roman" w:hAnsi="Times New Roman" w:eastAsia="仿宋_GB2312" w:cs="Times New Roman"/>
          <w:color w:val="000000"/>
          <w:sz w:val="32"/>
          <w:szCs w:val="32"/>
          <w:lang w:val="en-US" w:eastAsia="zh-CN"/>
        </w:rPr>
      </w:pPr>
      <w:bookmarkStart w:id="105" w:name="_Toc79163887"/>
      <w:bookmarkStart w:id="106" w:name="_Toc15396620"/>
      <w:bookmarkStart w:id="107" w:name="_Toc79163637"/>
      <w:r>
        <w:rPr>
          <w:rFonts w:hint="default" w:ascii="Times New Roman" w:hAnsi="Times New Roman" w:eastAsia="仿宋_GB2312" w:cs="Times New Roman"/>
          <w:color w:val="000000"/>
          <w:sz w:val="32"/>
          <w:szCs w:val="32"/>
          <w:lang w:val="en-US" w:eastAsia="zh-CN"/>
        </w:rPr>
        <w:t>二、收入决算表</w:t>
      </w:r>
      <w:bookmarkEnd w:id="105"/>
      <w:bookmarkEnd w:id="106"/>
      <w:bookmarkEnd w:id="107"/>
    </w:p>
    <w:p w14:paraId="68B4EFC4">
      <w:pPr>
        <w:spacing w:line="600" w:lineRule="exact"/>
        <w:ind w:firstLine="640" w:firstLineChars="200"/>
        <w:rPr>
          <w:rFonts w:hint="default" w:ascii="Times New Roman" w:hAnsi="Times New Roman" w:eastAsia="仿宋_GB2312" w:cs="Times New Roman"/>
          <w:color w:val="000000"/>
          <w:sz w:val="32"/>
          <w:szCs w:val="32"/>
          <w:lang w:val="en-US" w:eastAsia="zh-CN"/>
        </w:rPr>
      </w:pPr>
      <w:bookmarkStart w:id="108" w:name="_Toc15396621"/>
      <w:bookmarkStart w:id="109" w:name="_Toc79163638"/>
      <w:bookmarkStart w:id="110" w:name="_Toc79163888"/>
      <w:r>
        <w:rPr>
          <w:rFonts w:hint="default" w:ascii="Times New Roman" w:hAnsi="Times New Roman" w:eastAsia="仿宋_GB2312" w:cs="Times New Roman"/>
          <w:color w:val="000000"/>
          <w:sz w:val="32"/>
          <w:szCs w:val="32"/>
          <w:lang w:val="en-US" w:eastAsia="zh-CN"/>
        </w:rPr>
        <w:t>三、支出决算表</w:t>
      </w:r>
      <w:bookmarkEnd w:id="108"/>
      <w:bookmarkEnd w:id="109"/>
      <w:bookmarkEnd w:id="110"/>
    </w:p>
    <w:p w14:paraId="52E131E7">
      <w:pPr>
        <w:spacing w:line="600" w:lineRule="exact"/>
        <w:ind w:firstLine="640" w:firstLineChars="200"/>
        <w:rPr>
          <w:rFonts w:hint="default" w:ascii="Times New Roman" w:hAnsi="Times New Roman" w:eastAsia="仿宋_GB2312" w:cs="Times New Roman"/>
          <w:color w:val="000000"/>
          <w:sz w:val="32"/>
          <w:szCs w:val="32"/>
          <w:lang w:val="en-US" w:eastAsia="zh-CN"/>
        </w:rPr>
      </w:pPr>
      <w:bookmarkStart w:id="111" w:name="_Toc79163639"/>
      <w:bookmarkStart w:id="112" w:name="_Toc79163889"/>
      <w:bookmarkStart w:id="113" w:name="_Toc15396622"/>
      <w:r>
        <w:rPr>
          <w:rFonts w:hint="default" w:ascii="Times New Roman" w:hAnsi="Times New Roman" w:eastAsia="仿宋_GB2312" w:cs="Times New Roman"/>
          <w:color w:val="000000"/>
          <w:sz w:val="32"/>
          <w:szCs w:val="32"/>
          <w:lang w:val="en-US" w:eastAsia="zh-CN"/>
        </w:rPr>
        <w:t>四、财政拨款收入支出决算总表</w:t>
      </w:r>
      <w:bookmarkEnd w:id="111"/>
      <w:bookmarkEnd w:id="112"/>
      <w:bookmarkEnd w:id="113"/>
    </w:p>
    <w:p w14:paraId="5E830834">
      <w:pPr>
        <w:spacing w:line="600" w:lineRule="exact"/>
        <w:ind w:firstLine="640" w:firstLineChars="200"/>
        <w:rPr>
          <w:rFonts w:hint="default" w:ascii="Times New Roman" w:hAnsi="Times New Roman" w:eastAsia="仿宋_GB2312" w:cs="Times New Roman"/>
          <w:color w:val="000000"/>
          <w:sz w:val="32"/>
          <w:szCs w:val="32"/>
          <w:lang w:val="en-US" w:eastAsia="zh-CN"/>
        </w:rPr>
      </w:pPr>
      <w:bookmarkStart w:id="114" w:name="_Toc15396623"/>
      <w:bookmarkStart w:id="115" w:name="_Toc79163640"/>
      <w:bookmarkStart w:id="116" w:name="_Toc79163890"/>
      <w:r>
        <w:rPr>
          <w:rFonts w:hint="default" w:ascii="Times New Roman" w:hAnsi="Times New Roman" w:eastAsia="仿宋_GB2312" w:cs="Times New Roman"/>
          <w:color w:val="000000"/>
          <w:sz w:val="32"/>
          <w:szCs w:val="32"/>
          <w:lang w:val="en-US" w:eastAsia="zh-CN"/>
        </w:rPr>
        <w:t>五、财政拨款支出决算明细表</w:t>
      </w:r>
      <w:bookmarkEnd w:id="114"/>
      <w:bookmarkEnd w:id="115"/>
      <w:bookmarkEnd w:id="116"/>
      <w:bookmarkStart w:id="117" w:name="_Toc15396624"/>
      <w:bookmarkStart w:id="138" w:name="_GoBack"/>
      <w:bookmarkEnd w:id="138"/>
    </w:p>
    <w:p w14:paraId="1959D49A">
      <w:pPr>
        <w:spacing w:line="600" w:lineRule="exact"/>
        <w:ind w:firstLine="640" w:firstLineChars="200"/>
        <w:rPr>
          <w:rFonts w:hint="default" w:ascii="Times New Roman" w:hAnsi="Times New Roman" w:eastAsia="仿宋_GB2312" w:cs="Times New Roman"/>
          <w:color w:val="000000"/>
          <w:sz w:val="32"/>
          <w:szCs w:val="32"/>
          <w:lang w:val="en-US" w:eastAsia="zh-CN"/>
        </w:rPr>
      </w:pPr>
      <w:bookmarkStart w:id="118" w:name="_Toc79163641"/>
      <w:bookmarkStart w:id="119" w:name="_Toc79163891"/>
      <w:r>
        <w:rPr>
          <w:rFonts w:hint="default" w:ascii="Times New Roman" w:hAnsi="Times New Roman" w:eastAsia="仿宋_GB2312" w:cs="Times New Roman"/>
          <w:color w:val="000000"/>
          <w:sz w:val="32"/>
          <w:szCs w:val="32"/>
          <w:lang w:val="en-US" w:eastAsia="zh-CN"/>
        </w:rPr>
        <w:t>六、一般公共预算财政拨款支出决算表</w:t>
      </w:r>
      <w:bookmarkEnd w:id="117"/>
      <w:bookmarkEnd w:id="118"/>
      <w:bookmarkEnd w:id="119"/>
    </w:p>
    <w:p w14:paraId="67D2334B">
      <w:pPr>
        <w:spacing w:line="600" w:lineRule="exact"/>
        <w:ind w:firstLine="640" w:firstLineChars="200"/>
        <w:rPr>
          <w:rFonts w:hint="default" w:ascii="Times New Roman" w:hAnsi="Times New Roman" w:eastAsia="仿宋_GB2312" w:cs="Times New Roman"/>
          <w:color w:val="000000"/>
          <w:sz w:val="32"/>
          <w:szCs w:val="32"/>
          <w:lang w:val="en-US" w:eastAsia="zh-CN"/>
        </w:rPr>
      </w:pPr>
      <w:bookmarkStart w:id="120" w:name="_Toc79163642"/>
      <w:bookmarkStart w:id="121" w:name="_Toc15396625"/>
      <w:bookmarkStart w:id="122" w:name="_Toc79163892"/>
      <w:r>
        <w:rPr>
          <w:rFonts w:hint="default" w:ascii="Times New Roman" w:hAnsi="Times New Roman" w:eastAsia="仿宋_GB2312" w:cs="Times New Roman"/>
          <w:color w:val="000000"/>
          <w:sz w:val="32"/>
          <w:szCs w:val="32"/>
          <w:lang w:val="en-US" w:eastAsia="zh-CN"/>
        </w:rPr>
        <w:t>七、一般公共预算财政拨款支出</w:t>
      </w:r>
      <w:bookmarkEnd w:id="120"/>
      <w:bookmarkEnd w:id="121"/>
      <w:bookmarkEnd w:id="122"/>
      <w:r>
        <w:rPr>
          <w:rFonts w:hint="default" w:ascii="Times New Roman" w:hAnsi="Times New Roman" w:eastAsia="仿宋_GB2312" w:cs="Times New Roman"/>
          <w:color w:val="000000"/>
          <w:sz w:val="32"/>
          <w:szCs w:val="32"/>
          <w:lang w:val="en-US" w:eastAsia="zh-CN"/>
        </w:rPr>
        <w:t>决算明细表</w:t>
      </w:r>
    </w:p>
    <w:p w14:paraId="52EBC2B2">
      <w:pPr>
        <w:spacing w:line="600" w:lineRule="exact"/>
        <w:ind w:firstLine="640" w:firstLineChars="200"/>
        <w:rPr>
          <w:rFonts w:hint="default" w:ascii="Times New Roman" w:hAnsi="Times New Roman" w:eastAsia="仿宋_GB2312" w:cs="Times New Roman"/>
          <w:color w:val="000000"/>
          <w:sz w:val="32"/>
          <w:szCs w:val="32"/>
          <w:lang w:val="en-US" w:eastAsia="zh-CN"/>
        </w:rPr>
      </w:pPr>
      <w:bookmarkStart w:id="123" w:name="_Toc79163893"/>
      <w:bookmarkStart w:id="124" w:name="_Toc79163643"/>
      <w:bookmarkStart w:id="125" w:name="_Toc15396626"/>
      <w:r>
        <w:rPr>
          <w:rFonts w:hint="default" w:ascii="Times New Roman" w:hAnsi="Times New Roman" w:eastAsia="仿宋_GB2312" w:cs="Times New Roman"/>
          <w:color w:val="000000"/>
          <w:sz w:val="32"/>
          <w:szCs w:val="32"/>
          <w:lang w:val="en-US" w:eastAsia="zh-CN"/>
        </w:rPr>
        <w:t>八、一般公共预算财政拨款基本支出</w:t>
      </w:r>
      <w:bookmarkEnd w:id="123"/>
      <w:bookmarkEnd w:id="124"/>
      <w:bookmarkEnd w:id="125"/>
      <w:r>
        <w:rPr>
          <w:rFonts w:hint="default" w:ascii="Times New Roman" w:hAnsi="Times New Roman" w:eastAsia="仿宋_GB2312" w:cs="Times New Roman"/>
          <w:color w:val="000000"/>
          <w:sz w:val="32"/>
          <w:szCs w:val="32"/>
          <w:lang w:val="en-US" w:eastAsia="zh-CN"/>
        </w:rPr>
        <w:t>决算明细表</w:t>
      </w:r>
    </w:p>
    <w:p w14:paraId="06F8A02A">
      <w:pPr>
        <w:spacing w:line="600" w:lineRule="exact"/>
        <w:ind w:firstLine="640" w:firstLineChars="200"/>
        <w:rPr>
          <w:rFonts w:hint="default" w:ascii="Times New Roman" w:hAnsi="Times New Roman" w:eastAsia="仿宋_GB2312" w:cs="Times New Roman"/>
          <w:color w:val="000000"/>
          <w:sz w:val="32"/>
          <w:szCs w:val="32"/>
          <w:lang w:val="en-US" w:eastAsia="zh-CN"/>
        </w:rPr>
      </w:pPr>
      <w:bookmarkStart w:id="126" w:name="_Toc15396627"/>
      <w:bookmarkStart w:id="127" w:name="_Toc79163644"/>
      <w:bookmarkStart w:id="128" w:name="_Toc79163894"/>
      <w:r>
        <w:rPr>
          <w:rFonts w:hint="default" w:ascii="Times New Roman" w:hAnsi="Times New Roman" w:eastAsia="仿宋_GB2312" w:cs="Times New Roman"/>
          <w:color w:val="000000"/>
          <w:sz w:val="32"/>
          <w:szCs w:val="32"/>
          <w:lang w:val="en-US" w:eastAsia="zh-CN"/>
        </w:rPr>
        <w:t>九、一般公共预算财政拨款项目支出决算</w:t>
      </w:r>
      <w:bookmarkEnd w:id="126"/>
      <w:bookmarkEnd w:id="127"/>
      <w:bookmarkEnd w:id="128"/>
      <w:r>
        <w:rPr>
          <w:rFonts w:hint="default" w:ascii="Times New Roman" w:hAnsi="Times New Roman" w:eastAsia="仿宋_GB2312" w:cs="Times New Roman"/>
          <w:color w:val="000000"/>
          <w:sz w:val="32"/>
          <w:szCs w:val="32"/>
          <w:lang w:val="en-US" w:eastAsia="zh-CN"/>
        </w:rPr>
        <w:t>表</w:t>
      </w:r>
    </w:p>
    <w:p w14:paraId="0347DCA0">
      <w:pPr>
        <w:spacing w:line="60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十、</w:t>
      </w:r>
      <w:bookmarkStart w:id="129" w:name="_Toc79163646"/>
      <w:bookmarkStart w:id="130" w:name="_Toc15396629"/>
      <w:bookmarkStart w:id="131" w:name="_Toc79163896"/>
      <w:r>
        <w:rPr>
          <w:rFonts w:hint="default" w:ascii="Times New Roman" w:hAnsi="Times New Roman" w:eastAsia="仿宋_GB2312" w:cs="Times New Roman"/>
          <w:color w:val="000000"/>
          <w:sz w:val="32"/>
          <w:szCs w:val="32"/>
          <w:lang w:val="en-US" w:eastAsia="zh-CN"/>
        </w:rPr>
        <w:t>政府性基金预算财政拨款收入支出决算表</w:t>
      </w:r>
      <w:bookmarkEnd w:id="129"/>
      <w:bookmarkEnd w:id="130"/>
      <w:bookmarkEnd w:id="131"/>
    </w:p>
    <w:p w14:paraId="0FE8A1A8">
      <w:pPr>
        <w:spacing w:line="600" w:lineRule="exact"/>
        <w:ind w:firstLine="640" w:firstLineChars="200"/>
        <w:rPr>
          <w:rFonts w:hint="default" w:ascii="Times New Roman" w:hAnsi="Times New Roman" w:eastAsia="仿宋_GB2312" w:cs="Times New Roman"/>
          <w:color w:val="000000"/>
          <w:sz w:val="32"/>
          <w:szCs w:val="32"/>
          <w:lang w:val="en-US" w:eastAsia="zh-CN"/>
        </w:rPr>
      </w:pPr>
      <w:bookmarkStart w:id="132" w:name="_Toc15396628"/>
      <w:bookmarkStart w:id="133" w:name="_Toc79163645"/>
      <w:bookmarkStart w:id="134" w:name="_Toc79163895"/>
      <w:r>
        <w:rPr>
          <w:rFonts w:hint="default" w:ascii="Times New Roman" w:hAnsi="Times New Roman" w:eastAsia="仿宋_GB2312" w:cs="Times New Roman"/>
          <w:color w:val="000000"/>
          <w:sz w:val="32"/>
          <w:szCs w:val="32"/>
          <w:lang w:val="en-US" w:eastAsia="zh-CN"/>
        </w:rPr>
        <w:t>十一、</w:t>
      </w:r>
      <w:bookmarkEnd w:id="132"/>
      <w:bookmarkEnd w:id="133"/>
      <w:bookmarkEnd w:id="134"/>
      <w:r>
        <w:rPr>
          <w:rFonts w:hint="default" w:ascii="Times New Roman" w:hAnsi="Times New Roman" w:eastAsia="仿宋_GB2312" w:cs="Times New Roman"/>
          <w:color w:val="000000"/>
          <w:sz w:val="32"/>
          <w:szCs w:val="32"/>
          <w:lang w:val="en-US" w:eastAsia="zh-CN"/>
        </w:rPr>
        <w:t>国有资本经营预算财政拨款收入支出决算表</w:t>
      </w:r>
    </w:p>
    <w:p w14:paraId="359944E0">
      <w:pPr>
        <w:spacing w:line="60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十二、国有资本经营预算财政拨款支出决算表</w:t>
      </w:r>
    </w:p>
    <w:p w14:paraId="769D5DF1">
      <w:pPr>
        <w:spacing w:line="600" w:lineRule="exact"/>
        <w:ind w:firstLine="640" w:firstLineChars="200"/>
        <w:rPr>
          <w:rFonts w:hint="default" w:ascii="Times New Roman" w:hAnsi="Times New Roman" w:eastAsia="仿宋_GB2312" w:cs="Times New Roman"/>
          <w:color w:val="000000"/>
          <w:sz w:val="32"/>
          <w:szCs w:val="32"/>
          <w:lang w:eastAsia="zh-CN"/>
        </w:rPr>
      </w:pPr>
      <w:bookmarkStart w:id="135" w:name="_Toc79163647"/>
      <w:bookmarkStart w:id="136" w:name="_Toc79163897"/>
      <w:bookmarkStart w:id="137" w:name="_Toc15396630"/>
      <w:r>
        <w:rPr>
          <w:rFonts w:hint="default" w:ascii="Times New Roman" w:hAnsi="Times New Roman" w:eastAsia="仿宋_GB2312" w:cs="Times New Roman"/>
          <w:color w:val="000000"/>
          <w:sz w:val="32"/>
          <w:szCs w:val="32"/>
          <w:lang w:val="en-US" w:eastAsia="zh-CN"/>
        </w:rPr>
        <w:t>十三、</w:t>
      </w:r>
      <w:bookmarkEnd w:id="135"/>
      <w:bookmarkEnd w:id="136"/>
      <w:bookmarkEnd w:id="137"/>
      <w:r>
        <w:rPr>
          <w:rFonts w:hint="default" w:ascii="Times New Roman" w:hAnsi="Times New Roman" w:eastAsia="仿宋_GB2312" w:cs="Times New Roman"/>
          <w:color w:val="000000"/>
          <w:sz w:val="32"/>
          <w:szCs w:val="32"/>
          <w:lang w:val="en-US" w:eastAsia="zh-CN"/>
        </w:rPr>
        <w:t>财政拨款“三公”经费支出决算表</w:t>
      </w:r>
    </w:p>
    <w:sectPr>
      <w:headerReference r:id="rId3" w:type="default"/>
      <w:footerReference r:id="rId4" w:type="default"/>
      <w:pgSz w:w="11906" w:h="16838"/>
      <w:pgMar w:top="1440" w:right="1689" w:bottom="1440" w:left="1746"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
    <w:altName w:val="Times New Roman"/>
    <w:panose1 w:val="00000000000000000000"/>
    <w:charset w:val="00"/>
    <w:family w:val="roman"/>
    <w:pitch w:val="default"/>
    <w:sig w:usb0="00000000" w:usb1="00000000" w:usb2="00000000" w:usb3="00000000" w:csb0="00040001" w:csb1="00000000"/>
  </w:font>
  <w:font w:name="方正小标宋简体">
    <w:altName w:val="方正舒体"/>
    <w:panose1 w:val="02010601030101010101"/>
    <w:charset w:val="86"/>
    <w:family w:val="roman"/>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AF8E1">
    <w:pPr>
      <w:pStyle w:val="16"/>
      <w:jc w:val="center"/>
    </w:pPr>
    <w:r>
      <w:fldChar w:fldCharType="begin"/>
    </w:r>
    <w:r>
      <w:instrText xml:space="preserve">PAGE   \* MERGEFORMAT</w:instrText>
    </w:r>
    <w:r>
      <w:fldChar w:fldCharType="separate"/>
    </w:r>
    <w:r>
      <w:rPr>
        <w:lang w:val="zh-CN"/>
      </w:rPr>
      <w:t>4</w:t>
    </w:r>
    <w:r>
      <w:rPr>
        <w:lang w:val="zh-CN"/>
      </w:rPr>
      <w:fldChar w:fldCharType="end"/>
    </w:r>
  </w:p>
  <w:p w14:paraId="3EA6D7D8">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1E720">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1">
    <w:nsid w:val="E2FA047D"/>
    <w:multiLevelType w:val="singleLevel"/>
    <w:tmpl w:val="E2FA047D"/>
    <w:lvl w:ilvl="0" w:tentative="0">
      <w:start w:val="3"/>
      <w:numFmt w:val="chineseCounting"/>
      <w:suff w:val="space"/>
      <w:lvlText w:val="第%1部分"/>
      <w:lvlJc w:val="left"/>
      <w:rPr>
        <w:rFonts w:hint="eastAsia"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zMTNhNGI1NDgzY2U3NzYzZGQ4Yzk0ZmRmODRkZjYifQ=="/>
  </w:docVars>
  <w:rsids>
    <w:rsidRoot w:val="00F1361C"/>
    <w:rsid w:val="000025D3"/>
    <w:rsid w:val="000222C6"/>
    <w:rsid w:val="0002549F"/>
    <w:rsid w:val="00045C0C"/>
    <w:rsid w:val="000468DB"/>
    <w:rsid w:val="00055FCA"/>
    <w:rsid w:val="00062ECE"/>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3DF6"/>
    <w:rsid w:val="000E59A2"/>
    <w:rsid w:val="000E6613"/>
    <w:rsid w:val="000E7119"/>
    <w:rsid w:val="000F2833"/>
    <w:rsid w:val="001135DB"/>
    <w:rsid w:val="00114E9B"/>
    <w:rsid w:val="00115301"/>
    <w:rsid w:val="001319E1"/>
    <w:rsid w:val="00142216"/>
    <w:rsid w:val="00144D6A"/>
    <w:rsid w:val="0014729F"/>
    <w:rsid w:val="001523FE"/>
    <w:rsid w:val="00157BAB"/>
    <w:rsid w:val="001654D1"/>
    <w:rsid w:val="00174518"/>
    <w:rsid w:val="0018106D"/>
    <w:rsid w:val="001877A7"/>
    <w:rsid w:val="00191536"/>
    <w:rsid w:val="00196687"/>
    <w:rsid w:val="001A5DBF"/>
    <w:rsid w:val="001C0962"/>
    <w:rsid w:val="001C50BB"/>
    <w:rsid w:val="001D6C03"/>
    <w:rsid w:val="001D7531"/>
    <w:rsid w:val="001E737D"/>
    <w:rsid w:val="001F0592"/>
    <w:rsid w:val="001F7506"/>
    <w:rsid w:val="002006CD"/>
    <w:rsid w:val="00202B36"/>
    <w:rsid w:val="00204B7A"/>
    <w:rsid w:val="00204CDE"/>
    <w:rsid w:val="0021101A"/>
    <w:rsid w:val="00220536"/>
    <w:rsid w:val="00227085"/>
    <w:rsid w:val="00235629"/>
    <w:rsid w:val="00250CFB"/>
    <w:rsid w:val="00256262"/>
    <w:rsid w:val="00260C38"/>
    <w:rsid w:val="002616C0"/>
    <w:rsid w:val="00265372"/>
    <w:rsid w:val="002662AA"/>
    <w:rsid w:val="0027224D"/>
    <w:rsid w:val="00280496"/>
    <w:rsid w:val="00294DC9"/>
    <w:rsid w:val="00295495"/>
    <w:rsid w:val="002A31DE"/>
    <w:rsid w:val="002B2613"/>
    <w:rsid w:val="002B2FF7"/>
    <w:rsid w:val="002D6D05"/>
    <w:rsid w:val="002F1818"/>
    <w:rsid w:val="002F567B"/>
    <w:rsid w:val="00300F65"/>
    <w:rsid w:val="003207E6"/>
    <w:rsid w:val="003216A9"/>
    <w:rsid w:val="00335A74"/>
    <w:rsid w:val="00335EC1"/>
    <w:rsid w:val="00353CBB"/>
    <w:rsid w:val="003545C0"/>
    <w:rsid w:val="00357113"/>
    <w:rsid w:val="0036561B"/>
    <w:rsid w:val="0037013F"/>
    <w:rsid w:val="00380C92"/>
    <w:rsid w:val="00381B3D"/>
    <w:rsid w:val="003A484F"/>
    <w:rsid w:val="003A4883"/>
    <w:rsid w:val="003B0BE0"/>
    <w:rsid w:val="003B0C1B"/>
    <w:rsid w:val="003B688C"/>
    <w:rsid w:val="003C0291"/>
    <w:rsid w:val="003C39AE"/>
    <w:rsid w:val="003C7B60"/>
    <w:rsid w:val="003D0C0F"/>
    <w:rsid w:val="003D1FB2"/>
    <w:rsid w:val="003D66DA"/>
    <w:rsid w:val="003E1310"/>
    <w:rsid w:val="003E1BF6"/>
    <w:rsid w:val="003E6F55"/>
    <w:rsid w:val="003E6FE4"/>
    <w:rsid w:val="003E70DD"/>
    <w:rsid w:val="00406254"/>
    <w:rsid w:val="004223DE"/>
    <w:rsid w:val="00434489"/>
    <w:rsid w:val="00437085"/>
    <w:rsid w:val="00443880"/>
    <w:rsid w:val="00445607"/>
    <w:rsid w:val="004464F4"/>
    <w:rsid w:val="00471401"/>
    <w:rsid w:val="00473F31"/>
    <w:rsid w:val="0048263A"/>
    <w:rsid w:val="00487E5D"/>
    <w:rsid w:val="0049730A"/>
    <w:rsid w:val="004A181D"/>
    <w:rsid w:val="004A711F"/>
    <w:rsid w:val="004B199D"/>
    <w:rsid w:val="004B4690"/>
    <w:rsid w:val="004D5479"/>
    <w:rsid w:val="004E0A2D"/>
    <w:rsid w:val="004E1D4E"/>
    <w:rsid w:val="004E206B"/>
    <w:rsid w:val="004E6DF7"/>
    <w:rsid w:val="004F0FBD"/>
    <w:rsid w:val="00505A47"/>
    <w:rsid w:val="00512FDA"/>
    <w:rsid w:val="00520DA0"/>
    <w:rsid w:val="005269A7"/>
    <w:rsid w:val="005269D7"/>
    <w:rsid w:val="00556D91"/>
    <w:rsid w:val="005664BB"/>
    <w:rsid w:val="00566FFA"/>
    <w:rsid w:val="0057481D"/>
    <w:rsid w:val="0058486E"/>
    <w:rsid w:val="00585B33"/>
    <w:rsid w:val="0059014D"/>
    <w:rsid w:val="00595602"/>
    <w:rsid w:val="005B5C64"/>
    <w:rsid w:val="005C5337"/>
    <w:rsid w:val="005C6BD0"/>
    <w:rsid w:val="005D1C8B"/>
    <w:rsid w:val="005D468D"/>
    <w:rsid w:val="005D5CED"/>
    <w:rsid w:val="005D6DAF"/>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23BB"/>
    <w:rsid w:val="006748A4"/>
    <w:rsid w:val="00681A31"/>
    <w:rsid w:val="00683E73"/>
    <w:rsid w:val="00687736"/>
    <w:rsid w:val="00692936"/>
    <w:rsid w:val="006A3141"/>
    <w:rsid w:val="006A5E34"/>
    <w:rsid w:val="006B2422"/>
    <w:rsid w:val="006B2B9A"/>
    <w:rsid w:val="006C1937"/>
    <w:rsid w:val="006E65E7"/>
    <w:rsid w:val="006F020C"/>
    <w:rsid w:val="007127B7"/>
    <w:rsid w:val="0071798E"/>
    <w:rsid w:val="007416B6"/>
    <w:rsid w:val="0074202C"/>
    <w:rsid w:val="00746CA0"/>
    <w:rsid w:val="00746F48"/>
    <w:rsid w:val="0075185F"/>
    <w:rsid w:val="0075404D"/>
    <w:rsid w:val="0076182A"/>
    <w:rsid w:val="00767B7E"/>
    <w:rsid w:val="00775C8A"/>
    <w:rsid w:val="007770C3"/>
    <w:rsid w:val="00784D24"/>
    <w:rsid w:val="00785FBA"/>
    <w:rsid w:val="00786E4A"/>
    <w:rsid w:val="007875EB"/>
    <w:rsid w:val="0079426B"/>
    <w:rsid w:val="007C1BD2"/>
    <w:rsid w:val="007D1682"/>
    <w:rsid w:val="007D312A"/>
    <w:rsid w:val="007D3F19"/>
    <w:rsid w:val="007E23B0"/>
    <w:rsid w:val="007E23E5"/>
    <w:rsid w:val="007E6948"/>
    <w:rsid w:val="007F1991"/>
    <w:rsid w:val="007F2C2F"/>
    <w:rsid w:val="007F55FC"/>
    <w:rsid w:val="007F5665"/>
    <w:rsid w:val="00800112"/>
    <w:rsid w:val="00813348"/>
    <w:rsid w:val="008253BB"/>
    <w:rsid w:val="0082636F"/>
    <w:rsid w:val="00830662"/>
    <w:rsid w:val="0083706E"/>
    <w:rsid w:val="008408F6"/>
    <w:rsid w:val="008423A5"/>
    <w:rsid w:val="00850625"/>
    <w:rsid w:val="008513A4"/>
    <w:rsid w:val="008514FC"/>
    <w:rsid w:val="00853718"/>
    <w:rsid w:val="00855221"/>
    <w:rsid w:val="00860645"/>
    <w:rsid w:val="00871F71"/>
    <w:rsid w:val="00872FD8"/>
    <w:rsid w:val="00885AF4"/>
    <w:rsid w:val="00892977"/>
    <w:rsid w:val="008939CD"/>
    <w:rsid w:val="008A76A4"/>
    <w:rsid w:val="008B768C"/>
    <w:rsid w:val="008C4DB1"/>
    <w:rsid w:val="008C4EAF"/>
    <w:rsid w:val="008C5176"/>
    <w:rsid w:val="008C7FD0"/>
    <w:rsid w:val="008E075C"/>
    <w:rsid w:val="008E1DE7"/>
    <w:rsid w:val="008E707C"/>
    <w:rsid w:val="008E7115"/>
    <w:rsid w:val="00900B08"/>
    <w:rsid w:val="00902155"/>
    <w:rsid w:val="00902FA3"/>
    <w:rsid w:val="00911E11"/>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76839"/>
    <w:rsid w:val="0098660A"/>
    <w:rsid w:val="009931C3"/>
    <w:rsid w:val="009B2C43"/>
    <w:rsid w:val="009B4EAE"/>
    <w:rsid w:val="009B7573"/>
    <w:rsid w:val="009C22F4"/>
    <w:rsid w:val="009C2A4B"/>
    <w:rsid w:val="009C2E98"/>
    <w:rsid w:val="009D3447"/>
    <w:rsid w:val="009D4711"/>
    <w:rsid w:val="009D62B9"/>
    <w:rsid w:val="009E41A5"/>
    <w:rsid w:val="009F06DE"/>
    <w:rsid w:val="009F1185"/>
    <w:rsid w:val="009F18CD"/>
    <w:rsid w:val="009F2A13"/>
    <w:rsid w:val="009F7527"/>
    <w:rsid w:val="00A04EB0"/>
    <w:rsid w:val="00A07A90"/>
    <w:rsid w:val="00A100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3F0"/>
    <w:rsid w:val="00A91760"/>
    <w:rsid w:val="00A93B00"/>
    <w:rsid w:val="00A93C21"/>
    <w:rsid w:val="00AB64C9"/>
    <w:rsid w:val="00AC0C7A"/>
    <w:rsid w:val="00AC3C6A"/>
    <w:rsid w:val="00AD5620"/>
    <w:rsid w:val="00AD656B"/>
    <w:rsid w:val="00AD7C1B"/>
    <w:rsid w:val="00AE16BA"/>
    <w:rsid w:val="00AE1EBE"/>
    <w:rsid w:val="00AE362C"/>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84BB6"/>
    <w:rsid w:val="00B90E4E"/>
    <w:rsid w:val="00B944D6"/>
    <w:rsid w:val="00B965DC"/>
    <w:rsid w:val="00BB4DF0"/>
    <w:rsid w:val="00BC289F"/>
    <w:rsid w:val="00BC2D50"/>
    <w:rsid w:val="00BC5361"/>
    <w:rsid w:val="00BC5460"/>
    <w:rsid w:val="00BC6B50"/>
    <w:rsid w:val="00BC6E6F"/>
    <w:rsid w:val="00BD0E25"/>
    <w:rsid w:val="00BF5BD6"/>
    <w:rsid w:val="00C03E31"/>
    <w:rsid w:val="00C33E72"/>
    <w:rsid w:val="00C354B2"/>
    <w:rsid w:val="00C35554"/>
    <w:rsid w:val="00C42709"/>
    <w:rsid w:val="00C533CC"/>
    <w:rsid w:val="00C5751C"/>
    <w:rsid w:val="00C6067F"/>
    <w:rsid w:val="00C61BFC"/>
    <w:rsid w:val="00C62B85"/>
    <w:rsid w:val="00C65438"/>
    <w:rsid w:val="00C6592C"/>
    <w:rsid w:val="00C777E8"/>
    <w:rsid w:val="00C87FD8"/>
    <w:rsid w:val="00C91381"/>
    <w:rsid w:val="00C91CBB"/>
    <w:rsid w:val="00CA57BA"/>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55482"/>
    <w:rsid w:val="00D7035F"/>
    <w:rsid w:val="00DA26BE"/>
    <w:rsid w:val="00DA634F"/>
    <w:rsid w:val="00DA65AC"/>
    <w:rsid w:val="00DB1913"/>
    <w:rsid w:val="00DC410D"/>
    <w:rsid w:val="00DC5A81"/>
    <w:rsid w:val="00DC68CA"/>
    <w:rsid w:val="00DC74B0"/>
    <w:rsid w:val="00DC7CBA"/>
    <w:rsid w:val="00DD73B7"/>
    <w:rsid w:val="00DE1264"/>
    <w:rsid w:val="00DF28BC"/>
    <w:rsid w:val="00DF34B9"/>
    <w:rsid w:val="00DF3C5F"/>
    <w:rsid w:val="00E01053"/>
    <w:rsid w:val="00E07ACF"/>
    <w:rsid w:val="00E133B7"/>
    <w:rsid w:val="00E1753C"/>
    <w:rsid w:val="00E32CAD"/>
    <w:rsid w:val="00E331A1"/>
    <w:rsid w:val="00E33202"/>
    <w:rsid w:val="00E336A9"/>
    <w:rsid w:val="00E472B1"/>
    <w:rsid w:val="00E50624"/>
    <w:rsid w:val="00E568DF"/>
    <w:rsid w:val="00E64269"/>
    <w:rsid w:val="00E70975"/>
    <w:rsid w:val="00E72CEB"/>
    <w:rsid w:val="00E82267"/>
    <w:rsid w:val="00E84C18"/>
    <w:rsid w:val="00E853CE"/>
    <w:rsid w:val="00E867B6"/>
    <w:rsid w:val="00EA010F"/>
    <w:rsid w:val="00EA70AD"/>
    <w:rsid w:val="00ED1B63"/>
    <w:rsid w:val="00ED3C1F"/>
    <w:rsid w:val="00ED4085"/>
    <w:rsid w:val="00ED420E"/>
    <w:rsid w:val="00ED6FBE"/>
    <w:rsid w:val="00EE0E1D"/>
    <w:rsid w:val="00EE2F57"/>
    <w:rsid w:val="00EF4C34"/>
    <w:rsid w:val="00EF60EF"/>
    <w:rsid w:val="00EF77C6"/>
    <w:rsid w:val="00F05438"/>
    <w:rsid w:val="00F1361C"/>
    <w:rsid w:val="00F156F0"/>
    <w:rsid w:val="00F160C7"/>
    <w:rsid w:val="00F2408F"/>
    <w:rsid w:val="00F240E9"/>
    <w:rsid w:val="00F36D8F"/>
    <w:rsid w:val="00F37E22"/>
    <w:rsid w:val="00F417B1"/>
    <w:rsid w:val="00F45853"/>
    <w:rsid w:val="00F55956"/>
    <w:rsid w:val="00F602DF"/>
    <w:rsid w:val="00F67211"/>
    <w:rsid w:val="00F754A1"/>
    <w:rsid w:val="00F80B5C"/>
    <w:rsid w:val="00F81FD9"/>
    <w:rsid w:val="00F841AA"/>
    <w:rsid w:val="00F84A94"/>
    <w:rsid w:val="00F87E96"/>
    <w:rsid w:val="00F95719"/>
    <w:rsid w:val="00FA23E8"/>
    <w:rsid w:val="00FD3CC1"/>
    <w:rsid w:val="00FF1E02"/>
    <w:rsid w:val="00FF30B4"/>
    <w:rsid w:val="02D26DA3"/>
    <w:rsid w:val="03074547"/>
    <w:rsid w:val="03544252"/>
    <w:rsid w:val="0482531D"/>
    <w:rsid w:val="04DE084C"/>
    <w:rsid w:val="050671D8"/>
    <w:rsid w:val="0518659F"/>
    <w:rsid w:val="08191038"/>
    <w:rsid w:val="089672D2"/>
    <w:rsid w:val="096F33BD"/>
    <w:rsid w:val="09D37802"/>
    <w:rsid w:val="09FC7E0D"/>
    <w:rsid w:val="0A2032A3"/>
    <w:rsid w:val="0B7368FC"/>
    <w:rsid w:val="0B7D3076"/>
    <w:rsid w:val="0B8F79D4"/>
    <w:rsid w:val="0BCC272F"/>
    <w:rsid w:val="0C395F49"/>
    <w:rsid w:val="0D0116D0"/>
    <w:rsid w:val="0DDE09BF"/>
    <w:rsid w:val="0DE453A5"/>
    <w:rsid w:val="0E12244E"/>
    <w:rsid w:val="0F5E473F"/>
    <w:rsid w:val="0FCC570D"/>
    <w:rsid w:val="101958FA"/>
    <w:rsid w:val="10C055FF"/>
    <w:rsid w:val="118107EC"/>
    <w:rsid w:val="1298565A"/>
    <w:rsid w:val="13840CF6"/>
    <w:rsid w:val="145357AB"/>
    <w:rsid w:val="14C05E21"/>
    <w:rsid w:val="152B4878"/>
    <w:rsid w:val="156055EB"/>
    <w:rsid w:val="161F48BF"/>
    <w:rsid w:val="164E20E0"/>
    <w:rsid w:val="16BB723D"/>
    <w:rsid w:val="18096704"/>
    <w:rsid w:val="19163526"/>
    <w:rsid w:val="19CF615F"/>
    <w:rsid w:val="1B3C4BC5"/>
    <w:rsid w:val="1BA721E6"/>
    <w:rsid w:val="1BA80096"/>
    <w:rsid w:val="1C1D2D8C"/>
    <w:rsid w:val="1CA7421D"/>
    <w:rsid w:val="1CDA2B3F"/>
    <w:rsid w:val="1D155CEE"/>
    <w:rsid w:val="1D996245"/>
    <w:rsid w:val="1E2B474F"/>
    <w:rsid w:val="20176EB7"/>
    <w:rsid w:val="2032334E"/>
    <w:rsid w:val="209115EF"/>
    <w:rsid w:val="215E41A5"/>
    <w:rsid w:val="240371BF"/>
    <w:rsid w:val="243A1C5B"/>
    <w:rsid w:val="24865FCE"/>
    <w:rsid w:val="252600C3"/>
    <w:rsid w:val="256C0D8A"/>
    <w:rsid w:val="26350463"/>
    <w:rsid w:val="26CB6196"/>
    <w:rsid w:val="271866CB"/>
    <w:rsid w:val="274E6044"/>
    <w:rsid w:val="27E616CD"/>
    <w:rsid w:val="280276BA"/>
    <w:rsid w:val="285C5EE3"/>
    <w:rsid w:val="28D53D23"/>
    <w:rsid w:val="29FD04D3"/>
    <w:rsid w:val="2B0731DF"/>
    <w:rsid w:val="2B181E4B"/>
    <w:rsid w:val="2BB1749B"/>
    <w:rsid w:val="2C574E18"/>
    <w:rsid w:val="2CC61A6F"/>
    <w:rsid w:val="2DE905B3"/>
    <w:rsid w:val="2E023E21"/>
    <w:rsid w:val="2E814A53"/>
    <w:rsid w:val="2EA300B9"/>
    <w:rsid w:val="2EE54F6B"/>
    <w:rsid w:val="30BC4C8B"/>
    <w:rsid w:val="30C715C5"/>
    <w:rsid w:val="314E2254"/>
    <w:rsid w:val="3177604A"/>
    <w:rsid w:val="319F7F4E"/>
    <w:rsid w:val="322B5232"/>
    <w:rsid w:val="322B61D8"/>
    <w:rsid w:val="33180F0C"/>
    <w:rsid w:val="35440633"/>
    <w:rsid w:val="366A5A42"/>
    <w:rsid w:val="36773EB3"/>
    <w:rsid w:val="376A3770"/>
    <w:rsid w:val="382E104B"/>
    <w:rsid w:val="391068E7"/>
    <w:rsid w:val="3A156F9A"/>
    <w:rsid w:val="3A7F5AB8"/>
    <w:rsid w:val="3B003499"/>
    <w:rsid w:val="3B777610"/>
    <w:rsid w:val="3C997092"/>
    <w:rsid w:val="3D884F88"/>
    <w:rsid w:val="3F5D6059"/>
    <w:rsid w:val="3FB252D5"/>
    <w:rsid w:val="401F0977"/>
    <w:rsid w:val="402257AD"/>
    <w:rsid w:val="40EC5A6B"/>
    <w:rsid w:val="41933D8D"/>
    <w:rsid w:val="41FF18C1"/>
    <w:rsid w:val="431D42AA"/>
    <w:rsid w:val="431D705B"/>
    <w:rsid w:val="43C970F3"/>
    <w:rsid w:val="4490163B"/>
    <w:rsid w:val="4532203E"/>
    <w:rsid w:val="47406FA6"/>
    <w:rsid w:val="481E61EC"/>
    <w:rsid w:val="487C4E25"/>
    <w:rsid w:val="49D036BB"/>
    <w:rsid w:val="4BEE253B"/>
    <w:rsid w:val="4D666CDC"/>
    <w:rsid w:val="4D8E25CA"/>
    <w:rsid w:val="4ECE2238"/>
    <w:rsid w:val="4EF7739F"/>
    <w:rsid w:val="4F263B4E"/>
    <w:rsid w:val="506A16C6"/>
    <w:rsid w:val="5138303C"/>
    <w:rsid w:val="517F614B"/>
    <w:rsid w:val="51B274A4"/>
    <w:rsid w:val="52271947"/>
    <w:rsid w:val="5255018C"/>
    <w:rsid w:val="529E19CF"/>
    <w:rsid w:val="535A6478"/>
    <w:rsid w:val="53D52BFF"/>
    <w:rsid w:val="540D4E01"/>
    <w:rsid w:val="541C2DB0"/>
    <w:rsid w:val="5480390D"/>
    <w:rsid w:val="548C0C21"/>
    <w:rsid w:val="55616300"/>
    <w:rsid w:val="563128D5"/>
    <w:rsid w:val="58627651"/>
    <w:rsid w:val="58C90012"/>
    <w:rsid w:val="59326C52"/>
    <w:rsid w:val="5B094ED8"/>
    <w:rsid w:val="5BF26DDE"/>
    <w:rsid w:val="5BFB6BED"/>
    <w:rsid w:val="5E501B47"/>
    <w:rsid w:val="5FFD034E"/>
    <w:rsid w:val="60D663E0"/>
    <w:rsid w:val="62256CD3"/>
    <w:rsid w:val="629D2986"/>
    <w:rsid w:val="63043B0F"/>
    <w:rsid w:val="64E45521"/>
    <w:rsid w:val="6556346D"/>
    <w:rsid w:val="6756781B"/>
    <w:rsid w:val="682E2020"/>
    <w:rsid w:val="685518B1"/>
    <w:rsid w:val="68995A49"/>
    <w:rsid w:val="69212F64"/>
    <w:rsid w:val="6942096B"/>
    <w:rsid w:val="6986455E"/>
    <w:rsid w:val="69C42264"/>
    <w:rsid w:val="6A734FB5"/>
    <w:rsid w:val="6AD40F03"/>
    <w:rsid w:val="6B7369F1"/>
    <w:rsid w:val="6C4A05C8"/>
    <w:rsid w:val="6CA95C31"/>
    <w:rsid w:val="6CDF2E0F"/>
    <w:rsid w:val="6D273BAE"/>
    <w:rsid w:val="6D440686"/>
    <w:rsid w:val="6D7B0B55"/>
    <w:rsid w:val="6DBC51B7"/>
    <w:rsid w:val="6FE67CAC"/>
    <w:rsid w:val="70E15C36"/>
    <w:rsid w:val="726A3BE1"/>
    <w:rsid w:val="72734D90"/>
    <w:rsid w:val="72DB78F2"/>
    <w:rsid w:val="74262C8B"/>
    <w:rsid w:val="742A7B22"/>
    <w:rsid w:val="7435005F"/>
    <w:rsid w:val="76222297"/>
    <w:rsid w:val="76B83D65"/>
    <w:rsid w:val="77145B38"/>
    <w:rsid w:val="780A2D7F"/>
    <w:rsid w:val="78443DC6"/>
    <w:rsid w:val="78E45022"/>
    <w:rsid w:val="79F43EFB"/>
    <w:rsid w:val="79F75BC4"/>
    <w:rsid w:val="7CD024BB"/>
    <w:rsid w:val="7DCF1A4F"/>
    <w:rsid w:val="7DEE3C81"/>
    <w:rsid w:val="7E0F6C4C"/>
    <w:rsid w:val="7E4E2153"/>
    <w:rsid w:val="7EFD0CA2"/>
    <w:rsid w:val="7FCA3E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31"/>
    <w:qFormat/>
    <w:uiPriority w:val="9"/>
    <w:pPr>
      <w:keepNext/>
      <w:keepLines/>
      <w:spacing w:before="260" w:after="260" w:line="416" w:lineRule="auto"/>
      <w:outlineLvl w:val="2"/>
    </w:pPr>
    <w:rPr>
      <w:b/>
      <w:bCs/>
      <w:sz w:val="32"/>
      <w:szCs w:val="32"/>
    </w:rPr>
  </w:style>
  <w:style w:type="character" w:default="1" w:styleId="25">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qFormat/>
    <w:uiPriority w:val="0"/>
  </w:style>
  <w:style w:type="paragraph" w:styleId="6">
    <w:name w:val="toc 7"/>
    <w:basedOn w:val="1"/>
    <w:next w:val="1"/>
    <w:unhideWhenUsed/>
    <w:qFormat/>
    <w:uiPriority w:val="39"/>
    <w:pPr>
      <w:ind w:left="1260"/>
      <w:jc w:val="left"/>
    </w:pPr>
    <w:rPr>
      <w:rFonts w:asciiTheme="minorHAnsi" w:eastAsiaTheme="minorHAnsi"/>
      <w:sz w:val="18"/>
      <w:szCs w:val="18"/>
    </w:rPr>
  </w:style>
  <w:style w:type="paragraph" w:styleId="7">
    <w:name w:val="index 5"/>
    <w:basedOn w:val="1"/>
    <w:next w:val="1"/>
    <w:qFormat/>
    <w:uiPriority w:val="0"/>
    <w:pPr>
      <w:ind w:left="1680"/>
    </w:pPr>
  </w:style>
  <w:style w:type="paragraph" w:styleId="8">
    <w:name w:val="Body Text"/>
    <w:basedOn w:val="1"/>
    <w:link w:val="38"/>
    <w:qFormat/>
    <w:uiPriority w:val="99"/>
    <w:pPr>
      <w:spacing w:beforeLines="30"/>
    </w:pPr>
    <w:rPr>
      <w:rFonts w:ascii="仿宋_GB2312" w:eastAsia="仿宋_GB2312"/>
      <w:kern w:val="0"/>
      <w:sz w:val="24"/>
      <w:szCs w:val="20"/>
    </w:rPr>
  </w:style>
  <w:style w:type="paragraph" w:styleId="9">
    <w:name w:val="Body Text Indent"/>
    <w:basedOn w:val="1"/>
    <w:next w:val="10"/>
    <w:qFormat/>
    <w:uiPriority w:val="99"/>
    <w:pPr>
      <w:ind w:firstLine="1380"/>
    </w:pPr>
    <w:rPr>
      <w:rFonts w:ascii="Times New Roman" w:hAnsi="Times New Roman"/>
      <w:b/>
      <w:bCs/>
      <w:sz w:val="36"/>
    </w:rPr>
  </w:style>
  <w:style w:type="paragraph" w:styleId="10">
    <w:name w:val="Body Text First Indent 2"/>
    <w:basedOn w:val="9"/>
    <w:next w:val="11"/>
    <w:qFormat/>
    <w:uiPriority w:val="0"/>
    <w:pPr>
      <w:ind w:firstLine="200" w:firstLineChars="200"/>
    </w:pPr>
  </w:style>
  <w:style w:type="paragraph" w:styleId="11">
    <w:name w:val="Plain Text"/>
    <w:basedOn w:val="1"/>
    <w:next w:val="7"/>
    <w:qFormat/>
    <w:uiPriority w:val="0"/>
    <w:rPr>
      <w:rFonts w:ascii="宋体" w:hAnsi="Courier New" w:cs="Courier New"/>
      <w:szCs w:val="21"/>
    </w:rPr>
  </w:style>
  <w:style w:type="paragraph" w:styleId="12">
    <w:name w:val="toc 5"/>
    <w:basedOn w:val="1"/>
    <w:next w:val="1"/>
    <w:unhideWhenUsed/>
    <w:qFormat/>
    <w:uiPriority w:val="39"/>
    <w:pPr>
      <w:ind w:left="840"/>
      <w:jc w:val="left"/>
    </w:pPr>
    <w:rPr>
      <w:rFonts w:asciiTheme="minorHAnsi" w:eastAsiaTheme="minorHAnsi"/>
      <w:sz w:val="18"/>
      <w:szCs w:val="18"/>
    </w:rPr>
  </w:style>
  <w:style w:type="paragraph" w:styleId="13">
    <w:name w:val="toc 3"/>
    <w:basedOn w:val="1"/>
    <w:next w:val="1"/>
    <w:unhideWhenUsed/>
    <w:qFormat/>
    <w:uiPriority w:val="39"/>
    <w:pPr>
      <w:ind w:left="420"/>
      <w:jc w:val="left"/>
    </w:pPr>
    <w:rPr>
      <w:rFonts w:asciiTheme="minorHAnsi" w:eastAsiaTheme="minorHAnsi"/>
      <w:i/>
      <w:iCs/>
      <w:sz w:val="20"/>
      <w:szCs w:val="20"/>
    </w:rPr>
  </w:style>
  <w:style w:type="paragraph" w:styleId="14">
    <w:name w:val="toc 8"/>
    <w:basedOn w:val="1"/>
    <w:next w:val="1"/>
    <w:unhideWhenUsed/>
    <w:qFormat/>
    <w:uiPriority w:val="39"/>
    <w:pPr>
      <w:ind w:left="1470"/>
      <w:jc w:val="left"/>
    </w:pPr>
    <w:rPr>
      <w:rFonts w:asciiTheme="minorHAnsi" w:eastAsiaTheme="minorHAnsi"/>
      <w:sz w:val="18"/>
      <w:szCs w:val="18"/>
    </w:rPr>
  </w:style>
  <w:style w:type="paragraph" w:styleId="15">
    <w:name w:val="Balloon Text"/>
    <w:basedOn w:val="1"/>
    <w:link w:val="33"/>
    <w:semiHidden/>
    <w:unhideWhenUsed/>
    <w:qFormat/>
    <w:uiPriority w:val="99"/>
    <w:rPr>
      <w:sz w:val="18"/>
      <w:szCs w:val="18"/>
    </w:rPr>
  </w:style>
  <w:style w:type="paragraph" w:styleId="16">
    <w:name w:val="footer"/>
    <w:basedOn w:val="1"/>
    <w:link w:val="37"/>
    <w:qFormat/>
    <w:uiPriority w:val="99"/>
    <w:pPr>
      <w:tabs>
        <w:tab w:val="center" w:pos="4153"/>
        <w:tab w:val="right" w:pos="8306"/>
      </w:tabs>
      <w:snapToGrid w:val="0"/>
      <w:jc w:val="left"/>
    </w:pPr>
    <w:rPr>
      <w:rFonts w:ascii="Calibri" w:hAnsi="Calibri"/>
      <w:kern w:val="0"/>
      <w:sz w:val="18"/>
      <w:szCs w:val="20"/>
    </w:rPr>
  </w:style>
  <w:style w:type="paragraph" w:styleId="17">
    <w:name w:val="header"/>
    <w:basedOn w:val="1"/>
    <w:link w:val="36"/>
    <w:semiHidden/>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8">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9">
    <w:name w:val="toc 4"/>
    <w:basedOn w:val="1"/>
    <w:next w:val="1"/>
    <w:unhideWhenUsed/>
    <w:qFormat/>
    <w:uiPriority w:val="39"/>
    <w:pPr>
      <w:ind w:left="630"/>
      <w:jc w:val="left"/>
    </w:pPr>
    <w:rPr>
      <w:rFonts w:asciiTheme="minorHAnsi" w:eastAsiaTheme="minorHAnsi"/>
      <w:sz w:val="18"/>
      <w:szCs w:val="18"/>
    </w:rPr>
  </w:style>
  <w:style w:type="paragraph" w:styleId="20">
    <w:name w:val="toc 6"/>
    <w:basedOn w:val="1"/>
    <w:next w:val="1"/>
    <w:unhideWhenUsed/>
    <w:qFormat/>
    <w:uiPriority w:val="39"/>
    <w:pPr>
      <w:ind w:left="1050"/>
      <w:jc w:val="left"/>
    </w:pPr>
    <w:rPr>
      <w:rFonts w:asciiTheme="minorHAnsi" w:eastAsiaTheme="minorHAnsi"/>
      <w:sz w:val="18"/>
      <w:szCs w:val="18"/>
    </w:rPr>
  </w:style>
  <w:style w:type="paragraph" w:styleId="21">
    <w:name w:val="toc 2"/>
    <w:basedOn w:val="1"/>
    <w:next w:val="1"/>
    <w:unhideWhenUsed/>
    <w:qFormat/>
    <w:uiPriority w:val="39"/>
    <w:pPr>
      <w:ind w:left="210"/>
      <w:jc w:val="left"/>
    </w:pPr>
    <w:rPr>
      <w:rFonts w:asciiTheme="minorHAnsi" w:eastAsiaTheme="minorHAnsi"/>
      <w:smallCaps/>
      <w:sz w:val="20"/>
      <w:szCs w:val="20"/>
    </w:rPr>
  </w:style>
  <w:style w:type="paragraph" w:styleId="22">
    <w:name w:val="toc 9"/>
    <w:basedOn w:val="1"/>
    <w:next w:val="1"/>
    <w:unhideWhenUsed/>
    <w:qFormat/>
    <w:uiPriority w:val="39"/>
    <w:pPr>
      <w:ind w:left="1680"/>
      <w:jc w:val="left"/>
    </w:pPr>
    <w:rPr>
      <w:rFonts w:asciiTheme="minorHAnsi" w:eastAsiaTheme="minorHAnsi"/>
      <w:sz w:val="18"/>
      <w:szCs w:val="18"/>
    </w:rPr>
  </w:style>
  <w:style w:type="paragraph" w:styleId="23">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26">
    <w:name w:val="Strong"/>
    <w:basedOn w:val="25"/>
    <w:qFormat/>
    <w:uiPriority w:val="99"/>
    <w:rPr>
      <w:rFonts w:cs="Times New Roman"/>
      <w:b/>
    </w:rPr>
  </w:style>
  <w:style w:type="character" w:styleId="27">
    <w:name w:val="page number"/>
    <w:basedOn w:val="25"/>
    <w:qFormat/>
    <w:uiPriority w:val="0"/>
  </w:style>
  <w:style w:type="character" w:styleId="28">
    <w:name w:val="Hyperlink"/>
    <w:basedOn w:val="25"/>
    <w:unhideWhenUsed/>
    <w:qFormat/>
    <w:uiPriority w:val="99"/>
    <w:rPr>
      <w:rFonts w:cs="Times New Roman"/>
      <w:color w:val="0000FF"/>
      <w:u w:val="single"/>
    </w:rPr>
  </w:style>
  <w:style w:type="character" w:customStyle="1" w:styleId="29">
    <w:name w:val="标题 1 Char"/>
    <w:basedOn w:val="25"/>
    <w:link w:val="3"/>
    <w:qFormat/>
    <w:locked/>
    <w:uiPriority w:val="9"/>
    <w:rPr>
      <w:rFonts w:ascii="Times New Roman" w:hAnsi="Times New Roman" w:cs="Times New Roman"/>
      <w:b/>
      <w:bCs/>
      <w:kern w:val="44"/>
      <w:sz w:val="44"/>
      <w:szCs w:val="44"/>
    </w:rPr>
  </w:style>
  <w:style w:type="character" w:customStyle="1" w:styleId="30">
    <w:name w:val="标题 2 Char"/>
    <w:basedOn w:val="25"/>
    <w:link w:val="4"/>
    <w:qFormat/>
    <w:locked/>
    <w:uiPriority w:val="9"/>
    <w:rPr>
      <w:rFonts w:ascii="Cambria" w:hAnsi="Cambria" w:eastAsia="宋体" w:cs="Times New Roman"/>
      <w:b/>
      <w:bCs/>
      <w:kern w:val="2"/>
      <w:sz w:val="32"/>
      <w:szCs w:val="32"/>
    </w:rPr>
  </w:style>
  <w:style w:type="character" w:customStyle="1" w:styleId="31">
    <w:name w:val="标题 3 Char"/>
    <w:basedOn w:val="25"/>
    <w:link w:val="5"/>
    <w:qFormat/>
    <w:locked/>
    <w:uiPriority w:val="9"/>
    <w:rPr>
      <w:rFonts w:ascii="Times New Roman" w:hAnsi="Times New Roman" w:cs="Times New Roman"/>
      <w:b/>
      <w:bCs/>
      <w:kern w:val="2"/>
      <w:sz w:val="32"/>
      <w:szCs w:val="32"/>
    </w:rPr>
  </w:style>
  <w:style w:type="character" w:customStyle="1" w:styleId="32">
    <w:name w:val="Body Text Char"/>
    <w:basedOn w:val="25"/>
    <w:semiHidden/>
    <w:qFormat/>
    <w:uiPriority w:val="99"/>
    <w:rPr>
      <w:rFonts w:ascii="Times New Roman" w:hAnsi="Times New Roman" w:cs="Times New Roman"/>
      <w:sz w:val="24"/>
      <w:szCs w:val="24"/>
    </w:rPr>
  </w:style>
  <w:style w:type="character" w:customStyle="1" w:styleId="33">
    <w:name w:val="批注框文本 Char"/>
    <w:basedOn w:val="25"/>
    <w:link w:val="15"/>
    <w:semiHidden/>
    <w:qFormat/>
    <w:locked/>
    <w:uiPriority w:val="99"/>
    <w:rPr>
      <w:rFonts w:ascii="Times New Roman" w:hAnsi="Times New Roman" w:cs="Times New Roman"/>
      <w:kern w:val="2"/>
      <w:sz w:val="18"/>
      <w:szCs w:val="18"/>
    </w:rPr>
  </w:style>
  <w:style w:type="character" w:customStyle="1" w:styleId="34">
    <w:name w:val="Footer Char"/>
    <w:basedOn w:val="25"/>
    <w:semiHidden/>
    <w:qFormat/>
    <w:uiPriority w:val="99"/>
    <w:rPr>
      <w:rFonts w:ascii="Times New Roman" w:hAnsi="Times New Roman" w:cs="Times New Roman"/>
      <w:sz w:val="18"/>
      <w:szCs w:val="18"/>
    </w:rPr>
  </w:style>
  <w:style w:type="character" w:customStyle="1" w:styleId="35">
    <w:name w:val="Header Char"/>
    <w:basedOn w:val="25"/>
    <w:semiHidden/>
    <w:qFormat/>
    <w:uiPriority w:val="99"/>
    <w:rPr>
      <w:rFonts w:ascii="Times New Roman" w:hAnsi="Times New Roman" w:cs="Times New Roman"/>
      <w:sz w:val="18"/>
      <w:szCs w:val="18"/>
    </w:rPr>
  </w:style>
  <w:style w:type="character" w:customStyle="1" w:styleId="36">
    <w:name w:val="页眉 Char"/>
    <w:link w:val="17"/>
    <w:semiHidden/>
    <w:qFormat/>
    <w:locked/>
    <w:uiPriority w:val="99"/>
    <w:rPr>
      <w:sz w:val="18"/>
    </w:rPr>
  </w:style>
  <w:style w:type="character" w:customStyle="1" w:styleId="37">
    <w:name w:val="页脚 Char"/>
    <w:link w:val="16"/>
    <w:qFormat/>
    <w:locked/>
    <w:uiPriority w:val="99"/>
    <w:rPr>
      <w:sz w:val="18"/>
    </w:rPr>
  </w:style>
  <w:style w:type="character" w:customStyle="1" w:styleId="38">
    <w:name w:val="正文文本 Char"/>
    <w:link w:val="8"/>
    <w:qFormat/>
    <w:locked/>
    <w:uiPriority w:val="99"/>
    <w:rPr>
      <w:rFonts w:ascii="仿宋_GB2312" w:hAnsi="Times New Roman" w:eastAsia="仿宋_GB2312"/>
      <w:sz w:val="24"/>
    </w:rPr>
  </w:style>
  <w:style w:type="paragraph" w:customStyle="1" w:styleId="3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40">
    <w:name w:val="列表段落1"/>
    <w:basedOn w:val="1"/>
    <w:qFormat/>
    <w:uiPriority w:val="34"/>
    <w:pPr>
      <w:ind w:firstLine="420" w:firstLineChars="200"/>
    </w:pPr>
  </w:style>
  <w:style w:type="paragraph" w:customStyle="1" w:styleId="41">
    <w:name w:val="TOC 标题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2">
    <w:name w:val="TOC Heading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3">
    <w:name w:val="TOC 标题2"/>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styleId="44">
    <w:name w:val="List Paragraph"/>
    <w:basedOn w:val="1"/>
    <w:qFormat/>
    <w:uiPriority w:val="34"/>
    <w:pPr>
      <w:ind w:firstLine="420" w:firstLineChars="200"/>
    </w:pPr>
  </w:style>
  <w:style w:type="paragraph" w:customStyle="1" w:styleId="45">
    <w:name w:val="列出段落1"/>
    <w:basedOn w:val="1"/>
    <w:qFormat/>
    <w:uiPriority w:val="34"/>
    <w:pPr>
      <w:ind w:firstLine="420" w:firstLineChars="200"/>
    </w:pPr>
  </w:style>
  <w:style w:type="paragraph" w:customStyle="1" w:styleId="46">
    <w:name w:val="四号正文"/>
    <w:basedOn w:val="1"/>
    <w:qFormat/>
    <w:uiPriority w:val="0"/>
    <w:pPr>
      <w:spacing w:line="360" w:lineRule="auto"/>
    </w:pPr>
    <w:rPr>
      <w:rFonts w:ascii="??" w:hAnsi="??" w:eastAsia="宋体" w:cs="宋体"/>
      <w:color w:val="000000"/>
      <w:kern w:val="0"/>
      <w:sz w:val="28"/>
      <w:szCs w:val="21"/>
    </w:rPr>
  </w:style>
  <w:style w:type="paragraph" w:customStyle="1" w:styleId="47">
    <w:name w:val="正文文本1"/>
    <w:basedOn w:val="1"/>
    <w:qFormat/>
    <w:uiPriority w:val="99"/>
    <w:pPr>
      <w:spacing w:before="93"/>
    </w:pPr>
    <w:rPr>
      <w:rFonts w:ascii="仿宋_GB2312" w:hAnsi="仿宋_GB2312" w:eastAsia="仿宋_GB2312" w:cs="仿宋_GB2312"/>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embeddings/oleObject4.bin"/></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embeddings/oleObject3.bin"/></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embeddings/oleObject2.bin"/></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2025</a:t>
            </a:r>
            <a:r>
              <a:rPr altLang="en-US" b="1"/>
              <a:t>年收入支出决算总计变动情况图</a:t>
            </a:r>
            <a:endParaRPr altLang="en-US" b="1"/>
          </a:p>
        </c:rich>
      </c:tx>
      <c:layout>
        <c:manualLayout>
          <c:xMode val="edge"/>
          <c:yMode val="edge"/>
          <c:x val="0.215647921760391"/>
          <c:y val="0.00641299700726806"/>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2025年收入</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a:t>
                    </a:r>
                    <a:r>
                      <a:rPr lang="en-US" altLang="zh-CN"/>
                      <a:t>55.28</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2025年收入、支出变动图</c:v>
                </c:pt>
              </c:strCache>
            </c:strRef>
          </c:cat>
          <c:val>
            <c:numRef>
              <c:f>Sheet1!$B$2</c:f>
              <c:numCache>
                <c:formatCode>General</c:formatCode>
                <c:ptCount val="1"/>
                <c:pt idx="0">
                  <c:v>155.28</c:v>
                </c:pt>
              </c:numCache>
            </c:numRef>
          </c:val>
        </c:ser>
        <c:ser>
          <c:idx val="1"/>
          <c:order val="1"/>
          <c:tx>
            <c:strRef>
              <c:f>Sheet1!$C$1</c:f>
              <c:strCache>
                <c:ptCount val="1"/>
                <c:pt idx="0">
                  <c:v>2025年支出</c:v>
                </c:pt>
              </c:strCache>
            </c:strRef>
          </c:tx>
          <c:spPr>
            <a:solidFill>
              <a:schemeClr val="accent2"/>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155.28</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2025年收入、支出变动图</c:v>
                </c:pt>
              </c:strCache>
            </c:strRef>
          </c:cat>
          <c:val>
            <c:numRef>
              <c:f>Sheet1!$C$2</c:f>
              <c:numCache>
                <c:formatCode>General</c:formatCode>
                <c:ptCount val="1"/>
                <c:pt idx="0">
                  <c:v>155.28</c:v>
                </c:pt>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2025年收入、支出变动图</c:v>
                </c:pt>
              </c:strCache>
            </c:strRef>
          </c:cat>
          <c:val>
            <c:numRef>
              <c:f>Sheet1!$D$2</c:f>
              <c:numCache>
                <c:formatCode>General</c:formatCode>
                <c:ptCount val="1"/>
              </c:numCache>
            </c:numRef>
          </c:val>
        </c:ser>
        <c:dLbls>
          <c:showLegendKey val="0"/>
          <c:showVal val="1"/>
          <c:showCatName val="0"/>
          <c:showSerName val="0"/>
          <c:showPercent val="0"/>
          <c:showBubbleSize val="0"/>
        </c:dLbls>
        <c:gapWidth val="219"/>
        <c:overlap val="-27"/>
        <c:axId val="156151168"/>
        <c:axId val="156161152"/>
      </c:barChart>
      <c:catAx>
        <c:axId val="15615116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6161152"/>
        <c:crosses val="autoZero"/>
        <c:auto val="1"/>
        <c:lblAlgn val="ctr"/>
        <c:lblOffset val="100"/>
        <c:noMultiLvlLbl val="0"/>
      </c:catAx>
      <c:valAx>
        <c:axId val="156161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6151168"/>
        <c:crosses val="autoZero"/>
        <c:crossBetween val="between"/>
      </c:valAx>
      <c:spPr>
        <a:noFill/>
        <a:ln>
          <a:noFill/>
        </a:ln>
        <a:effectLst/>
      </c:spPr>
    </c:plotArea>
    <c:legend>
      <c:legendPos val="b"/>
      <c:layout>
        <c:manualLayout>
          <c:xMode val="edge"/>
          <c:yMode val="edge"/>
          <c:x val="0.335452322738386"/>
          <c:y val="0.91924427353285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edcce88-169c-4c9a-a330-60fdd46d5e8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rPr lang="en-US" altLang="zh-CN" sz="1600"/>
              <a:t>2025</a:t>
            </a:r>
            <a:r>
              <a:rPr altLang="en-US" sz="1600"/>
              <a:t>年度收入决算结构图</a:t>
            </a:r>
            <a:endParaRPr altLang="en-US" sz="1600"/>
          </a:p>
        </c:rich>
      </c:tx>
      <c:layout/>
      <c:overlay val="0"/>
      <c:spPr>
        <a:noFill/>
        <a:ln>
          <a:noFill/>
        </a:ln>
        <a:effectLst/>
      </c:spPr>
    </c:title>
    <c:autoTitleDeleted val="0"/>
    <c:plotArea>
      <c:layout>
        <c:manualLayout>
          <c:layoutTarget val="inner"/>
          <c:xMode val="edge"/>
          <c:yMode val="edge"/>
          <c:x val="0.215975254730713"/>
          <c:y val="0.259134490800726"/>
          <c:w val="0.34315866084425"/>
          <c:h val="0.733091474475253"/>
        </c:manualLayout>
      </c:layout>
      <c:pieChart>
        <c:varyColors val="1"/>
        <c:ser>
          <c:idx val="0"/>
          <c:order val="0"/>
          <c:tx>
            <c:strRef>
              <c:f>Sheet1!$B$1</c:f>
              <c:strCache>
                <c:ptCount val="1"/>
                <c:pt idx="0">
                  <c:v>销售额</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Pt>
            <c:idx val="6"/>
            <c:bubble3D val="0"/>
            <c:spPr>
              <a:solidFill>
                <a:schemeClr val="accent1">
                  <a:lumMod val="60000"/>
                </a:schemeClr>
              </a:solidFill>
              <a:ln>
                <a:noFill/>
              </a:ln>
              <a:effectLst>
                <a:outerShdw blurRad="254000" sx="102000" sy="102000" algn="ctr" rotWithShape="0">
                  <a:prstClr val="black">
                    <a:alpha val="20000"/>
                  </a:prstClr>
                </a:outerShdw>
              </a:effectLst>
            </c:spPr>
          </c:dPt>
          <c:dLbls>
            <c:dLbl>
              <c:idx val="5"/>
              <c:delete val="1"/>
            </c:dLbl>
            <c:dLbl>
              <c:idx val="6"/>
              <c:delete val="1"/>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Sheet1!$A$2:$A$8</c:f>
              <c:strCache>
                <c:ptCount val="7"/>
                <c:pt idx="0">
                  <c:v>一般公共预算收入</c:v>
                </c:pt>
                <c:pt idx="1">
                  <c:v>政府基金收入</c:v>
                </c:pt>
                <c:pt idx="2">
                  <c:v>上级补助收入</c:v>
                </c:pt>
                <c:pt idx="3">
                  <c:v>事业收入</c:v>
                </c:pt>
                <c:pt idx="4">
                  <c:v>经营收入</c:v>
                </c:pt>
                <c:pt idx="5">
                  <c:v>附属单位上缴收入</c:v>
                </c:pt>
                <c:pt idx="6">
                  <c:v>其他收入</c:v>
                </c:pt>
              </c:strCache>
            </c:strRef>
          </c:cat>
          <c:val>
            <c:numRef>
              <c:f>Sheet1!$B$2:$B$8</c:f>
              <c:numCache>
                <c:formatCode>0%</c:formatCode>
                <c:ptCount val="7"/>
                <c:pt idx="0">
                  <c:v>1</c:v>
                </c:pt>
                <c:pt idx="1">
                  <c:v>0</c:v>
                </c:pt>
                <c:pt idx="2">
                  <c:v>0</c:v>
                </c:pt>
                <c:pt idx="3">
                  <c:v>0</c:v>
                </c:pt>
                <c:pt idx="4">
                  <c:v>0</c:v>
                </c:pt>
                <c:pt idx="5">
                  <c:v>0</c:v>
                </c:pt>
                <c:pt idx="6">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cfc155d1-5ff9-42b8-8033-a0044a76782f}"/>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1125"/>
          <c:y val="0.166863660873101"/>
          <c:w val="0.377625"/>
          <c:h val="0.78062015503876"/>
        </c:manualLayout>
      </c:layout>
      <c:pieChart>
        <c:varyColors val="1"/>
        <c:ser>
          <c:idx val="0"/>
          <c:order val="0"/>
          <c:tx>
            <c:strRef>
              <c:f>Sheet1!$B$1</c:f>
              <c:strCache>
                <c:ptCount val="1"/>
                <c:pt idx="0">
                  <c:v>2025支出决算结构图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100%</a:t>
                    </a:r>
                  </a:p>
                </c:rich>
              </c:tx>
              <c:dLblPos val="ctr"/>
              <c:showLegendKey val="0"/>
              <c:showVal val="1"/>
              <c:showCatName val="0"/>
              <c:showSerName val="0"/>
              <c:showPercent val="1"/>
              <c:showBubbleSize val="0"/>
              <c:extLst>
                <c:ext xmlns:c15="http://schemas.microsoft.com/office/drawing/2012/chart" uri="{CE6537A1-D6FC-4f65-9D91-7224C49458BB}"/>
              </c:extLst>
            </c:dLbl>
            <c:dLbl>
              <c:idx val="1"/>
              <c:layout>
                <c:manualLayout>
                  <c:x val="0.0168742412484214"/>
                  <c:y val="0"/>
                </c:manualLayout>
              </c:layout>
              <c:tx>
                <c:rich>
                  <a:bodyPr rot="0" spcFirstLastPara="0" vertOverflow="ellipsis" vert="horz" wrap="square" lIns="38100" tIns="19050" rIns="38100" bIns="19050" anchor="ctr" anchorCtr="1"/>
                  <a:lstStyle/>
                  <a:p>
                    <a:pPr defTabSz="914400">
                      <a:defRPr lang="zh-CN" sz="900" b="1" i="0" u="none" strike="noStrike" kern="1200" baseline="0">
                        <a:solidFill>
                          <a:schemeClr val="tx1">
                            <a:lumMod val="75000"/>
                            <a:lumOff val="25000"/>
                          </a:schemeClr>
                        </a:solidFill>
                        <a:latin typeface="+mn-lt"/>
                        <a:ea typeface="+mn-ea"/>
                        <a:cs typeface="+mn-cs"/>
                      </a:defRPr>
                    </a:pPr>
                    <a:r>
                      <a:rPr sz="1600" b="1"/>
                      <a:t>202</a:t>
                    </a:r>
                    <a:r>
                      <a:rPr lang="en-US" altLang="zh-CN" sz="1600" b="1"/>
                      <a:t>5</a:t>
                    </a:r>
                    <a:r>
                      <a:rPr altLang="en-US" sz="1600" b="1"/>
                      <a:t>年度</a:t>
                    </a:r>
                    <a:r>
                      <a:rPr sz="1600" b="1"/>
                      <a:t>支出决算结构图</a:t>
                    </a:r>
                    <a:endParaRPr sz="1600" b="1"/>
                  </a:p>
                  <a:p>
                    <a:pPr defTabSz="914400">
                      <a:defRPr lang="zh-CN" sz="900" b="1" i="0" u="none" strike="noStrike" kern="1200" baseline="0">
                        <a:solidFill>
                          <a:schemeClr val="tx1">
                            <a:lumMod val="75000"/>
                            <a:lumOff val="25000"/>
                          </a:schemeClr>
                        </a:solidFill>
                        <a:latin typeface="+mn-lt"/>
                        <a:ea typeface="+mn-ea"/>
                        <a:cs typeface="+mn-cs"/>
                      </a:defRPr>
                    </a:pPr>
                    <a:r>
                      <a:rPr b="1"/>
                      <a:t> </a:t>
                    </a:r>
                    <a:endParaRPr b="1"/>
                  </a:p>
                </c:rich>
              </c:tx>
              <c:numFmt formatCode="General" sourceLinked="1"/>
              <c:spPr>
                <a:solidFill>
                  <a:sysClr val="window" lastClr="FFFFFF"/>
                </a:solidFill>
                <a:ln>
                  <a:solidFill>
                    <a:sysClr val="windowText" lastClr="000000">
                      <a:lumMod val="25000"/>
                      <a:lumOff val="75000"/>
                    </a:sysClr>
                  </a:solid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bestFit"/>
              <c:showLegendKey val="1"/>
              <c:showVal val="1"/>
              <c:showCatName val="1"/>
              <c:showSerName val="1"/>
              <c:showPercent val="1"/>
              <c:showBubbleSize val="1"/>
              <c:extLst>
                <c:ext xmlns:c15="http://schemas.microsoft.com/office/drawing/2012/chart" uri="{CE6537A1-D6FC-4f65-9D91-7224C49458BB}">
                  <c15:layout>
                    <c:manualLayout>
                      <c:w val="0.650033"/>
                      <c:h val="0.167311827956989"/>
                    </c:manualLayout>
                  </c15:layout>
                </c:ext>
              </c:extLst>
            </c:dLbl>
            <c:dLbl>
              <c:idx val="2"/>
              <c:layout/>
              <c:numFmt formatCode="General" sourceLinked="1"/>
              <c:spPr>
                <a:solidFill>
                  <a:sysClr val="window" lastClr="FFFFFF"/>
                </a:solidFill>
                <a:ln>
                  <a:solidFill>
                    <a:sysClr val="windowText" lastClr="000000">
                      <a:lumMod val="25000"/>
                      <a:lumOff val="75000"/>
                    </a:sysClr>
                  </a:solid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1"/>
              <c:showVal val="1"/>
              <c:showCatName val="1"/>
              <c:showSerName val="1"/>
              <c:showPercent val="1"/>
              <c:showBubbleSize val="1"/>
              <c:extLst>
                <c:ext xmlns:c15="http://schemas.microsoft.com/office/drawing/2012/chart" uri="{CE6537A1-D6FC-4f65-9D91-7224C49458BB}"/>
              </c:extLst>
            </c:dLbl>
            <c:dLbl>
              <c:idx val="3"/>
              <c:layout/>
              <c:numFmt formatCode="General" sourceLinked="1"/>
              <c:spPr>
                <a:solidFill>
                  <a:sysClr val="window" lastClr="FFFFFF"/>
                </a:solidFill>
                <a:ln>
                  <a:solidFill>
                    <a:sysClr val="windowText" lastClr="000000">
                      <a:lumMod val="25000"/>
                      <a:lumOff val="75000"/>
                    </a:sysClr>
                  </a:solid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1"/>
              <c:showVal val="1"/>
              <c:showCatName val="1"/>
              <c:showSerName val="1"/>
              <c:showPercent val="1"/>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0.00%</c:formatCode>
                <c:ptCount val="4"/>
                <c:pt idx="0">
                  <c:v>1</c:v>
                </c:pt>
                <c:pt idx="1">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b92fcaf-6daf-41f0-a73a-c76d28709f6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2025</a:t>
            </a:r>
            <a:r>
              <a:rPr altLang="en-US" b="1"/>
              <a:t>年度收入、决算总计变动图</a:t>
            </a:r>
            <a:endParaRPr altLang="en-US" b="1"/>
          </a:p>
        </c:rich>
      </c:tx>
      <c:layout>
        <c:manualLayout>
          <c:xMode val="edge"/>
          <c:yMode val="edge"/>
          <c:x val="0.227923294401186"/>
          <c:y val="0.00924418604651163"/>
        </c:manualLayout>
      </c:layout>
      <c:overlay val="0"/>
      <c:spPr>
        <a:noFill/>
        <a:ln>
          <a:noFill/>
        </a:ln>
        <a:effectLst/>
      </c:spPr>
    </c:title>
    <c:autoTitleDeleted val="0"/>
    <c:plotArea>
      <c:layout>
        <c:manualLayout>
          <c:layoutTarget val="inner"/>
          <c:xMode val="edge"/>
          <c:yMode val="edge"/>
          <c:x val="0.0818934618712149"/>
          <c:y val="0.126612423099821"/>
          <c:w val="0.914275120504264"/>
          <c:h val="0.652986703711054"/>
        </c:manualLayout>
      </c:layout>
      <c:barChart>
        <c:barDir val="col"/>
        <c:grouping val="clustered"/>
        <c:varyColors val="0"/>
        <c:ser>
          <c:idx val="0"/>
          <c:order val="0"/>
          <c:tx>
            <c:strRef>
              <c:f>Sheet1!$B$1</c:f>
              <c:strCache>
                <c:ptCount val="1"/>
                <c:pt idx="0">
                  <c:v>2025年收入</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155.28</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2025年收入、支出图</c:v>
                </c:pt>
              </c:strCache>
            </c:strRef>
          </c:cat>
          <c:val>
            <c:numRef>
              <c:f>Sheet1!$B$2</c:f>
              <c:numCache>
                <c:formatCode>General</c:formatCode>
                <c:ptCount val="1"/>
                <c:pt idx="0">
                  <c:v>155.28</c:v>
                </c:pt>
              </c:numCache>
            </c:numRef>
          </c:val>
        </c:ser>
        <c:ser>
          <c:idx val="1"/>
          <c:order val="1"/>
          <c:tx>
            <c:strRef>
              <c:f>Sheet1!$C$1</c:f>
              <c:strCache>
                <c:ptCount val="1"/>
                <c:pt idx="0">
                  <c:v>2025年支出</c:v>
                </c:pt>
              </c:strCache>
            </c:strRef>
          </c:tx>
          <c:spPr>
            <a:solidFill>
              <a:schemeClr val="accent2"/>
            </a:solidFill>
            <a:ln>
              <a:noFill/>
            </a:ln>
            <a:effectLst/>
          </c:spPr>
          <c:invertIfNegative val="0"/>
          <c:dLbls>
            <c:dLbl>
              <c:idx val="0"/>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155.28</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2025年收入、支出图</c:v>
                </c:pt>
              </c:strCache>
            </c:strRef>
          </c:cat>
          <c:val>
            <c:numRef>
              <c:f>Sheet1!$C$2</c:f>
              <c:numCache>
                <c:formatCode>General</c:formatCode>
                <c:ptCount val="1"/>
                <c:pt idx="0">
                  <c:v>155.28</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c:f>
              <c:strCache>
                <c:ptCount val="1"/>
                <c:pt idx="0">
                  <c:v>2025年收入、支出图</c:v>
                </c:pt>
              </c:strCache>
            </c:strRef>
          </c:cat>
          <c:val>
            <c:numRef>
              <c:f>Sheet1!$D$2</c:f>
              <c:numCache>
                <c:formatCode>General</c:formatCode>
                <c:ptCount val="1"/>
              </c:numCache>
            </c:numRef>
          </c:val>
        </c:ser>
        <c:dLbls>
          <c:showLegendKey val="0"/>
          <c:showVal val="0"/>
          <c:showCatName val="0"/>
          <c:showSerName val="0"/>
          <c:showPercent val="0"/>
          <c:showBubbleSize val="0"/>
        </c:dLbls>
        <c:gapWidth val="219"/>
        <c:overlap val="-27"/>
        <c:axId val="71380352"/>
        <c:axId val="71390336"/>
      </c:barChart>
      <c:catAx>
        <c:axId val="7138035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390336"/>
        <c:crosses val="autoZero"/>
        <c:auto val="1"/>
        <c:lblAlgn val="ctr"/>
        <c:lblOffset val="100"/>
        <c:noMultiLvlLbl val="0"/>
      </c:catAx>
      <c:valAx>
        <c:axId val="71390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3803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14c6e14-b745-452b-8963-7b6cba8b15a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00" b="0" i="0" u="none" strike="noStrike" kern="1200" spc="0" baseline="0">
                <a:solidFill>
                  <a:schemeClr val="tx1">
                    <a:lumMod val="65000"/>
                    <a:lumOff val="35000"/>
                  </a:schemeClr>
                </a:solidFill>
                <a:latin typeface="+mn-lt"/>
                <a:ea typeface="+mn-ea"/>
                <a:cs typeface="+mn-cs"/>
              </a:defRPr>
            </a:pPr>
            <a:r>
              <a:rPr lang="en-US" altLang="zh-CN" sz="1200" b="1"/>
              <a:t>2025</a:t>
            </a:r>
            <a:r>
              <a:rPr altLang="en-US" sz="1200" b="1"/>
              <a:t>年度一般公共预算财政拨款支出决算变动情况图</a:t>
            </a:r>
            <a:endParaRPr altLang="en-US" sz="1200" b="1"/>
          </a:p>
        </c:rich>
      </c:tx>
      <c:layout>
        <c:manualLayout>
          <c:xMode val="edge"/>
          <c:yMode val="edge"/>
          <c:x val="0.18277205755193"/>
          <c:y val="0.00828500414250207"/>
        </c:manualLayout>
      </c:layout>
      <c:overlay val="0"/>
      <c:spPr>
        <a:noFill/>
        <a:ln>
          <a:noFill/>
        </a:ln>
        <a:effectLst/>
      </c:spPr>
    </c:title>
    <c:autoTitleDeleted val="0"/>
    <c:plotArea>
      <c:layout>
        <c:manualLayout>
          <c:layoutTarget val="inner"/>
          <c:xMode val="edge"/>
          <c:yMode val="edge"/>
          <c:x val="0.0713447432762837"/>
          <c:y val="0.127800529992773"/>
          <c:w val="0.901760391198044"/>
          <c:h val="0.776608046253915"/>
        </c:manualLayout>
      </c:layout>
      <c:barChart>
        <c:barDir val="col"/>
        <c:grouping val="clustered"/>
        <c:varyColors val="0"/>
        <c:ser>
          <c:idx val="0"/>
          <c:order val="0"/>
          <c:tx>
            <c:strRef>
              <c:f>Sheet1!$B$1</c:f>
              <c:strCache>
                <c:ptCount val="1"/>
                <c:pt idx="0">
                  <c:v>2025年支出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155.28</c:v>
                </c:pt>
              </c:numCache>
            </c:numRef>
          </c:val>
        </c:ser>
        <c:ser>
          <c:idx val="1"/>
          <c:order val="1"/>
          <c:tx>
            <c:strRef>
              <c:f>Sheet1!$C$1</c:f>
              <c:strCache>
                <c:ptCount val="1"/>
                <c:pt idx="0">
                  <c:v>2024年支出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159.7</c:v>
                </c:pt>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numCache>
            </c:numRef>
          </c:val>
        </c:ser>
        <c:dLbls>
          <c:showLegendKey val="0"/>
          <c:showVal val="1"/>
          <c:showCatName val="0"/>
          <c:showSerName val="0"/>
          <c:showPercent val="0"/>
          <c:showBubbleSize val="0"/>
        </c:dLbls>
        <c:gapWidth val="219"/>
        <c:overlap val="-27"/>
        <c:axId val="156151168"/>
        <c:axId val="156161152"/>
      </c:barChart>
      <c:catAx>
        <c:axId val="15615116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6161152"/>
        <c:crosses val="autoZero"/>
        <c:auto val="1"/>
        <c:lblAlgn val="ctr"/>
        <c:lblOffset val="100"/>
        <c:noMultiLvlLbl val="0"/>
      </c:catAx>
      <c:valAx>
        <c:axId val="156161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6151168"/>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579826f-a256-49e1-83ae-3a76327a6f02}"/>
      </c:ext>
    </c:extLst>
  </c:chart>
  <c:spPr>
    <a:solidFill>
      <a:schemeClr val="bg1"/>
    </a:solidFill>
    <a:ln w="9525" cap="flat" cmpd="sng" algn="ctr">
      <a:solidFill>
        <a:schemeClr val="tx1">
          <a:lumMod val="15000"/>
          <a:lumOff val="85000"/>
        </a:schemeClr>
      </a:solidFill>
      <a:round/>
    </a:ln>
    <a:effectLst/>
  </c:spPr>
  <c:txPr>
    <a:bodyPr/>
    <a:lstStyle/>
    <a:p>
      <a:pPr>
        <a:defRPr lang="zh-CN" sz="900"/>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2025</a:t>
            </a:r>
            <a:r>
              <a:rPr altLang="en-US" b="1"/>
              <a:t>年度</a:t>
            </a:r>
            <a:r>
              <a:rPr b="1"/>
              <a:t>一般公共预算财政拨款支出决算结构图</a:t>
            </a:r>
            <a:endParaRPr b="1"/>
          </a:p>
        </c:rich>
      </c:tx>
      <c:layout/>
      <c:overlay val="0"/>
      <c:spPr>
        <a:noFill/>
        <a:ln>
          <a:noFill/>
        </a:ln>
        <a:effectLst/>
      </c:spPr>
    </c:title>
    <c:autoTitleDeleted val="0"/>
    <c:plotArea>
      <c:layout/>
      <c:pieChart>
        <c:varyColors val="1"/>
        <c:ser>
          <c:idx val="0"/>
          <c:order val="0"/>
          <c:tx>
            <c:strRef>
              <c:f>Sheet1!$B$1</c:f>
              <c:strCache>
                <c:ptCount val="1"/>
                <c:pt idx="0">
                  <c:v>一般公共预算财政拨款支出决算结构图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420871786231164"/>
                  <c:y val="0.00996477358510363"/>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2275"/>
                      <c:h val="0.0668699629710303"/>
                    </c:manualLayout>
                  </c15:layout>
                </c:ext>
              </c:extLst>
            </c:dLbl>
            <c:dLbl>
              <c:idx val="1"/>
              <c:layout>
                <c:manualLayout>
                  <c:x val="0.0151236069918393"/>
                  <c:y val="-0.0204531208401362"/>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09525"/>
                      <c:h val="0.0472663907645393"/>
                    </c:manualLayout>
                  </c15:layout>
                </c:ext>
              </c:extLst>
            </c:dLbl>
            <c:dLbl>
              <c:idx val="2"/>
              <c:layout>
                <c:manualLayout>
                  <c:x val="-0.118393363261137"/>
                  <c:y val="-0.12280166631627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66614122983802"/>
                  <c:y val="0.019104386449035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节能环保支出</c:v>
                </c:pt>
                <c:pt idx="3">
                  <c:v>住房保障支出</c:v>
                </c:pt>
              </c:strCache>
            </c:strRef>
          </c:cat>
          <c:val>
            <c:numRef>
              <c:f>Sheet1!$B$2:$B$5</c:f>
              <c:numCache>
                <c:formatCode>0.0%</c:formatCode>
                <c:ptCount val="4"/>
                <c:pt idx="0">
                  <c:v>0.168</c:v>
                </c:pt>
                <c:pt idx="1">
                  <c:v>0.061</c:v>
                </c:pt>
                <c:pt idx="2">
                  <c:v>0.675</c:v>
                </c:pt>
                <c:pt idx="3">
                  <c:v>0.096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f1773ad-7d3a-43b3-b47f-792dc061bbf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B9ED6-03BF-4A1C-B943-F87C46D78E31}">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73</Words>
  <Characters>80</Characters>
  <Lines>21</Lines>
  <Paragraphs>28</Paragraphs>
  <TotalTime>40</TotalTime>
  <ScaleCrop>false</ScaleCrop>
  <LinksUpToDate>false</LinksUpToDate>
  <CharactersWithSpaces>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2021-09-26T07:37:00Z</dcterms:created>
  <dc:creator>曹颖</dc:creator>
  <cp:lastModifiedBy>七哥</cp:lastModifiedBy>
  <cp:lastPrinted>2026-09-08T07:27:00Z</cp:lastPrinted>
  <dcterms:modified xsi:type="dcterms:W3CDTF">2026-09-10T02:41:57Z</dcterms:modified>
  <dc:title>阿坝州部门决算说明</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FB3576B6D9914B3993B515ED6A3C96A2_13</vt:lpwstr>
  </property>
  <property fmtid="{D5CDD505-2E9C-101B-9397-08002B2CF9AE}" pid="4" name="KSOTemplateDocerSaveRecord">
    <vt:lpwstr>eyJoZGlkIjoiZWY2ODE3NjVlODhmNjBhNDJiYmJlNGJhOWYwMzA1NWQiLCJ1c2VySWQiOiIxMjM1NTEzMTU3In0=</vt:lpwstr>
  </property>
</Properties>
</file>