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1AD6D">
      <w:pPr>
        <w:rPr>
          <w:rFonts w:hint="eastAsia" w:ascii="方正小标宋简体" w:hAnsi="宋体" w:eastAsia="方正小标宋简体"/>
          <w:color w:val="000000"/>
          <w:sz w:val="72"/>
          <w:szCs w:val="72"/>
        </w:rPr>
      </w:pPr>
      <w:bookmarkStart w:id="0" w:name="_Toc15377193"/>
      <w:bookmarkStart w:id="1" w:name="_Toc15396475"/>
      <w:bookmarkStart w:id="2" w:name="_Toc15378441"/>
      <w:bookmarkStart w:id="3" w:name="_Toc15377425"/>
      <w:bookmarkStart w:id="4" w:name="_Toc15306267"/>
      <w:bookmarkStart w:id="5" w:name="_Toc15396597"/>
    </w:p>
    <w:p w14:paraId="417708EF">
      <w:pPr>
        <w:rPr>
          <w:rFonts w:ascii="方正小标宋简体" w:hAnsi="宋体" w:eastAsia="方正小标宋简体"/>
          <w:color w:val="000000"/>
          <w:sz w:val="72"/>
          <w:szCs w:val="72"/>
        </w:rPr>
      </w:pPr>
    </w:p>
    <w:p w14:paraId="428231BD">
      <w:pPr>
        <w:ind w:left="360" w:hanging="260" w:hangingChars="50"/>
        <w:jc w:val="center"/>
        <w:rPr>
          <w:rFonts w:hint="eastAsia" w:ascii="黑体" w:hAnsi="黑体" w:eastAsia="黑体"/>
          <w:sz w:val="52"/>
          <w:szCs w:val="52"/>
        </w:rPr>
      </w:pPr>
      <w:r>
        <w:rPr>
          <w:rFonts w:ascii="黑体" w:hAnsi="黑体" w:eastAsia="黑体"/>
          <w:sz w:val="52"/>
          <w:szCs w:val="52"/>
        </w:rPr>
        <w:t>202</w:t>
      </w:r>
      <w:r>
        <w:rPr>
          <w:rFonts w:hint="eastAsia" w:ascii="黑体" w:hAnsi="黑体" w:eastAsia="黑体"/>
          <w:sz w:val="52"/>
          <w:szCs w:val="52"/>
          <w:lang w:val="en-US" w:eastAsia="zh-CN"/>
        </w:rPr>
        <w:t>5</w:t>
      </w:r>
      <w:r>
        <w:rPr>
          <w:rFonts w:hint="eastAsia" w:ascii="黑体" w:hAnsi="黑体" w:eastAsia="黑体"/>
          <w:sz w:val="52"/>
          <w:szCs w:val="52"/>
        </w:rPr>
        <w:t>年</w:t>
      </w:r>
      <w:bookmarkEnd w:id="0"/>
      <w:bookmarkEnd w:id="1"/>
      <w:bookmarkEnd w:id="2"/>
      <w:bookmarkEnd w:id="3"/>
      <w:bookmarkEnd w:id="4"/>
      <w:bookmarkEnd w:id="5"/>
      <w:bookmarkStart w:id="6" w:name="_Toc15306268"/>
      <w:bookmarkStart w:id="7" w:name="_Toc15377194"/>
      <w:bookmarkStart w:id="8" w:name="_Toc15396598"/>
      <w:bookmarkStart w:id="9" w:name="_Toc15378442"/>
      <w:bookmarkStart w:id="10" w:name="_Toc15377426"/>
      <w:bookmarkStart w:id="11" w:name="_Toc15396476"/>
      <w:r>
        <w:rPr>
          <w:rFonts w:hint="eastAsia" w:ascii="黑体" w:hAnsi="黑体" w:eastAsia="黑体"/>
          <w:sz w:val="52"/>
          <w:szCs w:val="52"/>
          <w:lang w:eastAsia="zh-CN"/>
        </w:rPr>
        <w:t>度四川省阿坝州</w:t>
      </w:r>
      <w:r>
        <w:rPr>
          <w:rFonts w:hint="eastAsia" w:ascii="黑体" w:hAnsi="黑体" w:eastAsia="黑体"/>
          <w:sz w:val="52"/>
          <w:szCs w:val="52"/>
        </w:rPr>
        <w:t>理县</w:t>
      </w:r>
    </w:p>
    <w:p w14:paraId="3F952194">
      <w:pPr>
        <w:ind w:left="360" w:hanging="260" w:hangingChars="50"/>
        <w:jc w:val="center"/>
        <w:rPr>
          <w:rFonts w:ascii="方正小标宋简体" w:eastAsia="方正小标宋简体"/>
          <w:sz w:val="52"/>
          <w:szCs w:val="52"/>
        </w:rPr>
      </w:pPr>
      <w:r>
        <w:rPr>
          <w:rFonts w:hint="eastAsia" w:ascii="方正小标宋简体" w:eastAsia="方正小标宋简体"/>
          <w:sz w:val="52"/>
          <w:szCs w:val="52"/>
        </w:rPr>
        <w:t>生态环境局决算公开</w:t>
      </w:r>
      <w:bookmarkEnd w:id="6"/>
      <w:bookmarkEnd w:id="7"/>
      <w:bookmarkEnd w:id="8"/>
      <w:bookmarkEnd w:id="9"/>
      <w:bookmarkEnd w:id="10"/>
      <w:bookmarkEnd w:id="11"/>
    </w:p>
    <w:p w14:paraId="36DB8710">
      <w:pPr>
        <w:jc w:val="center"/>
        <w:rPr>
          <w:rFonts w:ascii="方正小标宋简体" w:hAnsi="宋体" w:eastAsia="方正小标宋简体"/>
          <w:sz w:val="36"/>
          <w:szCs w:val="36"/>
        </w:rPr>
      </w:pPr>
    </w:p>
    <w:p w14:paraId="09E4754F">
      <w:pPr>
        <w:rPr>
          <w:rFonts w:ascii="方正小标宋简体" w:hAnsi="宋体" w:eastAsia="方正小标宋简体"/>
          <w:sz w:val="36"/>
          <w:szCs w:val="36"/>
        </w:rPr>
      </w:pPr>
    </w:p>
    <w:p w14:paraId="4D88D23C">
      <w:pPr>
        <w:rPr>
          <w:rFonts w:ascii="方正小标宋简体" w:hAnsi="宋体" w:eastAsia="方正小标宋简体"/>
          <w:sz w:val="36"/>
          <w:szCs w:val="36"/>
        </w:rPr>
      </w:pPr>
    </w:p>
    <w:p w14:paraId="5EDA6993">
      <w:pPr>
        <w:rPr>
          <w:rFonts w:ascii="方正小标宋简体" w:hAnsi="宋体" w:eastAsia="方正小标宋简体"/>
          <w:sz w:val="36"/>
          <w:szCs w:val="36"/>
        </w:rPr>
      </w:pPr>
    </w:p>
    <w:p w14:paraId="3E8764D3">
      <w:pPr>
        <w:rPr>
          <w:rFonts w:ascii="方正小标宋简体" w:hAnsi="宋体" w:eastAsia="方正小标宋简体"/>
          <w:sz w:val="36"/>
          <w:szCs w:val="36"/>
        </w:rPr>
      </w:pPr>
    </w:p>
    <w:p w14:paraId="46E0910B">
      <w:pPr>
        <w:pStyle w:val="9"/>
        <w:spacing w:before="93"/>
        <w:jc w:val="center"/>
        <w:rPr>
          <w:rFonts w:hint="eastAsia"/>
        </w:rPr>
      </w:pPr>
      <w:r>
        <w:rPr>
          <w:rFonts w:hint="eastAsia" w:ascii="宋体" w:hAnsi="宋体" w:cs="仿宋_GB2312"/>
          <w:sz w:val="32"/>
          <w:szCs w:val="32"/>
        </w:rPr>
        <w:t>保密审查情况：</w:t>
      </w:r>
      <w:bookmarkStart w:id="12" w:name="_Hlk113547609"/>
      <w:r>
        <w:rPr>
          <w:rFonts w:hint="eastAsia" w:cs="仿宋_GB2312"/>
          <w:sz w:val="32"/>
          <w:szCs w:val="32"/>
        </w:rPr>
        <w:t>已经保密审查、内容审定，同意对外公开</w:t>
      </w:r>
      <w:bookmarkEnd w:id="12"/>
    </w:p>
    <w:p w14:paraId="18CA67C0">
      <w:pPr>
        <w:autoSpaceDE w:val="0"/>
        <w:autoSpaceDN w:val="0"/>
        <w:adjustRightInd w:val="0"/>
        <w:ind w:left="420" w:leftChars="200"/>
        <w:jc w:val="left"/>
        <w:rPr>
          <w:rFonts w:ascii="宋体" w:hAnsi="宋体" w:cs="仿宋_GB2312"/>
          <w:sz w:val="32"/>
          <w:szCs w:val="32"/>
        </w:rPr>
      </w:pPr>
    </w:p>
    <w:p w14:paraId="153FFDEC">
      <w:pPr>
        <w:autoSpaceDE w:val="0"/>
        <w:autoSpaceDN w:val="0"/>
        <w:adjustRightInd w:val="0"/>
        <w:ind w:left="420" w:leftChars="200" w:firstLine="640" w:firstLineChars="200"/>
        <w:jc w:val="left"/>
        <w:rPr>
          <w:rFonts w:hint="eastAsia" w:ascii="宋体" w:hAnsi="宋体" w:eastAsia="宋体"/>
          <w:sz w:val="32"/>
          <w:szCs w:val="32"/>
          <w:lang w:val="en-US" w:eastAsia="zh-CN"/>
        </w:rPr>
      </w:pPr>
      <w:r>
        <w:rPr>
          <w:rFonts w:hint="eastAsia" w:ascii="宋体" w:hAnsi="宋体" w:cs="仿宋_GB2312"/>
          <w:sz w:val="32"/>
          <w:szCs w:val="32"/>
          <w:lang w:eastAsia="zh-CN"/>
        </w:rPr>
        <w:t>单位</w:t>
      </w:r>
      <w:r>
        <w:rPr>
          <w:rFonts w:hint="eastAsia" w:ascii="宋体" w:hAnsi="宋体" w:cs="仿宋_GB2312"/>
          <w:sz w:val="32"/>
          <w:szCs w:val="32"/>
        </w:rPr>
        <w:t>主要负责人审签情况：</w:t>
      </w:r>
      <w:r>
        <w:rPr>
          <w:rFonts w:hint="eastAsia" w:ascii="宋体" w:hAnsi="宋体" w:cs="仿宋_GB2312"/>
          <w:sz w:val="32"/>
          <w:szCs w:val="32"/>
          <w:lang w:eastAsia="zh-CN"/>
        </w:rPr>
        <w:t>嘉鸿剑</w:t>
      </w:r>
    </w:p>
    <w:p w14:paraId="467B8C38">
      <w:pPr>
        <w:widowControl/>
        <w:jc w:val="center"/>
        <w:rPr>
          <w:rFonts w:ascii="方正小标宋简体" w:hAnsi="宋体" w:eastAsia="方正小标宋简体"/>
          <w:color w:val="000000"/>
          <w:sz w:val="36"/>
          <w:szCs w:val="36"/>
        </w:rPr>
      </w:pPr>
    </w:p>
    <w:p w14:paraId="0AFF5260">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61197660">
      <w:pPr>
        <w:pStyle w:val="18"/>
        <w:jc w:val="center"/>
        <w:rPr>
          <w:rFonts w:hint="eastAsia"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公开时间：2026年 9月10日</w:t>
      </w:r>
    </w:p>
    <w:p w14:paraId="67452CE6">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fldChar w:fldCharType="begin"/>
      </w:r>
      <w:r>
        <w:rPr>
          <w:rFonts w:hint="eastAsia" w:ascii="仿宋_GB2312" w:hAnsi="Times New Roman" w:eastAsia="仿宋_GB2312" w:cs="仿宋_GB2312"/>
          <w:b w:val="0"/>
          <w:bCs w:val="0"/>
          <w:caps w:val="0"/>
          <w:kern w:val="0"/>
          <w:sz w:val="32"/>
          <w:szCs w:val="32"/>
          <w:lang w:val="en-US" w:eastAsia="zh-CN" w:bidi="ar-SA"/>
        </w:rPr>
        <w:instrText xml:space="preserve"> TOC \o \u </w:instrText>
      </w:r>
      <w:r>
        <w:rPr>
          <w:rFonts w:hint="eastAsia" w:ascii="仿宋_GB2312" w:hAnsi="Times New Roman" w:eastAsia="仿宋_GB2312" w:cs="仿宋_GB2312"/>
          <w:b w:val="0"/>
          <w:bCs w:val="0"/>
          <w:caps w:val="0"/>
          <w:kern w:val="0"/>
          <w:sz w:val="32"/>
          <w:szCs w:val="32"/>
          <w:lang w:val="en-US" w:eastAsia="zh-CN" w:bidi="ar-SA"/>
        </w:rPr>
        <w:fldChar w:fldCharType="separate"/>
      </w:r>
      <w:r>
        <w:rPr>
          <w:rFonts w:hint="eastAsia" w:ascii="仿宋_GB2312" w:hAnsi="Times New Roman" w:eastAsia="仿宋_GB2312" w:cs="仿宋_GB2312"/>
          <w:b w:val="0"/>
          <w:bCs w:val="0"/>
          <w:caps w:val="0"/>
          <w:kern w:val="0"/>
          <w:sz w:val="32"/>
          <w:szCs w:val="32"/>
          <w:lang w:val="en-US" w:eastAsia="zh-CN" w:bidi="ar-SA"/>
        </w:rPr>
        <w:t>第一部分 单位概况..................................4</w:t>
      </w:r>
    </w:p>
    <w:p w14:paraId="508B857D">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一、主要职责...................................4</w:t>
      </w:r>
    </w:p>
    <w:p w14:paraId="4B4456EB">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二、机构设置...................................7</w:t>
      </w:r>
    </w:p>
    <w:p w14:paraId="43A864EE">
      <w:pPr>
        <w:pStyle w:val="21"/>
        <w:tabs>
          <w:tab w:val="left" w:pos="840"/>
          <w:tab w:val="right" w:leader="dot" w:pos="8296"/>
        </w:tabs>
        <w:ind w:left="0" w:leftChars="0" w:firstLine="0" w:firstLineChars="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第二部分 2025年度单位决算情况说明..................8</w:t>
      </w:r>
    </w:p>
    <w:p w14:paraId="39BDF76D">
      <w:pPr>
        <w:pStyle w:val="21"/>
        <w:tabs>
          <w:tab w:val="left" w:pos="840"/>
          <w:tab w:val="right" w:leader="dot" w:pos="8296"/>
        </w:tabs>
        <w:ind w:left="0" w:leftChars="0" w:firstLine="640" w:firstLineChars="200"/>
        <w:rPr>
          <w:rFonts w:hint="eastAsia"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一、收入支出决算总体情况说明...................8</w:t>
      </w:r>
    </w:p>
    <w:p w14:paraId="0F239C6B">
      <w:pPr>
        <w:pStyle w:val="21"/>
        <w:tabs>
          <w:tab w:val="left" w:pos="840"/>
          <w:tab w:val="right" w:leader="dot" w:pos="8296"/>
        </w:tabs>
        <w:ind w:left="0" w:leftChars="0"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二、收入决算情况说.............................8</w:t>
      </w:r>
    </w:p>
    <w:p w14:paraId="0A3E098B">
      <w:pPr>
        <w:pStyle w:val="21"/>
        <w:tabs>
          <w:tab w:val="left" w:pos="840"/>
          <w:tab w:val="right" w:leader="dot" w:pos="8296"/>
        </w:tabs>
        <w:ind w:left="0" w:leftChars="0"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三、支出决算情况说.............................9</w:t>
      </w:r>
    </w:p>
    <w:p w14:paraId="0EEE809B">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四、财政拨款收入支出决算总体情................10</w:t>
      </w:r>
    </w:p>
    <w:p w14:paraId="27586937">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五、一般公共预算财政拨款支出决算情况说明......10</w:t>
      </w:r>
    </w:p>
    <w:p w14:paraId="0AF113ED">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六、一般公共预算财政拨款基本支出决算情况说明..12</w:t>
      </w:r>
    </w:p>
    <w:p w14:paraId="4805FCC2">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七、财政拨款“三公”经费支出决算情况说明......13</w:t>
      </w:r>
    </w:p>
    <w:p w14:paraId="0F027807">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八、政府性基金预算支出决算情况说明............14</w:t>
      </w:r>
    </w:p>
    <w:p w14:paraId="311C1BE0">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九、 国有资本经营预算支出决算情况说...........14</w:t>
      </w:r>
    </w:p>
    <w:p w14:paraId="5404BB69">
      <w:pPr>
        <w:pStyle w:val="18"/>
        <w:tabs>
          <w:tab w:val="right" w:leader="dot" w:pos="8296"/>
        </w:tabs>
        <w:ind w:firstLine="640" w:firstLineChars="200"/>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十、其他重要事项的情况说明....................14</w:t>
      </w:r>
    </w:p>
    <w:p w14:paraId="4B932331">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第三部分 名词解释</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...........................16</w:t>
      </w:r>
    </w:p>
    <w:p w14:paraId="2D88975C">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第四部分 附件</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...................................18</w:t>
      </w:r>
    </w:p>
    <w:p w14:paraId="0BAF2FF3">
      <w:pPr>
        <w:pStyle w:val="18"/>
        <w:tabs>
          <w:tab w:val="right" w:leader="dot" w:pos="8296"/>
        </w:tabs>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第五部分 附表</w:t>
      </w:r>
      <w:r>
        <w:rPr>
          <w:rFonts w:hint="eastAsia" w:ascii="仿宋_GB2312" w:hAnsi="Times New Roman" w:eastAsia="仿宋_GB2312" w:cs="仿宋_GB2312"/>
          <w:b w:val="0"/>
          <w:bCs w:val="0"/>
          <w:caps w:val="0"/>
          <w:kern w:val="0"/>
          <w:sz w:val="32"/>
          <w:szCs w:val="32"/>
          <w:lang w:val="en-US" w:eastAsia="zh-CN" w:bidi="ar-SA"/>
        </w:rPr>
        <w:tab/>
      </w:r>
      <w:r>
        <w:rPr>
          <w:rFonts w:hint="eastAsia" w:ascii="仿宋_GB2312" w:hAnsi="Times New Roman" w:eastAsia="仿宋_GB2312" w:cs="仿宋_GB2312"/>
          <w:b w:val="0"/>
          <w:bCs w:val="0"/>
          <w:caps w:val="0"/>
          <w:kern w:val="0"/>
          <w:sz w:val="32"/>
          <w:szCs w:val="32"/>
          <w:lang w:val="en-US" w:eastAsia="zh-CN" w:bidi="ar-SA"/>
        </w:rPr>
        <w:t>.....................................43</w:t>
      </w:r>
    </w:p>
    <w:p w14:paraId="38530FA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一、收入支出决算总表...........................43</w:t>
      </w:r>
    </w:p>
    <w:p w14:paraId="4128F66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二、收入决算表.................................43</w:t>
      </w:r>
    </w:p>
    <w:p w14:paraId="1E1E151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三、支出决算表.................................43</w:t>
      </w:r>
    </w:p>
    <w:p w14:paraId="633058B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四、财政拨款收入支出决算总表...................43</w:t>
      </w:r>
    </w:p>
    <w:p w14:paraId="199078F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五、财政拨款支出决算明细表.....................43</w:t>
      </w:r>
    </w:p>
    <w:p w14:paraId="234D2C2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六、一般公共预算财政拨款支出决算表.............43</w:t>
      </w:r>
    </w:p>
    <w:p w14:paraId="1628AFD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七、一般公共预算财政拨款支出决算明细表.........43</w:t>
      </w:r>
    </w:p>
    <w:p w14:paraId="1AE31AB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八、一般公共预算财政拨款基本支出决算明细表.....43</w:t>
      </w:r>
    </w:p>
    <w:p w14:paraId="5597F49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九、一般公共预算财政拨款项目支出决算表.........43</w:t>
      </w:r>
    </w:p>
    <w:p w14:paraId="51BD227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十、政府性基金预算财政拨款收入支出决算表.......43</w:t>
      </w:r>
    </w:p>
    <w:p w14:paraId="7ABD8D0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十一、国有资本经营预算财政拨款收入支出决算表...43</w:t>
      </w:r>
    </w:p>
    <w:p w14:paraId="109650F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十二、国有资本经营预算财政拨款支出决算表.......43</w:t>
      </w:r>
    </w:p>
    <w:p w14:paraId="7F8BB6B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_GB2312" w:hAnsi="Times New Roman" w:eastAsia="仿宋_GB2312" w:cs="仿宋_GB2312"/>
          <w:b w:val="0"/>
          <w:bCs w:val="0"/>
          <w:caps w:val="0"/>
          <w:kern w:val="0"/>
          <w:sz w:val="32"/>
          <w:szCs w:val="32"/>
          <w:lang w:val="en-US" w:eastAsia="zh-CN" w:bidi="ar-SA"/>
        </w:rPr>
      </w:pPr>
      <w:r>
        <w:rPr>
          <w:rFonts w:hint="eastAsia" w:ascii="仿宋_GB2312" w:hAnsi="Times New Roman" w:eastAsia="仿宋_GB2312" w:cs="仿宋_GB2312"/>
          <w:b w:val="0"/>
          <w:bCs w:val="0"/>
          <w:caps w:val="0"/>
          <w:kern w:val="0"/>
          <w:sz w:val="32"/>
          <w:szCs w:val="32"/>
          <w:lang w:val="en-US" w:eastAsia="zh-CN" w:bidi="ar-SA"/>
        </w:rPr>
        <w:t>十三、财政拨款“三公”经费支出决算表.............43</w:t>
      </w:r>
    </w:p>
    <w:p w14:paraId="2D74E2B0">
      <w:pPr>
        <w:pStyle w:val="21"/>
        <w:tabs>
          <w:tab w:val="right" w:leader="dot" w:pos="8296"/>
        </w:tabs>
        <w:rPr>
          <w:rFonts w:hint="eastAsia" w:ascii="仿宋_GB2312" w:hAnsi="Times New Roman" w:eastAsia="仿宋_GB2312" w:cs="仿宋_GB2312"/>
          <w:b w:val="0"/>
          <w:bCs w:val="0"/>
          <w:caps w:val="0"/>
          <w:kern w:val="0"/>
          <w:sz w:val="32"/>
          <w:szCs w:val="32"/>
          <w:lang w:val="en-US" w:eastAsia="zh-CN" w:bidi="ar-SA"/>
        </w:rPr>
      </w:pPr>
    </w:p>
    <w:p w14:paraId="25C1CBF8">
      <w:pPr>
        <w:rPr>
          <w:rFonts w:hint="eastAsia" w:ascii="仿宋_GB2312" w:hAnsi="Times New Roman" w:eastAsia="仿宋_GB2312" w:cs="仿宋_GB2312"/>
          <w:b w:val="0"/>
          <w:bCs w:val="0"/>
          <w:caps w:val="0"/>
          <w:kern w:val="0"/>
          <w:sz w:val="32"/>
          <w:szCs w:val="32"/>
          <w:lang w:val="en-US" w:eastAsia="zh-CN" w:bidi="ar-SA"/>
        </w:rPr>
      </w:pPr>
    </w:p>
    <w:p w14:paraId="0E875BAC">
      <w:pPr>
        <w:pStyle w:val="6"/>
        <w:rPr>
          <w:rFonts w:hint="eastAsia" w:ascii="仿宋_GB2312" w:hAnsi="Times New Roman" w:eastAsia="仿宋_GB2312" w:cs="仿宋_GB2312"/>
          <w:b w:val="0"/>
          <w:bCs w:val="0"/>
          <w:caps w:val="0"/>
          <w:kern w:val="0"/>
          <w:sz w:val="32"/>
          <w:szCs w:val="32"/>
          <w:lang w:val="en-US" w:eastAsia="zh-CN" w:bidi="ar-SA"/>
        </w:rPr>
      </w:pPr>
    </w:p>
    <w:p w14:paraId="20258A54">
      <w:pPr>
        <w:pStyle w:val="6"/>
        <w:rPr>
          <w:rFonts w:hint="eastAsia" w:ascii="仿宋_GB2312" w:hAnsi="Times New Roman" w:eastAsia="仿宋_GB2312" w:cs="仿宋_GB2312"/>
          <w:b w:val="0"/>
          <w:bCs w:val="0"/>
          <w:caps w:val="0"/>
          <w:kern w:val="0"/>
          <w:sz w:val="32"/>
          <w:szCs w:val="32"/>
          <w:lang w:val="en-US" w:eastAsia="zh-CN" w:bidi="ar-SA"/>
        </w:rPr>
      </w:pPr>
    </w:p>
    <w:p w14:paraId="41281970">
      <w:pPr>
        <w:pStyle w:val="6"/>
        <w:rPr>
          <w:rFonts w:hint="eastAsia" w:ascii="仿宋_GB2312" w:hAnsi="Times New Roman" w:eastAsia="仿宋_GB2312" w:cs="仿宋_GB2312"/>
          <w:b w:val="0"/>
          <w:bCs w:val="0"/>
          <w:caps w:val="0"/>
          <w:kern w:val="0"/>
          <w:sz w:val="32"/>
          <w:szCs w:val="32"/>
          <w:lang w:val="en-US" w:eastAsia="zh-CN" w:bidi="ar-SA"/>
        </w:rPr>
      </w:pPr>
    </w:p>
    <w:p w14:paraId="05CD15ED">
      <w:pPr>
        <w:pStyle w:val="6"/>
        <w:rPr>
          <w:rFonts w:hint="eastAsia" w:ascii="仿宋_GB2312" w:hAnsi="Times New Roman" w:eastAsia="仿宋_GB2312" w:cs="仿宋_GB2312"/>
          <w:b w:val="0"/>
          <w:bCs w:val="0"/>
          <w:caps w:val="0"/>
          <w:kern w:val="0"/>
          <w:sz w:val="32"/>
          <w:szCs w:val="32"/>
          <w:lang w:val="en-US" w:eastAsia="zh-CN" w:bidi="ar-SA"/>
        </w:rPr>
      </w:pPr>
    </w:p>
    <w:p w14:paraId="3D5113FE">
      <w:pPr>
        <w:rPr>
          <w:rFonts w:hint="eastAsia" w:ascii="黑体" w:hAnsi="黑体" w:eastAsia="黑体"/>
          <w:b w:val="0"/>
        </w:rPr>
      </w:pPr>
      <w:r>
        <w:rPr>
          <w:rFonts w:hint="eastAsia" w:ascii="仿宋_GB2312" w:hAnsi="Times New Roman" w:eastAsia="仿宋_GB2312" w:cs="仿宋_GB2312"/>
          <w:b w:val="0"/>
          <w:bCs w:val="0"/>
          <w:caps w:val="0"/>
          <w:kern w:val="0"/>
          <w:sz w:val="32"/>
          <w:szCs w:val="32"/>
          <w:lang w:val="en-US" w:eastAsia="zh-CN" w:bidi="ar-SA"/>
        </w:rPr>
        <w:fldChar w:fldCharType="end"/>
      </w:r>
      <w:bookmarkStart w:id="13" w:name="_Toc79163851"/>
      <w:bookmarkStart w:id="14" w:name="_Toc15377196"/>
      <w:bookmarkStart w:id="15" w:name="_Toc15396599"/>
      <w:bookmarkStart w:id="16" w:name="_Toc79163601"/>
    </w:p>
    <w:p w14:paraId="1ABB34D3">
      <w:pPr>
        <w:pStyle w:val="2"/>
        <w:jc w:val="center"/>
        <w:rPr>
          <w:rFonts w:ascii="黑体" w:eastAsia="黑体"/>
          <w:color w:val="000000"/>
          <w:sz w:val="32"/>
          <w:szCs w:val="32"/>
        </w:rPr>
      </w:pPr>
      <w:r>
        <w:rPr>
          <w:rFonts w:hint="eastAsia" w:ascii="黑体" w:hAnsi="黑体" w:eastAsia="黑体"/>
          <w:b w:val="0"/>
        </w:rPr>
        <w:t>第一部分</w:t>
      </w:r>
      <w:r>
        <w:rPr>
          <w:rFonts w:ascii="黑体" w:hAnsi="黑体" w:eastAsia="黑体"/>
          <w:b w:val="0"/>
        </w:rPr>
        <w:t xml:space="preserve"> </w:t>
      </w:r>
      <w:r>
        <w:rPr>
          <w:rFonts w:hint="eastAsia" w:ascii="黑体" w:hAnsi="黑体" w:eastAsia="黑体"/>
          <w:b w:val="0"/>
          <w:lang w:val="en-US" w:eastAsia="zh-CN"/>
        </w:rPr>
        <w:t>单位</w:t>
      </w:r>
      <w:r>
        <w:rPr>
          <w:rStyle w:val="31"/>
          <w:rFonts w:hint="eastAsia" w:ascii="黑体" w:hAnsi="黑体" w:eastAsia="黑体"/>
          <w:b w:val="0"/>
          <w:bCs w:val="0"/>
        </w:rPr>
        <w:t>概况</w:t>
      </w:r>
      <w:bookmarkEnd w:id="13"/>
      <w:bookmarkEnd w:id="14"/>
      <w:bookmarkEnd w:id="15"/>
      <w:bookmarkEnd w:id="16"/>
    </w:p>
    <w:p w14:paraId="2A829B54">
      <w:pPr>
        <w:pStyle w:val="3"/>
        <w:pageBreakBefore w:val="0"/>
        <w:numPr>
          <w:ilvl w:val="0"/>
          <w:numId w:val="0"/>
        </w:numPr>
        <w:kinsoku/>
        <w:wordWrap/>
        <w:overflowPunct/>
        <w:topLinePunct w:val="0"/>
        <w:autoSpaceDE/>
        <w:autoSpaceDN/>
        <w:bidi w:val="0"/>
        <w:spacing w:line="576" w:lineRule="exact"/>
        <w:ind w:leftChars="0" w:firstLine="640" w:firstLineChars="200"/>
        <w:textAlignment w:val="auto"/>
        <w:rPr>
          <w:rFonts w:hint="eastAsia" w:ascii="黑体" w:hAnsi="黑体" w:eastAsia="黑体"/>
          <w:b w:val="0"/>
          <w:color w:val="000000"/>
          <w:lang w:eastAsia="zh-CN"/>
        </w:rPr>
      </w:pPr>
      <w:bookmarkStart w:id="17" w:name="_Toc79163602"/>
      <w:bookmarkStart w:id="18" w:name="_Toc15377197"/>
      <w:bookmarkStart w:id="19" w:name="_Toc79163852"/>
      <w:bookmarkStart w:id="20" w:name="_Toc15396600"/>
      <w:r>
        <w:rPr>
          <w:rFonts w:hint="eastAsia" w:ascii="黑体" w:hAnsi="黑体" w:eastAsia="黑体"/>
          <w:b w:val="0"/>
          <w:color w:val="000000"/>
          <w:lang w:eastAsia="zh-CN"/>
        </w:rPr>
        <w:t>一、</w:t>
      </w:r>
      <w:bookmarkEnd w:id="17"/>
      <w:bookmarkEnd w:id="18"/>
      <w:bookmarkEnd w:id="19"/>
      <w:bookmarkEnd w:id="20"/>
      <w:r>
        <w:rPr>
          <w:rFonts w:hint="eastAsia" w:ascii="黑体" w:hAnsi="黑体" w:eastAsia="黑体"/>
          <w:b w:val="0"/>
          <w:color w:val="000000"/>
          <w:lang w:eastAsia="zh-CN"/>
        </w:rPr>
        <w:t>主要职责</w:t>
      </w:r>
    </w:p>
    <w:p w14:paraId="49933063">
      <w:pPr>
        <w:pStyle w:val="9"/>
        <w:keepNext w:val="0"/>
        <w:keepLines w:val="0"/>
        <w:pageBreakBefore w:val="0"/>
        <w:kinsoku/>
        <w:wordWrap/>
        <w:overflowPunct/>
        <w:topLinePunct w:val="0"/>
        <w:autoSpaceDE/>
        <w:autoSpaceDN/>
        <w:bidi w:val="0"/>
        <w:adjustRightInd w:val="0"/>
        <w:snapToGrid w:val="0"/>
        <w:spacing w:beforeLines="0" w:line="572" w:lineRule="exact"/>
        <w:ind w:firstLine="643" w:firstLineChars="200"/>
        <w:textAlignment w:val="auto"/>
        <w:outlineLvl w:val="2"/>
        <w:rPr>
          <w:rFonts w:hint="eastAsia" w:ascii="仿宋" w:hAnsi="仿宋" w:eastAsia="仿宋" w:cs="Times New Roman"/>
          <w:b/>
          <w:bCs/>
          <w:color w:val="000000"/>
          <w:sz w:val="32"/>
          <w:szCs w:val="32"/>
        </w:rPr>
      </w:pPr>
      <w:r>
        <w:rPr>
          <w:rFonts w:hint="eastAsia" w:ascii="仿宋" w:hAnsi="仿宋" w:eastAsia="仿宋" w:cs="Times New Roman"/>
          <w:b/>
          <w:bCs/>
          <w:color w:val="000000"/>
          <w:sz w:val="32"/>
          <w:szCs w:val="32"/>
          <w:lang w:eastAsia="zh-CN"/>
        </w:rPr>
        <w:t>（一）</w:t>
      </w:r>
      <w:r>
        <w:rPr>
          <w:rFonts w:hint="eastAsia" w:ascii="仿宋" w:hAnsi="仿宋" w:eastAsia="仿宋" w:cs="Times New Roman"/>
          <w:b/>
          <w:bCs/>
          <w:color w:val="000000"/>
          <w:sz w:val="32"/>
          <w:szCs w:val="32"/>
        </w:rPr>
        <w:t>主要职能</w:t>
      </w:r>
    </w:p>
    <w:p w14:paraId="7DF8B997">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bookmarkStart w:id="21" w:name="_Toc15378446"/>
      <w:bookmarkStart w:id="22" w:name="_Toc15377199"/>
      <w:bookmarkStart w:id="23" w:name="_Toc79163604"/>
      <w:bookmarkStart w:id="24" w:name="_Toc79163854"/>
      <w:r>
        <w:rPr>
          <w:rFonts w:hint="eastAsia" w:ascii="仿宋_GB2312" w:hAnsi="仿宋_GB2312" w:eastAsia="仿宋_GB2312" w:cs="仿宋_GB2312"/>
          <w:kern w:val="2"/>
          <w:sz w:val="32"/>
          <w:szCs w:val="32"/>
          <w:lang w:val="en-US" w:eastAsia="zh-CN" w:bidi="ar-SA"/>
        </w:rPr>
        <w:t>1.承担机关政务及党务工作。</w:t>
      </w:r>
    </w:p>
    <w:p w14:paraId="5C1A600F">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2.负责监督管理全州减排目标的落实。</w:t>
      </w:r>
    </w:p>
    <w:p w14:paraId="4E9D3CDE">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3.负责建立健全全县生态环境基本制度。</w:t>
      </w:r>
    </w:p>
    <w:p w14:paraId="2B8FA79D">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4.负责全县生态环境准入的监督管理。</w:t>
      </w:r>
    </w:p>
    <w:p w14:paraId="395238A6">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5.加强全县生态环境监督执法管理、指导工作。</w:t>
      </w:r>
    </w:p>
    <w:p w14:paraId="535B206C">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6.监督执行国家、省、州的生态环境监测制度和规范。</w:t>
      </w:r>
    </w:p>
    <w:p w14:paraId="223C42EE">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7.负责办单位实施的</w:t>
      </w:r>
    </w:p>
    <w:p w14:paraId="2C28C51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jc w:val="left"/>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建设项目的监督管理。</w:t>
      </w:r>
    </w:p>
    <w:p w14:paraId="5A435617">
      <w:pPr>
        <w:pStyle w:val="9"/>
        <w:keepNext w:val="0"/>
        <w:keepLines w:val="0"/>
        <w:pageBreakBefore w:val="0"/>
        <w:kinsoku/>
        <w:wordWrap/>
        <w:overflowPunct/>
        <w:topLinePunct w:val="0"/>
        <w:autoSpaceDE/>
        <w:autoSpaceDN/>
        <w:bidi w:val="0"/>
        <w:adjustRightInd w:val="0"/>
        <w:snapToGrid w:val="0"/>
        <w:spacing w:before="93" w:line="572" w:lineRule="exact"/>
        <w:ind w:firstLine="675" w:firstLineChars="210"/>
        <w:textAlignment w:val="auto"/>
        <w:outlineLvl w:val="2"/>
        <w:rPr>
          <w:rFonts w:hint="eastAsia" w:ascii="黑体" w:hAnsi="黑体" w:eastAsia="黑体" w:cs="黑体"/>
          <w:b/>
          <w:bCs/>
          <w:color w:val="000000"/>
          <w:sz w:val="32"/>
          <w:szCs w:val="32"/>
        </w:rPr>
      </w:pPr>
      <w:r>
        <w:rPr>
          <w:rFonts w:hint="eastAsia" w:ascii="黑体" w:hAnsi="黑体" w:eastAsia="黑体" w:cs="黑体"/>
          <w:b/>
          <w:bCs/>
          <w:color w:val="000000"/>
          <w:sz w:val="32"/>
          <w:szCs w:val="32"/>
        </w:rPr>
        <w:t>（二）202</w:t>
      </w:r>
      <w:r>
        <w:rPr>
          <w:rFonts w:hint="eastAsia" w:ascii="黑体" w:hAnsi="黑体" w:eastAsia="黑体" w:cs="黑体"/>
          <w:b/>
          <w:bCs/>
          <w:color w:val="000000"/>
          <w:sz w:val="32"/>
          <w:szCs w:val="32"/>
          <w:lang w:val="en-US" w:eastAsia="zh-CN"/>
        </w:rPr>
        <w:t>5</w:t>
      </w:r>
      <w:r>
        <w:rPr>
          <w:rFonts w:hint="eastAsia" w:ascii="黑体" w:hAnsi="黑体" w:eastAsia="黑体" w:cs="黑体"/>
          <w:b/>
          <w:bCs/>
          <w:color w:val="000000"/>
          <w:sz w:val="32"/>
          <w:szCs w:val="32"/>
        </w:rPr>
        <w:t>年</w:t>
      </w:r>
      <w:r>
        <w:rPr>
          <w:rFonts w:hint="eastAsia" w:ascii="黑体" w:hAnsi="黑体" w:eastAsia="黑体" w:cs="黑体"/>
          <w:b/>
          <w:bCs/>
          <w:color w:val="000000"/>
          <w:sz w:val="32"/>
          <w:szCs w:val="32"/>
          <w:lang w:eastAsia="zh-CN"/>
        </w:rPr>
        <w:t>度主要工作</w:t>
      </w:r>
      <w:r>
        <w:rPr>
          <w:rFonts w:hint="eastAsia" w:ascii="黑体" w:hAnsi="黑体" w:eastAsia="黑体" w:cs="黑体"/>
          <w:b/>
          <w:bCs/>
          <w:color w:val="000000"/>
          <w:sz w:val="32"/>
          <w:szCs w:val="32"/>
        </w:rPr>
        <w:t>。</w:t>
      </w:r>
      <w:bookmarkEnd w:id="21"/>
      <w:bookmarkEnd w:id="22"/>
      <w:bookmarkEnd w:id="23"/>
      <w:bookmarkEnd w:id="24"/>
    </w:p>
    <w:p w14:paraId="7B84CC9E">
      <w:pPr>
        <w:pStyle w:val="9"/>
        <w:keepNext w:val="0"/>
        <w:keepLines w:val="0"/>
        <w:pageBreakBefore w:val="0"/>
        <w:kinsoku/>
        <w:wordWrap/>
        <w:overflowPunct/>
        <w:topLinePunct w:val="0"/>
        <w:autoSpaceDE/>
        <w:autoSpaceDN/>
        <w:bidi w:val="0"/>
        <w:adjustRightInd w:val="0"/>
        <w:snapToGrid w:val="0"/>
        <w:spacing w:before="93" w:line="572" w:lineRule="exact"/>
        <w:ind w:firstLine="672" w:firstLineChars="210"/>
        <w:textAlignment w:val="auto"/>
        <w:outlineLvl w:val="2"/>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2025年，在州生态环境局的坚强领导和县委、县政府的有力指导下，理县生态环境局党组坚持以生态文明思想为根本遵循，全面贯彻党的二十大及历次全会精神，深入落实中央、省、州关于生态文明建设和生态环境保护的系列决策部署，紧紧围绕“保护生态环境、推动绿色发展”的核心任务，以持续改善生态环境质量为目标，以解决突出环境问题为导向，各项工作取得显著成效，为理县经济社会高质量发展提供了坚实的生态环境支撑。</w:t>
      </w:r>
    </w:p>
    <w:p w14:paraId="3065AE62">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6" w:lineRule="exact"/>
        <w:ind w:left="0" w:leftChars="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w:t>
      </w:r>
      <w:r>
        <w:rPr>
          <w:rFonts w:hint="default" w:ascii="仿宋_GB2312" w:hAnsi="仿宋_GB2312" w:eastAsia="仿宋_GB2312" w:cs="仿宋_GB2312"/>
          <w:b/>
          <w:bCs/>
          <w:kern w:val="2"/>
          <w:sz w:val="32"/>
          <w:szCs w:val="32"/>
          <w:lang w:val="en-US" w:eastAsia="zh-CN" w:bidi="ar-SA"/>
        </w:rPr>
        <w:t>聚焦污染防治攻坚，巩固生态环境质量标杆。</w:t>
      </w:r>
    </w:p>
    <w:p w14:paraId="7F666EBC">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始终将打好污染防治攻坚战作为全局工作的重中之重，坚持精准治污、科学治污、依法治污，蓝天、碧水、净土、固废保卫战取得关键进展，全县生态环境质量实现持续优化并稳居全省前列。</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 xml:space="preserve">大气环境显著改善。 </w:t>
      </w:r>
      <w:r>
        <w:rPr>
          <w:rFonts w:hint="default" w:ascii="仿宋_GB2312" w:hAnsi="仿宋_GB2312" w:eastAsia="仿宋_GB2312" w:cs="仿宋_GB2312"/>
          <w:kern w:val="2"/>
          <w:sz w:val="32"/>
          <w:szCs w:val="32"/>
          <w:lang w:val="en-US" w:eastAsia="zh-CN" w:bidi="ar-SA"/>
        </w:rPr>
        <w:t>优良天数比例进一步提升，县域空气质量改善幅度明显，人民群众的“蓝天幸福感”持续增强。</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 xml:space="preserve">水环境质量稳定优良。 </w:t>
      </w:r>
      <w:r>
        <w:rPr>
          <w:rFonts w:hint="default" w:ascii="仿宋_GB2312" w:hAnsi="仿宋_GB2312" w:eastAsia="仿宋_GB2312" w:cs="仿宋_GB2312"/>
          <w:kern w:val="2"/>
          <w:sz w:val="32"/>
          <w:szCs w:val="32"/>
          <w:lang w:val="en-US" w:eastAsia="zh-CN" w:bidi="ar-SA"/>
        </w:rPr>
        <w:t>国考断面—杂谷脑河五里界牌断面水质常年稳定保持Ⅰ类标准，且较2024年同期水质监测数据显示，部分指标进一步优化，水环境质量呈现稳中向好态势</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集中式饮用水水源地水质达标率连续多年保持100%。</w:t>
      </w:r>
      <w:r>
        <w:rPr>
          <w:rFonts w:hint="eastAsia"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 xml:space="preserve">土壤与固废安全可控。 </w:t>
      </w:r>
      <w:r>
        <w:rPr>
          <w:rFonts w:hint="default" w:ascii="仿宋_GB2312" w:hAnsi="仿宋_GB2312" w:eastAsia="仿宋_GB2312" w:cs="仿宋_GB2312"/>
          <w:kern w:val="2"/>
          <w:sz w:val="32"/>
          <w:szCs w:val="32"/>
          <w:lang w:val="en-US" w:eastAsia="zh-CN" w:bidi="ar-SA"/>
        </w:rPr>
        <w:t>受污染耕地安全利用措施全面落实，安全利用率达到100%</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重点建设用地安全利用率保持100%，未发生因耕地土壤污染导致农产品超标事件</w:t>
      </w:r>
      <w:r>
        <w:rPr>
          <w:rFonts w:hint="eastAsia" w:ascii="仿宋_GB2312" w:hAnsi="仿宋_GB2312" w:eastAsia="仿宋_GB2312" w:cs="仿宋_GB2312"/>
          <w:kern w:val="2"/>
          <w:sz w:val="32"/>
          <w:szCs w:val="32"/>
          <w:lang w:val="en-US" w:eastAsia="zh-CN" w:bidi="ar-SA"/>
        </w:rPr>
        <w:t>。</w:t>
      </w:r>
    </w:p>
    <w:p w14:paraId="4E58BD03">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w:t>
      </w:r>
      <w:r>
        <w:rPr>
          <w:rFonts w:hint="default" w:ascii="仿宋_GB2312" w:hAnsi="仿宋_GB2312" w:eastAsia="仿宋_GB2312" w:cs="仿宋_GB2312"/>
          <w:b/>
          <w:bCs/>
          <w:kern w:val="2"/>
          <w:sz w:val="32"/>
          <w:szCs w:val="32"/>
          <w:lang w:val="en-US" w:eastAsia="zh-CN" w:bidi="ar-SA"/>
        </w:rPr>
        <w:t>聚焦流域系统治理，树立生态保护修复样板</w:t>
      </w:r>
    </w:p>
    <w:p w14:paraId="7F6E63FD">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kern w:val="2"/>
          <w:sz w:val="32"/>
          <w:szCs w:val="32"/>
          <w:lang w:val="en-US" w:eastAsia="zh-CN" w:bidi="ar-SA"/>
        </w:rPr>
      </w:pPr>
      <w:bookmarkStart w:id="25" w:name="OLE_LINK1"/>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重点项目有序推进</w:t>
      </w:r>
      <w:bookmarkEnd w:id="25"/>
      <w:r>
        <w:rPr>
          <w:rFonts w:hint="default" w:ascii="仿宋_GB2312" w:hAnsi="仿宋_GB2312" w:eastAsia="仿宋_GB2312" w:cs="仿宋_GB2312"/>
          <w:kern w:val="2"/>
          <w:sz w:val="32"/>
          <w:szCs w:val="32"/>
          <w:lang w:val="en-US" w:eastAsia="zh-CN" w:bidi="ar-SA"/>
        </w:rPr>
        <w:t>。岷江流域理县段支流水质提升及生态修复项目，总投资2688万元已挂网；薛城镇农村环境综合整治项目，总投资560万元</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待开工建设；理县饮用水源地监控能力建设项目总投资467万元，已完工。旅游乡镇农村生活污水治理项目总投资1222万元，目前已完工，并开展了项目验收，正在审核项目竣工验收资料。</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项目储备持续加强。围绕流域治理、农村污水等重点领域，提前谋划包装项目。一是申报岷江流域理县段支流农村生活污水治理项目，总投资为4560.99万元，申请中央农村环境整治资金3192万元，拟对理县旅游乡镇辖区内尚未进行治理的10个村生活污水进行治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投资约2000万元，用于实施完成理县全域入河排污口建设，全面排查理县境内的入河排污口</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b/>
          <w:bCs/>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理县生态环境数智化监管能力提升项目，总投资1000万元，依托理县已有智慧监管平台、监控中心，整合流域水质监测、污染源、风险源、监管执法等数据，实现对流域水污染防控、环境突发应急事件管理、风险企业非现场监管，为决策指挥调度提供基础支撑。四是理县“天空地”一体化监测网络建设项目，总投资2000万元。聚焦岷江流域(理县段)，搭建“天空地”一体化监测网络增加流域水质监测站;完善县域执法装备更新:针对流域环境风险，新增便携式检测设备，增强快速检测、快速响应能力。 </w:t>
      </w:r>
    </w:p>
    <w:p w14:paraId="2BA76415">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default" w:ascii="仿宋_GB2312" w:hAnsi="仿宋_GB2312" w:eastAsia="仿宋_GB2312" w:cs="仿宋_GB2312"/>
          <w:b/>
          <w:bCs/>
          <w:kern w:val="2"/>
          <w:sz w:val="32"/>
          <w:szCs w:val="32"/>
          <w:lang w:val="en-US" w:eastAsia="zh-CN" w:bidi="ar-SA"/>
        </w:rPr>
        <w:t>聚焦突出问题整改，勇当环境治理体系改革先锋</w:t>
      </w:r>
    </w:p>
    <w:p w14:paraId="3CD5C935">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坚持以问题为导向，以中央、省生态环境保护督察反馈问题整改为契机，强化环境执法监管，着力破解长期制约我县环境质量改善的瓶颈问题，推动环境治理体系和治理能力现代化。</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强力推进问题整改。 督促相关责任单位压实责任、倒排工期、狠抓落实，确保所有问题按时限、按标准彻底整改到位。</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强化环境监管执法。 保持环境执法高压态势，严格执行环境保护法律法规，充分利用“双随机、一公开”、专项执法、联合执法等方式，加大对重点区域、重点行业、重点企业的监管力度。通过严格执法，倒逼企业落实环境保护主体责任，自觉守法经营。</w:t>
      </w:r>
      <w:r>
        <w:rPr>
          <w:rFonts w:hint="eastAsia" w:ascii="仿宋_GB2312" w:hAnsi="仿宋_GB2312" w:eastAsia="仿宋_GB2312" w:cs="仿宋_GB2312"/>
          <w:kern w:val="2"/>
          <w:sz w:val="32"/>
          <w:szCs w:val="32"/>
          <w:lang w:val="en-US" w:eastAsia="zh-CN" w:bidi="ar-SA"/>
        </w:rPr>
        <w:t>三是</w:t>
      </w:r>
      <w:r>
        <w:rPr>
          <w:rFonts w:hint="default" w:ascii="仿宋_GB2312" w:hAnsi="仿宋_GB2312" w:eastAsia="仿宋_GB2312" w:cs="仿宋_GB2312"/>
          <w:kern w:val="2"/>
          <w:sz w:val="32"/>
          <w:szCs w:val="32"/>
          <w:lang w:val="en-US" w:eastAsia="zh-CN" w:bidi="ar-SA"/>
        </w:rPr>
        <w:t>优化审批与监管服务。深化“放管服”改革，优化营商环境，在严守生态保护红线和环境质量底线的同时，主动服务经济社会发展大局。</w:t>
      </w:r>
    </w:p>
    <w:p w14:paraId="129B4B53">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default" w:ascii="仿宋_GB2312" w:hAnsi="仿宋_GB2312" w:eastAsia="仿宋_GB2312" w:cs="仿宋_GB2312"/>
          <w:b/>
          <w:bCs/>
          <w:kern w:val="2"/>
          <w:sz w:val="32"/>
          <w:szCs w:val="32"/>
          <w:lang w:val="en-US" w:eastAsia="zh-CN" w:bidi="ar-SA"/>
        </w:rPr>
      </w:pPr>
      <w:bookmarkStart w:id="26" w:name="OLE_LINK2"/>
      <w:r>
        <w:rPr>
          <w:rFonts w:hint="eastAsia" w:ascii="仿宋_GB2312" w:hAnsi="仿宋_GB2312" w:eastAsia="仿宋_GB2312" w:cs="仿宋_GB2312"/>
          <w:b/>
          <w:bCs/>
          <w:kern w:val="2"/>
          <w:sz w:val="32"/>
          <w:szCs w:val="32"/>
          <w:lang w:val="en-US" w:eastAsia="zh-CN" w:bidi="ar-SA"/>
        </w:rPr>
        <w:t>4.</w:t>
      </w:r>
      <w:r>
        <w:rPr>
          <w:rFonts w:hint="default" w:ascii="仿宋_GB2312" w:hAnsi="仿宋_GB2312" w:eastAsia="仿宋_GB2312" w:cs="仿宋_GB2312"/>
          <w:b/>
          <w:bCs/>
          <w:kern w:val="2"/>
          <w:sz w:val="32"/>
          <w:szCs w:val="32"/>
          <w:lang w:val="en-US" w:eastAsia="zh-CN" w:bidi="ar-SA"/>
        </w:rPr>
        <w:t>深化生态文明体制改革，夯实绿色发展基础阵地</w:t>
      </w:r>
    </w:p>
    <w:bookmarkEnd w:id="26"/>
    <w:p w14:paraId="33F44806">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持续推进生态文明体制改革向纵深发展，不断完善生态环境治理体制机制，夯实绿色发展基础，提升生态环境治理效能。</w:t>
      </w:r>
      <w:r>
        <w:rPr>
          <w:rFonts w:hint="eastAsia" w:ascii="仿宋_GB2312" w:hAnsi="仿宋_GB2312" w:eastAsia="仿宋_GB2312" w:cs="仿宋_GB2312"/>
          <w:b/>
          <w:bCs/>
          <w:kern w:val="2"/>
          <w:sz w:val="32"/>
          <w:szCs w:val="32"/>
          <w:lang w:val="en-US" w:eastAsia="zh-CN" w:bidi="ar-SA"/>
        </w:rPr>
        <w:t>一是</w:t>
      </w:r>
      <w:r>
        <w:rPr>
          <w:rFonts w:hint="default" w:ascii="仿宋_GB2312" w:hAnsi="仿宋_GB2312" w:eastAsia="仿宋_GB2312" w:cs="仿宋_GB2312"/>
          <w:kern w:val="2"/>
          <w:sz w:val="32"/>
          <w:szCs w:val="32"/>
          <w:lang w:val="en-US" w:eastAsia="zh-CN" w:bidi="ar-SA"/>
        </w:rPr>
        <w:t>健全改革</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推进机制。对照中央、省、州、县关于生态文明体制改革的总体部署和要求</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实行“月调度、年总结”的工作机制，定期分析改革进展，协调解决困难问题，确保各项改革任务有序推进、落地见效。</w:t>
      </w:r>
      <w:r>
        <w:rPr>
          <w:rFonts w:hint="eastAsia" w:ascii="仿宋_GB2312" w:hAnsi="仿宋_GB2312" w:eastAsia="仿宋_GB2312" w:cs="仿宋_GB2312"/>
          <w:b/>
          <w:bCs/>
          <w:kern w:val="2"/>
          <w:sz w:val="32"/>
          <w:szCs w:val="32"/>
          <w:lang w:val="en-US" w:eastAsia="zh-CN" w:bidi="ar-SA"/>
        </w:rPr>
        <w:t>二是</w:t>
      </w:r>
      <w:r>
        <w:rPr>
          <w:rFonts w:hint="default" w:ascii="仿宋_GB2312" w:hAnsi="仿宋_GB2312" w:eastAsia="仿宋_GB2312" w:cs="仿宋_GB2312"/>
          <w:kern w:val="2"/>
          <w:sz w:val="32"/>
          <w:szCs w:val="32"/>
          <w:lang w:val="en-US" w:eastAsia="zh-CN" w:bidi="ar-SA"/>
        </w:rPr>
        <w:t>强化宣传，提高意识</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积极开展“六五环境日”、全国低碳日等主题宣传活动，创新宣传形式，利用新媒体平台广泛传播生态文明理念，组织开展环保设施向公众开放活动，提升了公众的生态环境意识和参与度，营造了全社会共同关、支持、参与生态环境保护的良好氛围。</w:t>
      </w:r>
    </w:p>
    <w:p w14:paraId="1065B2F0">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eastAsia" w:ascii="仿宋_GB2312" w:hAnsi="仿宋_GB2312" w:eastAsia="仿宋_GB2312" w:cs="仿宋_GB2312"/>
          <w:b/>
          <w:bCs/>
          <w:kern w:val="2"/>
          <w:sz w:val="32"/>
          <w:szCs w:val="32"/>
          <w:lang w:val="en-US" w:eastAsia="zh-CN" w:bidi="ar-SA"/>
        </w:rPr>
      </w:pPr>
      <w:bookmarkStart w:id="27" w:name="OLE_LINK3"/>
      <w:r>
        <w:rPr>
          <w:rFonts w:hint="eastAsia" w:ascii="仿宋_GB2312" w:hAnsi="仿宋_GB2312" w:eastAsia="仿宋_GB2312" w:cs="仿宋_GB2312"/>
          <w:b/>
          <w:bCs/>
          <w:kern w:val="2"/>
          <w:sz w:val="32"/>
          <w:szCs w:val="32"/>
          <w:lang w:val="en-US" w:eastAsia="zh-CN" w:bidi="ar-SA"/>
        </w:rPr>
        <w:t>5.</w:t>
      </w:r>
      <w:r>
        <w:rPr>
          <w:rFonts w:hint="default" w:ascii="仿宋_GB2312" w:hAnsi="仿宋_GB2312" w:eastAsia="仿宋_GB2312" w:cs="仿宋_GB2312"/>
          <w:b/>
          <w:bCs/>
          <w:kern w:val="2"/>
          <w:sz w:val="32"/>
          <w:szCs w:val="32"/>
          <w:lang w:val="en-US" w:eastAsia="zh-CN" w:bidi="ar-SA"/>
        </w:rPr>
        <w:t>强化党建引领作用，铸就过硬铁军战斗堡垒</w:t>
      </w:r>
    </w:p>
    <w:bookmarkEnd w:id="27"/>
    <w:p w14:paraId="41D2835F">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紧紧围绕党建工作要点，狠抓党建、党风廉政、作风建设等方面的工作。</w:t>
      </w:r>
      <w:r>
        <w:rPr>
          <w:rFonts w:hint="eastAsia" w:ascii="仿宋_GB2312" w:hAnsi="仿宋_GB2312" w:eastAsia="仿宋_GB2312" w:cs="仿宋_GB2312"/>
          <w:b/>
          <w:bCs/>
          <w:kern w:val="2"/>
          <w:sz w:val="32"/>
          <w:szCs w:val="32"/>
          <w:lang w:val="en-US" w:eastAsia="zh-CN" w:bidi="ar-SA"/>
        </w:rPr>
        <w:t>一是</w:t>
      </w:r>
      <w:r>
        <w:rPr>
          <w:rFonts w:hint="eastAsia" w:ascii="仿宋_GB2312" w:hAnsi="仿宋_GB2312" w:eastAsia="仿宋_GB2312" w:cs="仿宋_GB2312"/>
          <w:kern w:val="2"/>
          <w:sz w:val="32"/>
          <w:szCs w:val="32"/>
          <w:lang w:val="en-US" w:eastAsia="zh-CN" w:bidi="ar-SA"/>
        </w:rPr>
        <w:t>强化政治理论学习。</w:t>
      </w:r>
      <w:r>
        <w:rPr>
          <w:rFonts w:hint="eastAsia" w:ascii="仿宋_GB2312" w:hAnsi="仿宋_GB2312" w:eastAsia="仿宋_GB2312" w:cs="仿宋_GB2312"/>
          <w:b/>
          <w:bCs/>
          <w:kern w:val="2"/>
          <w:sz w:val="32"/>
          <w:szCs w:val="32"/>
          <w:lang w:val="en-US" w:eastAsia="zh-CN" w:bidi="ar-SA"/>
        </w:rPr>
        <w:t>二是</w:t>
      </w:r>
      <w:r>
        <w:rPr>
          <w:rFonts w:hint="eastAsia" w:ascii="仿宋_GB2312" w:hAnsi="仿宋_GB2312" w:eastAsia="仿宋_GB2312" w:cs="仿宋_GB2312"/>
          <w:kern w:val="2"/>
          <w:sz w:val="32"/>
          <w:szCs w:val="32"/>
          <w:lang w:val="en-US" w:eastAsia="zh-CN" w:bidi="ar-SA"/>
        </w:rPr>
        <w:t>严肃党内政治生活。</w:t>
      </w:r>
      <w:r>
        <w:rPr>
          <w:rFonts w:hint="eastAsia" w:ascii="仿宋_GB2312" w:hAnsi="仿宋_GB2312" w:eastAsia="仿宋_GB2312" w:cs="仿宋_GB2312"/>
          <w:b/>
          <w:bCs/>
          <w:kern w:val="2"/>
          <w:sz w:val="32"/>
          <w:szCs w:val="32"/>
          <w:lang w:val="en-US" w:eastAsia="zh-CN" w:bidi="ar-SA"/>
        </w:rPr>
        <w:t>三是</w:t>
      </w:r>
      <w:r>
        <w:rPr>
          <w:rFonts w:hint="eastAsia" w:ascii="仿宋_GB2312" w:hAnsi="仿宋_GB2312" w:eastAsia="仿宋_GB2312" w:cs="仿宋_GB2312"/>
          <w:kern w:val="2"/>
          <w:sz w:val="32"/>
          <w:szCs w:val="32"/>
          <w:lang w:val="en-US" w:eastAsia="zh-CN" w:bidi="ar-SA"/>
        </w:rPr>
        <w:t>不断夯实党建基础。</w:t>
      </w:r>
      <w:r>
        <w:rPr>
          <w:rFonts w:hint="eastAsia" w:ascii="仿宋_GB2312" w:hAnsi="仿宋_GB2312" w:eastAsia="仿宋_GB2312" w:cs="仿宋_GB2312"/>
          <w:b/>
          <w:bCs/>
          <w:kern w:val="2"/>
          <w:sz w:val="32"/>
          <w:szCs w:val="32"/>
          <w:lang w:val="en-US" w:eastAsia="zh-CN" w:bidi="ar-SA"/>
        </w:rPr>
        <w:t>四是</w:t>
      </w:r>
      <w:r>
        <w:rPr>
          <w:rFonts w:hint="eastAsia" w:ascii="仿宋_GB2312" w:hAnsi="仿宋_GB2312" w:eastAsia="仿宋_GB2312" w:cs="仿宋_GB2312"/>
          <w:kern w:val="2"/>
          <w:sz w:val="32"/>
          <w:szCs w:val="32"/>
          <w:lang w:val="en-US" w:eastAsia="zh-CN" w:bidi="ar-SA"/>
        </w:rPr>
        <w:t>强化作风建设。</w:t>
      </w:r>
    </w:p>
    <w:p w14:paraId="41F9FBF8">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3" w:firstLineChars="200"/>
        <w:textAlignment w:val="auto"/>
        <w:rPr>
          <w:rFonts w:hint="eastAsia" w:ascii="仿宋_GB2312" w:hAnsi="仿宋_GB2312" w:eastAsia="仿宋_GB2312" w:cs="仿宋_GB2312"/>
          <w:b/>
          <w:bCs/>
          <w:kern w:val="2"/>
          <w:sz w:val="32"/>
          <w:szCs w:val="32"/>
          <w:lang w:val="en-US" w:eastAsia="zh-CN" w:bidi="ar-SA"/>
        </w:rPr>
      </w:pPr>
      <w:bookmarkStart w:id="28" w:name="_Toc15396601"/>
      <w:bookmarkStart w:id="29" w:name="_Toc79163855"/>
      <w:bookmarkStart w:id="30" w:name="_Toc79163605"/>
      <w:bookmarkStart w:id="31" w:name="_Toc15377200"/>
      <w:r>
        <w:rPr>
          <w:rFonts w:hint="eastAsia" w:ascii="仿宋_GB2312" w:hAnsi="仿宋_GB2312" w:eastAsia="仿宋_GB2312" w:cs="仿宋_GB2312"/>
          <w:b/>
          <w:bCs/>
          <w:kern w:val="2"/>
          <w:sz w:val="32"/>
          <w:szCs w:val="32"/>
          <w:lang w:val="en-US" w:eastAsia="zh-CN" w:bidi="ar-SA"/>
        </w:rPr>
        <w:t>二、机构设置</w:t>
      </w:r>
      <w:bookmarkEnd w:id="28"/>
      <w:bookmarkEnd w:id="29"/>
      <w:bookmarkEnd w:id="30"/>
      <w:bookmarkEnd w:id="31"/>
      <w:bookmarkStart w:id="32" w:name="_Toc15396602"/>
      <w:bookmarkStart w:id="33" w:name="_Toc79163859"/>
      <w:bookmarkStart w:id="34" w:name="_Toc79163609"/>
      <w:bookmarkStart w:id="35" w:name="_Toc15377204"/>
    </w:p>
    <w:p w14:paraId="5B4A40BC">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理县生态环境局属财政全额拨款的行政单位，内设办公室、综合股、生态农村股、行政审批股、环境执法大队、环境监测站等6个股室。</w:t>
      </w:r>
    </w:p>
    <w:p w14:paraId="2156E876">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理县生态环境局总编制15名，其中：行政编制3名、参公编制12名。现实有人数12人，其中：公务员及参公9人、机关工勤3人。</w:t>
      </w:r>
    </w:p>
    <w:p w14:paraId="6325E327">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p>
    <w:p w14:paraId="56833E13">
      <w:pPr>
        <w:pStyle w:val="2"/>
        <w:pageBreakBefore w:val="0"/>
        <w:widowControl w:val="0"/>
        <w:kinsoku/>
        <w:wordWrap/>
        <w:overflowPunct/>
        <w:topLinePunct w:val="0"/>
        <w:autoSpaceDE/>
        <w:autoSpaceDN/>
        <w:bidi w:val="0"/>
        <w:adjustRightInd/>
        <w:snapToGrid/>
        <w:spacing w:line="572" w:lineRule="atLeast"/>
        <w:ind w:right="440"/>
        <w:jc w:val="center"/>
        <w:textAlignment w:val="auto"/>
      </w:pPr>
      <w:bookmarkStart w:id="138" w:name="_GoBack"/>
      <w:bookmarkEnd w:id="138"/>
      <w:r>
        <w:rPr>
          <w:rFonts w:hint="eastAsia" w:ascii="黑体" w:hAnsi="黑体" w:eastAsia="黑体"/>
          <w:b w:val="0"/>
          <w:color w:val="000000"/>
        </w:rPr>
        <w:t>第二部分</w:t>
      </w:r>
      <w:r>
        <w:rPr>
          <w:rFonts w:ascii="黑体" w:hAnsi="黑体" w:eastAsia="黑体"/>
          <w:color w:val="000000"/>
        </w:rPr>
        <w:t xml:space="preserve"> </w:t>
      </w:r>
      <w:r>
        <w:rPr>
          <w:rStyle w:val="31"/>
          <w:rFonts w:ascii="黑体" w:hAnsi="黑体" w:eastAsia="黑体"/>
          <w:b w:val="0"/>
          <w:bCs w:val="0"/>
        </w:rPr>
        <w:t>202</w:t>
      </w:r>
      <w:r>
        <w:rPr>
          <w:rStyle w:val="31"/>
          <w:rFonts w:hint="eastAsia" w:ascii="黑体" w:hAnsi="黑体" w:eastAsia="黑体"/>
          <w:b w:val="0"/>
          <w:bCs w:val="0"/>
          <w:lang w:val="en-US" w:eastAsia="zh-CN"/>
        </w:rPr>
        <w:t>5</w:t>
      </w:r>
      <w:r>
        <w:rPr>
          <w:rStyle w:val="31"/>
          <w:rFonts w:hint="eastAsia" w:ascii="黑体" w:hAnsi="黑体" w:eastAsia="黑体"/>
          <w:b w:val="0"/>
          <w:bCs w:val="0"/>
        </w:rPr>
        <w:t>年度</w:t>
      </w:r>
      <w:r>
        <w:rPr>
          <w:rStyle w:val="31"/>
          <w:rFonts w:hint="eastAsia" w:ascii="黑体" w:hAnsi="黑体" w:eastAsia="黑体"/>
          <w:b w:val="0"/>
          <w:bCs w:val="0"/>
          <w:lang w:eastAsia="zh-CN"/>
        </w:rPr>
        <w:t>单位</w:t>
      </w:r>
      <w:r>
        <w:rPr>
          <w:rStyle w:val="31"/>
          <w:rFonts w:hint="eastAsia" w:ascii="黑体" w:hAnsi="黑体" w:eastAsia="黑体"/>
          <w:b w:val="0"/>
          <w:bCs w:val="0"/>
        </w:rPr>
        <w:t>决算情况说明</w:t>
      </w:r>
      <w:bookmarkEnd w:id="32"/>
      <w:bookmarkEnd w:id="33"/>
      <w:bookmarkEnd w:id="34"/>
      <w:bookmarkEnd w:id="35"/>
    </w:p>
    <w:p w14:paraId="09480A02">
      <w:pPr>
        <w:pStyle w:val="42"/>
        <w:pageBreakBefore w:val="0"/>
        <w:widowControl w:val="0"/>
        <w:numPr>
          <w:ilvl w:val="0"/>
          <w:numId w:val="0"/>
        </w:numPr>
        <w:kinsoku/>
        <w:wordWrap/>
        <w:overflowPunct/>
        <w:topLinePunct w:val="0"/>
        <w:autoSpaceDE/>
        <w:autoSpaceDN/>
        <w:bidi w:val="0"/>
        <w:adjustRightInd/>
        <w:snapToGrid/>
        <w:spacing w:line="572" w:lineRule="atLeast"/>
        <w:ind w:firstLine="640" w:firstLineChars="200"/>
        <w:textAlignment w:val="auto"/>
        <w:outlineLvl w:val="1"/>
        <w:rPr>
          <w:rStyle w:val="32"/>
          <w:rFonts w:ascii="黑体" w:hAnsi="黑体" w:eastAsia="黑体"/>
          <w:b w:val="0"/>
        </w:rPr>
      </w:pPr>
      <w:bookmarkStart w:id="36" w:name="_Toc15396603"/>
      <w:bookmarkStart w:id="37" w:name="_Toc79163610"/>
      <w:bookmarkStart w:id="38" w:name="_Toc15377205"/>
      <w:bookmarkStart w:id="39" w:name="_Toc79163860"/>
      <w:r>
        <w:rPr>
          <w:rFonts w:hint="eastAsia" w:ascii="黑体" w:hAnsi="黑体" w:eastAsia="黑体"/>
          <w:color w:val="000000"/>
          <w:sz w:val="32"/>
          <w:szCs w:val="32"/>
          <w:lang w:eastAsia="zh-CN"/>
        </w:rPr>
        <w:t>一、</w:t>
      </w:r>
      <w:r>
        <w:rPr>
          <w:rFonts w:hint="eastAsia" w:ascii="黑体" w:hAnsi="黑体" w:eastAsia="黑体"/>
          <w:color w:val="000000"/>
          <w:sz w:val="32"/>
          <w:szCs w:val="32"/>
        </w:rPr>
        <w:t>收</w:t>
      </w:r>
      <w:r>
        <w:rPr>
          <w:rStyle w:val="32"/>
          <w:rFonts w:hint="eastAsia" w:ascii="黑体" w:hAnsi="黑体" w:eastAsia="黑体"/>
          <w:b w:val="0"/>
        </w:rPr>
        <w:t>入支出决算总体情况说明</w:t>
      </w:r>
      <w:bookmarkEnd w:id="36"/>
      <w:bookmarkEnd w:id="37"/>
      <w:bookmarkEnd w:id="38"/>
      <w:bookmarkEnd w:id="39"/>
    </w:p>
    <w:p w14:paraId="31C17E9A">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2025年度收入、支出均为351.02万元。与2024年度相比，收、支总计各减少1126.31万元，下降76.2%，主要变动原因是项目收支减少。</w:t>
      </w:r>
    </w:p>
    <w:p w14:paraId="7F4F98B4">
      <w:pPr>
        <w:pStyle w:val="24"/>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576"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（图1：收、支决算总计变动情况图）（柱状图）</w:t>
      </w:r>
      <w:bookmarkStart w:id="40" w:name="_Toc15396604"/>
      <w:bookmarkStart w:id="41" w:name="_Toc79163611"/>
      <w:bookmarkStart w:id="42" w:name="_Toc79163861"/>
      <w:bookmarkStart w:id="43" w:name="_Toc15377206"/>
    </w:p>
    <w:p w14:paraId="6A94B2A4">
      <w:pPr>
        <w:pStyle w:val="42"/>
        <w:keepNext w:val="0"/>
        <w:keepLines w:val="0"/>
        <w:pageBreakBefore w:val="0"/>
        <w:widowControl w:val="0"/>
        <w:numPr>
          <w:ilvl w:val="0"/>
          <w:numId w:val="0"/>
        </w:numPr>
        <w:kinsoku/>
        <w:wordWrap/>
        <w:overflowPunct/>
        <w:topLinePunct w:val="0"/>
        <w:autoSpaceDE/>
        <w:autoSpaceDN/>
        <w:bidi w:val="0"/>
        <w:adjustRightInd/>
        <w:snapToGrid/>
        <w:spacing w:line="572" w:lineRule="exact"/>
        <w:ind w:left="640" w:leftChars="0"/>
        <w:textAlignment w:val="auto"/>
        <w:outlineLvl w:val="1"/>
        <w:rPr>
          <w:rFonts w:hint="eastAsia" w:ascii="黑体" w:hAnsi="黑体" w:eastAsia="黑体"/>
          <w:color w:val="000000"/>
          <w:sz w:val="32"/>
          <w:szCs w:val="32"/>
          <w:lang w:eastAsia="zh-CN"/>
        </w:rPr>
      </w:pPr>
      <w:r>
        <w:rPr>
          <w:rFonts w:hint="eastAsia" w:ascii="仿宋" w:hAnsi="仿宋" w:eastAsia="仿宋"/>
          <w:b/>
          <w:color w:val="00B050"/>
          <w:sz w:val="32"/>
          <w:szCs w:val="32"/>
        </w:rPr>
        <w:drawing>
          <wp:anchor distT="0" distB="0" distL="114300" distR="114300" simplePos="0" relativeHeight="251661312" behindDoc="0" locked="0" layoutInCell="1" allowOverlap="1">
            <wp:simplePos x="0" y="0"/>
            <wp:positionH relativeFrom="column">
              <wp:posOffset>50165</wp:posOffset>
            </wp:positionH>
            <wp:positionV relativeFrom="paragraph">
              <wp:posOffset>167005</wp:posOffset>
            </wp:positionV>
            <wp:extent cx="5287645" cy="3466465"/>
            <wp:effectExtent l="4445" t="4445" r="22860" b="1524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FB69EBE">
      <w:pPr>
        <w:pStyle w:val="42"/>
        <w:keepNext w:val="0"/>
        <w:keepLines w:val="0"/>
        <w:pageBreakBefore w:val="0"/>
        <w:widowControl w:val="0"/>
        <w:numPr>
          <w:ilvl w:val="0"/>
          <w:numId w:val="0"/>
        </w:numPr>
        <w:kinsoku/>
        <w:wordWrap/>
        <w:overflowPunct/>
        <w:topLinePunct w:val="0"/>
        <w:autoSpaceDE/>
        <w:autoSpaceDN/>
        <w:bidi w:val="0"/>
        <w:adjustRightInd/>
        <w:snapToGrid/>
        <w:spacing w:line="572" w:lineRule="exact"/>
        <w:ind w:left="640" w:leftChars="0"/>
        <w:textAlignment w:val="auto"/>
        <w:outlineLvl w:val="1"/>
        <w:rPr>
          <w:rStyle w:val="32"/>
          <w:rFonts w:ascii="黑体" w:hAnsi="黑体" w:eastAsia="黑体"/>
          <w:b w:val="0"/>
        </w:rPr>
      </w:pPr>
      <w:r>
        <w:rPr>
          <w:rFonts w:hint="eastAsia" w:ascii="黑体" w:hAnsi="黑体" w:eastAsia="黑体"/>
          <w:color w:val="000000"/>
          <w:sz w:val="32"/>
          <w:szCs w:val="32"/>
          <w:lang w:eastAsia="zh-CN"/>
        </w:rPr>
        <w:t>二、</w:t>
      </w:r>
      <w:r>
        <w:rPr>
          <w:rFonts w:hint="eastAsia" w:ascii="黑体" w:hAnsi="黑体" w:eastAsia="黑体"/>
          <w:color w:val="000000"/>
          <w:sz w:val="32"/>
          <w:szCs w:val="32"/>
        </w:rPr>
        <w:t>收</w:t>
      </w:r>
      <w:r>
        <w:rPr>
          <w:rStyle w:val="32"/>
          <w:rFonts w:hint="eastAsia" w:ascii="黑体" w:hAnsi="黑体" w:eastAsia="黑体"/>
          <w:b w:val="0"/>
        </w:rPr>
        <w:t>入决算情况说明</w:t>
      </w:r>
      <w:bookmarkEnd w:id="40"/>
      <w:bookmarkEnd w:id="41"/>
      <w:bookmarkEnd w:id="42"/>
      <w:bookmarkEnd w:id="43"/>
    </w:p>
    <w:p w14:paraId="2E25260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收入合计351.02万元，一般公共预算财政拨款收入351.02万元，占100%；政府性基金预算财政拨款收入0万元，占0%；国有资本经营预算财政拨款收入0万元，占0%；上级补助收入0万元，占0%；事业收入0万元，占0%；经营收入0万元，占0%；附属单位上缴收入0万元，占0%</w:t>
      </w:r>
      <w:r>
        <w:rPr>
          <w:rFonts w:hint="eastAsia" w:ascii="方正仿宋_GBK" w:hAnsi="方正仿宋_GBK" w:eastAsia="方正仿宋_GBK" w:cs="方正仿宋_GBK"/>
          <w:color w:val="000000" w:themeColor="text1"/>
          <w:sz w:val="32"/>
          <w:szCs w:val="32"/>
          <w14:textFill>
            <w14:solidFill>
              <w14:schemeClr w14:val="tx1"/>
            </w14:solidFill>
          </w14:textFill>
        </w:rPr>
        <w:t>；</w:t>
      </w:r>
      <w:r>
        <w:rPr>
          <w:rFonts w:hint="eastAsia" w:ascii="仿宋_GB2312" w:hAnsi="仿宋_GB2312" w:eastAsia="仿宋_GB2312" w:cs="仿宋_GB2312"/>
          <w:kern w:val="2"/>
          <w:sz w:val="32"/>
          <w:szCs w:val="32"/>
          <w:lang w:val="en-US" w:eastAsia="zh-CN" w:bidi="ar-SA"/>
        </w:rPr>
        <w:t>其他收入0万元，占0%。</w:t>
      </w:r>
    </w:p>
    <w:p w14:paraId="28D863B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59264" behindDoc="0" locked="0" layoutInCell="1" allowOverlap="1">
            <wp:simplePos x="0" y="0"/>
            <wp:positionH relativeFrom="column">
              <wp:posOffset>74930</wp:posOffset>
            </wp:positionH>
            <wp:positionV relativeFrom="paragraph">
              <wp:posOffset>654685</wp:posOffset>
            </wp:positionV>
            <wp:extent cx="5205095" cy="2640965"/>
            <wp:effectExtent l="4445" t="4445" r="10160" b="21590"/>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仿宋_GB2312" w:hAnsi="仿宋_GB2312" w:eastAsia="仿宋_GB2312" w:cs="仿宋_GB2312"/>
          <w:kern w:val="2"/>
          <w:sz w:val="32"/>
          <w:szCs w:val="32"/>
          <w:lang w:val="en-US" w:eastAsia="zh-CN" w:bidi="ar-SA"/>
        </w:rPr>
        <w:t>（图2：收入决算结构图）（饼状图）</w:t>
      </w:r>
      <w:bookmarkStart w:id="44" w:name="_Toc15377207"/>
      <w:bookmarkStart w:id="45" w:name="_Toc79163612"/>
      <w:bookmarkStart w:id="46" w:name="_Toc79163862"/>
      <w:bookmarkStart w:id="47" w:name="_Toc15396605"/>
    </w:p>
    <w:p w14:paraId="5D01A0E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黑体" w:hAnsi="黑体" w:eastAsia="黑体" w:cs="Times New Roman"/>
          <w:color w:val="000000"/>
          <w:kern w:val="2"/>
          <w:sz w:val="32"/>
          <w:szCs w:val="32"/>
          <w:lang w:val="en-US" w:eastAsia="zh-CN" w:bidi="ar-SA"/>
        </w:rPr>
      </w:pPr>
      <w:r>
        <w:rPr>
          <w:rFonts w:hint="eastAsia" w:ascii="黑体" w:hAnsi="黑体" w:eastAsia="黑体" w:cs="Times New Roman"/>
          <w:color w:val="000000"/>
          <w:kern w:val="2"/>
          <w:sz w:val="32"/>
          <w:szCs w:val="32"/>
          <w:lang w:val="en-US" w:eastAsia="zh-CN" w:bidi="ar-SA"/>
        </w:rPr>
        <w:t>三、支出决算情况说明</w:t>
      </w:r>
      <w:bookmarkEnd w:id="44"/>
      <w:bookmarkEnd w:id="45"/>
      <w:bookmarkEnd w:id="46"/>
      <w:bookmarkEnd w:id="47"/>
    </w:p>
    <w:p w14:paraId="1DD6DAB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2025年度本年支出合计351.02万元，其中：基本支出212.88万元，占60.6%；项目支出138.15万元，占39.4%；上缴上级支出0万元，占0%；经营支出0万元，占0%；对附属单位补助支出0万元，占0%。</w:t>
      </w:r>
    </w:p>
    <w:p w14:paraId="65AE903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（图3：支出决算结构图）（饼状图）</w:t>
      </w:r>
    </w:p>
    <w:p w14:paraId="3F6E86F9">
      <w:pPr>
        <w:pStyle w:val="14"/>
        <w:rPr>
          <w:rFonts w:hint="eastAsia" w:ascii="黑体" w:hAnsi="黑体" w:eastAsia="黑体"/>
          <w:color w:val="000000"/>
          <w:sz w:val="32"/>
          <w:szCs w:val="32"/>
        </w:rPr>
      </w:pPr>
      <w:bookmarkStart w:id="48" w:name="_Toc79163613"/>
      <w:bookmarkStart w:id="49" w:name="_Toc15396606"/>
      <w:bookmarkStart w:id="50" w:name="_Toc79163863"/>
      <w:bookmarkStart w:id="51" w:name="_Toc15377208"/>
      <w:r>
        <w:rPr>
          <w:rFonts w:hint="eastAsia" w:ascii="仿宋" w:hAnsi="仿宋" w:eastAsia="仿宋"/>
          <w:color w:val="000000"/>
          <w:sz w:val="32"/>
          <w:szCs w:val="32"/>
          <w:lang w:eastAsia="zh-CN"/>
        </w:rPr>
        <w:drawing>
          <wp:inline distT="0" distB="0" distL="114300" distR="114300">
            <wp:extent cx="5213350" cy="2724785"/>
            <wp:effectExtent l="4445" t="4445" r="20955" b="1397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End w:id="48"/>
    <w:bookmarkEnd w:id="49"/>
    <w:bookmarkEnd w:id="50"/>
    <w:bookmarkEnd w:id="51"/>
    <w:p w14:paraId="5E89311D">
      <w:pPr>
        <w:spacing w:line="600" w:lineRule="exact"/>
        <w:ind w:firstLine="640" w:firstLineChars="200"/>
        <w:rPr>
          <w:rStyle w:val="32"/>
          <w:rFonts w:ascii="黑体" w:hAnsi="黑体" w:eastAsia="黑体"/>
          <w:b w:val="0"/>
        </w:rPr>
      </w:pPr>
      <w:bookmarkStart w:id="52" w:name="_Toc79163864"/>
      <w:bookmarkStart w:id="53" w:name="_Toc79163614"/>
      <w:bookmarkStart w:id="54" w:name="_Toc15396607"/>
      <w:bookmarkStart w:id="55" w:name="_Toc15377209"/>
      <w:r>
        <w:rPr>
          <w:rFonts w:hint="eastAsia" w:ascii="黑体" w:hAnsi="黑体" w:eastAsia="黑体"/>
          <w:color w:val="000000"/>
          <w:sz w:val="32"/>
          <w:szCs w:val="32"/>
        </w:rPr>
        <w:t>四、财政</w:t>
      </w:r>
      <w:r>
        <w:rPr>
          <w:rStyle w:val="32"/>
          <w:rFonts w:hint="eastAsia" w:ascii="黑体" w:hAnsi="黑体" w:eastAsia="黑体"/>
          <w:b w:val="0"/>
        </w:rPr>
        <w:t>拨款收入支出决算总体情况说明</w:t>
      </w:r>
    </w:p>
    <w:p w14:paraId="441A6F0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2025年度收入、支出均为351.02万元。与2024年度相比，财政拨款收、支总计各减少1126.31万元，下降76.2%。主要变动原因是项目收支减少。</w:t>
      </w:r>
    </w:p>
    <w:p w14:paraId="46AD466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（图4：财政拨款收、支决算总计变动情况）（柱状图）</w:t>
      </w:r>
    </w:p>
    <w:p w14:paraId="1088C54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0288" behindDoc="0" locked="0" layoutInCell="1" allowOverlap="1">
            <wp:simplePos x="0" y="0"/>
            <wp:positionH relativeFrom="column">
              <wp:posOffset>-46355</wp:posOffset>
            </wp:positionH>
            <wp:positionV relativeFrom="paragraph">
              <wp:posOffset>308610</wp:posOffset>
            </wp:positionV>
            <wp:extent cx="5364480" cy="4982845"/>
            <wp:effectExtent l="4445" t="4445" r="22225" b="22860"/>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91BA91D">
      <w:pPr>
        <w:spacing w:line="600" w:lineRule="exact"/>
        <w:ind w:firstLine="643" w:firstLineChars="200"/>
        <w:outlineLvl w:val="1"/>
        <w:rPr>
          <w:rStyle w:val="32"/>
          <w:rFonts w:ascii="黑体" w:hAnsi="黑体" w:eastAsia="黑体"/>
          <w:b w:val="0"/>
        </w:rPr>
      </w:pPr>
      <w:r>
        <w:rPr>
          <w:rFonts w:hint="eastAsia" w:ascii="黑体" w:hAnsi="黑体" w:eastAsia="黑体"/>
          <w:b/>
          <w:color w:val="000000"/>
          <w:sz w:val="32"/>
          <w:szCs w:val="32"/>
          <w:lang w:eastAsia="zh-CN"/>
        </w:rPr>
        <w:t>五、</w:t>
      </w:r>
      <w:r>
        <w:rPr>
          <w:rFonts w:hint="eastAsia" w:ascii="黑体" w:hAnsi="黑体" w:eastAsia="黑体"/>
          <w:b/>
          <w:color w:val="000000"/>
          <w:sz w:val="32"/>
          <w:szCs w:val="32"/>
        </w:rPr>
        <w:t>一</w:t>
      </w:r>
      <w:r>
        <w:rPr>
          <w:rStyle w:val="32"/>
          <w:rFonts w:hint="eastAsia" w:ascii="黑体" w:hAnsi="黑体" w:eastAsia="黑体"/>
          <w:b w:val="0"/>
        </w:rPr>
        <w:t>般公共预算财政拨款支出决算情况说明</w:t>
      </w:r>
      <w:bookmarkEnd w:id="52"/>
      <w:bookmarkEnd w:id="53"/>
      <w:bookmarkEnd w:id="54"/>
      <w:bookmarkEnd w:id="55"/>
    </w:p>
    <w:p w14:paraId="214D027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56" w:name="_Toc79163615"/>
      <w:bookmarkStart w:id="57" w:name="_Toc79163865"/>
      <w:bookmarkStart w:id="58" w:name="_Toc15377210"/>
      <w:r>
        <w:rPr>
          <w:rFonts w:hint="eastAsia" w:ascii="仿宋_GB2312" w:hAnsi="仿宋_GB2312" w:eastAsia="仿宋_GB2312" w:cs="仿宋_GB2312"/>
          <w:kern w:val="2"/>
          <w:sz w:val="32"/>
          <w:szCs w:val="32"/>
          <w:lang w:val="en-US" w:eastAsia="zh-CN" w:bidi="ar-SA"/>
        </w:rPr>
        <w:t>（一）一般公共预算财政拨款支出决算总体情况</w:t>
      </w:r>
      <w:bookmarkEnd w:id="56"/>
      <w:bookmarkEnd w:id="57"/>
      <w:bookmarkEnd w:id="58"/>
    </w:p>
    <w:p w14:paraId="023EF58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2025年度一般公共预算财政拨款支出351.02万元，占本年支出合计的100%</w:t>
      </w:r>
      <w:bookmarkStart w:id="59" w:name="_Toc79163616"/>
      <w:bookmarkStart w:id="60" w:name="_Toc79163866"/>
      <w:bookmarkStart w:id="61" w:name="_Toc15377211"/>
      <w:r>
        <w:rPr>
          <w:rFonts w:hint="eastAsia" w:ascii="仿宋_GB2312" w:hAnsi="仿宋_GB2312" w:eastAsia="仿宋_GB2312" w:cs="仿宋_GB2312"/>
          <w:kern w:val="2"/>
          <w:sz w:val="32"/>
          <w:szCs w:val="32"/>
          <w:lang w:val="en-US" w:eastAsia="zh-CN" w:bidi="ar-SA"/>
        </w:rPr>
        <w:t>。与2024年度相比，一般公共预算财政拨款支出减少1126.31万元，下降76.2%，主要变动原因是项目收支减少。</w:t>
      </w:r>
    </w:p>
    <w:p w14:paraId="214CE89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114300" distR="114300" simplePos="0" relativeHeight="251662336" behindDoc="0" locked="0" layoutInCell="1" allowOverlap="1">
            <wp:simplePos x="0" y="0"/>
            <wp:positionH relativeFrom="column">
              <wp:posOffset>61595</wp:posOffset>
            </wp:positionH>
            <wp:positionV relativeFrom="paragraph">
              <wp:posOffset>833120</wp:posOffset>
            </wp:positionV>
            <wp:extent cx="5144135" cy="4266565"/>
            <wp:effectExtent l="4445" t="4445" r="13970" b="1524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kern w:val="2"/>
          <w:sz w:val="32"/>
          <w:szCs w:val="32"/>
          <w:lang w:val="en-US" w:eastAsia="zh-CN" w:bidi="ar-SA"/>
        </w:rPr>
        <w:t>（图5：一般公共预算财政拨款支出决算变动情况）（柱状图）</w:t>
      </w:r>
    </w:p>
    <w:p w14:paraId="6D509420">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outlineLvl w:val="2"/>
        <w:rPr>
          <w:rFonts w:hint="eastAsia" w:ascii="仿宋" w:hAnsi="仿宋" w:eastAsia="仿宋"/>
          <w:b/>
          <w:color w:val="000000"/>
          <w:sz w:val="32"/>
          <w:szCs w:val="32"/>
        </w:rPr>
      </w:pPr>
    </w:p>
    <w:p w14:paraId="6812C6B8">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outlineLvl w:val="2"/>
        <w:rPr>
          <w:rFonts w:ascii="仿宋" w:hAnsi="仿宋" w:eastAsia="仿宋"/>
          <w:b w:val="0"/>
          <w:bCs/>
          <w:color w:val="000000"/>
          <w:sz w:val="32"/>
          <w:szCs w:val="32"/>
        </w:rPr>
      </w:pPr>
      <w:r>
        <w:rPr>
          <w:rFonts w:hint="eastAsia" w:ascii="仿宋" w:hAnsi="仿宋" w:eastAsia="仿宋"/>
          <w:b/>
          <w:color w:val="000000"/>
          <w:sz w:val="32"/>
          <w:szCs w:val="32"/>
        </w:rPr>
        <w:t>（二）</w:t>
      </w:r>
      <w:r>
        <w:rPr>
          <w:rFonts w:hint="eastAsia" w:ascii="仿宋" w:hAnsi="仿宋" w:eastAsia="仿宋"/>
          <w:b/>
          <w:bCs w:val="0"/>
          <w:color w:val="000000"/>
          <w:sz w:val="32"/>
          <w:szCs w:val="32"/>
        </w:rPr>
        <w:t>一般公共预算财政拨款支出决算结构情况</w:t>
      </w:r>
      <w:bookmarkEnd w:id="59"/>
      <w:bookmarkEnd w:id="60"/>
      <w:bookmarkEnd w:id="61"/>
    </w:p>
    <w:p w14:paraId="4703DF4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2025年度一般公共预算财政拨款支出351.02万元，主要用于以下方面:社会保障和就业（类）支出38.3万元，占10.9%；卫生健康支出12.39万元，占3.5%；节能环保支出280.77万元，占80%；住房保障支出19.56万元，占5.6%。</w:t>
      </w:r>
    </w:p>
    <w:p w14:paraId="0F28E339">
      <w:pPr>
        <w:keepNext w:val="0"/>
        <w:keepLines w:val="0"/>
        <w:pageBreakBefore w:val="0"/>
        <w:widowControl w:val="0"/>
        <w:kinsoku/>
        <w:wordWrap/>
        <w:overflowPunct/>
        <w:topLinePunct w:val="0"/>
        <w:autoSpaceDE/>
        <w:autoSpaceDN/>
        <w:bidi w:val="0"/>
        <w:adjustRightInd/>
        <w:snapToGrid/>
        <w:spacing w:line="572" w:lineRule="exact"/>
        <w:textAlignment w:val="auto"/>
        <w:rPr>
          <w:rFonts w:hint="eastAsia" w:ascii="方正仿宋_GBK" w:hAnsi="方正仿宋_GBK" w:eastAsia="方正仿宋_GBK" w:cs="方正仿宋_GBK"/>
          <w:color w:val="000000" w:themeColor="text1"/>
          <w:sz w:val="32"/>
          <w:szCs w:val="32"/>
          <w14:textFill>
            <w14:solidFill>
              <w14:schemeClr w14:val="tx1"/>
            </w14:solidFill>
          </w14:textFill>
        </w:rPr>
      </w:pPr>
    </w:p>
    <w:p w14:paraId="2306A71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（图6：一般公共预算财政拨款支出决算结构）（饼状图）</w:t>
      </w:r>
    </w:p>
    <w:p w14:paraId="4C5BDD92">
      <w:pPr>
        <w:pStyle w:val="14"/>
        <w:rPr>
          <w:rFonts w:ascii="仿宋" w:hAnsi="仿宋" w:eastAsia="仿宋"/>
          <w:color w:val="000000"/>
          <w:sz w:val="32"/>
          <w:szCs w:val="32"/>
        </w:rPr>
      </w:pPr>
      <w:r>
        <w:rPr>
          <w:rFonts w:hint="eastAsia" w:ascii="仿宋" w:hAnsi="仿宋" w:eastAsia="仿宋"/>
          <w:color w:val="000000"/>
          <w:sz w:val="32"/>
          <w:szCs w:val="32"/>
          <w:lang w:eastAsia="zh-CN"/>
        </w:rPr>
        <w:drawing>
          <wp:inline distT="0" distB="0" distL="114300" distR="114300">
            <wp:extent cx="5346065" cy="3123565"/>
            <wp:effectExtent l="4445" t="4445" r="21590" b="1524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F3C553">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ascii="仿宋" w:hAnsi="仿宋" w:eastAsia="仿宋"/>
          <w:b/>
          <w:color w:val="000000"/>
          <w:sz w:val="32"/>
          <w:szCs w:val="32"/>
        </w:rPr>
      </w:pPr>
      <w:bookmarkStart w:id="62" w:name="_Toc79163867"/>
      <w:bookmarkStart w:id="63" w:name="_Toc15377212"/>
      <w:bookmarkStart w:id="64" w:name="_Toc79163617"/>
      <w:r>
        <w:rPr>
          <w:rFonts w:hint="eastAsia" w:ascii="仿宋" w:hAnsi="仿宋" w:eastAsia="仿宋"/>
          <w:b/>
          <w:color w:val="000000"/>
          <w:sz w:val="32"/>
          <w:szCs w:val="32"/>
        </w:rPr>
        <w:t>（三）一般公共预算财政拨款支出决算具体情况</w:t>
      </w:r>
      <w:bookmarkEnd w:id="62"/>
      <w:bookmarkEnd w:id="63"/>
      <w:bookmarkEnd w:id="64"/>
    </w:p>
    <w:p w14:paraId="6BA71C7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65" w:name="_Toc15377213"/>
      <w:bookmarkStart w:id="66" w:name="_Toc15377444"/>
      <w:bookmarkStart w:id="67" w:name="_Toc15378460"/>
      <w:r>
        <w:rPr>
          <w:rFonts w:hint="eastAsia" w:ascii="仿宋_GB2312" w:hAnsi="仿宋_GB2312" w:eastAsia="仿宋_GB2312" w:cs="仿宋_GB2312"/>
          <w:kern w:val="2"/>
          <w:sz w:val="32"/>
          <w:szCs w:val="32"/>
          <w:lang w:val="en-US" w:eastAsia="zh-CN" w:bidi="ar-SA"/>
        </w:rPr>
        <w:t>2025年度一般公共预算支出决算数为351.02万元，完成预算100%。其中：</w:t>
      </w:r>
      <w:bookmarkEnd w:id="65"/>
      <w:bookmarkEnd w:id="66"/>
      <w:bookmarkEnd w:id="67"/>
    </w:p>
    <w:p w14:paraId="2878649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1.社会保障和就业（类）208（款）05（项）: 支出决算为38.3万元，完成预算100%。 </w:t>
      </w:r>
    </w:p>
    <w:p w14:paraId="0BD0225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2.卫生健康（类）210（款）11（项）支出决算为12.39万元，完成预算100%。</w:t>
      </w:r>
    </w:p>
    <w:p w14:paraId="0DC0A6A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3.节能环保支出（类）211（款）：支出决算为280.77万元，完成预算100%，</w:t>
      </w:r>
    </w:p>
    <w:p w14:paraId="46AEA0E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4.住房保障支出（类）221（款）02（项）01：支出决算为19.56万元，完成预算100%，</w:t>
      </w:r>
    </w:p>
    <w:p w14:paraId="63AE5881">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hint="eastAsia" w:ascii="仿宋" w:hAnsi="仿宋" w:eastAsia="仿宋"/>
          <w:b/>
          <w:bCs/>
          <w:color w:val="000000"/>
          <w:sz w:val="32"/>
          <w:szCs w:val="32"/>
        </w:rPr>
      </w:pPr>
      <w:bookmarkStart w:id="68" w:name="_Toc15396608"/>
      <w:bookmarkStart w:id="69" w:name="_Toc79163868"/>
      <w:bookmarkStart w:id="70" w:name="_Toc15377214"/>
      <w:bookmarkStart w:id="71" w:name="_Toc79163618"/>
      <w:r>
        <w:rPr>
          <w:rFonts w:hint="eastAsia" w:ascii="仿宋" w:hAnsi="仿宋" w:eastAsia="仿宋"/>
          <w:b/>
          <w:bCs/>
          <w:color w:val="000000"/>
          <w:sz w:val="32"/>
          <w:szCs w:val="32"/>
        </w:rPr>
        <w:t>六、一般公共预算财政拨款基本支出决算情况说明</w:t>
      </w:r>
      <w:bookmarkEnd w:id="68"/>
      <w:bookmarkEnd w:id="69"/>
      <w:bookmarkEnd w:id="70"/>
      <w:bookmarkEnd w:id="71"/>
      <w:r>
        <w:rPr>
          <w:rFonts w:hint="eastAsia" w:ascii="仿宋" w:hAnsi="仿宋" w:eastAsia="仿宋"/>
          <w:b/>
          <w:bCs/>
          <w:color w:val="000000"/>
          <w:sz w:val="32"/>
          <w:szCs w:val="32"/>
        </w:rPr>
        <w:tab/>
      </w:r>
    </w:p>
    <w:p w14:paraId="5FA68F5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2025年度一般公共预算财政拨款基本支出212.88万元，其中：</w:t>
      </w:r>
    </w:p>
    <w:p w14:paraId="70D5BB3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人员经费182.43万元，主要包括：基本工资67.08万元、津贴补贴39.66万元、奖金4.93万元、机关事业单位基本养老保险缴费22.8万元、职业年金缴费11.4万元、职工基本医疗9.92万元、公务员医疗补助2.47万元、其他社会保障缴费0.51万元、住房公积金19.56万元、对个人和家庭的补助4.1万元。</w:t>
      </w:r>
    </w:p>
    <w:p w14:paraId="3B7D618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日常公用经费30.44万元，主要包括：办公费1.33万元、水费0.17万元、电费0.37万元、邮电费3.07万元、物业管理费0.89万元、差旅费7.89万元、维修（护）费1.05万元、劳务费0.6万元、福利费1.81万元、公务用车运行维护费9.66万元、其他商品服务支出3.6万元。</w:t>
      </w:r>
    </w:p>
    <w:p w14:paraId="17CFD9FA">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b w:val="0"/>
        </w:rPr>
      </w:pPr>
      <w:bookmarkStart w:id="72" w:name="_Toc15377215"/>
      <w:bookmarkStart w:id="73" w:name="_Toc79163869"/>
      <w:bookmarkStart w:id="74" w:name="_Toc15396609"/>
      <w:bookmarkStart w:id="75" w:name="_Toc79163619"/>
      <w:r>
        <w:rPr>
          <w:rFonts w:hint="eastAsia" w:ascii="黑体" w:eastAsia="黑体"/>
          <w:color w:val="000000"/>
          <w:sz w:val="32"/>
          <w:szCs w:val="32"/>
        </w:rPr>
        <w:t>七、</w:t>
      </w:r>
      <w:r>
        <w:rPr>
          <w:rStyle w:val="32"/>
          <w:rFonts w:hint="eastAsia" w:ascii="黑体" w:hAnsi="黑体" w:eastAsia="黑体"/>
        </w:rPr>
        <w:t>“</w:t>
      </w:r>
      <w:r>
        <w:rPr>
          <w:rStyle w:val="32"/>
          <w:rFonts w:hint="eastAsia" w:ascii="黑体" w:hAnsi="黑体" w:eastAsia="黑体"/>
          <w:b w:val="0"/>
        </w:rPr>
        <w:t>三公”经费财政拨款支出决算情况说明</w:t>
      </w:r>
      <w:bookmarkEnd w:id="72"/>
      <w:bookmarkEnd w:id="73"/>
      <w:bookmarkEnd w:id="74"/>
      <w:bookmarkEnd w:id="75"/>
    </w:p>
    <w:p w14:paraId="7F8CC98B">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2"/>
        <w:rPr>
          <w:rFonts w:ascii="仿宋" w:hAnsi="仿宋" w:eastAsia="仿宋"/>
          <w:b/>
          <w:color w:val="000000"/>
          <w:sz w:val="32"/>
          <w:szCs w:val="32"/>
        </w:rPr>
      </w:pPr>
      <w:bookmarkStart w:id="76" w:name="_Toc15377216"/>
      <w:bookmarkStart w:id="77" w:name="_Toc79163870"/>
      <w:bookmarkStart w:id="78" w:name="_Toc79163620"/>
      <w:r>
        <w:rPr>
          <w:rFonts w:hint="eastAsia" w:ascii="仿宋" w:hAnsi="仿宋" w:eastAsia="仿宋"/>
          <w:b/>
          <w:color w:val="000000"/>
          <w:sz w:val="32"/>
          <w:szCs w:val="32"/>
        </w:rPr>
        <w:t>（一）“三公”经费财政拨款支出决算总体情况说明</w:t>
      </w:r>
      <w:bookmarkEnd w:id="76"/>
      <w:bookmarkEnd w:id="77"/>
      <w:bookmarkEnd w:id="78"/>
    </w:p>
    <w:p w14:paraId="0913BE3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2025年度“三公”经费财政拨款支出决算为9.66万元，完成预算100%。较上年度减少2.42万元，下降20%。主要原因是公务用车使用、维修减少，2025年度未发生公务接待支出。</w:t>
      </w:r>
    </w:p>
    <w:p w14:paraId="42C67A93">
      <w:pPr>
        <w:keepNext w:val="0"/>
        <w:keepLines w:val="0"/>
        <w:pageBreakBefore w:val="0"/>
        <w:widowControl w:val="0"/>
        <w:kinsoku/>
        <w:wordWrap/>
        <w:overflowPunct/>
        <w:topLinePunct w:val="0"/>
        <w:autoSpaceDE/>
        <w:autoSpaceDN/>
        <w:bidi w:val="0"/>
        <w:adjustRightInd/>
        <w:snapToGrid/>
        <w:spacing w:line="572" w:lineRule="exact"/>
        <w:ind w:firstLine="640"/>
        <w:textAlignment w:val="auto"/>
        <w:outlineLvl w:val="2"/>
        <w:rPr>
          <w:rFonts w:ascii="仿宋" w:hAnsi="仿宋" w:eastAsia="仿宋"/>
          <w:b/>
          <w:color w:val="000000"/>
          <w:sz w:val="32"/>
          <w:szCs w:val="32"/>
        </w:rPr>
      </w:pPr>
      <w:bookmarkStart w:id="79" w:name="_Toc79163871"/>
      <w:bookmarkStart w:id="80" w:name="_Toc79163621"/>
      <w:bookmarkStart w:id="81" w:name="_Toc15377217"/>
      <w:r>
        <w:rPr>
          <w:rFonts w:hint="eastAsia" w:ascii="仿宋" w:hAnsi="仿宋" w:eastAsia="仿宋"/>
          <w:b/>
          <w:color w:val="000000"/>
          <w:sz w:val="32"/>
          <w:szCs w:val="32"/>
        </w:rPr>
        <w:t>（二）“三公”经费财政拨款支出决算具体情况说明</w:t>
      </w:r>
      <w:bookmarkEnd w:id="79"/>
      <w:bookmarkEnd w:id="80"/>
      <w:bookmarkEnd w:id="81"/>
    </w:p>
    <w:p w14:paraId="32BCBD5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2025年度“三公”经费财政拨款支出决算中，因公出国（境）费支出决算0万元，占0%；公务用车购置及运行维护费支出决算9.66万元，占100%；公务接待费支出决算0万元，占0%。具体情况如下：</w:t>
      </w:r>
    </w:p>
    <w:p w14:paraId="7E62A6C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（图7：“三公”经费财政拨款支出结构）（饼状图）</w:t>
      </w:r>
    </w:p>
    <w:p w14:paraId="536808EC">
      <w:pPr>
        <w:rPr>
          <w:rFonts w:hint="eastAsia"/>
        </w:rPr>
      </w:pPr>
      <w:r>
        <w:rPr>
          <w:rFonts w:hint="eastAsia" w:ascii="仿宋" w:hAnsi="仿宋" w:eastAsia="仿宋"/>
          <w:color w:val="000000"/>
          <w:sz w:val="32"/>
          <w:szCs w:val="32"/>
          <w:lang w:eastAsia="zh-CN"/>
        </w:rPr>
        <w:drawing>
          <wp:inline distT="0" distB="0" distL="114300" distR="114300">
            <wp:extent cx="5243195" cy="3032125"/>
            <wp:effectExtent l="4445" t="4445" r="10160" b="1143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8529C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1.因公出国（境）经费支出0万元，无预算安排。      </w:t>
      </w:r>
    </w:p>
    <w:p w14:paraId="7A0F57D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2.公务用车购置及运行维护费支出9.66万元,完成预算100%。公务用车购置及运行维护支出决算比2024年度减少1.86万元，下降16.1%，主要原因是公务用车使用、维修减少。</w:t>
      </w:r>
    </w:p>
    <w:p w14:paraId="5CBCE4B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其中：公务用车购置支出0万元；公务用车运行维护费支出9.66万元。主要用于全体职工下乡及出差等所需的公务用车燃料费、维修费保养、过路过桥费、保险费等支出。</w:t>
      </w:r>
    </w:p>
    <w:p w14:paraId="3836D30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3.公务接待费支出0万元，完成预算0%。公务接待费支出决算比2024年度减少0.57万元，下降100%，主要原因是2025年度未发生公务接待支出。</w:t>
      </w:r>
    </w:p>
    <w:p w14:paraId="11BAD54B">
      <w:pPr>
        <w:keepNext w:val="0"/>
        <w:keepLines w:val="0"/>
        <w:pageBreakBefore w:val="0"/>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rPr>
      </w:pPr>
      <w:bookmarkStart w:id="82" w:name="_Toc79163622"/>
      <w:bookmarkStart w:id="83" w:name="_Toc15396610"/>
      <w:bookmarkStart w:id="84" w:name="_Toc15377218"/>
      <w:bookmarkStart w:id="85" w:name="_Toc79163872"/>
      <w:r>
        <w:rPr>
          <w:rFonts w:hint="eastAsia" w:ascii="黑体" w:eastAsia="黑体"/>
          <w:color w:val="000000"/>
          <w:sz w:val="32"/>
          <w:szCs w:val="32"/>
        </w:rPr>
        <w:t>八、</w:t>
      </w:r>
      <w:r>
        <w:rPr>
          <w:rStyle w:val="32"/>
          <w:rFonts w:hint="eastAsia" w:ascii="黑体" w:hAnsi="黑体" w:eastAsia="黑体"/>
          <w:b w:val="0"/>
        </w:rPr>
        <w:t>政府性基金预算支出决算情况说明</w:t>
      </w:r>
      <w:bookmarkEnd w:id="82"/>
      <w:bookmarkEnd w:id="83"/>
      <w:bookmarkEnd w:id="84"/>
      <w:bookmarkEnd w:id="85"/>
    </w:p>
    <w:p w14:paraId="69DB298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2025年度政府性基金预算拨款支出0万元。</w:t>
      </w:r>
    </w:p>
    <w:p w14:paraId="55F87C25">
      <w:pPr>
        <w:keepNext w:val="0"/>
        <w:keepLines w:val="0"/>
        <w:pageBreakBefore w:val="0"/>
        <w:numPr>
          <w:ilvl w:val="0"/>
          <w:numId w:val="1"/>
        </w:numPr>
        <w:kinsoku/>
        <w:wordWrap/>
        <w:overflowPunct/>
        <w:topLinePunct w:val="0"/>
        <w:autoSpaceDE/>
        <w:autoSpaceDN/>
        <w:bidi w:val="0"/>
        <w:adjustRightInd/>
        <w:snapToGrid/>
        <w:spacing w:line="572" w:lineRule="exact"/>
        <w:ind w:firstLine="640"/>
        <w:textAlignment w:val="auto"/>
        <w:outlineLvl w:val="1"/>
        <w:rPr>
          <w:rStyle w:val="32"/>
          <w:rFonts w:ascii="黑体" w:hAnsi="黑体" w:eastAsia="黑体"/>
          <w:b w:val="0"/>
        </w:rPr>
      </w:pPr>
      <w:bookmarkStart w:id="86" w:name="_Toc15396611"/>
      <w:bookmarkStart w:id="87" w:name="_Toc79163623"/>
      <w:bookmarkStart w:id="88" w:name="_Toc79163873"/>
      <w:bookmarkStart w:id="89" w:name="_Toc15377219"/>
      <w:r>
        <w:rPr>
          <w:rStyle w:val="32"/>
          <w:rFonts w:hint="eastAsia" w:ascii="黑体" w:hAnsi="黑体" w:eastAsia="黑体"/>
          <w:b w:val="0"/>
        </w:rPr>
        <w:t>国有资本经营预算支出决算情况说明</w:t>
      </w:r>
      <w:bookmarkEnd w:id="86"/>
      <w:bookmarkEnd w:id="87"/>
      <w:bookmarkEnd w:id="88"/>
      <w:bookmarkEnd w:id="89"/>
    </w:p>
    <w:p w14:paraId="4667801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2025年度国有资本经营预算拨款支出0万元。</w:t>
      </w:r>
    </w:p>
    <w:p w14:paraId="28FE6010">
      <w:pPr>
        <w:keepNext w:val="0"/>
        <w:keepLines w:val="0"/>
        <w:pageBreakBefore w:val="0"/>
        <w:kinsoku/>
        <w:wordWrap/>
        <w:overflowPunct/>
        <w:topLinePunct w:val="0"/>
        <w:autoSpaceDE/>
        <w:autoSpaceDN/>
        <w:bidi w:val="0"/>
        <w:adjustRightInd/>
        <w:snapToGrid/>
        <w:spacing w:line="572" w:lineRule="exact"/>
        <w:ind w:firstLine="640" w:firstLineChars="200"/>
        <w:textAlignment w:val="auto"/>
        <w:outlineLvl w:val="1"/>
        <w:rPr>
          <w:rStyle w:val="32"/>
          <w:rFonts w:ascii="黑体" w:hAnsi="黑体" w:eastAsia="黑体"/>
        </w:rPr>
      </w:pPr>
      <w:bookmarkStart w:id="90" w:name="_Toc15396612"/>
      <w:bookmarkStart w:id="91" w:name="_Toc79163624"/>
      <w:bookmarkStart w:id="92" w:name="_Toc15377221"/>
      <w:bookmarkStart w:id="93" w:name="_Toc79163874"/>
      <w:r>
        <w:rPr>
          <w:rFonts w:hint="eastAsia" w:ascii="黑体" w:hAnsi="黑体" w:eastAsia="黑体"/>
          <w:color w:val="000000"/>
          <w:sz w:val="32"/>
          <w:szCs w:val="32"/>
        </w:rPr>
        <w:t>十</w:t>
      </w:r>
      <w:r>
        <w:rPr>
          <w:rStyle w:val="32"/>
          <w:rFonts w:hint="eastAsia" w:ascii="黑体" w:hAnsi="黑体" w:eastAsia="黑体"/>
        </w:rPr>
        <w:t>、</w:t>
      </w:r>
      <w:r>
        <w:rPr>
          <w:rStyle w:val="32"/>
          <w:rFonts w:hint="eastAsia" w:ascii="黑体" w:hAnsi="黑体" w:eastAsia="黑体"/>
          <w:b w:val="0"/>
        </w:rPr>
        <w:t>其他重要事项的情况说明</w:t>
      </w:r>
      <w:bookmarkEnd w:id="90"/>
      <w:bookmarkEnd w:id="91"/>
      <w:bookmarkEnd w:id="92"/>
      <w:bookmarkEnd w:id="93"/>
    </w:p>
    <w:p w14:paraId="0451CCA2">
      <w:pPr>
        <w:keepNext w:val="0"/>
        <w:keepLines w:val="0"/>
        <w:pageBreakBefore w:val="0"/>
        <w:widowControl w:val="0"/>
        <w:kinsoku/>
        <w:wordWrap/>
        <w:overflowPunct/>
        <w:topLinePunct w:val="0"/>
        <w:autoSpaceDE/>
        <w:autoSpaceDN/>
        <w:bidi w:val="0"/>
        <w:adjustRightInd/>
        <w:snapToGrid/>
        <w:spacing w:line="572" w:lineRule="exact"/>
        <w:ind w:firstLine="643" w:firstLineChars="200"/>
        <w:textAlignment w:val="auto"/>
        <w:rPr>
          <w:rFonts w:eastAsia="微软雅黑"/>
          <w:color w:val="333333"/>
          <w:kern w:val="0"/>
          <w:szCs w:val="21"/>
        </w:rPr>
      </w:pPr>
      <w:r>
        <w:rPr>
          <w:rFonts w:hint="eastAsia" w:ascii="宋体" w:hAnsi="宋体"/>
          <w:b/>
          <w:bCs/>
          <w:color w:val="000000"/>
          <w:kern w:val="0"/>
          <w:sz w:val="32"/>
          <w:szCs w:val="32"/>
        </w:rPr>
        <w:t>(一）机关运行经费支出情况</w:t>
      </w:r>
    </w:p>
    <w:p w14:paraId="3AF22EA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2025年度生态环境局机关运行经费支出30.44万元，比2024年度减少10.62万元，下降25.9%。主要原因是厉行节约，减少开支。</w:t>
      </w:r>
    </w:p>
    <w:p w14:paraId="0F395F65">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3"/>
        <w:jc w:val="left"/>
        <w:textAlignment w:val="auto"/>
        <w:rPr>
          <w:rFonts w:eastAsia="微软雅黑"/>
          <w:color w:val="333333"/>
          <w:kern w:val="0"/>
          <w:szCs w:val="21"/>
        </w:rPr>
      </w:pPr>
      <w:r>
        <w:rPr>
          <w:rFonts w:hint="eastAsia" w:ascii="宋体" w:hAnsi="宋体"/>
          <w:b/>
          <w:bCs/>
          <w:color w:val="000000"/>
          <w:kern w:val="0"/>
          <w:sz w:val="32"/>
          <w:szCs w:val="32"/>
        </w:rPr>
        <w:t>（二）政府采购支出情况</w:t>
      </w:r>
    </w:p>
    <w:p w14:paraId="628509F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2025年度生态环境局政府采购支出0万元。</w:t>
      </w:r>
    </w:p>
    <w:p w14:paraId="0120BED8">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3"/>
        <w:jc w:val="left"/>
        <w:textAlignment w:val="auto"/>
        <w:rPr>
          <w:rFonts w:eastAsia="微软雅黑"/>
          <w:color w:val="333333"/>
          <w:kern w:val="0"/>
          <w:szCs w:val="21"/>
        </w:rPr>
      </w:pPr>
      <w:r>
        <w:rPr>
          <w:rFonts w:hint="eastAsia" w:ascii="宋体" w:hAnsi="宋体"/>
          <w:b/>
          <w:bCs/>
          <w:color w:val="000000"/>
          <w:kern w:val="0"/>
          <w:sz w:val="32"/>
          <w:szCs w:val="32"/>
        </w:rPr>
        <w:t>（三）国有资产占有使用情况</w:t>
      </w:r>
    </w:p>
    <w:p w14:paraId="6E1F4A7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截至2025年12月31日，生态环境局共有车辆4辆，其中：主要领导干部用车0辆、机要通信用车4辆、应急保障用车0辆、其他用车0辆。</w:t>
      </w:r>
    </w:p>
    <w:p w14:paraId="28071FE6">
      <w:pPr>
        <w:keepNext w:val="0"/>
        <w:keepLines w:val="0"/>
        <w:pageBreakBefore w:val="0"/>
        <w:widowControl/>
        <w:shd w:val="clear" w:color="auto" w:fill="FFFFFF"/>
        <w:kinsoku/>
        <w:wordWrap/>
        <w:overflowPunct/>
        <w:topLinePunct w:val="0"/>
        <w:autoSpaceDE/>
        <w:autoSpaceDN/>
        <w:bidi w:val="0"/>
        <w:adjustRightInd/>
        <w:snapToGrid/>
        <w:spacing w:line="572" w:lineRule="exact"/>
        <w:ind w:firstLine="640"/>
        <w:jc w:val="left"/>
        <w:textAlignment w:val="auto"/>
        <w:rPr>
          <w:rFonts w:hint="eastAsia" w:ascii="宋体" w:hAnsi="宋体"/>
          <w:color w:val="000000"/>
          <w:kern w:val="0"/>
          <w:sz w:val="32"/>
          <w:szCs w:val="32"/>
        </w:rPr>
      </w:pPr>
      <w:r>
        <w:rPr>
          <w:rFonts w:hint="eastAsia" w:ascii="宋体" w:hAnsi="宋体"/>
          <w:b/>
          <w:bCs/>
          <w:color w:val="000000"/>
          <w:kern w:val="0"/>
          <w:sz w:val="32"/>
          <w:szCs w:val="32"/>
        </w:rPr>
        <w:t>（四）预算绩效管理情况。</w:t>
      </w:r>
    </w:p>
    <w:p w14:paraId="317A9D9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根据预算绩效管理要求，</w:t>
      </w:r>
      <w:r>
        <w:rPr>
          <w:rFonts w:hint="default" w:ascii="仿宋_GB2312" w:hAnsi="仿宋_GB2312" w:eastAsia="仿宋_GB2312" w:cs="仿宋_GB2312"/>
          <w:kern w:val="2"/>
          <w:sz w:val="32"/>
          <w:szCs w:val="32"/>
          <w:lang w:val="en-US" w:eastAsia="zh-CN" w:bidi="ar-SA"/>
        </w:rPr>
        <w:t>根据预算绩效管理要求，对202</w:t>
      </w:r>
      <w:r>
        <w:rPr>
          <w:rFonts w:hint="eastAsia" w:ascii="仿宋_GB2312" w:hAnsi="仿宋_GB2312" w:eastAsia="仿宋_GB2312" w:cs="仿宋_GB2312"/>
          <w:kern w:val="2"/>
          <w:sz w:val="32"/>
          <w:szCs w:val="32"/>
          <w:lang w:val="en-US" w:eastAsia="zh-CN" w:bidi="ar-SA"/>
        </w:rPr>
        <w:t>5</w:t>
      </w:r>
      <w:r>
        <w:rPr>
          <w:rFonts w:hint="default" w:ascii="仿宋_GB2312" w:hAnsi="仿宋_GB2312" w:eastAsia="仿宋_GB2312" w:cs="仿宋_GB2312"/>
          <w:kern w:val="2"/>
          <w:sz w:val="32"/>
          <w:szCs w:val="32"/>
          <w:lang w:val="en-US" w:eastAsia="zh-CN" w:bidi="ar-SA"/>
        </w:rPr>
        <w:t>年</w:t>
      </w:r>
      <w:r>
        <w:rPr>
          <w:rFonts w:hint="eastAsia" w:ascii="仿宋_GB2312" w:hAnsi="仿宋_GB2312" w:eastAsia="仿宋_GB2312" w:cs="仿宋_GB2312"/>
          <w:kern w:val="2"/>
          <w:sz w:val="32"/>
          <w:szCs w:val="32"/>
          <w:lang w:val="en-US" w:eastAsia="zh-CN" w:bidi="ar-SA"/>
        </w:rPr>
        <w:t>度</w:t>
      </w:r>
      <w:r>
        <w:rPr>
          <w:rFonts w:hint="default" w:ascii="仿宋_GB2312" w:hAnsi="仿宋_GB2312" w:eastAsia="仿宋_GB2312" w:cs="仿宋_GB2312"/>
          <w:kern w:val="2"/>
          <w:sz w:val="32"/>
          <w:szCs w:val="32"/>
          <w:lang w:val="en-US" w:eastAsia="zh-CN" w:bidi="ar-SA"/>
        </w:rPr>
        <w:t>部门整体支出开展绩效自评，加强预算收支管理，不断建立健全内部管理制度，梳理内部管理流程，部门整体支出管理情况得到提升。预算决策、管理、执行等日益规范，能较好地满足工作需要，取得了良好经济效益和社会效益。</w:t>
      </w:r>
      <w:r>
        <w:rPr>
          <w:rFonts w:hint="eastAsia" w:ascii="仿宋_GB2312" w:hAnsi="仿宋_GB2312" w:eastAsia="仿宋_GB2312" w:cs="仿宋_GB2312"/>
          <w:kern w:val="2"/>
          <w:sz w:val="32"/>
          <w:szCs w:val="32"/>
          <w:lang w:val="en-US" w:eastAsia="zh-CN" w:bidi="ar-SA"/>
        </w:rPr>
        <w:t xml:space="preserve">     </w:t>
      </w:r>
    </w:p>
    <w:p w14:paraId="611D652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单位在2025年度预算编制阶段组织了对环境监察执法经费、宣教经费、环境执法应急监测重点污染源监督性监测及监测运维经费、环评审查专家经费、国家重点生态功能区县域生态环境质量考核监测、岷江流域理县段生态环境调查与评估、工资性支出、单位缴费、日常公用经费、退休人员建房补助、追加工资性支出、追减社保缴费、大气污染防治激励资金、水污染防治监管能力、四川福兴新材料矿热炉烟气深度治理、“千村示范”等项目开展了预算事前绩效评估，编制了绩效目标，预算执行过程中，对所有项目开展绩效监控和绩效自评，绩效自评表祥见第四部分附件。</w:t>
      </w:r>
    </w:p>
    <w:p w14:paraId="026E6F62">
      <w:pPr>
        <w:rPr>
          <w:rFonts w:hint="eastAsia"/>
          <w:lang w:val="en-US" w:eastAsia="zh-CN"/>
        </w:rPr>
      </w:pPr>
    </w:p>
    <w:p w14:paraId="00731A97">
      <w:pPr>
        <w:pStyle w:val="8"/>
        <w:rPr>
          <w:rFonts w:hint="default"/>
          <w:lang w:val="en-US" w:eastAsia="zh-CN"/>
        </w:rPr>
      </w:pPr>
    </w:p>
    <w:p w14:paraId="2DFB693C">
      <w:pPr>
        <w:numPr>
          <w:ilvl w:val="0"/>
          <w:numId w:val="2"/>
        </w:numPr>
        <w:spacing w:line="600" w:lineRule="exact"/>
        <w:ind w:left="-660" w:leftChars="0" w:firstLine="660" w:firstLineChars="0"/>
        <w:jc w:val="center"/>
        <w:outlineLvl w:val="0"/>
        <w:rPr>
          <w:rFonts w:ascii="宋体"/>
          <w:b/>
          <w:color w:val="000000"/>
          <w:sz w:val="44"/>
          <w:szCs w:val="44"/>
        </w:rPr>
      </w:pPr>
      <w:bookmarkStart w:id="94" w:name="_Toc79163629"/>
      <w:bookmarkStart w:id="95" w:name="_Toc15377225"/>
      <w:bookmarkStart w:id="96" w:name="_Toc15396613"/>
      <w:bookmarkStart w:id="97" w:name="_Toc79163879"/>
      <w:r>
        <w:rPr>
          <w:rFonts w:hint="eastAsia" w:ascii="黑体" w:hAnsi="黑体" w:eastAsia="黑体"/>
          <w:color w:val="000000"/>
          <w:sz w:val="44"/>
          <w:szCs w:val="44"/>
        </w:rPr>
        <w:t>名</w:t>
      </w:r>
      <w:r>
        <w:rPr>
          <w:rStyle w:val="31"/>
          <w:rFonts w:hint="eastAsia" w:ascii="黑体" w:hAnsi="黑体" w:eastAsia="黑体"/>
          <w:b w:val="0"/>
        </w:rPr>
        <w:t>词解释</w:t>
      </w:r>
      <w:bookmarkEnd w:id="94"/>
      <w:bookmarkEnd w:id="95"/>
      <w:bookmarkEnd w:id="96"/>
      <w:bookmarkEnd w:id="97"/>
    </w:p>
    <w:p w14:paraId="0AD8F4A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98" w:name="_Toc79163880"/>
      <w:bookmarkStart w:id="99" w:name="_Toc15377226"/>
      <w:bookmarkStart w:id="100" w:name="_Toc15396614"/>
      <w:bookmarkStart w:id="101" w:name="_Toc79163630"/>
      <w:r>
        <w:rPr>
          <w:rFonts w:hint="eastAsia" w:ascii="仿宋_GB2312" w:hAnsi="仿宋_GB2312" w:eastAsia="仿宋_GB2312" w:cs="仿宋_GB2312"/>
          <w:kern w:val="2"/>
          <w:sz w:val="32"/>
          <w:szCs w:val="32"/>
          <w:lang w:val="en-US" w:eastAsia="zh-CN" w:bidi="ar-SA"/>
        </w:rPr>
        <w:t>1.财政拨款收入：指单位从同级财政部门取得的财政预算资金。 </w:t>
      </w:r>
    </w:p>
    <w:p w14:paraId="15B96A6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2.事业收入：指事业单位开展专业业务活动及辅助活动取得的收入。 </w:t>
      </w:r>
    </w:p>
    <w:p w14:paraId="718CBD0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3.经营收入：指事业单位在专业业务活动及其辅助活动之外开展非独立核算经营活动取得的收入。 </w:t>
      </w:r>
    </w:p>
    <w:p w14:paraId="5DF844A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4.其他收入：指单位取得的除上述收入以外的各项收入。主要是利息收入等。  </w:t>
      </w:r>
    </w:p>
    <w:p w14:paraId="004B750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5.使用非财政拨款结余（含专用结余）：指事业单位使用以前年度积累的非财政拨款结余弥补当年收支差额的金额。  </w:t>
      </w:r>
    </w:p>
    <w:p w14:paraId="55DF866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6.年初结转和结余：指以前年度尚未完成、结转到本年按有关规定继续使用的资金。  </w:t>
      </w:r>
    </w:p>
    <w:p w14:paraId="125EE31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7.结余分配：指事业单位按照事业单位会计制度的规定从非财政补助结余中分配的事业基金和职工福利基金等。 </w:t>
      </w:r>
    </w:p>
    <w:p w14:paraId="30AAFB2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8.年末结转和结余：指单位按有关规定结转到下年或以后年度继续使用的资金。 </w:t>
      </w:r>
    </w:p>
    <w:p w14:paraId="55533D9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9.节能环保211（2110101-行政运行、（2110102-一般行政管理事务）、（2119999-其他节能环保支出）</w:t>
      </w:r>
    </w:p>
    <w:p w14:paraId="3D8CFF5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10.社会保障和就业（208）行政事业单位离退休（20805）机关事业单位基本养老保险（2080505）机关事业单位职业年金（2080506）：指机关事业单位实施养老保险制度由单位缴纳的 基本养老保险费支出和职业年金支出。 </w:t>
      </w:r>
    </w:p>
    <w:p w14:paraId="228389F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11.医疗卫生与计划生育(210)医疗保障（21011）行政单位医疗（2101101）:指行政单位医疗方面的支出；事业单位医（2101102）:指事业单位医疗方面的支出；公务员医疗补助（2101103）:指行政单位医疗方面的支出。</w:t>
      </w:r>
    </w:p>
    <w:p w14:paraId="48DA62D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12.住房保障支出（221）住房改革支出（22102）住房公积金（2210201）：指反映行政事业单位按人力资源和社会保障部、财政部规定的基本工资和津贴补贴以及规定比例为职工缴纳的住房公积金。 </w:t>
      </w:r>
    </w:p>
    <w:p w14:paraId="06427C1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13.结余分配：指事业单位按规定提取的职工福利基金、事业基金和缴纳的所得税，以及建设单位按规定应交回的基本建设竣工项目结余资金。 </w:t>
      </w:r>
    </w:p>
    <w:p w14:paraId="3A5745E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14.年末结转和结余：指本年度或以前年度预算安排、因客观条件发生变化无法按原计划实施，需延迟到以后年度按有关规定继续使用的资金。 </w:t>
      </w:r>
    </w:p>
    <w:p w14:paraId="0C53496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15.基本支出：指为保障机构正常运转、完成日常工作任务而发生的人员支出和公用支出。 </w:t>
      </w:r>
    </w:p>
    <w:p w14:paraId="5AA3E97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16.项目支出：指在基本支出之外为完成特定行政任务和事业发展目标所发生的支出。  </w:t>
      </w:r>
    </w:p>
    <w:p w14:paraId="596CA1D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17.经营支出：指事业单位在专业业务活动及其辅助活动之外开展非独立核算经营活动发生的支出。 </w:t>
      </w:r>
    </w:p>
    <w:p w14:paraId="3599D30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三公”经费：纳入县级财政预决算管理的“三公”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2F64EBA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65CDC2">
      <w:pPr>
        <w:rPr>
          <w:rFonts w:hint="eastAsia" w:ascii="方正仿宋_GBK" w:hAnsi="方正仿宋_GBK" w:eastAsia="方正仿宋_GBK" w:cs="方正仿宋_GBK"/>
          <w:color w:val="auto"/>
          <w:sz w:val="32"/>
          <w:szCs w:val="32"/>
          <w:lang w:val="en-US" w:eastAsia="zh-CN"/>
        </w:rPr>
      </w:pPr>
    </w:p>
    <w:p w14:paraId="2009A2EA">
      <w:pPr>
        <w:numPr>
          <w:ilvl w:val="0"/>
          <w:numId w:val="0"/>
        </w:numPr>
        <w:spacing w:line="600" w:lineRule="exact"/>
        <w:ind w:leftChars="0"/>
        <w:jc w:val="center"/>
        <w:outlineLvl w:val="0"/>
        <w:rPr>
          <w:rFonts w:hint="eastAsia" w:ascii="方正仿宋_GBK" w:hAnsi="方正仿宋_GBK" w:eastAsia="方正仿宋_GBK" w:cs="方正仿宋_GBK"/>
          <w:color w:val="auto"/>
          <w:sz w:val="32"/>
          <w:szCs w:val="32"/>
          <w:lang w:val="en-US" w:eastAsia="zh-CN"/>
        </w:rPr>
      </w:pPr>
      <w:r>
        <w:rPr>
          <w:rFonts w:hint="eastAsia" w:ascii="黑体" w:hAnsi="黑体" w:eastAsia="黑体"/>
          <w:color w:val="000000"/>
          <w:sz w:val="44"/>
          <w:szCs w:val="44"/>
          <w:lang w:val="en-US" w:eastAsia="zh-CN"/>
        </w:rPr>
        <w:t>第四部分  附件</w:t>
      </w:r>
    </w:p>
    <w:p w14:paraId="55C7D374">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方正小标宋_GBK" w:hAnsi="方正小标宋_GBK" w:eastAsia="方正小标宋_GBK" w:cs="方正小标宋_GBK"/>
          <w:b/>
          <w:sz w:val="44"/>
          <w:szCs w:val="44"/>
          <w:shd w:val="clear" w:color="auto" w:fill="FFFFFF"/>
          <w:lang w:eastAsia="zh-CN"/>
        </w:rPr>
      </w:pPr>
    </w:p>
    <w:p w14:paraId="62B46C4A">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方正小标宋_GBK" w:hAnsi="方正小标宋_GBK" w:eastAsia="方正小标宋_GBK" w:cs="方正小标宋_GBK"/>
          <w:b/>
          <w:sz w:val="44"/>
          <w:szCs w:val="44"/>
          <w:shd w:val="clear" w:color="auto" w:fill="FFFFFF"/>
          <w:lang w:val="en-US" w:eastAsia="zh-CN"/>
        </w:rPr>
      </w:pPr>
      <w:r>
        <w:rPr>
          <w:rFonts w:hint="eastAsia" w:ascii="方正小标宋_GBK" w:hAnsi="方正小标宋_GBK" w:eastAsia="方正小标宋_GBK" w:cs="方正小标宋_GBK"/>
          <w:b/>
          <w:sz w:val="44"/>
          <w:szCs w:val="44"/>
          <w:shd w:val="clear" w:color="auto" w:fill="FFFFFF"/>
          <w:lang w:eastAsia="zh-CN"/>
        </w:rPr>
        <w:t>阿坝州理县生态环境局</w:t>
      </w:r>
      <w:r>
        <w:rPr>
          <w:rFonts w:hint="eastAsia" w:ascii="方正小标宋_GBK" w:hAnsi="方正小标宋_GBK" w:eastAsia="方正小标宋_GBK" w:cs="方正小标宋_GBK"/>
          <w:b/>
          <w:sz w:val="44"/>
          <w:szCs w:val="44"/>
          <w:shd w:val="clear" w:color="auto" w:fill="FFFFFF"/>
          <w:lang w:val="en-US" w:eastAsia="zh-CN"/>
        </w:rPr>
        <w:t>2025年度</w:t>
      </w:r>
    </w:p>
    <w:p w14:paraId="6C14FFD3">
      <w:pPr>
        <w:keepNext w:val="0"/>
        <w:keepLines w:val="0"/>
        <w:pageBreakBefore w:val="0"/>
        <w:widowControl/>
        <w:kinsoku/>
        <w:wordWrap/>
        <w:overflowPunct/>
        <w:topLinePunct w:val="0"/>
        <w:autoSpaceDE/>
        <w:autoSpaceDN/>
        <w:bidi w:val="0"/>
        <w:spacing w:line="576" w:lineRule="exact"/>
        <w:ind w:right="0" w:rightChars="0"/>
        <w:jc w:val="center"/>
        <w:textAlignment w:val="auto"/>
        <w:outlineLvl w:val="0"/>
        <w:rPr>
          <w:rFonts w:hint="eastAsia" w:ascii="黑体" w:hAnsi="宋体" w:eastAsia="黑体" w:cs="宋体"/>
          <w:color w:val="000000"/>
          <w:kern w:val="0"/>
          <w:szCs w:val="32"/>
          <w:shd w:val="clear" w:color="auto" w:fill="FFFFFF"/>
          <w:lang w:val="en-US" w:eastAsia="zh-CN"/>
        </w:rPr>
      </w:pPr>
      <w:r>
        <w:rPr>
          <w:rFonts w:hint="eastAsia" w:ascii="方正小标宋_GBK" w:hAnsi="方正小标宋_GBK" w:eastAsia="方正小标宋_GBK" w:cs="方正小标宋_GBK"/>
          <w:b/>
          <w:sz w:val="44"/>
          <w:szCs w:val="44"/>
          <w:shd w:val="clear" w:color="auto" w:fill="FFFFFF"/>
          <w:lang w:val="en-US" w:eastAsia="zh-CN"/>
        </w:rPr>
        <w:t>整体支出绩效评价报告</w:t>
      </w:r>
    </w:p>
    <w:p w14:paraId="7B039EC5">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right="0" w:rightChars="0" w:firstLine="640" w:firstLineChars="200"/>
        <w:jc w:val="left"/>
        <w:textAlignment w:val="auto"/>
        <w:outlineLvl w:val="0"/>
        <w:rPr>
          <w:rFonts w:hint="eastAsia"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一、部门（单位）概况</w:t>
      </w:r>
    </w:p>
    <w:p w14:paraId="3D3EFB12">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right="0" w:rightChars="0" w:firstLine="640" w:firstLineChars="200"/>
        <w:jc w:val="left"/>
        <w:textAlignment w:val="auto"/>
        <w:outlineLvl w:val="0"/>
        <w:rPr>
          <w:rFonts w:hint="eastAsia" w:ascii="方正仿宋_GBK" w:hAnsi="方正仿宋_GBK" w:eastAsia="方正仿宋_GBK" w:cs="方正仿宋_GBK"/>
          <w:b/>
          <w:bCs/>
          <w:sz w:val="32"/>
          <w:szCs w:val="32"/>
          <w:lang w:val="zh-CN" w:eastAsia="zh-CN"/>
        </w:rPr>
      </w:pPr>
      <w:r>
        <w:rPr>
          <w:rFonts w:hint="eastAsia" w:ascii="方正仿宋_GBK" w:hAnsi="方正仿宋_GBK" w:eastAsia="方正仿宋_GBK" w:cs="方正仿宋_GBK"/>
          <w:b/>
          <w:bCs/>
          <w:sz w:val="32"/>
          <w:szCs w:val="32"/>
          <w:lang w:val="zh-CN" w:eastAsia="zh-CN"/>
        </w:rPr>
        <w:t>（一）机构组成</w:t>
      </w:r>
    </w:p>
    <w:p w14:paraId="69AF79A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阿坝州理县生态环境局属财政全额拨款的二级预算单位，其中：行政单位1个；参照公务员法管理的事业单位2个（生态环境保护中心和生态环境保护综合行政执法大队），本部门内设办公室、综合股、生态农村股、行政审批股、股室。</w:t>
      </w:r>
    </w:p>
    <w:p w14:paraId="679C04AE">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2.理县环境监测站属阿坝州理县生态环境局下属事业机构。</w:t>
      </w:r>
    </w:p>
    <w:p w14:paraId="6B4B09FD">
      <w:pPr>
        <w:pStyle w:val="14"/>
        <w:keepNext w:val="0"/>
        <w:keepLines w:val="0"/>
        <w:pageBreakBefore w:val="0"/>
        <w:numPr>
          <w:ilvl w:val="0"/>
          <w:numId w:val="0"/>
        </w:numPr>
        <w:kinsoku/>
        <w:wordWrap/>
        <w:overflowPunct/>
        <w:topLinePunct w:val="0"/>
        <w:autoSpaceDE/>
        <w:autoSpaceDN/>
        <w:bidi w:val="0"/>
        <w:spacing w:line="576" w:lineRule="exact"/>
        <w:ind w:firstLine="640" w:firstLineChars="200"/>
        <w:jc w:val="left"/>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（二）机构职能</w:t>
      </w:r>
    </w:p>
    <w:p w14:paraId="5DA5B05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承担机关政务及党务工作。负责文秘、档案、印章、机要、保密、政务公开、信息安全、人事、培训、行政后勤、公务接待、退休人员管理、爱国卫生、辖区内生态环境保护人大建议、政协提案办理、宣传教育、对外交流和区域合作等工作。承担财务、固定资产、政府采购、项目资金监督管理。负责理县环保委员会办公室工作。</w:t>
      </w:r>
    </w:p>
    <w:p w14:paraId="50EBB8F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监督管理全州减排目标的落实。负责全县环境污染物防治的监督管理。负责核与辐射安全的监督管理、污染物减排工作，排污口设置、应对气候变化工作、强制性清洁生产审核工作。负责理县水、气、土“三大战役”领导小组办公室工作。</w:t>
      </w:r>
    </w:p>
    <w:p w14:paraId="6938CFB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3.负责建立健全全县生态环境基本制度。承担全县生态扶贫、乡村振兴、生态文明体制改革办公室相关工作。</w:t>
      </w:r>
    </w:p>
    <w:p w14:paraId="731A6C95">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4.负责全县生态环境准入的监督管理。组织开展生态环境保护督察工作。监督指导生态环境保护督察工作贯彻落实。负责理县生态环境保护督察领导小组办公室工作。</w:t>
      </w:r>
    </w:p>
    <w:p w14:paraId="19EC176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5.加强全县生态环境监督执法管理、指导工作。负责全县一般及较大生态环境问题的统筹协调和监督管理。负责具体实施生态环境损害赔偿制度。</w:t>
      </w:r>
    </w:p>
    <w:p w14:paraId="7367A68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6.监督执行国家、省、州的生态环境监测制度和规范。负责全县生态环境质量考核和生态环境统计工作。</w:t>
      </w:r>
    </w:p>
    <w:p w14:paraId="2E354ED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7.负责本单位实施的建设项目监督管理。</w:t>
      </w:r>
    </w:p>
    <w:p w14:paraId="09858A28">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en-US" w:eastAsia="zh-CN"/>
        </w:rPr>
        <w:t>（三）</w:t>
      </w:r>
      <w:r>
        <w:rPr>
          <w:rFonts w:hint="eastAsia" w:ascii="方正楷体_GBK" w:hAnsi="方正楷体_GBK" w:eastAsia="方正楷体_GBK" w:cs="方正楷体_GBK"/>
          <w:b/>
          <w:bCs/>
          <w:color w:val="000000"/>
          <w:kern w:val="0"/>
          <w:sz w:val="32"/>
          <w:szCs w:val="32"/>
          <w:shd w:val="clear" w:color="auto" w:fill="FFFFFF"/>
          <w:lang w:val="zh-CN"/>
        </w:rPr>
        <w:t>人员概况</w:t>
      </w:r>
    </w:p>
    <w:p w14:paraId="4D506BD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1.阿坝州理县生态环境局总编制15名，其中：行政编制3名，参照公务员法管理的事业编制12名。在职人员12人，其中：行政人员2人，参照公务员法管理的事业人员7人，工勤人员3人。</w:t>
      </w:r>
    </w:p>
    <w:p w14:paraId="6A250FD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2.理县环境监测站总编制11名，均属于事业编制。在职人数9人（其中：管理人员1人,专业技术人员8人）。</w:t>
      </w:r>
    </w:p>
    <w:p w14:paraId="31407FD7">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left"/>
        <w:textAlignment w:val="auto"/>
        <w:outlineLvl w:val="0"/>
        <w:rPr>
          <w:rFonts w:hint="eastAsia" w:ascii="方正黑体_GBK" w:hAnsi="方正黑体_GBK" w:eastAsia="方正黑体_GBK" w:cs="方正黑体_GBK"/>
          <w:color w:val="000000"/>
          <w:kern w:val="0"/>
          <w:sz w:val="32"/>
          <w:szCs w:val="32"/>
          <w:shd w:val="clear" w:color="auto" w:fill="FFFFFF"/>
          <w:lang w:val="en-US" w:eastAsia="zh-CN"/>
        </w:rPr>
      </w:pPr>
      <w:r>
        <w:rPr>
          <w:rFonts w:hint="eastAsia" w:ascii="方正黑体_GBK" w:hAnsi="方正黑体_GBK" w:eastAsia="方正黑体_GBK" w:cs="方正黑体_GBK"/>
          <w:color w:val="000000"/>
          <w:kern w:val="0"/>
          <w:sz w:val="32"/>
          <w:szCs w:val="32"/>
          <w:shd w:val="clear" w:color="auto" w:fill="FFFFFF"/>
          <w:lang w:val="en-US" w:eastAsia="zh-CN"/>
        </w:rPr>
        <w:t>二、部门财政资金收支情况</w:t>
      </w:r>
    </w:p>
    <w:p w14:paraId="422B4575">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（一）收入情况。</w:t>
      </w:r>
    </w:p>
    <w:p w14:paraId="6724084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理县生态环境局和理县环境监测站2025年年初预算总收入390.46万元，决算报表总收入506.3万元。其中：</w:t>
      </w:r>
    </w:p>
    <w:p w14:paraId="6D02300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1.理县生态环境局2025年年初预算收入204.14万元，决算报表收入351.02万元万元。其中：上年结转0万元，占0%；一般公共预算拨款收入351.02万元，占100%；事业收入0万元，占0%；其他收入0万元，占0%。</w:t>
      </w:r>
    </w:p>
    <w:p w14:paraId="1A12967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2.理县环境监测站2025年年初预算收入预算186.32万元，决算报表收入155.28万元。其中：上年结转0万元，占0%；一般公共预算拨款收入155.28万元，占100%；事业收入0万元，占0%；其他收入0万元，占0%。</w:t>
      </w:r>
    </w:p>
    <w:p w14:paraId="5ACE5E96">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left"/>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en-US" w:eastAsia="zh-CN"/>
        </w:rPr>
        <w:t>（二）</w:t>
      </w:r>
      <w:r>
        <w:rPr>
          <w:rFonts w:hint="eastAsia" w:ascii="方正楷体_GBK" w:hAnsi="方正楷体_GBK" w:eastAsia="方正楷体_GBK" w:cs="方正楷体_GBK"/>
          <w:b/>
          <w:bCs/>
          <w:color w:val="000000"/>
          <w:kern w:val="0"/>
          <w:sz w:val="32"/>
          <w:szCs w:val="32"/>
          <w:shd w:val="clear" w:color="auto" w:fill="FFFFFF"/>
          <w:lang w:val="zh-CN" w:eastAsia="zh-CN"/>
        </w:rPr>
        <w:t>支出情况。</w:t>
      </w:r>
    </w:p>
    <w:p w14:paraId="2737E4A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理县生态环境局和理县环境监测站2025年年初预算总支出390.46万元，决算报表支出506.3万元</w:t>
      </w:r>
    </w:p>
    <w:p w14:paraId="7ABD273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1.理县生态环境局2025年年初预算支出204.14万元，决算报表支出351.02万元。其中：</w:t>
      </w:r>
    </w:p>
    <w:p w14:paraId="7C6B72BC">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按支出功能分类：社会保障和就业支出38.3万元；卫生健康支出12.39万元；节能环保支出280.77万元；住房保障支出19.56万元。</w:t>
      </w:r>
    </w:p>
    <w:p w14:paraId="68F4F0F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按支出性质和经济分类：基本支出212.88万元(其中：人员经费支出：182.44万元，公用经费支出30.44），占60.65%；项目支出138.14万元，占39.35%。              </w:t>
      </w:r>
    </w:p>
    <w:p w14:paraId="10444F0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2.理县环境监测站2025年年初预算支出186.32万元，决算报表支出155.28万元。其中：</w:t>
      </w:r>
    </w:p>
    <w:p w14:paraId="5ADF0B6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按支出功能分类：社会保障和就业支出26.03万元；卫生健康支出9.43万元；节能环保支出104.86万元；住房保障支出14.96万元。</w:t>
      </w:r>
    </w:p>
    <w:p w14:paraId="600DBA0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按支出性质和经济分类：基本支出155.28万元（其中：人员经费支出141.54万元，公用经费支出13.74万元），占100%；项目支出0万元，占0%。</w:t>
      </w:r>
    </w:p>
    <w:p w14:paraId="1D63A50D">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结余分配和结转结余情况</w:t>
      </w:r>
    </w:p>
    <w:p w14:paraId="32C6874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理县生态环境局和理县环境监测站2025年决算报表结转结余0万元。</w:t>
      </w:r>
    </w:p>
    <w:p w14:paraId="5350DC5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部门预算绩效分析</w:t>
      </w:r>
    </w:p>
    <w:p w14:paraId="4655146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部门预算总体绩效分析</w:t>
      </w:r>
    </w:p>
    <w:p w14:paraId="1266FC5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1.履职效能</w:t>
      </w:r>
    </w:p>
    <w:p w14:paraId="5F6134D4">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（1）完成了2025年国家重点生态重点生态功能区县域生态环境质量考核监测工作。</w:t>
      </w:r>
    </w:p>
    <w:p w14:paraId="14DE5CA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（2）全面完成2025年环境监察执法检查，开展环境保护法律法规进机关、企业、学校等宣传活动。</w:t>
      </w:r>
    </w:p>
    <w:p w14:paraId="71CC336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（3）认真扎实做好环评审查审批，排污许可、污染防治等工作。</w:t>
      </w:r>
    </w:p>
    <w:p w14:paraId="61C498C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(4)开展岷江流域理县段支流水质提升及生态修复项目前期工作，并完成了招投标。</w:t>
      </w:r>
    </w:p>
    <w:p w14:paraId="3C0B55BF">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2.预算管理</w:t>
      </w:r>
    </w:p>
    <w:p w14:paraId="41307734">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（1）绩效目标制定和目标实现</w:t>
      </w:r>
    </w:p>
    <w:p w14:paraId="07D0CDF0">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保障机关运转、履行职能职责。其中：基本支出包括人员类经费和公用经费。人员类经费主要用于人员工资、保险等支出；公用经费主要用于日常运转支出。</w:t>
      </w:r>
    </w:p>
    <w:p w14:paraId="0ADC8001">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项目支出绩效。资金绩效分配情况</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zh-CN" w:eastAsia="zh-CN" w:bidi="ar-SA"/>
        </w:rPr>
        <w:t>严格按照资金下达文件要求进行项目实施，</w:t>
      </w:r>
      <w:r>
        <w:rPr>
          <w:rFonts w:hint="eastAsia" w:ascii="仿宋_GB2312" w:hAnsi="仿宋_GB2312" w:eastAsia="仿宋_GB2312" w:cs="仿宋_GB2312"/>
          <w:kern w:val="2"/>
          <w:sz w:val="32"/>
          <w:szCs w:val="32"/>
          <w:lang w:val="en-US" w:eastAsia="zh-CN" w:bidi="ar-SA"/>
        </w:rPr>
        <w:t>同时</w:t>
      </w:r>
      <w:r>
        <w:rPr>
          <w:rFonts w:hint="eastAsia" w:ascii="仿宋_GB2312" w:hAnsi="仿宋_GB2312" w:eastAsia="仿宋_GB2312" w:cs="仿宋_GB2312"/>
          <w:kern w:val="2"/>
          <w:sz w:val="32"/>
          <w:szCs w:val="32"/>
          <w:lang w:val="zh-CN" w:eastAsia="zh-CN" w:bidi="ar-SA"/>
        </w:rPr>
        <w:t>根据合同约定和项目进度情况，支付资金。</w:t>
      </w:r>
    </w:p>
    <w:p w14:paraId="32530F99">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zh-CN" w:eastAsia="zh-CN" w:bidi="ar-SA"/>
        </w:rPr>
        <w:t>项目资金管理情况。层层把关，认真审核项目资料、票据按照支付程序、合同要求及项目进度支付项目资金。</w:t>
      </w:r>
    </w:p>
    <w:p w14:paraId="1B20149C">
      <w:pPr>
        <w:keepNext w:val="0"/>
        <w:keepLines w:val="0"/>
        <w:pageBreakBefore w:val="0"/>
        <w:widowControl w:val="0"/>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zh-CN" w:eastAsia="zh-CN" w:bidi="ar-SA"/>
        </w:rPr>
        <w:t>绩效目标完成情况。</w:t>
      </w:r>
      <w:r>
        <w:rPr>
          <w:rFonts w:hint="eastAsia" w:ascii="仿宋_GB2312" w:hAnsi="仿宋_GB2312" w:eastAsia="仿宋_GB2312" w:cs="仿宋_GB2312"/>
          <w:kern w:val="2"/>
          <w:sz w:val="32"/>
          <w:szCs w:val="32"/>
          <w:lang w:val="en-US" w:eastAsia="zh-CN" w:bidi="ar-SA"/>
        </w:rPr>
        <w:t>重点生态功能区、集中式生活饮用水监测的主要任务是对辖区内的生态环境质量进行连续的监测，掌握了环境质量和饮用水水质状况，为政</w:t>
      </w:r>
      <w:r>
        <w:rPr>
          <w:rFonts w:hint="eastAsia" w:ascii="仿宋_GB2312" w:hAnsi="仿宋_GB2312" w:eastAsia="仿宋_GB2312" w:cs="仿宋_GB2312"/>
          <w:kern w:val="2"/>
          <w:sz w:val="32"/>
          <w:szCs w:val="32"/>
          <w:lang w:val="zh-CN" w:eastAsia="zh-CN" w:bidi="ar-SA"/>
        </w:rPr>
        <w:t>府研究和制定改善环境质量提供科学依据。</w:t>
      </w:r>
      <w:r>
        <w:rPr>
          <w:rFonts w:hint="eastAsia" w:ascii="仿宋_GB2312" w:hAnsi="仿宋_GB2312" w:eastAsia="仿宋_GB2312" w:cs="仿宋_GB2312"/>
          <w:kern w:val="2"/>
          <w:sz w:val="32"/>
          <w:szCs w:val="32"/>
          <w:lang w:val="en-US" w:eastAsia="zh-CN" w:bidi="ar-SA"/>
        </w:rPr>
        <w:t>全面完成国家重点生态功能区生态环境质量考核工作，并按时上报上级相关部门。</w:t>
      </w:r>
    </w:p>
    <w:p w14:paraId="6DE303E6">
      <w:pPr>
        <w:keepNext w:val="0"/>
        <w:keepLines w:val="0"/>
        <w:pageBreakBefore w:val="0"/>
        <w:widowControl w:val="0"/>
        <w:numPr>
          <w:ilvl w:val="0"/>
          <w:numId w:val="3"/>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t>预决算编制情况。</w:t>
      </w:r>
    </w:p>
    <w:p w14:paraId="1ABFCE4F">
      <w:pPr>
        <w:keepNext w:val="0"/>
        <w:keepLines w:val="0"/>
        <w:pageBreakBefore w:val="0"/>
        <w:widowControl w:val="0"/>
        <w:numPr>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严格按照州财政安排和要求，根据单位实际情况对2024年部门基本支出、特定项目支出进行了预算编制，并按时提交了预算草案经主管部门及州财政审核，做到预算编制及时、准确。支出也完全按照预算安排支出。</w:t>
      </w:r>
    </w:p>
    <w:p w14:paraId="49DBF00E">
      <w:pPr>
        <w:keepNext w:val="0"/>
        <w:keepLines w:val="0"/>
        <w:pageBreakBefore w:val="0"/>
        <w:widowControl w:val="0"/>
        <w:numPr>
          <w:ilvl w:val="0"/>
          <w:numId w:val="4"/>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zh-CN" w:eastAsia="zh-CN"/>
          <w14:textFill>
            <w14:solidFill>
              <w14:schemeClr w14:val="tx1"/>
            </w14:solidFill>
          </w14:textFill>
        </w:rPr>
        <w:t>执行管理情况。</w:t>
      </w:r>
    </w:p>
    <w:p w14:paraId="68334DBB">
      <w:pPr>
        <w:keepNext w:val="0"/>
        <w:keepLines w:val="0"/>
        <w:pageBreakBefore w:val="0"/>
        <w:widowControl w:val="0"/>
        <w:numPr>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预算执行严格按照预算安排支出</w:t>
      </w: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严格按照财政要求，每月按时完成计划，根据单位实际情况进行支付。上级专款严格按照资金下达文件执行，专款专用。“三公”经费严格按照预算执行，未超预算支出。</w:t>
      </w:r>
    </w:p>
    <w:p w14:paraId="0592DBD5">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预算完成情况</w:t>
      </w:r>
    </w:p>
    <w:p w14:paraId="0BE5D24D">
      <w:pPr>
        <w:keepNext w:val="0"/>
        <w:keepLines w:val="0"/>
        <w:pageBreakBefore w:val="0"/>
        <w:widowControl w:val="0"/>
        <w:numPr>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2025年</w:t>
      </w:r>
      <w:r>
        <w:rPr>
          <w:rFonts w:hint="eastAsia" w:ascii="仿宋_GB2312" w:hAnsi="仿宋_GB2312" w:eastAsia="仿宋_GB2312" w:cs="仿宋_GB2312"/>
          <w:kern w:val="2"/>
          <w:sz w:val="32"/>
          <w:szCs w:val="32"/>
          <w:lang w:val="zh-CN" w:eastAsia="zh-CN" w:bidi="ar-SA"/>
        </w:rPr>
        <w:t>预算完成情况较好，</w:t>
      </w:r>
      <w:r>
        <w:rPr>
          <w:rFonts w:hint="eastAsia" w:ascii="仿宋_GB2312" w:hAnsi="仿宋_GB2312" w:eastAsia="仿宋_GB2312" w:cs="仿宋_GB2312"/>
          <w:kern w:val="2"/>
          <w:sz w:val="32"/>
          <w:szCs w:val="32"/>
          <w:lang w:val="en-US" w:eastAsia="zh-CN" w:bidi="ar-SA"/>
        </w:rPr>
        <w:t>全年按照预算执行管理，完善财务预算控制指标，根据部门预算编制改革制度和州财政相关规定，完善了部门预算制度，进一步加强基础信息库和项目库建设，部门预算编制精细化水平不断提高。同时按照要求按照时间节点对本单位的预算进行了公开。</w:t>
      </w:r>
    </w:p>
    <w:p w14:paraId="08AE370E">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lang w:val="en-US" w:eastAsia="zh-CN"/>
          <w14:textFill>
            <w14:solidFill>
              <w14:schemeClr w14:val="tx1"/>
            </w14:solidFill>
          </w14:textFill>
        </w:rPr>
        <w:t>违规记录等情况</w:t>
      </w:r>
    </w:p>
    <w:p w14:paraId="1F55B82F">
      <w:pPr>
        <w:keepNext w:val="0"/>
        <w:keepLines w:val="0"/>
        <w:pageBreakBefore w:val="0"/>
        <w:widowControl w:val="0"/>
        <w:numPr>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2025年全年未发生违规支出的预警情况。</w:t>
      </w:r>
    </w:p>
    <w:p w14:paraId="52ECD97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3.财务管理</w:t>
      </w:r>
    </w:p>
    <w:p w14:paraId="0736F20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为保证资金支付的真实性、合法性，原则上要求不同类别的资金支付款项，需要经办人员提供相应的资料作为支付依据。财务人员严格按照资金支付流程审核资料，分管财务领导审签、再由主要领导签批同意后，出纳方可支付资金。</w:t>
      </w:r>
    </w:p>
    <w:p w14:paraId="209B2FE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0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仿宋" w:hAnsi="仿宋" w:eastAsia="仿宋"/>
          <w:sz w:val="30"/>
          <w:szCs w:val="30"/>
          <w:lang w:val="en-US" w:eastAsia="zh-CN"/>
        </w:rPr>
        <w:t>4.</w:t>
      </w:r>
      <w:r>
        <w:rPr>
          <w:rFonts w:hint="eastAsia" w:ascii="方正仿宋_GBK" w:hAnsi="方正仿宋_GBK" w:eastAsia="方正仿宋_GBK" w:cs="方正仿宋_GBK"/>
          <w:kern w:val="2"/>
          <w:sz w:val="32"/>
          <w:szCs w:val="32"/>
          <w:lang w:val="en-US" w:eastAsia="zh-CN" w:bidi="ar-SA"/>
        </w:rPr>
        <w:t>资产管理</w:t>
      </w:r>
    </w:p>
    <w:p w14:paraId="31AFE4F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固定资产是单位开展业务和其他活动的重要物质条件，种类多，规格不一。按照固定资产管理规定，及时督促经办人员入账，确保账实相符。</w:t>
      </w:r>
    </w:p>
    <w:p w14:paraId="3CC76BE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0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仿宋" w:hAnsi="仿宋" w:eastAsia="仿宋"/>
          <w:sz w:val="30"/>
          <w:szCs w:val="30"/>
          <w:lang w:val="en-US" w:eastAsia="zh-CN"/>
        </w:rPr>
        <w:t>5.</w:t>
      </w:r>
      <w:r>
        <w:rPr>
          <w:rFonts w:hint="eastAsia" w:ascii="方正仿宋_GBK" w:hAnsi="方正仿宋_GBK" w:eastAsia="方正仿宋_GBK" w:cs="方正仿宋_GBK"/>
          <w:kern w:val="2"/>
          <w:sz w:val="32"/>
          <w:szCs w:val="32"/>
          <w:lang w:val="en-US" w:eastAsia="zh-CN" w:bidi="ar-SA"/>
        </w:rPr>
        <w:t>采购管理</w:t>
      </w:r>
    </w:p>
    <w:p w14:paraId="3686D75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单位的采购工作，严格执行政府采购程序，不存在违反规定的情况。</w:t>
      </w:r>
    </w:p>
    <w:p w14:paraId="74DDBC81">
      <w:pPr>
        <w:keepNext w:val="0"/>
        <w:keepLines w:val="0"/>
        <w:pageBreakBefore w:val="0"/>
        <w:widowControl w:val="0"/>
        <w:numPr>
          <w:ilvl w:val="0"/>
          <w:numId w:val="7"/>
        </w:numPr>
        <w:pBdr>
          <w:bottom w:val="single" w:color="FFFFFF" w:sz="4" w:space="31"/>
        </w:pBdr>
        <w:tabs>
          <w:tab w:val="left" w:pos="1440"/>
        </w:tabs>
        <w:kinsoku/>
        <w:wordWrap/>
        <w:overflowPunct/>
        <w:topLinePunct w:val="0"/>
        <w:autoSpaceDE/>
        <w:autoSpaceDN/>
        <w:bidi w:val="0"/>
        <w:adjustRightInd/>
        <w:snapToGrid/>
        <w:spacing w:line="576" w:lineRule="exact"/>
        <w:ind w:left="0" w:leftChars="0" w:firstLine="640"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en-US" w:eastAsia="zh-CN" w:bidi="ar-SA"/>
        </w:rPr>
        <w:t>部门预算项目绩效分析</w:t>
      </w:r>
    </w:p>
    <w:p w14:paraId="00A0AFC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1.项目决策</w:t>
      </w:r>
    </w:p>
    <w:p w14:paraId="73F8525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2025年初预算编制了4个特定运转项目，新增岷江流域理县段支流水质提升及生态修复、水污染防治能力建设和大气污染防治能力建设3个项目。</w:t>
      </w:r>
    </w:p>
    <w:p w14:paraId="6F0D428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2.项目执行</w:t>
      </w:r>
    </w:p>
    <w:p w14:paraId="5255BC4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项目严格按照推进进度和合同预定，完成了2025年度支付进度。</w:t>
      </w:r>
    </w:p>
    <w:p w14:paraId="432E0BD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3.项目实现</w:t>
      </w:r>
    </w:p>
    <w:p w14:paraId="59D48DA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全部完成了2025年年初预算4个特定项目目标任务；岷江流域理县段支流水质提升及生态修复项目2025年底完成了前期工作，并完成了招投标。水污染防治能力建设和大气污染防治能力建设项目按照项目实施进度，根据合同约定完成支付。</w:t>
      </w:r>
    </w:p>
    <w:p w14:paraId="36785FF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4重点领域绩效分析</w:t>
      </w:r>
    </w:p>
    <w:p w14:paraId="2FEE730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无</w:t>
      </w:r>
    </w:p>
    <w:p w14:paraId="79CB12D6">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en-US" w:eastAsia="zh-CN" w:bidi="ar-SA"/>
        </w:rPr>
        <w:t>（四）绩效结果应用情况</w:t>
      </w:r>
    </w:p>
    <w:p w14:paraId="17B8BCA0">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1.部门整体支出绩效评价在单位公示栏进行公示。</w:t>
      </w:r>
    </w:p>
    <w:p w14:paraId="5005D6C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2.未收到有关绩效评价结果整改的通知。</w:t>
      </w:r>
    </w:p>
    <w:p w14:paraId="70F8151D">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3.进一步深化绩效评价结果应用。对评价结果不同等级的项目，采用优先安排、适当安排、压缩直至不安排等方式，分类管理，分类施策。督促单位加强项目管理，提升项目质量。对未实施的项目下一年度不再安排。</w:t>
      </w:r>
    </w:p>
    <w:p w14:paraId="008F87B4">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黑体_GBK" w:hAnsi="方正黑体_GBK" w:eastAsia="方正黑体_GBK" w:cs="方正黑体_GBK"/>
          <w:color w:val="000000"/>
          <w:kern w:val="0"/>
          <w:sz w:val="32"/>
          <w:szCs w:val="32"/>
          <w:shd w:val="clear" w:color="auto" w:fill="FFFFFF"/>
          <w:lang w:val="en-US" w:eastAsia="zh-CN"/>
        </w:rPr>
      </w:pPr>
      <w:r>
        <w:rPr>
          <w:rFonts w:hint="eastAsia" w:ascii="方正黑体_GBK" w:hAnsi="方正黑体_GBK" w:eastAsia="方正黑体_GBK" w:cs="方正黑体_GBK"/>
          <w:color w:val="000000"/>
          <w:kern w:val="0"/>
          <w:sz w:val="32"/>
          <w:szCs w:val="32"/>
          <w:shd w:val="clear" w:color="auto" w:fill="FFFFFF"/>
          <w:lang w:val="en-US" w:eastAsia="zh-CN"/>
        </w:rPr>
        <w:t>四、评价结论及建议</w:t>
      </w:r>
    </w:p>
    <w:p w14:paraId="69CC0DE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楷体_GBK" w:hAnsi="方正楷体_GBK" w:eastAsia="方正楷体_GBK" w:cs="方正楷体_GBK"/>
          <w:b/>
          <w:bCs/>
          <w:color w:val="000000"/>
          <w:kern w:val="0"/>
          <w:sz w:val="32"/>
          <w:szCs w:val="32"/>
          <w:shd w:val="clear" w:color="auto" w:fill="FFFFFF"/>
          <w:lang w:val="zh-CN"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（一）评价结论。</w:t>
      </w:r>
    </w:p>
    <w:p w14:paraId="34453682">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仿宋" w:hAnsi="仿宋" w:eastAsia="仿宋" w:cstheme="minorBidi"/>
          <w:kern w:val="2"/>
          <w:sz w:val="32"/>
          <w:szCs w:val="32"/>
          <w:lang w:val="en-US" w:eastAsia="zh-CN" w:bidi="ar-SA"/>
        </w:rPr>
        <w:t>2025年理县生态环境部门整体支出绩效自评良好，自评得分90分。</w:t>
      </w:r>
    </w:p>
    <w:p w14:paraId="322855E3">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方正楷体_GBK" w:hAnsi="方正楷体_GBK" w:eastAsia="方正楷体_GBK" w:cs="方正楷体_GBK"/>
          <w:b/>
          <w:bCs/>
          <w:color w:val="000000"/>
          <w:kern w:val="0"/>
          <w:sz w:val="32"/>
          <w:szCs w:val="32"/>
          <w:shd w:val="clear" w:color="auto" w:fill="FFFFFF"/>
          <w:lang w:val="en-US" w:eastAsia="zh-CN"/>
        </w:rPr>
      </w:pPr>
      <w:r>
        <w:rPr>
          <w:rFonts w:hint="eastAsia" w:ascii="方正楷体_GBK" w:hAnsi="方正楷体_GBK" w:eastAsia="方正楷体_GBK" w:cs="方正楷体_GBK"/>
          <w:b/>
          <w:bCs/>
          <w:color w:val="000000"/>
          <w:kern w:val="0"/>
          <w:sz w:val="32"/>
          <w:szCs w:val="32"/>
          <w:shd w:val="clear" w:color="auto" w:fill="FFFFFF"/>
          <w:lang w:val="zh-CN" w:eastAsia="zh-CN"/>
        </w:rPr>
        <w:t>（二）存在问题。</w:t>
      </w:r>
      <w:r>
        <w:rPr>
          <w:rFonts w:hint="eastAsia" w:ascii="方正楷体_GBK" w:hAnsi="方正楷体_GBK" w:eastAsia="方正楷体_GBK" w:cs="方正楷体_GBK"/>
          <w:b/>
          <w:bCs/>
          <w:color w:val="000000"/>
          <w:kern w:val="0"/>
          <w:sz w:val="32"/>
          <w:szCs w:val="32"/>
          <w:shd w:val="clear" w:color="auto" w:fill="FFFFFF"/>
          <w:lang w:val="en-US" w:eastAsia="zh-CN"/>
        </w:rPr>
        <w:t xml:space="preserve"> </w:t>
      </w:r>
    </w:p>
    <w:p w14:paraId="3FF7595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r>
        <w:rPr>
          <w:rFonts w:hint="eastAsia" w:ascii="仿宋" w:hAnsi="仿宋" w:eastAsia="仿宋" w:cstheme="minorBidi"/>
          <w:kern w:val="2"/>
          <w:sz w:val="32"/>
          <w:szCs w:val="32"/>
          <w:lang w:val="en-US" w:eastAsia="zh-CN" w:bidi="ar-SA"/>
        </w:rPr>
        <w:t>1.</w:t>
      </w:r>
      <w:r>
        <w:rPr>
          <w:rFonts w:hint="eastAsia" w:ascii="仿宋" w:hAnsi="仿宋" w:eastAsia="仿宋" w:cstheme="minorBidi"/>
          <w:kern w:val="2"/>
          <w:sz w:val="32"/>
          <w:szCs w:val="32"/>
          <w:lang w:val="zh-CN" w:eastAsia="zh-CN" w:bidi="ar-SA"/>
        </w:rPr>
        <w:t>预算编制准确性还不够,预算编制质量有待提高。</w:t>
      </w:r>
    </w:p>
    <w:p w14:paraId="1331753E">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2.财务管理还存在不足，内部控制制度不健全。财务业务知识缺乏，对新的政府财务会计制度不熟练。账务处理有待进一步提高，还存在不规范的现象。 .</w:t>
      </w:r>
    </w:p>
    <w:p w14:paraId="28B50CB7">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3.资产管理重采购，轻管理，无专人管理资产登记、入库、使用。固定资产管理需要进一步加强，该报废的没有及时报废等的情况。</w:t>
      </w:r>
    </w:p>
    <w:p w14:paraId="6957A5E9">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 xml:space="preserve">（三）改进建议                                                      </w:t>
      </w:r>
    </w:p>
    <w:p w14:paraId="71A95F25">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1.进一步完善、明确和细化各项费用支出管理制度，严格控制接待费、公务用车运行及维护等费用支出。</w:t>
      </w:r>
    </w:p>
    <w:p w14:paraId="03311B2B">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en-US" w:eastAsia="zh-CN" w:bidi="ar-SA"/>
        </w:rPr>
      </w:pPr>
      <w:r>
        <w:rPr>
          <w:rFonts w:hint="eastAsia" w:ascii="仿宋" w:hAnsi="仿宋" w:eastAsia="仿宋" w:cstheme="minorBidi"/>
          <w:kern w:val="2"/>
          <w:sz w:val="32"/>
          <w:szCs w:val="32"/>
          <w:lang w:val="en-US" w:eastAsia="zh-CN" w:bidi="ar-SA"/>
        </w:rPr>
        <w:t>2.加强固定资产的管理，配置专管部门和专管人员，对固定资产进行一次全面清查盘点，建立固定资产卡片，切实做到账卡相符、账物相符。</w:t>
      </w:r>
    </w:p>
    <w:p w14:paraId="0C842E8C">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r>
        <w:rPr>
          <w:rFonts w:hint="eastAsia" w:ascii="仿宋" w:hAnsi="仿宋" w:eastAsia="仿宋" w:cstheme="minorBidi"/>
          <w:kern w:val="2"/>
          <w:sz w:val="32"/>
          <w:szCs w:val="32"/>
          <w:lang w:val="en-US" w:eastAsia="zh-CN" w:bidi="ar-SA"/>
        </w:rPr>
        <w:t>3.</w:t>
      </w:r>
      <w:r>
        <w:rPr>
          <w:rFonts w:hint="eastAsia" w:ascii="仿宋" w:hAnsi="仿宋" w:eastAsia="仿宋" w:cstheme="minorBidi"/>
          <w:kern w:val="2"/>
          <w:sz w:val="32"/>
          <w:szCs w:val="32"/>
          <w:lang w:val="zh-CN" w:eastAsia="zh-CN" w:bidi="ar-SA"/>
        </w:rPr>
        <w:t>进一步加强内控管理,提高认知程度,强化单位纪检监督作用。</w:t>
      </w:r>
    </w:p>
    <w:p w14:paraId="4DE3AF58">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theme="minorBidi"/>
          <w:kern w:val="2"/>
          <w:sz w:val="32"/>
          <w:szCs w:val="32"/>
          <w:lang w:val="zh-CN" w:eastAsia="zh-CN" w:bidi="ar-SA"/>
        </w:rPr>
      </w:pPr>
    </w:p>
    <w:tbl>
      <w:tblPr>
        <w:tblStyle w:val="26"/>
        <w:tblW w:w="94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25"/>
        <w:gridCol w:w="1181"/>
        <w:gridCol w:w="1285"/>
        <w:gridCol w:w="1470"/>
        <w:gridCol w:w="589"/>
        <w:gridCol w:w="846"/>
        <w:gridCol w:w="518"/>
        <w:gridCol w:w="968"/>
        <w:gridCol w:w="509"/>
        <w:gridCol w:w="486"/>
        <w:gridCol w:w="788"/>
      </w:tblGrid>
      <w:tr w14:paraId="33A8D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DEC489">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B599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5F8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18AA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r>
      <w:tr w14:paraId="2B5F3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293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6FA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7D2937E">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F79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7CA0E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925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159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16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C077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7E0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BCCEF">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65B9E">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8C0C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5BD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经组织部门和社保部门审核，于2025年11月兑现给退休人员。</w:t>
            </w:r>
          </w:p>
        </w:tc>
      </w:tr>
      <w:tr w14:paraId="6FEA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34073">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14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8ABC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发放退休人员一次性退休补贴</w:t>
            </w:r>
          </w:p>
        </w:tc>
      </w:tr>
      <w:tr w14:paraId="1A574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85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0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3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0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44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6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9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5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E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E9DE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3287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3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7C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A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5D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5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6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2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61E5A4">
            <w:pPr>
              <w:rPr>
                <w:rFonts w:hint="eastAsia" w:ascii="黑体" w:hAnsi="黑体" w:eastAsia="黑体" w:cs="黑体"/>
                <w:i/>
                <w:iCs/>
                <w:color w:val="000000"/>
                <w:sz w:val="18"/>
                <w:szCs w:val="18"/>
                <w:u w:val="none"/>
              </w:rPr>
            </w:pPr>
          </w:p>
        </w:tc>
      </w:tr>
      <w:tr w14:paraId="2B1F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4AAA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D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E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1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86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F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8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A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F1072">
            <w:pPr>
              <w:rPr>
                <w:rFonts w:hint="eastAsia" w:ascii="黑体" w:hAnsi="黑体" w:eastAsia="黑体" w:cs="黑体"/>
                <w:i/>
                <w:iCs/>
                <w:color w:val="000000"/>
                <w:sz w:val="18"/>
                <w:szCs w:val="18"/>
                <w:u w:val="none"/>
              </w:rPr>
            </w:pPr>
          </w:p>
        </w:tc>
      </w:tr>
      <w:tr w14:paraId="3EEC8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4281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E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D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5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35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0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D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4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11A9E">
            <w:pPr>
              <w:rPr>
                <w:rFonts w:hint="eastAsia" w:ascii="黑体" w:hAnsi="黑体" w:eastAsia="黑体" w:cs="黑体"/>
                <w:i/>
                <w:iCs/>
                <w:color w:val="000000"/>
                <w:sz w:val="18"/>
                <w:szCs w:val="18"/>
                <w:u w:val="none"/>
              </w:rPr>
            </w:pPr>
          </w:p>
        </w:tc>
      </w:tr>
      <w:tr w14:paraId="11C56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613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C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1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7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A94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2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6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8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3770">
            <w:pPr>
              <w:rPr>
                <w:rFonts w:hint="eastAsia" w:ascii="黑体" w:hAnsi="黑体" w:eastAsia="黑体" w:cs="黑体"/>
                <w:i/>
                <w:iCs/>
                <w:color w:val="000000"/>
                <w:sz w:val="18"/>
                <w:szCs w:val="18"/>
                <w:u w:val="none"/>
              </w:rPr>
            </w:pPr>
          </w:p>
        </w:tc>
      </w:tr>
      <w:tr w14:paraId="48F91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E769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7F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3B23">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9410">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23351">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45B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D6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5F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51784">
            <w:pPr>
              <w:rPr>
                <w:rFonts w:hint="eastAsia" w:ascii="黑体" w:hAnsi="黑体" w:eastAsia="黑体" w:cs="黑体"/>
                <w:i/>
                <w:iCs/>
                <w:color w:val="000000"/>
                <w:sz w:val="18"/>
                <w:szCs w:val="18"/>
                <w:u w:val="none"/>
              </w:rPr>
            </w:pPr>
          </w:p>
        </w:tc>
      </w:tr>
      <w:tr w14:paraId="70D44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43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AD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69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80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2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4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4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C5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0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6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E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1D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AC71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3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E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9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C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7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FA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DB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B5A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B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8A08">
            <w:pPr>
              <w:jc w:val="center"/>
              <w:rPr>
                <w:rFonts w:hint="eastAsia" w:ascii="微软雅黑" w:hAnsi="微软雅黑" w:eastAsia="微软雅黑" w:cs="微软雅黑"/>
                <w:i/>
                <w:iCs/>
                <w:color w:val="000000"/>
                <w:sz w:val="16"/>
                <w:szCs w:val="16"/>
                <w:u w:val="none"/>
              </w:rPr>
            </w:pPr>
          </w:p>
        </w:tc>
      </w:tr>
      <w:tr w14:paraId="77960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547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B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8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E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E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AB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D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DD2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6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7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A9BA">
            <w:pPr>
              <w:jc w:val="center"/>
              <w:rPr>
                <w:rFonts w:hint="eastAsia" w:ascii="微软雅黑" w:hAnsi="微软雅黑" w:eastAsia="微软雅黑" w:cs="微软雅黑"/>
                <w:i/>
                <w:iCs/>
                <w:color w:val="000000"/>
                <w:sz w:val="16"/>
                <w:szCs w:val="16"/>
                <w:u w:val="none"/>
              </w:rPr>
            </w:pPr>
          </w:p>
        </w:tc>
      </w:tr>
      <w:tr w14:paraId="31582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E25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C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326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89C4">
            <w:pPr>
              <w:rPr>
                <w:rFonts w:hint="eastAsia" w:ascii="宋体" w:hAnsi="宋体" w:eastAsia="宋体" w:cs="宋体"/>
                <w:i w:val="0"/>
                <w:iCs w:val="0"/>
                <w:color w:val="000000"/>
                <w:sz w:val="18"/>
                <w:szCs w:val="18"/>
                <w:u w:val="none"/>
              </w:rPr>
            </w:pPr>
          </w:p>
        </w:tc>
      </w:tr>
      <w:tr w14:paraId="30EE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9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99F92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经组织部门和社保部门审核，于2025年11月兑现给退休人员，退休人员的合法利益得到了有效保障。自评得分100分。</w:t>
            </w:r>
          </w:p>
        </w:tc>
      </w:tr>
      <w:tr w14:paraId="5B4BD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0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86CD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9605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1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3E664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C554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52A7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3E39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6FB6A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706F633C">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DF5CDD8">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9702C23">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6356B519">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23252A2E">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E0420A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43508F9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D45EBCE">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405C599">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7FFC183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F26A17A">
            <w:pPr>
              <w:rPr>
                <w:rFonts w:hint="eastAsia" w:ascii="宋体" w:hAnsi="宋体" w:eastAsia="宋体" w:cs="宋体"/>
                <w:i w:val="0"/>
                <w:iCs w:val="0"/>
                <w:color w:val="000000"/>
                <w:sz w:val="18"/>
                <w:szCs w:val="18"/>
                <w:u w:val="none"/>
              </w:rPr>
            </w:pPr>
          </w:p>
        </w:tc>
      </w:tr>
      <w:tr w14:paraId="7F8A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67DA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C8F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6B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F726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2EA97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FA7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E8D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70188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65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03F7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832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CA1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BAB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240B8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0802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55537">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A4008">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5B7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F3846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经组织部门审核，每月按时兑现职工工资，全面完成了2025年度工资支付。</w:t>
            </w:r>
          </w:p>
        </w:tc>
      </w:tr>
      <w:tr w14:paraId="41B3B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BF07F">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AC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45EF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按月支付职工工资</w:t>
            </w:r>
          </w:p>
        </w:tc>
      </w:tr>
      <w:tr w14:paraId="2E122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8F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3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6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A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D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5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1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56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12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0C1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340D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4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8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0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A4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6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6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D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7E74B">
            <w:pPr>
              <w:rPr>
                <w:rFonts w:hint="eastAsia" w:ascii="黑体" w:hAnsi="黑体" w:eastAsia="黑体" w:cs="黑体"/>
                <w:i/>
                <w:iCs/>
                <w:color w:val="000000"/>
                <w:sz w:val="18"/>
                <w:szCs w:val="18"/>
                <w:u w:val="none"/>
              </w:rPr>
            </w:pPr>
          </w:p>
        </w:tc>
      </w:tr>
      <w:tr w14:paraId="5FB2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7BF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A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9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87.71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F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BA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84.90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9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56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81D02">
            <w:pPr>
              <w:rPr>
                <w:rFonts w:hint="eastAsia" w:ascii="黑体" w:hAnsi="黑体" w:eastAsia="黑体" w:cs="黑体"/>
                <w:i/>
                <w:iCs/>
                <w:color w:val="000000"/>
                <w:sz w:val="18"/>
                <w:szCs w:val="18"/>
                <w:u w:val="none"/>
              </w:rPr>
            </w:pPr>
          </w:p>
        </w:tc>
      </w:tr>
      <w:tr w14:paraId="50693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049D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1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9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A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FD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6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C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C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1D646">
            <w:pPr>
              <w:rPr>
                <w:rFonts w:hint="eastAsia" w:ascii="黑体" w:hAnsi="黑体" w:eastAsia="黑体" w:cs="黑体"/>
                <w:i/>
                <w:iCs/>
                <w:color w:val="000000"/>
                <w:sz w:val="18"/>
                <w:szCs w:val="18"/>
                <w:u w:val="none"/>
              </w:rPr>
            </w:pPr>
          </w:p>
        </w:tc>
      </w:tr>
      <w:tr w14:paraId="747CD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60F3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C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F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41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4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4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B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733F">
            <w:pPr>
              <w:rPr>
                <w:rFonts w:hint="eastAsia" w:ascii="黑体" w:hAnsi="黑体" w:eastAsia="黑体" w:cs="黑体"/>
                <w:i/>
                <w:iCs/>
                <w:color w:val="000000"/>
                <w:sz w:val="18"/>
                <w:szCs w:val="18"/>
                <w:u w:val="none"/>
              </w:rPr>
            </w:pPr>
          </w:p>
        </w:tc>
      </w:tr>
      <w:tr w14:paraId="326F0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B334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B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B19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BE74">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D7570">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D19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D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AA5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8FAD8">
            <w:pPr>
              <w:rPr>
                <w:rFonts w:hint="eastAsia" w:ascii="黑体" w:hAnsi="黑体" w:eastAsia="黑体" w:cs="黑体"/>
                <w:i/>
                <w:iCs/>
                <w:color w:val="000000"/>
                <w:sz w:val="18"/>
                <w:szCs w:val="18"/>
                <w:u w:val="none"/>
              </w:rPr>
            </w:pPr>
          </w:p>
        </w:tc>
      </w:tr>
      <w:tr w14:paraId="7694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74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7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0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4C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6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D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1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6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C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1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8E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390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82C9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24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99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1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38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8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E2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605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7A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FD34E">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1255">
            <w:pPr>
              <w:jc w:val="center"/>
              <w:rPr>
                <w:rFonts w:hint="eastAsia" w:ascii="微软雅黑" w:hAnsi="微软雅黑" w:eastAsia="微软雅黑" w:cs="微软雅黑"/>
                <w:i/>
                <w:iCs/>
                <w:color w:val="000000"/>
                <w:sz w:val="16"/>
                <w:szCs w:val="16"/>
                <w:u w:val="none"/>
              </w:rPr>
            </w:pPr>
          </w:p>
        </w:tc>
      </w:tr>
      <w:tr w14:paraId="310A9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9A3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E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9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C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C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7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7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24D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9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FC53">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CA15">
            <w:pPr>
              <w:jc w:val="center"/>
              <w:rPr>
                <w:rFonts w:hint="eastAsia" w:ascii="微软雅黑" w:hAnsi="微软雅黑" w:eastAsia="微软雅黑" w:cs="微软雅黑"/>
                <w:i/>
                <w:iCs/>
                <w:color w:val="000000"/>
                <w:sz w:val="16"/>
                <w:szCs w:val="16"/>
                <w:u w:val="none"/>
              </w:rPr>
            </w:pPr>
          </w:p>
        </w:tc>
      </w:tr>
      <w:tr w14:paraId="16ABD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9FE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2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A9C5">
            <w:pP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F69C5">
            <w:pPr>
              <w:rPr>
                <w:rFonts w:hint="eastAsia" w:ascii="宋体" w:hAnsi="宋体" w:eastAsia="宋体" w:cs="宋体"/>
                <w:i w:val="0"/>
                <w:iCs w:val="0"/>
                <w:color w:val="000000"/>
                <w:sz w:val="18"/>
                <w:szCs w:val="18"/>
                <w:u w:val="none"/>
              </w:rPr>
            </w:pPr>
          </w:p>
        </w:tc>
      </w:tr>
      <w:tr w14:paraId="1FF4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4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9D638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完成了2025年度职工工资支付，职工利益得到有效保障，自评得分100分。</w:t>
            </w:r>
          </w:p>
        </w:tc>
      </w:tr>
      <w:tr w14:paraId="4786F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A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3DF1A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D7BF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B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6574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D71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0DB7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88C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26B94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225D3ECD">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76293E21">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6877E261">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13F565E4">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A5B7D2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135A877C">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643C26FB">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35184AA6">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A71B1EC">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F19E2FB">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3C605653">
            <w:pPr>
              <w:rPr>
                <w:rFonts w:hint="eastAsia" w:ascii="宋体" w:hAnsi="宋体" w:eastAsia="宋体" w:cs="宋体"/>
                <w:i w:val="0"/>
                <w:iCs w:val="0"/>
                <w:color w:val="000000"/>
                <w:sz w:val="18"/>
                <w:szCs w:val="18"/>
                <w:u w:val="none"/>
              </w:rPr>
            </w:pPr>
          </w:p>
        </w:tc>
      </w:tr>
      <w:tr w14:paraId="4846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4E8A3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439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49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24F3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4E56A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E5A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4F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C727A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B32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2851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DEE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042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8AC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E2CE9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A6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BA7B9">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1E49">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D877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D4AA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经社保、住房公积金、医保等部门的审核，每月按时申报并缴纳费用，全面完成了2025年度单位缴费工作任务。</w:t>
            </w:r>
          </w:p>
        </w:tc>
      </w:tr>
      <w:tr w14:paraId="6C2B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FCF26">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07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9B55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单位缴纳养老保险、职业年金、医疗保险、工伤、失业、住房公积金等。</w:t>
            </w:r>
          </w:p>
        </w:tc>
      </w:tr>
      <w:tr w14:paraId="6661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C0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8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1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1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902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4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E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7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6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918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4A2B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A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E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2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C50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6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4C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F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50494">
            <w:pPr>
              <w:rPr>
                <w:rFonts w:hint="eastAsia" w:ascii="黑体" w:hAnsi="黑体" w:eastAsia="黑体" w:cs="黑体"/>
                <w:i/>
                <w:iCs/>
                <w:color w:val="000000"/>
                <w:sz w:val="18"/>
                <w:szCs w:val="18"/>
                <w:u w:val="none"/>
              </w:rPr>
            </w:pPr>
          </w:p>
        </w:tc>
      </w:tr>
      <w:tr w14:paraId="616C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CAA0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3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C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54.66</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8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68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66.66</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7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0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01B4B">
            <w:pPr>
              <w:rPr>
                <w:rFonts w:hint="eastAsia" w:ascii="黑体" w:hAnsi="黑体" w:eastAsia="黑体" w:cs="黑体"/>
                <w:i/>
                <w:iCs/>
                <w:color w:val="000000"/>
                <w:sz w:val="18"/>
                <w:szCs w:val="18"/>
                <w:u w:val="none"/>
              </w:rPr>
            </w:pPr>
          </w:p>
        </w:tc>
      </w:tr>
      <w:tr w14:paraId="1340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A4AF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6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0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7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318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1C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D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2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1996">
            <w:pPr>
              <w:rPr>
                <w:rFonts w:hint="eastAsia" w:ascii="黑体" w:hAnsi="黑体" w:eastAsia="黑体" w:cs="黑体"/>
                <w:i/>
                <w:iCs/>
                <w:color w:val="000000"/>
                <w:sz w:val="18"/>
                <w:szCs w:val="18"/>
                <w:u w:val="none"/>
              </w:rPr>
            </w:pPr>
          </w:p>
        </w:tc>
      </w:tr>
      <w:tr w14:paraId="5EC9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AC0B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8F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45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28B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2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24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A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AF489">
            <w:pPr>
              <w:rPr>
                <w:rFonts w:hint="eastAsia" w:ascii="黑体" w:hAnsi="黑体" w:eastAsia="黑体" w:cs="黑体"/>
                <w:i/>
                <w:iCs/>
                <w:color w:val="000000"/>
                <w:sz w:val="18"/>
                <w:szCs w:val="18"/>
                <w:u w:val="none"/>
              </w:rPr>
            </w:pPr>
          </w:p>
        </w:tc>
      </w:tr>
      <w:tr w14:paraId="372D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792F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2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E62C">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86F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8CE05">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40A0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A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1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EE942">
            <w:pPr>
              <w:rPr>
                <w:rFonts w:hint="eastAsia" w:ascii="黑体" w:hAnsi="黑体" w:eastAsia="黑体" w:cs="黑体"/>
                <w:i/>
                <w:iCs/>
                <w:color w:val="000000"/>
                <w:sz w:val="18"/>
                <w:szCs w:val="18"/>
                <w:u w:val="none"/>
              </w:rPr>
            </w:pPr>
          </w:p>
        </w:tc>
      </w:tr>
      <w:tr w14:paraId="41461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43D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1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D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3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A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6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84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F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3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A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5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C24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BB53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B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9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8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7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9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D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92F7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B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35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1BA33">
            <w:pPr>
              <w:jc w:val="center"/>
              <w:rPr>
                <w:rFonts w:hint="eastAsia" w:ascii="微软雅黑" w:hAnsi="微软雅黑" w:eastAsia="微软雅黑" w:cs="微软雅黑"/>
                <w:i/>
                <w:iCs/>
                <w:color w:val="000000"/>
                <w:sz w:val="16"/>
                <w:szCs w:val="16"/>
                <w:u w:val="none"/>
              </w:rPr>
            </w:pPr>
          </w:p>
        </w:tc>
      </w:tr>
      <w:tr w14:paraId="5FFB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DF38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C7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4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1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9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3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5E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C45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3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A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E1CD">
            <w:pPr>
              <w:jc w:val="center"/>
              <w:rPr>
                <w:rFonts w:hint="eastAsia" w:ascii="微软雅黑" w:hAnsi="微软雅黑" w:eastAsia="微软雅黑" w:cs="微软雅黑"/>
                <w:i/>
                <w:iCs/>
                <w:color w:val="000000"/>
                <w:sz w:val="16"/>
                <w:szCs w:val="16"/>
                <w:u w:val="none"/>
              </w:rPr>
            </w:pPr>
          </w:p>
        </w:tc>
      </w:tr>
      <w:tr w14:paraId="44F29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9AC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0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D7B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3D0A">
            <w:pPr>
              <w:rPr>
                <w:rFonts w:hint="eastAsia" w:ascii="宋体" w:hAnsi="宋体" w:eastAsia="宋体" w:cs="宋体"/>
                <w:i w:val="0"/>
                <w:iCs w:val="0"/>
                <w:color w:val="000000"/>
                <w:sz w:val="18"/>
                <w:szCs w:val="18"/>
                <w:u w:val="none"/>
              </w:rPr>
            </w:pPr>
          </w:p>
        </w:tc>
      </w:tr>
      <w:tr w14:paraId="527B2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41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C24FE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全面完成了2025年度单位各项缴费，职工利益得到了有效保障，自评得分100分。</w:t>
            </w:r>
          </w:p>
        </w:tc>
      </w:tr>
      <w:tr w14:paraId="7CA49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CC6E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41B3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1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98659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060E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CBFE8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BA0A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236E7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5E753841">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1B6721A5">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2ECDDA77">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D08642E">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AD6092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7BA68A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4A3BAEE7">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7FEDAB00">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257B3B00">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5613FEA">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9127E73">
            <w:pPr>
              <w:rPr>
                <w:rFonts w:hint="eastAsia" w:ascii="宋体" w:hAnsi="宋体" w:eastAsia="宋体" w:cs="宋体"/>
                <w:i w:val="0"/>
                <w:iCs w:val="0"/>
                <w:color w:val="000000"/>
                <w:sz w:val="18"/>
                <w:szCs w:val="18"/>
                <w:u w:val="none"/>
              </w:rPr>
            </w:pPr>
          </w:p>
        </w:tc>
      </w:tr>
      <w:tr w14:paraId="7237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A309C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BD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069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1942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51320023T000009450959-国家重点生态功能区县域生态环境质量考核监测工作项目</w:t>
            </w:r>
          </w:p>
        </w:tc>
      </w:tr>
      <w:tr w14:paraId="23F20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464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03B9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637974E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BB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67F21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EF6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A83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67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9DB93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061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D3A63">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6BC05">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29B9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2025年国家重点生态功能区县域生态环境质量考核工作需要开展国家重点生态功能区县域生态环境质量地表水断面监测、农村环境质量试点监测﹑集中式饮用水水源地水质监测、水功能区监测、污染源监测、声环境监测、农村生活污水监测等。</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45E26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全面完成了2025年各项监测任务。</w:t>
            </w:r>
          </w:p>
        </w:tc>
      </w:tr>
      <w:tr w14:paraId="7447C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10BD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2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9A76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开展2025年度国家重点生态功能区县域生态环境质量考核监测</w:t>
            </w:r>
          </w:p>
        </w:tc>
      </w:tr>
      <w:tr w14:paraId="6F7B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B9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5E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E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A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61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1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7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A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D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482D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A196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7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6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3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0C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6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6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7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771F0">
            <w:pPr>
              <w:rPr>
                <w:rFonts w:hint="eastAsia" w:ascii="黑体" w:hAnsi="黑体" w:eastAsia="黑体" w:cs="黑体"/>
                <w:i/>
                <w:iCs/>
                <w:color w:val="000000"/>
                <w:sz w:val="18"/>
                <w:szCs w:val="18"/>
                <w:u w:val="none"/>
              </w:rPr>
            </w:pPr>
          </w:p>
        </w:tc>
      </w:tr>
      <w:tr w14:paraId="1BDBD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2907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5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B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C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84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8D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0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D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8F981">
            <w:pPr>
              <w:rPr>
                <w:rFonts w:hint="eastAsia" w:ascii="黑体" w:hAnsi="黑体" w:eastAsia="黑体" w:cs="黑体"/>
                <w:i/>
                <w:iCs/>
                <w:color w:val="000000"/>
                <w:sz w:val="18"/>
                <w:szCs w:val="18"/>
                <w:u w:val="none"/>
              </w:rPr>
            </w:pPr>
          </w:p>
        </w:tc>
      </w:tr>
      <w:tr w14:paraId="1478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1396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6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F3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0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2E3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2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F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D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5A8EE">
            <w:pPr>
              <w:rPr>
                <w:rFonts w:hint="eastAsia" w:ascii="黑体" w:hAnsi="黑体" w:eastAsia="黑体" w:cs="黑体"/>
                <w:i/>
                <w:iCs/>
                <w:color w:val="000000"/>
                <w:sz w:val="18"/>
                <w:szCs w:val="18"/>
                <w:u w:val="none"/>
              </w:rPr>
            </w:pPr>
          </w:p>
        </w:tc>
      </w:tr>
      <w:tr w14:paraId="2143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E231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4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3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A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F8A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105.80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8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0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4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F1964">
            <w:pPr>
              <w:rPr>
                <w:rFonts w:hint="eastAsia" w:ascii="黑体" w:hAnsi="黑体" w:eastAsia="黑体" w:cs="黑体"/>
                <w:i/>
                <w:iCs/>
                <w:color w:val="000000"/>
                <w:sz w:val="18"/>
                <w:szCs w:val="18"/>
                <w:u w:val="none"/>
              </w:rPr>
            </w:pPr>
          </w:p>
        </w:tc>
      </w:tr>
      <w:tr w14:paraId="6ADDD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AF8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A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E792A">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E57B">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570CA">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5FD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4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D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22DE1">
            <w:pPr>
              <w:rPr>
                <w:rFonts w:hint="eastAsia" w:ascii="黑体" w:hAnsi="黑体" w:eastAsia="黑体" w:cs="黑体"/>
                <w:i/>
                <w:iCs/>
                <w:color w:val="000000"/>
                <w:sz w:val="18"/>
                <w:szCs w:val="18"/>
                <w:u w:val="none"/>
              </w:rPr>
            </w:pPr>
          </w:p>
        </w:tc>
      </w:tr>
      <w:tr w14:paraId="62B31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20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00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E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D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1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4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B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0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E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8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80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5EE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98206">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78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8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E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监测内容</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7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6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B415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A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9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7A3D">
            <w:pPr>
              <w:jc w:val="center"/>
              <w:rPr>
                <w:rFonts w:hint="eastAsia" w:ascii="微软雅黑" w:hAnsi="微软雅黑" w:eastAsia="微软雅黑" w:cs="微软雅黑"/>
                <w:i/>
                <w:iCs/>
                <w:color w:val="000000"/>
                <w:sz w:val="16"/>
                <w:szCs w:val="16"/>
                <w:u w:val="none"/>
              </w:rPr>
            </w:pPr>
          </w:p>
        </w:tc>
      </w:tr>
      <w:tr w14:paraId="75E63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57D6F">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7110">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8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C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6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B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9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A04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7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E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90F4">
            <w:pPr>
              <w:jc w:val="center"/>
              <w:rPr>
                <w:rFonts w:hint="eastAsia" w:ascii="微软雅黑" w:hAnsi="微软雅黑" w:eastAsia="微软雅黑" w:cs="微软雅黑"/>
                <w:i/>
                <w:iCs/>
                <w:color w:val="000000"/>
                <w:sz w:val="16"/>
                <w:szCs w:val="16"/>
                <w:u w:val="none"/>
              </w:rPr>
            </w:pPr>
          </w:p>
        </w:tc>
      </w:tr>
      <w:tr w14:paraId="7ED2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3BF5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4CBA5">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D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D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CF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4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4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0E6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E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8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D16E">
            <w:pPr>
              <w:jc w:val="center"/>
              <w:rPr>
                <w:rFonts w:hint="eastAsia" w:ascii="微软雅黑" w:hAnsi="微软雅黑" w:eastAsia="微软雅黑" w:cs="微软雅黑"/>
                <w:i/>
                <w:iCs/>
                <w:color w:val="000000"/>
                <w:sz w:val="16"/>
                <w:szCs w:val="16"/>
                <w:u w:val="none"/>
              </w:rPr>
            </w:pPr>
          </w:p>
        </w:tc>
      </w:tr>
      <w:tr w14:paraId="0082D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919F7">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17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CE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3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7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D68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AC37">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F10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9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9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18F9">
            <w:pPr>
              <w:jc w:val="center"/>
              <w:rPr>
                <w:rFonts w:hint="eastAsia" w:ascii="微软雅黑" w:hAnsi="微软雅黑" w:eastAsia="微软雅黑" w:cs="微软雅黑"/>
                <w:i/>
                <w:iCs/>
                <w:color w:val="000000"/>
                <w:sz w:val="16"/>
                <w:szCs w:val="16"/>
                <w:u w:val="none"/>
              </w:rPr>
            </w:pPr>
          </w:p>
        </w:tc>
      </w:tr>
      <w:tr w14:paraId="658C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35E7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9153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9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1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D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4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持续好转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BA47">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C88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7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5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EA3C5">
            <w:pPr>
              <w:jc w:val="center"/>
              <w:rPr>
                <w:rFonts w:hint="eastAsia" w:ascii="微软雅黑" w:hAnsi="微软雅黑" w:eastAsia="微软雅黑" w:cs="微软雅黑"/>
                <w:i/>
                <w:iCs/>
                <w:color w:val="000000"/>
                <w:sz w:val="16"/>
                <w:szCs w:val="16"/>
                <w:u w:val="none"/>
              </w:rPr>
            </w:pPr>
          </w:p>
        </w:tc>
      </w:tr>
      <w:tr w14:paraId="4444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E9C9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5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E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3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群众对环境质量满意度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0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E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F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E600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A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1F6B">
            <w:pPr>
              <w:jc w:val="center"/>
              <w:rPr>
                <w:rFonts w:hint="eastAsia" w:ascii="微软雅黑" w:hAnsi="微软雅黑" w:eastAsia="微软雅黑" w:cs="微软雅黑"/>
                <w:i/>
                <w:iCs/>
                <w:color w:val="000000"/>
                <w:sz w:val="16"/>
                <w:szCs w:val="16"/>
                <w:u w:val="none"/>
              </w:rPr>
            </w:pPr>
          </w:p>
        </w:tc>
      </w:tr>
      <w:tr w14:paraId="51162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3D9D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2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8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8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监测费用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09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F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1075600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4DD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4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C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1037">
            <w:pPr>
              <w:jc w:val="center"/>
              <w:rPr>
                <w:rFonts w:hint="eastAsia" w:ascii="微软雅黑" w:hAnsi="微软雅黑" w:eastAsia="微软雅黑" w:cs="微软雅黑"/>
                <w:i/>
                <w:iCs/>
                <w:color w:val="000000"/>
                <w:sz w:val="16"/>
                <w:szCs w:val="16"/>
                <w:u w:val="none"/>
              </w:rPr>
            </w:pPr>
          </w:p>
        </w:tc>
      </w:tr>
      <w:tr w14:paraId="142E0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8A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9B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2D0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64E0">
            <w:pPr>
              <w:rPr>
                <w:rFonts w:hint="eastAsia" w:ascii="宋体" w:hAnsi="宋体" w:eastAsia="宋体" w:cs="宋体"/>
                <w:i w:val="0"/>
                <w:iCs w:val="0"/>
                <w:color w:val="000000"/>
                <w:sz w:val="18"/>
                <w:szCs w:val="18"/>
                <w:u w:val="none"/>
              </w:rPr>
            </w:pPr>
          </w:p>
        </w:tc>
      </w:tr>
      <w:tr w14:paraId="2B18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7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353DE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按照监测方案，全面完成了2025年县域生态环境质量考核监测工作，并出具监测报告，根据上级主管部门要求，按照时间节点上报，自查得分98分。</w:t>
            </w:r>
          </w:p>
        </w:tc>
      </w:tr>
      <w:tr w14:paraId="66498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1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F4A4D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74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6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3E18B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7D46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DCB7D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项目负责人：王明坤</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ED67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5CB7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85D98C7">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3FDC5A7D">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59CA1C60">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71B24A72">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5CADED7E">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325298A">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6EE655E">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1B4D6B28">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5658520">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10CD2B4">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BF95959">
            <w:pPr>
              <w:rPr>
                <w:rFonts w:hint="eastAsia" w:ascii="宋体" w:hAnsi="宋体" w:eastAsia="宋体" w:cs="宋体"/>
                <w:i w:val="0"/>
                <w:iCs w:val="0"/>
                <w:color w:val="000000"/>
                <w:sz w:val="18"/>
                <w:szCs w:val="18"/>
                <w:u w:val="none"/>
              </w:rPr>
            </w:pPr>
          </w:p>
        </w:tc>
      </w:tr>
      <w:tr w14:paraId="3E0E9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997B1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6E05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FD2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7E6BF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6BAD5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B10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F598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78FEB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0C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13B53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3F2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C2C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B49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8BB05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C1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E4192">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0F0B0">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BAE6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7FA8C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全面完成了2025年生态环境保护相关工作，保障了2025年单位日常运转，</w:t>
            </w:r>
          </w:p>
        </w:tc>
      </w:tr>
      <w:tr w14:paraId="1C09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E080B">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73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A3A7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开展2025年生态环境保护工作，确保正常运转。</w:t>
            </w:r>
          </w:p>
        </w:tc>
      </w:tr>
      <w:tr w14:paraId="0A65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29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E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D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9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C4F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B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6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06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B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734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3F38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9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E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1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04B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7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D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2B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843A4">
            <w:pPr>
              <w:rPr>
                <w:rFonts w:hint="eastAsia" w:ascii="黑体" w:hAnsi="黑体" w:eastAsia="黑体" w:cs="黑体"/>
                <w:i/>
                <w:iCs/>
                <w:color w:val="000000"/>
                <w:sz w:val="18"/>
                <w:szCs w:val="18"/>
                <w:u w:val="none"/>
              </w:rPr>
            </w:pPr>
          </w:p>
        </w:tc>
      </w:tr>
      <w:tr w14:paraId="7CC6B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0D77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89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AF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24.71</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2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6A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20.18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5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8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8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AFE8E">
            <w:pPr>
              <w:rPr>
                <w:rFonts w:hint="eastAsia" w:ascii="黑体" w:hAnsi="黑体" w:eastAsia="黑体" w:cs="黑体"/>
                <w:i/>
                <w:iCs/>
                <w:color w:val="000000"/>
                <w:sz w:val="18"/>
                <w:szCs w:val="18"/>
                <w:u w:val="none"/>
              </w:rPr>
            </w:pPr>
          </w:p>
        </w:tc>
      </w:tr>
      <w:tr w14:paraId="00BB1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BE17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5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E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EF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F6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2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CF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3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7D17D">
            <w:pPr>
              <w:rPr>
                <w:rFonts w:hint="eastAsia" w:ascii="黑体" w:hAnsi="黑体" w:eastAsia="黑体" w:cs="黑体"/>
                <w:i/>
                <w:iCs/>
                <w:color w:val="000000"/>
                <w:sz w:val="18"/>
                <w:szCs w:val="18"/>
                <w:u w:val="none"/>
              </w:rPr>
            </w:pPr>
          </w:p>
        </w:tc>
      </w:tr>
      <w:tr w14:paraId="50DB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384A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1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A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C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9C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8C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F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3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B4734">
            <w:pPr>
              <w:rPr>
                <w:rFonts w:hint="eastAsia" w:ascii="黑体" w:hAnsi="黑体" w:eastAsia="黑体" w:cs="黑体"/>
                <w:i/>
                <w:iCs/>
                <w:color w:val="000000"/>
                <w:sz w:val="18"/>
                <w:szCs w:val="18"/>
                <w:u w:val="none"/>
              </w:rPr>
            </w:pPr>
          </w:p>
        </w:tc>
      </w:tr>
      <w:tr w14:paraId="44690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DA6A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2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56EF3">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2F96">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5560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294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44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0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83712">
            <w:pPr>
              <w:rPr>
                <w:rFonts w:hint="eastAsia" w:ascii="黑体" w:hAnsi="黑体" w:eastAsia="黑体" w:cs="黑体"/>
                <w:i/>
                <w:iCs/>
                <w:color w:val="000000"/>
                <w:sz w:val="18"/>
                <w:szCs w:val="18"/>
                <w:u w:val="none"/>
              </w:rPr>
            </w:pPr>
          </w:p>
        </w:tc>
      </w:tr>
      <w:tr w14:paraId="5918E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38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A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5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A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4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3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D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D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C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6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1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563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7DC3F">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37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C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0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A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6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6C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CCC7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8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1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300E">
            <w:pPr>
              <w:jc w:val="center"/>
              <w:rPr>
                <w:rFonts w:hint="eastAsia" w:ascii="微软雅黑" w:hAnsi="微软雅黑" w:eastAsia="微软雅黑" w:cs="微软雅黑"/>
                <w:i/>
                <w:iCs/>
                <w:color w:val="000000"/>
                <w:sz w:val="16"/>
                <w:szCs w:val="16"/>
                <w:u w:val="none"/>
              </w:rPr>
            </w:pPr>
          </w:p>
        </w:tc>
      </w:tr>
      <w:tr w14:paraId="45133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41200">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AB71">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D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A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6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27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91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14E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0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FA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CAE5">
            <w:pPr>
              <w:jc w:val="center"/>
              <w:rPr>
                <w:rFonts w:hint="eastAsia" w:ascii="微软雅黑" w:hAnsi="微软雅黑" w:eastAsia="微软雅黑" w:cs="微软雅黑"/>
                <w:i/>
                <w:iCs/>
                <w:color w:val="000000"/>
                <w:sz w:val="16"/>
                <w:szCs w:val="16"/>
                <w:u w:val="none"/>
              </w:rPr>
            </w:pPr>
          </w:p>
        </w:tc>
      </w:tr>
      <w:tr w14:paraId="1611C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0044">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CF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0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E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7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5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B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B36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0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D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82E1">
            <w:pPr>
              <w:jc w:val="center"/>
              <w:rPr>
                <w:rFonts w:hint="eastAsia" w:ascii="微软雅黑" w:hAnsi="微软雅黑" w:eastAsia="微软雅黑" w:cs="微软雅黑"/>
                <w:i/>
                <w:iCs/>
                <w:color w:val="000000"/>
                <w:sz w:val="16"/>
                <w:szCs w:val="16"/>
                <w:u w:val="none"/>
              </w:rPr>
            </w:pPr>
          </w:p>
        </w:tc>
      </w:tr>
      <w:tr w14:paraId="5E9B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BE83A">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269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1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5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0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3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1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4A08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B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4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D318D">
            <w:pPr>
              <w:jc w:val="center"/>
              <w:rPr>
                <w:rFonts w:hint="eastAsia" w:ascii="微软雅黑" w:hAnsi="微软雅黑" w:eastAsia="微软雅黑" w:cs="微软雅黑"/>
                <w:i/>
                <w:iCs/>
                <w:color w:val="000000"/>
                <w:sz w:val="16"/>
                <w:szCs w:val="16"/>
                <w:u w:val="none"/>
              </w:rPr>
            </w:pPr>
          </w:p>
        </w:tc>
      </w:tr>
      <w:tr w14:paraId="772D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5E9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E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144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B585">
            <w:pPr>
              <w:rPr>
                <w:rFonts w:hint="eastAsia" w:ascii="宋体" w:hAnsi="宋体" w:eastAsia="宋体" w:cs="宋体"/>
                <w:i w:val="0"/>
                <w:iCs w:val="0"/>
                <w:color w:val="000000"/>
                <w:sz w:val="18"/>
                <w:szCs w:val="18"/>
                <w:u w:val="none"/>
              </w:rPr>
            </w:pPr>
          </w:p>
        </w:tc>
      </w:tr>
      <w:tr w14:paraId="5625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3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42B81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全面完成了2025年生态环境保护相关工作，保障了2025年单位日常运转，自评得分100分</w:t>
            </w:r>
          </w:p>
        </w:tc>
      </w:tr>
      <w:tr w14:paraId="10D96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D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2E50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7CC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F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1FBB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70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E5AF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B465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1A2A3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7A97BD4A">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B40440A">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1D983997">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28CFF1EB">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4145816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DBF1244">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EBADA38">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7AAEF8DB">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61A798A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06071D6C">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4A881410">
            <w:pPr>
              <w:rPr>
                <w:rFonts w:hint="eastAsia" w:ascii="宋体" w:hAnsi="宋体" w:eastAsia="宋体" w:cs="宋体"/>
                <w:i w:val="0"/>
                <w:iCs w:val="0"/>
                <w:color w:val="000000"/>
                <w:sz w:val="18"/>
                <w:szCs w:val="18"/>
                <w:u w:val="none"/>
              </w:rPr>
            </w:pPr>
          </w:p>
        </w:tc>
      </w:tr>
      <w:tr w14:paraId="7306C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B13DD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4842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74F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AEBA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51320024R000010654621-退休人员经费</w:t>
            </w:r>
          </w:p>
        </w:tc>
      </w:tr>
      <w:tr w14:paraId="696E1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3E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2DA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122C69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CA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3F74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216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86F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721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87A60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53D2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4A015">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9FDFB">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B77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AA26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按照相关政策，及时开展退休人员的慰问。</w:t>
            </w:r>
          </w:p>
        </w:tc>
      </w:tr>
      <w:tr w14:paraId="45E81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CB899">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116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2568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开展退休人员管理工作。</w:t>
            </w:r>
          </w:p>
        </w:tc>
      </w:tr>
      <w:tr w14:paraId="7D10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63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D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C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E5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95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11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1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3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A0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AE4A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FE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7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3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F6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D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60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9C93">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25978">
            <w:pPr>
              <w:rPr>
                <w:rFonts w:hint="eastAsia" w:ascii="黑体" w:hAnsi="黑体" w:eastAsia="黑体" w:cs="黑体"/>
                <w:i/>
                <w:iCs/>
                <w:color w:val="000000"/>
                <w:sz w:val="18"/>
                <w:szCs w:val="18"/>
                <w:u w:val="none"/>
              </w:rPr>
            </w:pPr>
          </w:p>
        </w:tc>
      </w:tr>
      <w:tr w14:paraId="661EE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6B99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0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F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6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03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A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0E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2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670B5">
            <w:pPr>
              <w:rPr>
                <w:rFonts w:hint="eastAsia" w:ascii="黑体" w:hAnsi="黑体" w:eastAsia="黑体" w:cs="黑体"/>
                <w:i/>
                <w:iCs/>
                <w:color w:val="000000"/>
                <w:sz w:val="18"/>
                <w:szCs w:val="18"/>
                <w:u w:val="none"/>
              </w:rPr>
            </w:pPr>
          </w:p>
        </w:tc>
      </w:tr>
      <w:tr w14:paraId="5385D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E61B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5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4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3B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03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0F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C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4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F1903">
            <w:pPr>
              <w:rPr>
                <w:rFonts w:hint="eastAsia" w:ascii="黑体" w:hAnsi="黑体" w:eastAsia="黑体" w:cs="黑体"/>
                <w:i/>
                <w:iCs/>
                <w:color w:val="000000"/>
                <w:sz w:val="18"/>
                <w:szCs w:val="18"/>
                <w:u w:val="none"/>
              </w:rPr>
            </w:pPr>
          </w:p>
        </w:tc>
      </w:tr>
      <w:tr w14:paraId="41133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CAED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E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0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85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E7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0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4E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8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7B7F">
            <w:pPr>
              <w:rPr>
                <w:rFonts w:hint="eastAsia" w:ascii="黑体" w:hAnsi="黑体" w:eastAsia="黑体" w:cs="黑体"/>
                <w:i/>
                <w:iCs/>
                <w:color w:val="000000"/>
                <w:sz w:val="18"/>
                <w:szCs w:val="18"/>
                <w:u w:val="none"/>
              </w:rPr>
            </w:pPr>
          </w:p>
        </w:tc>
      </w:tr>
      <w:tr w14:paraId="59745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F14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1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27A2">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F61D">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1127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2DC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37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5F745">
            <w:pPr>
              <w:rPr>
                <w:rFonts w:hint="eastAsia" w:ascii="黑体" w:hAnsi="黑体" w:eastAsia="黑体" w:cs="黑体"/>
                <w:i/>
                <w:iCs/>
                <w:color w:val="000000"/>
                <w:sz w:val="18"/>
                <w:szCs w:val="18"/>
                <w:u w:val="none"/>
              </w:rPr>
            </w:pPr>
          </w:p>
        </w:tc>
      </w:tr>
      <w:tr w14:paraId="6FD6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A5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4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4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9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D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1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7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A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EA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1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83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87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DEC5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3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2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1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B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7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6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E54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7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F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89F2">
            <w:pPr>
              <w:jc w:val="center"/>
              <w:rPr>
                <w:rFonts w:hint="eastAsia" w:ascii="微软雅黑" w:hAnsi="微软雅黑" w:eastAsia="微软雅黑" w:cs="微软雅黑"/>
                <w:i/>
                <w:iCs/>
                <w:color w:val="000000"/>
                <w:sz w:val="16"/>
                <w:szCs w:val="16"/>
                <w:u w:val="none"/>
              </w:rPr>
            </w:pPr>
          </w:p>
        </w:tc>
      </w:tr>
      <w:tr w14:paraId="29C4C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591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97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B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2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8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E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F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ECB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3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2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363F">
            <w:pPr>
              <w:jc w:val="center"/>
              <w:rPr>
                <w:rFonts w:hint="eastAsia" w:ascii="微软雅黑" w:hAnsi="微软雅黑" w:eastAsia="微软雅黑" w:cs="微软雅黑"/>
                <w:i/>
                <w:iCs/>
                <w:color w:val="000000"/>
                <w:sz w:val="16"/>
                <w:szCs w:val="16"/>
                <w:u w:val="none"/>
              </w:rPr>
            </w:pPr>
          </w:p>
        </w:tc>
      </w:tr>
      <w:tr w14:paraId="23D20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033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0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1780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DF1A">
            <w:pPr>
              <w:rPr>
                <w:rFonts w:hint="eastAsia" w:ascii="宋体" w:hAnsi="宋体" w:eastAsia="宋体" w:cs="宋体"/>
                <w:i w:val="0"/>
                <w:iCs w:val="0"/>
                <w:color w:val="000000"/>
                <w:sz w:val="18"/>
                <w:szCs w:val="18"/>
                <w:u w:val="none"/>
              </w:rPr>
            </w:pPr>
          </w:p>
        </w:tc>
      </w:tr>
      <w:tr w14:paraId="200CB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4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CB6C4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按照相关政策，及时开展退休人员的慰问，自查得分100分</w:t>
            </w:r>
          </w:p>
        </w:tc>
      </w:tr>
      <w:tr w14:paraId="7761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68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484EB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194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D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6250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D295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AACD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3BCDA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10E6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3CD4377">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BB64B6D">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144F2C1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741E0F0">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714AFD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AA9B69E">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0CC75F2">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4D364B1B">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03C274B0">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338C505F">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18C748DE">
            <w:pPr>
              <w:rPr>
                <w:rFonts w:hint="eastAsia" w:ascii="宋体" w:hAnsi="宋体" w:eastAsia="宋体" w:cs="宋体"/>
                <w:i w:val="0"/>
                <w:iCs w:val="0"/>
                <w:color w:val="000000"/>
                <w:sz w:val="18"/>
                <w:szCs w:val="18"/>
                <w:u w:val="none"/>
              </w:rPr>
            </w:pPr>
          </w:p>
        </w:tc>
      </w:tr>
      <w:tr w14:paraId="2193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D81330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5FB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7CB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56E9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62713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16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D0BA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2483EA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141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765A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9E0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EC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FC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A416A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BA8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60665">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59809">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4B65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BD0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足额保障了2025年度人员工资发放</w:t>
            </w:r>
          </w:p>
        </w:tc>
      </w:tr>
      <w:tr w14:paraId="7AFD7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5628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C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F553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追加人员工资</w:t>
            </w:r>
          </w:p>
        </w:tc>
      </w:tr>
      <w:tr w14:paraId="3D67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2C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E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F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B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224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9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C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7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1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F8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9807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4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41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0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C48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D6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7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91F4">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A0AEC">
            <w:pPr>
              <w:rPr>
                <w:rFonts w:hint="eastAsia" w:ascii="黑体" w:hAnsi="黑体" w:eastAsia="黑体" w:cs="黑体"/>
                <w:i/>
                <w:iCs/>
                <w:color w:val="000000"/>
                <w:sz w:val="18"/>
                <w:szCs w:val="18"/>
                <w:u w:val="none"/>
              </w:rPr>
            </w:pPr>
          </w:p>
        </w:tc>
      </w:tr>
      <w:tr w14:paraId="63905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AB62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8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F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4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48F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B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2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8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0565E">
            <w:pPr>
              <w:rPr>
                <w:rFonts w:hint="eastAsia" w:ascii="黑体" w:hAnsi="黑体" w:eastAsia="黑体" w:cs="黑体"/>
                <w:i/>
                <w:iCs/>
                <w:color w:val="000000"/>
                <w:sz w:val="18"/>
                <w:szCs w:val="18"/>
                <w:u w:val="none"/>
              </w:rPr>
            </w:pPr>
          </w:p>
        </w:tc>
      </w:tr>
      <w:tr w14:paraId="2D614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4110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9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29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8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98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A5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C6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D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54BCF">
            <w:pPr>
              <w:rPr>
                <w:rFonts w:hint="eastAsia" w:ascii="黑体" w:hAnsi="黑体" w:eastAsia="黑体" w:cs="黑体"/>
                <w:i/>
                <w:iCs/>
                <w:color w:val="000000"/>
                <w:sz w:val="18"/>
                <w:szCs w:val="18"/>
                <w:u w:val="none"/>
              </w:rPr>
            </w:pPr>
          </w:p>
        </w:tc>
      </w:tr>
      <w:tr w14:paraId="569FE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7684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22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A1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E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73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7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7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E8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891BC">
            <w:pPr>
              <w:rPr>
                <w:rFonts w:hint="eastAsia" w:ascii="黑体" w:hAnsi="黑体" w:eastAsia="黑体" w:cs="黑体"/>
                <w:i/>
                <w:iCs/>
                <w:color w:val="000000"/>
                <w:sz w:val="18"/>
                <w:szCs w:val="18"/>
                <w:u w:val="none"/>
              </w:rPr>
            </w:pPr>
          </w:p>
        </w:tc>
      </w:tr>
      <w:tr w14:paraId="272AE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2433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B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9F338">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D212">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A6B13">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030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F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6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6D20E">
            <w:pPr>
              <w:rPr>
                <w:rFonts w:hint="eastAsia" w:ascii="黑体" w:hAnsi="黑体" w:eastAsia="黑体" w:cs="黑体"/>
                <w:i/>
                <w:iCs/>
                <w:color w:val="000000"/>
                <w:sz w:val="18"/>
                <w:szCs w:val="18"/>
                <w:u w:val="none"/>
              </w:rPr>
            </w:pPr>
          </w:p>
        </w:tc>
      </w:tr>
      <w:tr w14:paraId="071F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641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E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75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AF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AB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2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C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F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A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B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1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8D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A8DF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C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C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B8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9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DE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9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C4D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6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BE75">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F0AB">
            <w:pPr>
              <w:jc w:val="center"/>
              <w:rPr>
                <w:rFonts w:hint="eastAsia" w:ascii="微软雅黑" w:hAnsi="微软雅黑" w:eastAsia="微软雅黑" w:cs="微软雅黑"/>
                <w:i/>
                <w:iCs/>
                <w:color w:val="000000"/>
                <w:sz w:val="16"/>
                <w:szCs w:val="16"/>
                <w:u w:val="none"/>
              </w:rPr>
            </w:pPr>
          </w:p>
        </w:tc>
      </w:tr>
      <w:tr w14:paraId="192BF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E5D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1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B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5A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7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7A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5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641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27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DB5A">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0776">
            <w:pPr>
              <w:jc w:val="center"/>
              <w:rPr>
                <w:rFonts w:hint="eastAsia" w:ascii="微软雅黑" w:hAnsi="微软雅黑" w:eastAsia="微软雅黑" w:cs="微软雅黑"/>
                <w:i/>
                <w:iCs/>
                <w:color w:val="000000"/>
                <w:sz w:val="16"/>
                <w:szCs w:val="16"/>
                <w:u w:val="none"/>
              </w:rPr>
            </w:pPr>
          </w:p>
        </w:tc>
      </w:tr>
      <w:tr w14:paraId="15D92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A9D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FE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16C9">
            <w:pP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BF4BF">
            <w:pPr>
              <w:rPr>
                <w:rFonts w:hint="eastAsia" w:ascii="宋体" w:hAnsi="宋体" w:eastAsia="宋体" w:cs="宋体"/>
                <w:i w:val="0"/>
                <w:iCs w:val="0"/>
                <w:color w:val="000000"/>
                <w:sz w:val="18"/>
                <w:szCs w:val="18"/>
                <w:u w:val="none"/>
              </w:rPr>
            </w:pPr>
          </w:p>
        </w:tc>
      </w:tr>
      <w:tr w14:paraId="7D22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E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55B85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追加工资主要用于人员调入、正常晋升等，确保人员工资足额发放。</w:t>
            </w:r>
          </w:p>
        </w:tc>
      </w:tr>
      <w:tr w14:paraId="7D65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A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02B9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190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A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E0957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5D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93FDD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9791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F6C8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4697528">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52CC98C4">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3C6392E5">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A911CFD">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5256D742">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3D0FFBF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31BB1053">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5312BFB">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744CE136">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3E86A8EA">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6C323C2B">
            <w:pPr>
              <w:rPr>
                <w:rFonts w:hint="eastAsia" w:ascii="宋体" w:hAnsi="宋体" w:eastAsia="宋体" w:cs="宋体"/>
                <w:i w:val="0"/>
                <w:iCs w:val="0"/>
                <w:color w:val="000000"/>
                <w:sz w:val="18"/>
                <w:szCs w:val="18"/>
                <w:u w:val="none"/>
              </w:rPr>
            </w:pPr>
          </w:p>
        </w:tc>
      </w:tr>
      <w:tr w14:paraId="69E12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F1640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31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204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C503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51320025T000012990905-理县生态环境执法工作经费</w:t>
            </w:r>
          </w:p>
        </w:tc>
      </w:tr>
      <w:tr w14:paraId="310E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676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3FBF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3A7A9C7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718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1E249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AE4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F05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E1F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3932D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8818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AD5EE">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209C9">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E7F3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全年开展50次辖区工矿企业、水电、交通、医疗卫生、垃圾处理、污水处理、饮用水源保护、汽修、景区等环境执法检查。</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B3BF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全面完成了2025年度执法检查工作。</w:t>
            </w:r>
          </w:p>
        </w:tc>
      </w:tr>
      <w:tr w14:paraId="2531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D9EA0">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91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E85A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开展2025年度执法检查</w:t>
            </w:r>
          </w:p>
        </w:tc>
      </w:tr>
      <w:tr w14:paraId="71E5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BD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5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8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5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2D7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F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C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8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D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A91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79B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1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1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E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5DE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7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D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58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4CE06">
            <w:pPr>
              <w:rPr>
                <w:rFonts w:hint="eastAsia" w:ascii="黑体" w:hAnsi="黑体" w:eastAsia="黑体" w:cs="黑体"/>
                <w:i/>
                <w:iCs/>
                <w:color w:val="000000"/>
                <w:sz w:val="18"/>
                <w:szCs w:val="18"/>
                <w:u w:val="none"/>
              </w:rPr>
            </w:pPr>
          </w:p>
        </w:tc>
      </w:tr>
      <w:tr w14:paraId="67070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D4FD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84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9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8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68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9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A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44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AC43E">
            <w:pPr>
              <w:rPr>
                <w:rFonts w:hint="eastAsia" w:ascii="黑体" w:hAnsi="黑体" w:eastAsia="黑体" w:cs="黑体"/>
                <w:i/>
                <w:iCs/>
                <w:color w:val="000000"/>
                <w:sz w:val="18"/>
                <w:szCs w:val="18"/>
                <w:u w:val="none"/>
              </w:rPr>
            </w:pPr>
          </w:p>
        </w:tc>
      </w:tr>
      <w:tr w14:paraId="0D1E1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AD92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D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3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F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05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74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F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8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BBE1F">
            <w:pPr>
              <w:rPr>
                <w:rFonts w:hint="eastAsia" w:ascii="黑体" w:hAnsi="黑体" w:eastAsia="黑体" w:cs="黑体"/>
                <w:i/>
                <w:iCs/>
                <w:color w:val="000000"/>
                <w:sz w:val="18"/>
                <w:szCs w:val="18"/>
                <w:u w:val="none"/>
              </w:rPr>
            </w:pPr>
          </w:p>
        </w:tc>
      </w:tr>
      <w:tr w14:paraId="1C82F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96BD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E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5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E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49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A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E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2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F6EF3">
            <w:pPr>
              <w:rPr>
                <w:rFonts w:hint="eastAsia" w:ascii="黑体" w:hAnsi="黑体" w:eastAsia="黑体" w:cs="黑体"/>
                <w:i/>
                <w:iCs/>
                <w:color w:val="000000"/>
                <w:sz w:val="18"/>
                <w:szCs w:val="18"/>
                <w:u w:val="none"/>
              </w:rPr>
            </w:pPr>
          </w:p>
        </w:tc>
      </w:tr>
      <w:tr w14:paraId="7A27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C22F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1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D5D8">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F884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326FB8">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211E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4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A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A7816">
            <w:pPr>
              <w:rPr>
                <w:rFonts w:hint="eastAsia" w:ascii="黑体" w:hAnsi="黑体" w:eastAsia="黑体" w:cs="黑体"/>
                <w:i/>
                <w:iCs/>
                <w:color w:val="000000"/>
                <w:sz w:val="18"/>
                <w:szCs w:val="18"/>
                <w:u w:val="none"/>
              </w:rPr>
            </w:pPr>
          </w:p>
        </w:tc>
      </w:tr>
      <w:tr w14:paraId="56CCF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B0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F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1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C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6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4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A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1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C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C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C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8E1D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1768C">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9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79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A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执法检查次数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E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2B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21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1D9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BF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B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9ED1">
            <w:pPr>
              <w:jc w:val="center"/>
              <w:rPr>
                <w:rFonts w:hint="eastAsia" w:ascii="微软雅黑" w:hAnsi="微软雅黑" w:eastAsia="微软雅黑" w:cs="微软雅黑"/>
                <w:i/>
                <w:iCs/>
                <w:color w:val="000000"/>
                <w:sz w:val="16"/>
                <w:szCs w:val="16"/>
                <w:u w:val="none"/>
              </w:rPr>
            </w:pPr>
          </w:p>
        </w:tc>
      </w:tr>
      <w:tr w14:paraId="37126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A93D3">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9F40">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5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9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执法检查率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9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2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8C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214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8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5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C7E9">
            <w:pPr>
              <w:jc w:val="center"/>
              <w:rPr>
                <w:rFonts w:hint="eastAsia" w:ascii="微软雅黑" w:hAnsi="微软雅黑" w:eastAsia="微软雅黑" w:cs="微软雅黑"/>
                <w:i/>
                <w:iCs/>
                <w:color w:val="000000"/>
                <w:sz w:val="16"/>
                <w:szCs w:val="16"/>
                <w:u w:val="none"/>
              </w:rPr>
            </w:pPr>
          </w:p>
        </w:tc>
      </w:tr>
      <w:tr w14:paraId="1DE9B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B35F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5558A">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9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41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执法时长</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3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F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68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E56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B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A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AA4F">
            <w:pPr>
              <w:jc w:val="center"/>
              <w:rPr>
                <w:rFonts w:hint="eastAsia" w:ascii="微软雅黑" w:hAnsi="微软雅黑" w:eastAsia="微软雅黑" w:cs="微软雅黑"/>
                <w:i/>
                <w:iCs/>
                <w:color w:val="000000"/>
                <w:sz w:val="16"/>
                <w:szCs w:val="16"/>
                <w:u w:val="none"/>
              </w:rPr>
            </w:pPr>
          </w:p>
        </w:tc>
      </w:tr>
      <w:tr w14:paraId="40E0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33E12">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89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ED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F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环境违法案件查处率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7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C3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4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FD3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F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7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7312">
            <w:pPr>
              <w:jc w:val="center"/>
              <w:rPr>
                <w:rFonts w:hint="eastAsia" w:ascii="微软雅黑" w:hAnsi="微软雅黑" w:eastAsia="微软雅黑" w:cs="微软雅黑"/>
                <w:i/>
                <w:iCs/>
                <w:color w:val="000000"/>
                <w:sz w:val="16"/>
                <w:szCs w:val="16"/>
                <w:u w:val="none"/>
              </w:rPr>
            </w:pPr>
          </w:p>
        </w:tc>
      </w:tr>
      <w:tr w14:paraId="6DE3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B7985">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3AF4D">
            <w:pPr>
              <w:jc w:val="center"/>
              <w:rPr>
                <w:rFonts w:hint="eastAsia" w:ascii="宋体" w:hAnsi="宋体" w:eastAsia="宋体" w:cs="宋体"/>
                <w:i w:val="0"/>
                <w:iCs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C899E">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4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环境安全事故发生率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3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3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9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FD2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3C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A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F7A2">
            <w:pPr>
              <w:jc w:val="center"/>
              <w:rPr>
                <w:rFonts w:hint="eastAsia" w:ascii="微软雅黑" w:hAnsi="微软雅黑" w:eastAsia="微软雅黑" w:cs="微软雅黑"/>
                <w:i/>
                <w:iCs/>
                <w:color w:val="000000"/>
                <w:sz w:val="16"/>
                <w:szCs w:val="16"/>
                <w:u w:val="none"/>
              </w:rPr>
            </w:pPr>
          </w:p>
        </w:tc>
      </w:tr>
      <w:tr w14:paraId="21B78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37B2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E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A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7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C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3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0E8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1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F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EE948">
            <w:pPr>
              <w:jc w:val="center"/>
              <w:rPr>
                <w:rFonts w:hint="eastAsia" w:ascii="微软雅黑" w:hAnsi="微软雅黑" w:eastAsia="微软雅黑" w:cs="微软雅黑"/>
                <w:i/>
                <w:iCs/>
                <w:color w:val="000000"/>
                <w:sz w:val="16"/>
                <w:szCs w:val="16"/>
                <w:u w:val="none"/>
              </w:rPr>
            </w:pPr>
          </w:p>
        </w:tc>
      </w:tr>
      <w:tr w14:paraId="46D38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3A59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58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F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37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执法成本控制率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E8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4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3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C73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9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0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78F6">
            <w:pPr>
              <w:jc w:val="center"/>
              <w:rPr>
                <w:rFonts w:hint="eastAsia" w:ascii="微软雅黑" w:hAnsi="微软雅黑" w:eastAsia="微软雅黑" w:cs="微软雅黑"/>
                <w:i/>
                <w:iCs/>
                <w:color w:val="000000"/>
                <w:sz w:val="16"/>
                <w:szCs w:val="16"/>
                <w:u w:val="none"/>
              </w:rPr>
            </w:pPr>
          </w:p>
        </w:tc>
      </w:tr>
      <w:tr w14:paraId="4033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2DFF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F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7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E2E01">
            <w:pPr>
              <w:rPr>
                <w:rFonts w:hint="eastAsia" w:ascii="宋体" w:hAnsi="宋体" w:eastAsia="宋体" w:cs="宋体"/>
                <w:i w:val="0"/>
                <w:iCs w:val="0"/>
                <w:color w:val="000000"/>
                <w:sz w:val="18"/>
                <w:szCs w:val="18"/>
                <w:u w:val="none"/>
              </w:rPr>
            </w:pPr>
          </w:p>
        </w:tc>
      </w:tr>
      <w:tr w14:paraId="721C7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C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71B63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2025年度生态环境执法检查要求，对辖区工矿企业、重点建设项目、饮用水、交通运输、污水处理、垃圾处理、医疗卫生进行了环境执法检查、排查、巡察确保辖区环境安全，无重大污染事件发生。自查得分89分。</w:t>
            </w:r>
          </w:p>
        </w:tc>
      </w:tr>
      <w:tr w14:paraId="4AD50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B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B9436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6475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A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323F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6C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B786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项目负责人：余文卓</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C1BF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36D6C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6AD09A72">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F05C322">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4E8D69DC">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67E499D4">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40A34031">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55CDC12">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3B6BF22D">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125F4A55">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421A18D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21338A27">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657B0B4E">
            <w:pPr>
              <w:rPr>
                <w:rFonts w:hint="eastAsia" w:ascii="宋体" w:hAnsi="宋体" w:eastAsia="宋体" w:cs="宋体"/>
                <w:i w:val="0"/>
                <w:iCs w:val="0"/>
                <w:color w:val="000000"/>
                <w:sz w:val="18"/>
                <w:szCs w:val="18"/>
                <w:u w:val="none"/>
              </w:rPr>
            </w:pPr>
          </w:p>
        </w:tc>
      </w:tr>
      <w:tr w14:paraId="0B776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7E122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D056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F2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AFF6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51320025T000012990912-理县生态环境宣传教育经费</w:t>
            </w:r>
          </w:p>
        </w:tc>
      </w:tr>
      <w:tr w14:paraId="649D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011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1549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25738EC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CC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69E20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A18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377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BD86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BC5D4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27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384DC">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1927">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2DB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开展“6.5”世界环境日，“4.22”世界地球日，“12.4”法治宣传日等活动法律法规宣传，通过开展生态环境保护法律法规宣传进企业、学校，提高群众环保意识，促进生态环境保护。</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9135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完成了2025年宣传教育活动</w:t>
            </w:r>
          </w:p>
        </w:tc>
      </w:tr>
      <w:tr w14:paraId="0E142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228AE">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C5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58D8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开展2025年环境保护宣传教育工作。</w:t>
            </w:r>
          </w:p>
        </w:tc>
      </w:tr>
      <w:tr w14:paraId="74653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3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98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B6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A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77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5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A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9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5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D25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103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5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D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52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8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C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A5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128A9">
            <w:pPr>
              <w:rPr>
                <w:rFonts w:hint="eastAsia" w:ascii="黑体" w:hAnsi="黑体" w:eastAsia="黑体" w:cs="黑体"/>
                <w:i/>
                <w:iCs/>
                <w:color w:val="000000"/>
                <w:sz w:val="18"/>
                <w:szCs w:val="18"/>
                <w:u w:val="none"/>
              </w:rPr>
            </w:pPr>
          </w:p>
        </w:tc>
      </w:tr>
      <w:tr w14:paraId="21F6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BBE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D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C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0A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BFC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7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7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5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D873A">
            <w:pPr>
              <w:rPr>
                <w:rFonts w:hint="eastAsia" w:ascii="黑体" w:hAnsi="黑体" w:eastAsia="黑体" w:cs="黑体"/>
                <w:i/>
                <w:iCs/>
                <w:color w:val="000000"/>
                <w:sz w:val="18"/>
                <w:szCs w:val="18"/>
                <w:u w:val="none"/>
              </w:rPr>
            </w:pPr>
          </w:p>
        </w:tc>
      </w:tr>
      <w:tr w14:paraId="4993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A7EB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1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A7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5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DD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9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A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0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EF742">
            <w:pPr>
              <w:rPr>
                <w:rFonts w:hint="eastAsia" w:ascii="黑体" w:hAnsi="黑体" w:eastAsia="黑体" w:cs="黑体"/>
                <w:i/>
                <w:iCs/>
                <w:color w:val="000000"/>
                <w:sz w:val="18"/>
                <w:szCs w:val="18"/>
                <w:u w:val="none"/>
              </w:rPr>
            </w:pPr>
          </w:p>
        </w:tc>
      </w:tr>
      <w:tr w14:paraId="1182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D11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8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A1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8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31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3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E2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4E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87E21">
            <w:pPr>
              <w:rPr>
                <w:rFonts w:hint="eastAsia" w:ascii="黑体" w:hAnsi="黑体" w:eastAsia="黑体" w:cs="黑体"/>
                <w:i/>
                <w:iCs/>
                <w:color w:val="000000"/>
                <w:sz w:val="18"/>
                <w:szCs w:val="18"/>
                <w:u w:val="none"/>
              </w:rPr>
            </w:pPr>
          </w:p>
        </w:tc>
      </w:tr>
      <w:tr w14:paraId="23B35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1FE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3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A5D4">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FFD3">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3A7C60">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490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B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1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6DBD0">
            <w:pPr>
              <w:rPr>
                <w:rFonts w:hint="eastAsia" w:ascii="黑体" w:hAnsi="黑体" w:eastAsia="黑体" w:cs="黑体"/>
                <w:i/>
                <w:iCs/>
                <w:color w:val="000000"/>
                <w:sz w:val="18"/>
                <w:szCs w:val="18"/>
                <w:u w:val="none"/>
              </w:rPr>
            </w:pPr>
          </w:p>
        </w:tc>
      </w:tr>
      <w:tr w14:paraId="2A27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75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0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1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EB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F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2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05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F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5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F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38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9059E">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A9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F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F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宣传频次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01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9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7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560D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0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7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1187">
            <w:pPr>
              <w:jc w:val="center"/>
              <w:rPr>
                <w:rFonts w:hint="eastAsia" w:ascii="微软雅黑" w:hAnsi="微软雅黑" w:eastAsia="微软雅黑" w:cs="微软雅黑"/>
                <w:i/>
                <w:iCs/>
                <w:color w:val="000000"/>
                <w:sz w:val="16"/>
                <w:szCs w:val="16"/>
                <w:u w:val="none"/>
              </w:rPr>
            </w:pPr>
          </w:p>
        </w:tc>
      </w:tr>
      <w:tr w14:paraId="668C5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8C69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CF3D1">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F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C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宣传覆盖率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E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D3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B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CA3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A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2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FA5D">
            <w:pPr>
              <w:jc w:val="center"/>
              <w:rPr>
                <w:rFonts w:hint="eastAsia" w:ascii="微软雅黑" w:hAnsi="微软雅黑" w:eastAsia="微软雅黑" w:cs="微软雅黑"/>
                <w:i/>
                <w:iCs/>
                <w:color w:val="000000"/>
                <w:sz w:val="16"/>
                <w:szCs w:val="16"/>
                <w:u w:val="none"/>
              </w:rPr>
            </w:pPr>
          </w:p>
        </w:tc>
      </w:tr>
      <w:tr w14:paraId="28828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52FE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D9CE8">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0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6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实施时间长度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EC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4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C5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2E6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B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9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BA39">
            <w:pPr>
              <w:jc w:val="center"/>
              <w:rPr>
                <w:rFonts w:hint="eastAsia" w:ascii="微软雅黑" w:hAnsi="微软雅黑" w:eastAsia="微软雅黑" w:cs="微软雅黑"/>
                <w:i/>
                <w:iCs/>
                <w:color w:val="000000"/>
                <w:sz w:val="16"/>
                <w:szCs w:val="16"/>
                <w:u w:val="none"/>
              </w:rPr>
            </w:pPr>
          </w:p>
        </w:tc>
      </w:tr>
      <w:tr w14:paraId="1C767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11E49">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41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9B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B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公众环保知识知晓率提升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A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3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4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00B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8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1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2D65">
            <w:pPr>
              <w:jc w:val="center"/>
              <w:rPr>
                <w:rFonts w:hint="eastAsia" w:ascii="微软雅黑" w:hAnsi="微软雅黑" w:eastAsia="微软雅黑" w:cs="微软雅黑"/>
                <w:i/>
                <w:iCs/>
                <w:color w:val="000000"/>
                <w:sz w:val="16"/>
                <w:szCs w:val="16"/>
                <w:u w:val="none"/>
              </w:rPr>
            </w:pPr>
          </w:p>
        </w:tc>
      </w:tr>
      <w:tr w14:paraId="1BBD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7DED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2FF5D">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F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0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生态环境宣传效果</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5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B604">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D6A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7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7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CA90C">
            <w:pPr>
              <w:jc w:val="center"/>
              <w:rPr>
                <w:rFonts w:hint="eastAsia" w:ascii="微软雅黑" w:hAnsi="微软雅黑" w:eastAsia="微软雅黑" w:cs="微软雅黑"/>
                <w:i/>
                <w:iCs/>
                <w:color w:val="000000"/>
                <w:sz w:val="16"/>
                <w:szCs w:val="16"/>
                <w:u w:val="none"/>
              </w:rPr>
            </w:pPr>
          </w:p>
        </w:tc>
      </w:tr>
      <w:tr w14:paraId="768D5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8665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4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6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0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B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2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BA7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576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A6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9B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1B3E">
            <w:pPr>
              <w:jc w:val="center"/>
              <w:rPr>
                <w:rFonts w:hint="eastAsia" w:ascii="微软雅黑" w:hAnsi="微软雅黑" w:eastAsia="微软雅黑" w:cs="微软雅黑"/>
                <w:i/>
                <w:iCs/>
                <w:color w:val="000000"/>
                <w:sz w:val="16"/>
                <w:szCs w:val="16"/>
                <w:u w:val="none"/>
              </w:rPr>
            </w:pPr>
          </w:p>
        </w:tc>
      </w:tr>
      <w:tr w14:paraId="351D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2410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5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9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9A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7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B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85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647D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A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C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ABB2">
            <w:pPr>
              <w:jc w:val="center"/>
              <w:rPr>
                <w:rFonts w:hint="eastAsia" w:ascii="微软雅黑" w:hAnsi="微软雅黑" w:eastAsia="微软雅黑" w:cs="微软雅黑"/>
                <w:i/>
                <w:iCs/>
                <w:color w:val="000000"/>
                <w:sz w:val="16"/>
                <w:szCs w:val="16"/>
                <w:u w:val="none"/>
              </w:rPr>
            </w:pPr>
          </w:p>
        </w:tc>
      </w:tr>
      <w:tr w14:paraId="4314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1E0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3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7E2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B4821">
            <w:pPr>
              <w:rPr>
                <w:rFonts w:hint="eastAsia" w:ascii="宋体" w:hAnsi="宋体" w:eastAsia="宋体" w:cs="宋体"/>
                <w:i w:val="0"/>
                <w:iCs w:val="0"/>
                <w:color w:val="000000"/>
                <w:sz w:val="18"/>
                <w:szCs w:val="18"/>
                <w:u w:val="none"/>
              </w:rPr>
            </w:pPr>
          </w:p>
        </w:tc>
      </w:tr>
      <w:tr w14:paraId="593A1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81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D2CA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根据单位宣传教育工作的要求，通过2025年宣传教育活动的开展，进一步提升了公众环保意识，树立爱护环境、保护环境大家共同守护我们的美好家园。自查得分88分。</w:t>
            </w:r>
          </w:p>
        </w:tc>
      </w:tr>
      <w:tr w14:paraId="68B8F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3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5A22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C1D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D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5CEE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9926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4647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项目负责人：席莹</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6132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5A0AF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2605FE55">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60146EE">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281189DE">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2D83FA79">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344BE9E9">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02FE8C7">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0AFC6F99">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05E2574F">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3CD8AB5A">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6823612D">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FEDFE33">
            <w:pPr>
              <w:rPr>
                <w:rFonts w:hint="eastAsia" w:ascii="宋体" w:hAnsi="宋体" w:eastAsia="宋体" w:cs="宋体"/>
                <w:i w:val="0"/>
                <w:iCs w:val="0"/>
                <w:color w:val="000000"/>
                <w:sz w:val="18"/>
                <w:szCs w:val="18"/>
                <w:u w:val="none"/>
              </w:rPr>
            </w:pPr>
          </w:p>
        </w:tc>
      </w:tr>
      <w:tr w14:paraId="1DBB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58070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422D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302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49B0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51320025T000012990927-理县环境应急监测重点污染源监督性监测及监测运维经费</w:t>
            </w:r>
          </w:p>
        </w:tc>
      </w:tr>
      <w:tr w14:paraId="084AF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4F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B34B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1DBB1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47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69C5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F71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EA6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B70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CBFF9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2C82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CBE0">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DB9BD">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FC7D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开展环境执法应急监测，提升环境监测能力，保障环境安全。2025年完成环境应急监测重点污染源监督性监测、环境监测站实验室仪器监测、实验室药品耗材购置、环境监测站日产运维。</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617D0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完成了2025年环境应急监测、重点污染源监督性监测和实验室运转。</w:t>
            </w:r>
          </w:p>
        </w:tc>
      </w:tr>
      <w:tr w14:paraId="1E6C8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B493A">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C1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A4DC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开展2025年度环境应急监测、重点污染源监督性监测及实验室正常运转。</w:t>
            </w:r>
          </w:p>
        </w:tc>
      </w:tr>
      <w:tr w14:paraId="6C1C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92D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C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19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6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9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1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C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4AA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9400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6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8D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6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6F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8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C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9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13C8B">
            <w:pPr>
              <w:rPr>
                <w:rFonts w:hint="eastAsia" w:ascii="黑体" w:hAnsi="黑体" w:eastAsia="黑体" w:cs="黑体"/>
                <w:i/>
                <w:iCs/>
                <w:color w:val="000000"/>
                <w:sz w:val="18"/>
                <w:szCs w:val="18"/>
                <w:u w:val="none"/>
              </w:rPr>
            </w:pPr>
          </w:p>
        </w:tc>
      </w:tr>
      <w:tr w14:paraId="686F3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E4720">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F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C0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8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761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F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9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87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4E6E5">
            <w:pPr>
              <w:rPr>
                <w:rFonts w:hint="eastAsia" w:ascii="黑体" w:hAnsi="黑体" w:eastAsia="黑体" w:cs="黑体"/>
                <w:i/>
                <w:iCs/>
                <w:color w:val="000000"/>
                <w:sz w:val="18"/>
                <w:szCs w:val="18"/>
                <w:u w:val="none"/>
              </w:rPr>
            </w:pPr>
          </w:p>
        </w:tc>
      </w:tr>
      <w:tr w14:paraId="148E4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D5F4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0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9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6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B0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2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4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8E3C0">
            <w:pPr>
              <w:rPr>
                <w:rFonts w:hint="eastAsia" w:ascii="黑体" w:hAnsi="黑体" w:eastAsia="黑体" w:cs="黑体"/>
                <w:i/>
                <w:iCs/>
                <w:color w:val="000000"/>
                <w:sz w:val="18"/>
                <w:szCs w:val="18"/>
                <w:u w:val="none"/>
              </w:rPr>
            </w:pPr>
          </w:p>
        </w:tc>
      </w:tr>
      <w:tr w14:paraId="7373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5E06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62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E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5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EF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8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1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A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CF14F">
            <w:pPr>
              <w:rPr>
                <w:rFonts w:hint="eastAsia" w:ascii="黑体" w:hAnsi="黑体" w:eastAsia="黑体" w:cs="黑体"/>
                <w:i/>
                <w:iCs/>
                <w:color w:val="000000"/>
                <w:sz w:val="18"/>
                <w:szCs w:val="18"/>
                <w:u w:val="none"/>
              </w:rPr>
            </w:pPr>
          </w:p>
        </w:tc>
      </w:tr>
      <w:tr w14:paraId="3DCB0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14C8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8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6691">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D915">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6F3E7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33D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5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E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4C109">
            <w:pPr>
              <w:rPr>
                <w:rFonts w:hint="eastAsia" w:ascii="黑体" w:hAnsi="黑体" w:eastAsia="黑体" w:cs="黑体"/>
                <w:i/>
                <w:iCs/>
                <w:color w:val="000000"/>
                <w:sz w:val="18"/>
                <w:szCs w:val="18"/>
                <w:u w:val="none"/>
              </w:rPr>
            </w:pPr>
          </w:p>
        </w:tc>
      </w:tr>
      <w:tr w14:paraId="369A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ED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D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F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E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4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52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B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2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0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9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6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5FF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58261">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64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0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7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1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3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1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4E2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4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3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EB26">
            <w:pPr>
              <w:jc w:val="center"/>
              <w:rPr>
                <w:rFonts w:hint="eastAsia" w:ascii="微软雅黑" w:hAnsi="微软雅黑" w:eastAsia="微软雅黑" w:cs="微软雅黑"/>
                <w:i/>
                <w:iCs/>
                <w:color w:val="000000"/>
                <w:sz w:val="16"/>
                <w:szCs w:val="16"/>
                <w:u w:val="none"/>
              </w:rPr>
            </w:pPr>
          </w:p>
        </w:tc>
      </w:tr>
      <w:tr w14:paraId="32B9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AE6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0CEB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C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E9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运行情况良好</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B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C5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良好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DF6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EB9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4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6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D45F">
            <w:pPr>
              <w:jc w:val="center"/>
              <w:rPr>
                <w:rFonts w:hint="eastAsia" w:ascii="微软雅黑" w:hAnsi="微软雅黑" w:eastAsia="微软雅黑" w:cs="微软雅黑"/>
                <w:i/>
                <w:iCs/>
                <w:color w:val="000000"/>
                <w:sz w:val="16"/>
                <w:szCs w:val="16"/>
                <w:u w:val="none"/>
              </w:rPr>
            </w:pPr>
          </w:p>
        </w:tc>
      </w:tr>
      <w:tr w14:paraId="61600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8661C">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61121">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F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0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监测任务完成及时率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A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A0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6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CF3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5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5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6AF4">
            <w:pPr>
              <w:jc w:val="center"/>
              <w:rPr>
                <w:rFonts w:hint="eastAsia" w:ascii="微软雅黑" w:hAnsi="微软雅黑" w:eastAsia="微软雅黑" w:cs="微软雅黑"/>
                <w:i/>
                <w:iCs/>
                <w:color w:val="000000"/>
                <w:sz w:val="16"/>
                <w:szCs w:val="16"/>
                <w:u w:val="none"/>
              </w:rPr>
            </w:pPr>
          </w:p>
        </w:tc>
      </w:tr>
      <w:tr w14:paraId="00E9C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47C1A">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D7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33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7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环境安全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F56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9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860D">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8C7C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B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8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E649">
            <w:pPr>
              <w:jc w:val="center"/>
              <w:rPr>
                <w:rFonts w:hint="eastAsia" w:ascii="微软雅黑" w:hAnsi="微软雅黑" w:eastAsia="微软雅黑" w:cs="微软雅黑"/>
                <w:i/>
                <w:iCs/>
                <w:color w:val="000000"/>
                <w:sz w:val="16"/>
                <w:szCs w:val="16"/>
                <w:u w:val="none"/>
              </w:rPr>
            </w:pPr>
          </w:p>
        </w:tc>
      </w:tr>
      <w:tr w14:paraId="640A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6C31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41606">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C7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环境监测能力提升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7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2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环境监测设备和人员能力均有显著提高</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51E2">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44E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B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4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F7C5">
            <w:pPr>
              <w:jc w:val="center"/>
              <w:rPr>
                <w:rFonts w:hint="eastAsia" w:ascii="微软雅黑" w:hAnsi="微软雅黑" w:eastAsia="微软雅黑" w:cs="微软雅黑"/>
                <w:i/>
                <w:iCs/>
                <w:color w:val="000000"/>
                <w:sz w:val="16"/>
                <w:szCs w:val="16"/>
                <w:u w:val="none"/>
              </w:rPr>
            </w:pPr>
          </w:p>
        </w:tc>
      </w:tr>
      <w:tr w14:paraId="2383C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A44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A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0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2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6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E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1D6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B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B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793D">
            <w:pPr>
              <w:jc w:val="center"/>
              <w:rPr>
                <w:rFonts w:hint="eastAsia" w:ascii="微软雅黑" w:hAnsi="微软雅黑" w:eastAsia="微软雅黑" w:cs="微软雅黑"/>
                <w:i/>
                <w:iCs/>
                <w:color w:val="000000"/>
                <w:sz w:val="16"/>
                <w:szCs w:val="16"/>
                <w:u w:val="none"/>
              </w:rPr>
            </w:pPr>
          </w:p>
        </w:tc>
      </w:tr>
      <w:tr w14:paraId="2C45D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8F45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E6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3C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89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C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9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6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E57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D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7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E296">
            <w:pPr>
              <w:jc w:val="center"/>
              <w:rPr>
                <w:rFonts w:hint="eastAsia" w:ascii="微软雅黑" w:hAnsi="微软雅黑" w:eastAsia="微软雅黑" w:cs="微软雅黑"/>
                <w:i/>
                <w:iCs/>
                <w:color w:val="000000"/>
                <w:sz w:val="16"/>
                <w:szCs w:val="16"/>
                <w:u w:val="none"/>
              </w:rPr>
            </w:pPr>
          </w:p>
        </w:tc>
      </w:tr>
      <w:tr w14:paraId="26AE5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D2E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5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A24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7576">
            <w:pPr>
              <w:rPr>
                <w:rFonts w:hint="eastAsia" w:ascii="宋体" w:hAnsi="宋体" w:eastAsia="宋体" w:cs="宋体"/>
                <w:i w:val="0"/>
                <w:iCs w:val="0"/>
                <w:color w:val="000000"/>
                <w:sz w:val="18"/>
                <w:szCs w:val="18"/>
                <w:u w:val="none"/>
              </w:rPr>
            </w:pPr>
          </w:p>
        </w:tc>
      </w:tr>
      <w:tr w14:paraId="766C3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3F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EEB3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开展环境执法应急监测，提升了环境监测能力，保障环境安全，自查得分80分。</w:t>
            </w:r>
          </w:p>
        </w:tc>
      </w:tr>
      <w:tr w14:paraId="79573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F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E0ED6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80A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A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CF3E5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12A7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C9B5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项目负责人：王明坤</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A663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5AA57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BF31CEF">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ED32EB0">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76A8540A">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4EA36420">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58C3EA9D">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9833AF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453BBEFB">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D83E26D">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DDF00EC">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7399603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3C38E1ED">
            <w:pPr>
              <w:rPr>
                <w:rFonts w:hint="eastAsia" w:ascii="宋体" w:hAnsi="宋体" w:eastAsia="宋体" w:cs="宋体"/>
                <w:i w:val="0"/>
                <w:iCs w:val="0"/>
                <w:color w:val="000000"/>
                <w:sz w:val="18"/>
                <w:szCs w:val="18"/>
                <w:u w:val="none"/>
              </w:rPr>
            </w:pPr>
          </w:p>
        </w:tc>
      </w:tr>
      <w:tr w14:paraId="4059D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CB005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FFD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394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BC39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51320025T000012990943-理县建设项目环境影响评价文件及排污许可证技术审查评估专项经费</w:t>
            </w:r>
          </w:p>
        </w:tc>
      </w:tr>
      <w:tr w14:paraId="3DE57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259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C593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41D806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452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3673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E92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2F0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3C6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E74A4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49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437B4">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451E1">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6C84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完成环境影响评价文件审查和现场踏勘河排污许可证技术审查，通过环评审查把关，提高环境管理水平，促进经济社会可持续发展。</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1A48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2025年完成了2个建设项目环境影响评价文件技术审查</w:t>
            </w:r>
          </w:p>
        </w:tc>
      </w:tr>
      <w:tr w14:paraId="2B063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C8D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CE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1EF9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开展2025年度建设项目环境影响评价文件及排污许可证技术审查</w:t>
            </w:r>
          </w:p>
        </w:tc>
      </w:tr>
      <w:tr w14:paraId="34C47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46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97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E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1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B1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1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0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8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0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267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946E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DC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9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2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51F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3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2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F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611F45">
            <w:pPr>
              <w:rPr>
                <w:rFonts w:hint="eastAsia" w:ascii="黑体" w:hAnsi="黑体" w:eastAsia="黑体" w:cs="黑体"/>
                <w:i/>
                <w:iCs/>
                <w:color w:val="000000"/>
                <w:sz w:val="18"/>
                <w:szCs w:val="18"/>
                <w:u w:val="none"/>
              </w:rPr>
            </w:pPr>
          </w:p>
        </w:tc>
      </w:tr>
      <w:tr w14:paraId="2A443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33A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7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9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3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5E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0.48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6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3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2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13A84">
            <w:pPr>
              <w:rPr>
                <w:rFonts w:hint="eastAsia" w:ascii="黑体" w:hAnsi="黑体" w:eastAsia="黑体" w:cs="黑体"/>
                <w:i/>
                <w:iCs/>
                <w:color w:val="000000"/>
                <w:sz w:val="18"/>
                <w:szCs w:val="18"/>
                <w:u w:val="none"/>
              </w:rPr>
            </w:pPr>
          </w:p>
        </w:tc>
      </w:tr>
      <w:tr w14:paraId="1420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D4F8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E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31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5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83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A6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5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5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8DFF">
            <w:pPr>
              <w:rPr>
                <w:rFonts w:hint="eastAsia" w:ascii="黑体" w:hAnsi="黑体" w:eastAsia="黑体" w:cs="黑体"/>
                <w:i/>
                <w:iCs/>
                <w:color w:val="000000"/>
                <w:sz w:val="18"/>
                <w:szCs w:val="18"/>
                <w:u w:val="none"/>
              </w:rPr>
            </w:pPr>
          </w:p>
        </w:tc>
      </w:tr>
      <w:tr w14:paraId="11364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FEE4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A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6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D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BD57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A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C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99BF4">
            <w:pPr>
              <w:rPr>
                <w:rFonts w:hint="eastAsia" w:ascii="黑体" w:hAnsi="黑体" w:eastAsia="黑体" w:cs="黑体"/>
                <w:i/>
                <w:iCs/>
                <w:color w:val="000000"/>
                <w:sz w:val="18"/>
                <w:szCs w:val="18"/>
                <w:u w:val="none"/>
              </w:rPr>
            </w:pPr>
          </w:p>
        </w:tc>
      </w:tr>
      <w:tr w14:paraId="0FD6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BDD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0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845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11C9">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5BB011">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D33C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5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1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0B11B">
            <w:pPr>
              <w:rPr>
                <w:rFonts w:hint="eastAsia" w:ascii="黑体" w:hAnsi="黑体" w:eastAsia="黑体" w:cs="黑体"/>
                <w:i/>
                <w:iCs/>
                <w:color w:val="000000"/>
                <w:sz w:val="18"/>
                <w:szCs w:val="18"/>
                <w:u w:val="none"/>
              </w:rPr>
            </w:pPr>
          </w:p>
        </w:tc>
      </w:tr>
      <w:tr w14:paraId="0596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7A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C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9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E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6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10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2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A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8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2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1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D29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3B6DB">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70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88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6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环评文件审查河排污许可证技术审查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2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69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3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495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5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4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DCD9">
            <w:pPr>
              <w:jc w:val="center"/>
              <w:rPr>
                <w:rFonts w:hint="eastAsia" w:ascii="微软雅黑" w:hAnsi="微软雅黑" w:eastAsia="微软雅黑" w:cs="微软雅黑"/>
                <w:i/>
                <w:iCs/>
                <w:color w:val="000000"/>
                <w:sz w:val="16"/>
                <w:szCs w:val="16"/>
                <w:u w:val="none"/>
              </w:rPr>
            </w:pPr>
          </w:p>
        </w:tc>
      </w:tr>
      <w:tr w14:paraId="2D2A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DAB68">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B682C">
            <w:pPr>
              <w:jc w:val="center"/>
              <w:rPr>
                <w:rFonts w:hint="eastAsia" w:ascii="宋体" w:hAnsi="宋体" w:eastAsia="宋体" w:cs="宋体"/>
                <w:i w:val="0"/>
                <w:iCs w:val="0"/>
                <w:color w:val="000000"/>
                <w:sz w:val="18"/>
                <w:szCs w:val="18"/>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F530E">
            <w:pPr>
              <w:jc w:val="center"/>
              <w:rPr>
                <w:rFonts w:hint="eastAsia" w:ascii="宋体" w:hAnsi="宋体" w:eastAsia="宋体" w:cs="宋体"/>
                <w:i w:val="0"/>
                <w:iCs w:val="0"/>
                <w:color w:val="000000"/>
                <w:sz w:val="18"/>
                <w:szCs w:val="18"/>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F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现场点位踏勘数量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0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E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D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422F">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46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E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BFE0">
            <w:pPr>
              <w:jc w:val="center"/>
              <w:rPr>
                <w:rFonts w:hint="eastAsia" w:ascii="微软雅黑" w:hAnsi="微软雅黑" w:eastAsia="微软雅黑" w:cs="微软雅黑"/>
                <w:i/>
                <w:iCs/>
                <w:color w:val="000000"/>
                <w:sz w:val="16"/>
                <w:szCs w:val="16"/>
                <w:u w:val="none"/>
              </w:rPr>
            </w:pPr>
          </w:p>
        </w:tc>
      </w:tr>
      <w:tr w14:paraId="573B3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3A63">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D9321">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A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6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审查率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254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C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8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C2D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7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2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4E151">
            <w:pPr>
              <w:jc w:val="center"/>
              <w:rPr>
                <w:rFonts w:hint="eastAsia" w:ascii="微软雅黑" w:hAnsi="微软雅黑" w:eastAsia="微软雅黑" w:cs="微软雅黑"/>
                <w:i/>
                <w:iCs/>
                <w:color w:val="000000"/>
                <w:sz w:val="16"/>
                <w:szCs w:val="16"/>
                <w:u w:val="none"/>
              </w:rPr>
            </w:pPr>
          </w:p>
        </w:tc>
      </w:tr>
      <w:tr w14:paraId="390B8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0909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CAD7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1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4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环评文件审查时限</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C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3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2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个工作日</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31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8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38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4A06">
            <w:pPr>
              <w:jc w:val="center"/>
              <w:rPr>
                <w:rFonts w:hint="eastAsia" w:ascii="微软雅黑" w:hAnsi="微软雅黑" w:eastAsia="微软雅黑" w:cs="微软雅黑"/>
                <w:i/>
                <w:iCs/>
                <w:color w:val="000000"/>
                <w:sz w:val="16"/>
                <w:szCs w:val="16"/>
                <w:u w:val="none"/>
              </w:rPr>
            </w:pPr>
          </w:p>
        </w:tc>
      </w:tr>
      <w:tr w14:paraId="69F36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CE273">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AA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D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6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环评审查对经济发展的促进作用</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C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0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5B74D">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639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A3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3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6B976">
            <w:pPr>
              <w:jc w:val="center"/>
              <w:rPr>
                <w:rFonts w:hint="eastAsia" w:ascii="微软雅黑" w:hAnsi="微软雅黑" w:eastAsia="微软雅黑" w:cs="微软雅黑"/>
                <w:i/>
                <w:iCs/>
                <w:color w:val="000000"/>
                <w:sz w:val="16"/>
                <w:szCs w:val="16"/>
                <w:u w:val="none"/>
              </w:rPr>
            </w:pPr>
          </w:p>
        </w:tc>
      </w:tr>
      <w:tr w14:paraId="5A56A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7BFE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0C368">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7B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88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环评审查规范化达标率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0A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1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8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C5C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1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3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759F">
            <w:pPr>
              <w:jc w:val="center"/>
              <w:rPr>
                <w:rFonts w:hint="eastAsia" w:ascii="微软雅黑" w:hAnsi="微软雅黑" w:eastAsia="微软雅黑" w:cs="微软雅黑"/>
                <w:i/>
                <w:iCs/>
                <w:color w:val="000000"/>
                <w:sz w:val="16"/>
                <w:szCs w:val="16"/>
                <w:u w:val="none"/>
              </w:rPr>
            </w:pPr>
          </w:p>
        </w:tc>
      </w:tr>
      <w:tr w14:paraId="6CAF6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DB6C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8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E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C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C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C4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C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A7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0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F3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4458">
            <w:pPr>
              <w:jc w:val="center"/>
              <w:rPr>
                <w:rFonts w:hint="eastAsia" w:ascii="微软雅黑" w:hAnsi="微软雅黑" w:eastAsia="微软雅黑" w:cs="微软雅黑"/>
                <w:i/>
                <w:iCs/>
                <w:color w:val="000000"/>
                <w:sz w:val="16"/>
                <w:szCs w:val="16"/>
                <w:u w:val="none"/>
              </w:rPr>
            </w:pPr>
          </w:p>
        </w:tc>
      </w:tr>
      <w:tr w14:paraId="50A4E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A843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8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9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0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总成本控制金额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6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D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0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2CD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4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D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F764">
            <w:pPr>
              <w:jc w:val="center"/>
              <w:rPr>
                <w:rFonts w:hint="eastAsia" w:ascii="微软雅黑" w:hAnsi="微软雅黑" w:eastAsia="微软雅黑" w:cs="微软雅黑"/>
                <w:i/>
                <w:iCs/>
                <w:color w:val="000000"/>
                <w:sz w:val="16"/>
                <w:szCs w:val="16"/>
                <w:u w:val="none"/>
              </w:rPr>
            </w:pPr>
          </w:p>
        </w:tc>
      </w:tr>
      <w:tr w14:paraId="094F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564E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8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BD4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9C8B">
            <w:pPr>
              <w:rPr>
                <w:rFonts w:hint="eastAsia" w:ascii="宋体" w:hAnsi="宋体" w:eastAsia="宋体" w:cs="宋体"/>
                <w:i w:val="0"/>
                <w:iCs w:val="0"/>
                <w:color w:val="000000"/>
                <w:sz w:val="18"/>
                <w:szCs w:val="18"/>
                <w:u w:val="none"/>
              </w:rPr>
            </w:pPr>
          </w:p>
        </w:tc>
      </w:tr>
      <w:tr w14:paraId="617B5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8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702A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2025年度 完了成2个建设项目环境影响评价文件技术审查，自查得分80分。</w:t>
            </w:r>
          </w:p>
        </w:tc>
      </w:tr>
      <w:tr w14:paraId="44C8F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E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C38E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9B5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62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8450C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56A6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E7075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项目负责人：陈远珍</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EB8E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0ACEF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000E9CD">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5DD2B962">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6D62D478">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09CB9520">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1F52BA93">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B66A618">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26954237">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38345D7B">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388212B2">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5121151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A7C8E26">
            <w:pPr>
              <w:rPr>
                <w:rFonts w:hint="eastAsia" w:ascii="宋体" w:hAnsi="宋体" w:eastAsia="宋体" w:cs="宋体"/>
                <w:i w:val="0"/>
                <w:iCs w:val="0"/>
                <w:color w:val="000000"/>
                <w:sz w:val="18"/>
                <w:szCs w:val="18"/>
                <w:u w:val="none"/>
              </w:rPr>
            </w:pPr>
          </w:p>
        </w:tc>
      </w:tr>
      <w:tr w14:paraId="79DB5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2837FE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F389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592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7A77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51320025T000013670437-水污染防治能力建设项目</w:t>
            </w:r>
          </w:p>
        </w:tc>
      </w:tr>
      <w:tr w14:paraId="089E1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0BD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17BE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788138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7DC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2AC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4DF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B325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A78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E818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802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D694B">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0284">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DEEE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开展水污染防治、生态环保能力建设和方案编制，完成县域水生态环境质量目标任务，进一步改善水环境质量。</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84D2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完成理县集中式饮用水源地保护区勘界定标</w:t>
            </w:r>
          </w:p>
        </w:tc>
      </w:tr>
      <w:tr w14:paraId="4A924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D29F4">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117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96D1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开展理县集中式饮用水源地保护区勘界定标</w:t>
            </w:r>
          </w:p>
        </w:tc>
      </w:tr>
      <w:tr w14:paraId="4B62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0E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E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C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C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F8F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C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7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4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CB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B66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D17B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E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6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A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DB0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2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9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5A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0A573F">
            <w:pPr>
              <w:rPr>
                <w:rFonts w:hint="eastAsia" w:ascii="黑体" w:hAnsi="黑体" w:eastAsia="黑体" w:cs="黑体"/>
                <w:i/>
                <w:iCs/>
                <w:color w:val="000000"/>
                <w:sz w:val="18"/>
                <w:szCs w:val="18"/>
                <w:u w:val="none"/>
              </w:rPr>
            </w:pPr>
          </w:p>
        </w:tc>
      </w:tr>
      <w:tr w14:paraId="6E7A4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73A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F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44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0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C9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20.88</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C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A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C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C5790">
            <w:pPr>
              <w:rPr>
                <w:rFonts w:hint="eastAsia" w:ascii="黑体" w:hAnsi="黑体" w:eastAsia="黑体" w:cs="黑体"/>
                <w:i/>
                <w:iCs/>
                <w:color w:val="000000"/>
                <w:sz w:val="18"/>
                <w:szCs w:val="18"/>
                <w:u w:val="none"/>
              </w:rPr>
            </w:pPr>
          </w:p>
        </w:tc>
      </w:tr>
      <w:tr w14:paraId="1C7D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2F5F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4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BF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6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E1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0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B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12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85A37">
            <w:pPr>
              <w:rPr>
                <w:rFonts w:hint="eastAsia" w:ascii="黑体" w:hAnsi="黑体" w:eastAsia="黑体" w:cs="黑体"/>
                <w:i/>
                <w:iCs/>
                <w:color w:val="000000"/>
                <w:sz w:val="18"/>
                <w:szCs w:val="18"/>
                <w:u w:val="none"/>
              </w:rPr>
            </w:pPr>
          </w:p>
        </w:tc>
      </w:tr>
      <w:tr w14:paraId="1444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F74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1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0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1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05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6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04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6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A69B">
            <w:pPr>
              <w:rPr>
                <w:rFonts w:hint="eastAsia" w:ascii="黑体" w:hAnsi="黑体" w:eastAsia="黑体" w:cs="黑体"/>
                <w:i/>
                <w:iCs/>
                <w:color w:val="000000"/>
                <w:sz w:val="18"/>
                <w:szCs w:val="18"/>
                <w:u w:val="none"/>
              </w:rPr>
            </w:pPr>
          </w:p>
        </w:tc>
      </w:tr>
      <w:tr w14:paraId="748A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F2B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92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1400">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A01C">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36FD8D">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309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F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9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E0B40">
            <w:pPr>
              <w:rPr>
                <w:rFonts w:hint="eastAsia" w:ascii="黑体" w:hAnsi="黑体" w:eastAsia="黑体" w:cs="黑体"/>
                <w:i/>
                <w:iCs/>
                <w:color w:val="000000"/>
                <w:sz w:val="18"/>
                <w:szCs w:val="18"/>
                <w:u w:val="none"/>
              </w:rPr>
            </w:pPr>
          </w:p>
        </w:tc>
      </w:tr>
      <w:tr w14:paraId="5F535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2B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D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8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7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4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9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2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C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3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2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3E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173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12C3A">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D8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4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8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国空断面水质达到国家考核要求</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1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1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6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2A88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D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96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852E">
            <w:pPr>
              <w:jc w:val="center"/>
              <w:rPr>
                <w:rFonts w:hint="eastAsia" w:ascii="微软雅黑" w:hAnsi="微软雅黑" w:eastAsia="微软雅黑" w:cs="微软雅黑"/>
                <w:i/>
                <w:iCs/>
                <w:color w:val="000000"/>
                <w:sz w:val="16"/>
                <w:szCs w:val="16"/>
                <w:u w:val="none"/>
              </w:rPr>
            </w:pPr>
          </w:p>
        </w:tc>
      </w:tr>
      <w:tr w14:paraId="385FB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80D3">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340BC">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3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B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2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1D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达到II类以上</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8F4B8">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34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2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E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709E">
            <w:pPr>
              <w:jc w:val="center"/>
              <w:rPr>
                <w:rFonts w:hint="eastAsia" w:ascii="微软雅黑" w:hAnsi="微软雅黑" w:eastAsia="微软雅黑" w:cs="微软雅黑"/>
                <w:i/>
                <w:iCs/>
                <w:color w:val="000000"/>
                <w:sz w:val="16"/>
                <w:szCs w:val="16"/>
                <w:u w:val="none"/>
              </w:rPr>
            </w:pPr>
          </w:p>
        </w:tc>
      </w:tr>
      <w:tr w14:paraId="52D1A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CCF51">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8384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6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3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A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0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4B16D">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CAB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9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F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8B44">
            <w:pPr>
              <w:jc w:val="center"/>
              <w:rPr>
                <w:rFonts w:hint="eastAsia" w:ascii="微软雅黑" w:hAnsi="微软雅黑" w:eastAsia="微软雅黑" w:cs="微软雅黑"/>
                <w:i/>
                <w:iCs/>
                <w:color w:val="000000"/>
                <w:sz w:val="16"/>
                <w:szCs w:val="16"/>
                <w:u w:val="none"/>
              </w:rPr>
            </w:pPr>
          </w:p>
        </w:tc>
      </w:tr>
      <w:tr w14:paraId="0CAB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20129">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E2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2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B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水质目标考核达到国家考核要求个数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5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B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F7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0FD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CE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F8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08BD">
            <w:pPr>
              <w:jc w:val="center"/>
              <w:rPr>
                <w:rFonts w:hint="eastAsia" w:ascii="微软雅黑" w:hAnsi="微软雅黑" w:eastAsia="微软雅黑" w:cs="微软雅黑"/>
                <w:i/>
                <w:iCs/>
                <w:color w:val="000000"/>
                <w:sz w:val="16"/>
                <w:szCs w:val="16"/>
                <w:u w:val="none"/>
              </w:rPr>
            </w:pPr>
          </w:p>
        </w:tc>
      </w:tr>
      <w:tr w14:paraId="428FF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B18E8">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F5B0F">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7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F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辖区水环境质量</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4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1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7E0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5B78">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4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78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124C">
            <w:pPr>
              <w:jc w:val="center"/>
              <w:rPr>
                <w:rFonts w:hint="eastAsia" w:ascii="微软雅黑" w:hAnsi="微软雅黑" w:eastAsia="微软雅黑" w:cs="微软雅黑"/>
                <w:i/>
                <w:iCs/>
                <w:color w:val="000000"/>
                <w:sz w:val="16"/>
                <w:szCs w:val="16"/>
                <w:u w:val="none"/>
              </w:rPr>
            </w:pPr>
          </w:p>
        </w:tc>
      </w:tr>
      <w:tr w14:paraId="63A82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45FF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3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E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A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C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F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1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29A7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9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D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8D41">
            <w:pPr>
              <w:jc w:val="center"/>
              <w:rPr>
                <w:rFonts w:hint="eastAsia" w:ascii="微软雅黑" w:hAnsi="微软雅黑" w:eastAsia="微软雅黑" w:cs="微软雅黑"/>
                <w:i/>
                <w:iCs/>
                <w:color w:val="000000"/>
                <w:sz w:val="16"/>
                <w:szCs w:val="16"/>
                <w:u w:val="none"/>
              </w:rPr>
            </w:pPr>
          </w:p>
        </w:tc>
      </w:tr>
      <w:tr w14:paraId="5725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CDDF5">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A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E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5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资金投入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AF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6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1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503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9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4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C161">
            <w:pPr>
              <w:jc w:val="center"/>
              <w:rPr>
                <w:rFonts w:hint="eastAsia" w:ascii="微软雅黑" w:hAnsi="微软雅黑" w:eastAsia="微软雅黑" w:cs="微软雅黑"/>
                <w:i/>
                <w:iCs/>
                <w:color w:val="000000"/>
                <w:sz w:val="16"/>
                <w:szCs w:val="16"/>
                <w:u w:val="none"/>
              </w:rPr>
            </w:pPr>
          </w:p>
        </w:tc>
      </w:tr>
      <w:tr w14:paraId="69A5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F9C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C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174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C333">
            <w:pPr>
              <w:rPr>
                <w:rFonts w:hint="eastAsia" w:ascii="宋体" w:hAnsi="宋体" w:eastAsia="宋体" w:cs="宋体"/>
                <w:i w:val="0"/>
                <w:iCs w:val="0"/>
                <w:color w:val="000000"/>
                <w:sz w:val="18"/>
                <w:szCs w:val="18"/>
                <w:u w:val="none"/>
              </w:rPr>
            </w:pPr>
          </w:p>
        </w:tc>
      </w:tr>
      <w:tr w14:paraId="419DC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5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5CA8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完成理县集中式饮用水源地保护区勘界定标，自查得分78分</w:t>
            </w:r>
          </w:p>
        </w:tc>
      </w:tr>
      <w:tr w14:paraId="0863D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B5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9502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147C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3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F3DA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7BA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1C54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4F9567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16A73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0EB550F3">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37B8458A">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303855C8">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6158D9B8">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7E0C2B4">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24BE1E6E">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86A1264">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626955A5">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32CD6B1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7D93DF0">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56CCAA62">
            <w:pPr>
              <w:rPr>
                <w:rFonts w:hint="eastAsia" w:ascii="宋体" w:hAnsi="宋体" w:eastAsia="宋体" w:cs="宋体"/>
                <w:i w:val="0"/>
                <w:iCs w:val="0"/>
                <w:color w:val="000000"/>
                <w:sz w:val="18"/>
                <w:szCs w:val="18"/>
                <w:u w:val="none"/>
              </w:rPr>
            </w:pPr>
          </w:p>
        </w:tc>
      </w:tr>
      <w:tr w14:paraId="6902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C53524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41E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0B4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9406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51320025T000013670479-大气污染防治能力建设项目</w:t>
            </w:r>
          </w:p>
        </w:tc>
      </w:tr>
      <w:tr w14:paraId="70399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263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E077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3AC41C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36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56FD5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246C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91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1E6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2DF5B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56A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9E5AA">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C4F8F">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CD80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开展大气污染防治、生态环保能力建设和规划方案编制，进一步改善空气环境质量。</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E8042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完成了通化乡三岔村养猪场防臭水帘建设</w:t>
            </w:r>
          </w:p>
        </w:tc>
      </w:tr>
      <w:tr w14:paraId="5BE25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7F240">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BC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725D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开展通化乡三岔村养猪场臭气治理</w:t>
            </w:r>
          </w:p>
        </w:tc>
      </w:tr>
      <w:tr w14:paraId="6859A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4E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3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8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5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C1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F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4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D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D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6C0F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BF0AC">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D9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D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9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60F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1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3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6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C1241">
            <w:pPr>
              <w:rPr>
                <w:rFonts w:hint="eastAsia" w:ascii="黑体" w:hAnsi="黑体" w:eastAsia="黑体" w:cs="黑体"/>
                <w:i/>
                <w:iCs/>
                <w:color w:val="000000"/>
                <w:sz w:val="18"/>
                <w:szCs w:val="18"/>
                <w:u w:val="none"/>
              </w:rPr>
            </w:pPr>
          </w:p>
        </w:tc>
      </w:tr>
      <w:tr w14:paraId="0D4EA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4AFA8">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5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7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B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27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15.07</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9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E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A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6E453">
            <w:pPr>
              <w:rPr>
                <w:rFonts w:hint="eastAsia" w:ascii="黑体" w:hAnsi="黑体" w:eastAsia="黑体" w:cs="黑体"/>
                <w:i/>
                <w:iCs/>
                <w:color w:val="000000"/>
                <w:sz w:val="18"/>
                <w:szCs w:val="18"/>
                <w:u w:val="none"/>
              </w:rPr>
            </w:pPr>
          </w:p>
        </w:tc>
      </w:tr>
      <w:tr w14:paraId="40A07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5638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E5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F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0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771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9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9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1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5E54B">
            <w:pPr>
              <w:rPr>
                <w:rFonts w:hint="eastAsia" w:ascii="黑体" w:hAnsi="黑体" w:eastAsia="黑体" w:cs="黑体"/>
                <w:i/>
                <w:iCs/>
                <w:color w:val="000000"/>
                <w:sz w:val="18"/>
                <w:szCs w:val="18"/>
                <w:u w:val="none"/>
              </w:rPr>
            </w:pPr>
          </w:p>
        </w:tc>
      </w:tr>
      <w:tr w14:paraId="426BC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A20DF">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A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B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6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71F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CC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56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8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30586">
            <w:pPr>
              <w:rPr>
                <w:rFonts w:hint="eastAsia" w:ascii="黑体" w:hAnsi="黑体" w:eastAsia="黑体" w:cs="黑体"/>
                <w:i/>
                <w:iCs/>
                <w:color w:val="000000"/>
                <w:sz w:val="18"/>
                <w:szCs w:val="18"/>
                <w:u w:val="none"/>
              </w:rPr>
            </w:pPr>
          </w:p>
        </w:tc>
      </w:tr>
      <w:tr w14:paraId="20DB1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2B6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5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0ED5">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E0B4">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46385">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475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7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58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CC89A">
            <w:pPr>
              <w:rPr>
                <w:rFonts w:hint="eastAsia" w:ascii="黑体" w:hAnsi="黑体" w:eastAsia="黑体" w:cs="黑体"/>
                <w:i/>
                <w:iCs/>
                <w:color w:val="000000"/>
                <w:sz w:val="18"/>
                <w:szCs w:val="18"/>
                <w:u w:val="none"/>
              </w:rPr>
            </w:pPr>
          </w:p>
        </w:tc>
      </w:tr>
      <w:tr w14:paraId="60D69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01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8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F5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4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5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4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F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0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5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7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4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D612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03BB8">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C9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B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D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项目个数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A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27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6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E6F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A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70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5A3F">
            <w:pPr>
              <w:jc w:val="center"/>
              <w:rPr>
                <w:rFonts w:hint="eastAsia" w:ascii="微软雅黑" w:hAnsi="微软雅黑" w:eastAsia="微软雅黑" w:cs="微软雅黑"/>
                <w:i/>
                <w:iCs/>
                <w:color w:val="000000"/>
                <w:sz w:val="16"/>
                <w:szCs w:val="16"/>
                <w:u w:val="none"/>
              </w:rPr>
            </w:pPr>
          </w:p>
        </w:tc>
      </w:tr>
      <w:tr w14:paraId="54F89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2ADA9">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C0C18">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1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F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实施完成项目验收合格率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3C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C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6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0262">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7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23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6292">
            <w:pPr>
              <w:jc w:val="center"/>
              <w:rPr>
                <w:rFonts w:hint="eastAsia" w:ascii="微软雅黑" w:hAnsi="微软雅黑" w:eastAsia="微软雅黑" w:cs="微软雅黑"/>
                <w:i/>
                <w:iCs/>
                <w:color w:val="000000"/>
                <w:sz w:val="16"/>
                <w:szCs w:val="16"/>
                <w:u w:val="none"/>
              </w:rPr>
            </w:pPr>
          </w:p>
        </w:tc>
      </w:tr>
      <w:tr w14:paraId="3BEA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28A7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5C7EC">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1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A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8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A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FDC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082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2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B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33C9">
            <w:pPr>
              <w:jc w:val="center"/>
              <w:rPr>
                <w:rFonts w:hint="eastAsia" w:ascii="微软雅黑" w:hAnsi="微软雅黑" w:eastAsia="微软雅黑" w:cs="微软雅黑"/>
                <w:i/>
                <w:iCs/>
                <w:color w:val="000000"/>
                <w:sz w:val="16"/>
                <w:szCs w:val="16"/>
                <w:u w:val="none"/>
              </w:rPr>
            </w:pPr>
          </w:p>
        </w:tc>
      </w:tr>
      <w:tr w14:paraId="2D2A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4E5A0">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FE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E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5F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A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E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869F">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14AA">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88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8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4845">
            <w:pPr>
              <w:jc w:val="center"/>
              <w:rPr>
                <w:rFonts w:hint="eastAsia" w:ascii="微软雅黑" w:hAnsi="微软雅黑" w:eastAsia="微软雅黑" w:cs="微软雅黑"/>
                <w:i/>
                <w:iCs/>
                <w:color w:val="000000"/>
                <w:sz w:val="16"/>
                <w:szCs w:val="16"/>
                <w:u w:val="none"/>
              </w:rPr>
            </w:pPr>
          </w:p>
        </w:tc>
      </w:tr>
      <w:tr w14:paraId="57862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749A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55C95">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6C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5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优良天数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1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F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达到省下达目标要求</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26D6B">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D7EC">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2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99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06F6">
            <w:pPr>
              <w:jc w:val="center"/>
              <w:rPr>
                <w:rFonts w:hint="eastAsia" w:ascii="微软雅黑" w:hAnsi="微软雅黑" w:eastAsia="微软雅黑" w:cs="微软雅黑"/>
                <w:i/>
                <w:iCs/>
                <w:color w:val="000000"/>
                <w:sz w:val="16"/>
                <w:szCs w:val="16"/>
                <w:u w:val="none"/>
              </w:rPr>
            </w:pPr>
          </w:p>
        </w:tc>
      </w:tr>
      <w:tr w14:paraId="4DB80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CA8A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E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6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A3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E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1B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63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750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7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3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B908">
            <w:pPr>
              <w:jc w:val="center"/>
              <w:rPr>
                <w:rFonts w:hint="eastAsia" w:ascii="微软雅黑" w:hAnsi="微软雅黑" w:eastAsia="微软雅黑" w:cs="微软雅黑"/>
                <w:i/>
                <w:iCs/>
                <w:color w:val="000000"/>
                <w:sz w:val="16"/>
                <w:szCs w:val="16"/>
                <w:u w:val="none"/>
              </w:rPr>
            </w:pPr>
          </w:p>
        </w:tc>
      </w:tr>
      <w:tr w14:paraId="41AC0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1928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08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0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3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资金投入</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19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42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E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136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5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4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EA3D">
            <w:pPr>
              <w:jc w:val="center"/>
              <w:rPr>
                <w:rFonts w:hint="eastAsia" w:ascii="微软雅黑" w:hAnsi="微软雅黑" w:eastAsia="微软雅黑" w:cs="微软雅黑"/>
                <w:i/>
                <w:iCs/>
                <w:color w:val="000000"/>
                <w:sz w:val="16"/>
                <w:szCs w:val="16"/>
                <w:u w:val="none"/>
              </w:rPr>
            </w:pPr>
          </w:p>
        </w:tc>
      </w:tr>
      <w:tr w14:paraId="06F9A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516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C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333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0C741">
            <w:pPr>
              <w:rPr>
                <w:rFonts w:hint="eastAsia" w:ascii="宋体" w:hAnsi="宋体" w:eastAsia="宋体" w:cs="宋体"/>
                <w:i w:val="0"/>
                <w:iCs w:val="0"/>
                <w:color w:val="000000"/>
                <w:sz w:val="18"/>
                <w:szCs w:val="18"/>
                <w:u w:val="none"/>
              </w:rPr>
            </w:pPr>
          </w:p>
        </w:tc>
      </w:tr>
      <w:tr w14:paraId="628D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4A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BECF2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完成了通化乡三岔村养猪场臭气治理，自查得分71分</w:t>
            </w:r>
          </w:p>
        </w:tc>
      </w:tr>
      <w:tr w14:paraId="2331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F69E4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部分项目年底才完成，资金未完成支付</w:t>
            </w:r>
          </w:p>
        </w:tc>
      </w:tr>
      <w:tr w14:paraId="18FD8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1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824D8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加快项目实施进度，按照项目进度支付。</w:t>
            </w:r>
          </w:p>
        </w:tc>
      </w:tr>
      <w:tr w14:paraId="63363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9FCB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3BA5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785A1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19CFF94C">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469CCD7F">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1B5AD871">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1D690BD1">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7F60E18F">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5BD05D6F">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720EAB48">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36FA5736">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3AFD1E3E">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A61648E">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20FECF2A">
            <w:pPr>
              <w:rPr>
                <w:rFonts w:hint="eastAsia" w:ascii="宋体" w:hAnsi="宋体" w:eastAsia="宋体" w:cs="宋体"/>
                <w:i w:val="0"/>
                <w:iCs w:val="0"/>
                <w:color w:val="000000"/>
                <w:sz w:val="18"/>
                <w:szCs w:val="18"/>
                <w:u w:val="none"/>
              </w:rPr>
            </w:pPr>
          </w:p>
        </w:tc>
      </w:tr>
      <w:tr w14:paraId="3417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82653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B9E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499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E509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51320025T000013764144-岷江流域理县段支流水质提升及生态修复项目</w:t>
            </w:r>
          </w:p>
        </w:tc>
      </w:tr>
      <w:tr w14:paraId="1E4CB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3F8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FA2C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684DDC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E14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4A674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C5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559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EF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CF56F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BF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5AA08">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A1BFF">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F20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支孟屯河水系水质，实现孟屯河水系水质稳定达到II类标准，提高岷江流域理县段的生态功能，改善河岸带生境，优化调控生态结构，保障国控断面孟屯河下孟和省控断面杂谷脑河五里界牌水质稳定达到II类标准，提高生物多样性水平。</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249C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2025年该项目已完成前期各项目标任务</w:t>
            </w:r>
          </w:p>
        </w:tc>
      </w:tr>
      <w:tr w14:paraId="3868A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8BE4C">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18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66BE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开展岷江流域理县段支流水质提升及生态修复</w:t>
            </w:r>
          </w:p>
        </w:tc>
      </w:tr>
      <w:tr w14:paraId="7112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4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2B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A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2A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2E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FD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3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B3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004E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C97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B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B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A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174.43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FC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F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0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C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FB63F">
            <w:pPr>
              <w:rPr>
                <w:rFonts w:hint="eastAsia" w:ascii="黑体" w:hAnsi="黑体" w:eastAsia="黑体" w:cs="黑体"/>
                <w:i/>
                <w:iCs/>
                <w:color w:val="000000"/>
                <w:sz w:val="18"/>
                <w:szCs w:val="18"/>
                <w:u w:val="none"/>
              </w:rPr>
            </w:pPr>
          </w:p>
        </w:tc>
      </w:tr>
      <w:tr w14:paraId="0F1D4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38E2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5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21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3E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174.43</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D8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85.43</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E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48.98%</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9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D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12C5E">
            <w:pPr>
              <w:rPr>
                <w:rFonts w:hint="eastAsia" w:ascii="黑体" w:hAnsi="黑体" w:eastAsia="黑体" w:cs="黑体"/>
                <w:i/>
                <w:iCs/>
                <w:color w:val="000000"/>
                <w:sz w:val="18"/>
                <w:szCs w:val="18"/>
                <w:u w:val="none"/>
              </w:rPr>
            </w:pPr>
          </w:p>
        </w:tc>
      </w:tr>
      <w:tr w14:paraId="0C5D4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535D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5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2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F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AF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A2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B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7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8F99A">
            <w:pPr>
              <w:rPr>
                <w:rFonts w:hint="eastAsia" w:ascii="黑体" w:hAnsi="黑体" w:eastAsia="黑体" w:cs="黑体"/>
                <w:i/>
                <w:iCs/>
                <w:color w:val="000000"/>
                <w:sz w:val="18"/>
                <w:szCs w:val="18"/>
                <w:u w:val="none"/>
              </w:rPr>
            </w:pPr>
          </w:p>
        </w:tc>
      </w:tr>
      <w:tr w14:paraId="48B56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7F5B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5C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C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9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0A3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6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C2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0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E86C8">
            <w:pPr>
              <w:rPr>
                <w:rFonts w:hint="eastAsia" w:ascii="黑体" w:hAnsi="黑体" w:eastAsia="黑体" w:cs="黑体"/>
                <w:i/>
                <w:iCs/>
                <w:color w:val="000000"/>
                <w:sz w:val="18"/>
                <w:szCs w:val="18"/>
                <w:u w:val="none"/>
              </w:rPr>
            </w:pPr>
          </w:p>
        </w:tc>
      </w:tr>
      <w:tr w14:paraId="22176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18236">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2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6ED2">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6C73">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1C9F87">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ABC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1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D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A48C">
            <w:pPr>
              <w:rPr>
                <w:rFonts w:hint="eastAsia" w:ascii="黑体" w:hAnsi="黑体" w:eastAsia="黑体" w:cs="黑体"/>
                <w:i/>
                <w:iCs/>
                <w:color w:val="000000"/>
                <w:sz w:val="18"/>
                <w:szCs w:val="18"/>
                <w:u w:val="none"/>
              </w:rPr>
            </w:pPr>
          </w:p>
        </w:tc>
      </w:tr>
      <w:tr w14:paraId="1081C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0D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5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8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D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F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3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1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A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1E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5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12E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A5E9F">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BF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FC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54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项目实施点位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4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3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7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16E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F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C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3743C">
            <w:pPr>
              <w:jc w:val="center"/>
              <w:rPr>
                <w:rFonts w:hint="eastAsia" w:ascii="微软雅黑" w:hAnsi="微软雅黑" w:eastAsia="微软雅黑" w:cs="微软雅黑"/>
                <w:i/>
                <w:iCs/>
                <w:color w:val="000000"/>
                <w:sz w:val="16"/>
                <w:szCs w:val="16"/>
                <w:u w:val="none"/>
              </w:rPr>
            </w:pPr>
          </w:p>
        </w:tc>
      </w:tr>
      <w:tr w14:paraId="31745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C70ED">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69336">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D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7D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项目工程质量（通过验收率）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5C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C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AD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DA2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1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7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ED63">
            <w:pPr>
              <w:jc w:val="center"/>
              <w:rPr>
                <w:rFonts w:hint="eastAsia" w:ascii="微软雅黑" w:hAnsi="微软雅黑" w:eastAsia="微软雅黑" w:cs="微软雅黑"/>
                <w:i/>
                <w:iCs/>
                <w:color w:val="000000"/>
                <w:sz w:val="16"/>
                <w:szCs w:val="16"/>
                <w:u w:val="none"/>
              </w:rPr>
            </w:pPr>
          </w:p>
        </w:tc>
      </w:tr>
      <w:tr w14:paraId="7E5C7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D809D">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5A2E8">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07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0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E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A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5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FC21">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1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7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B99D">
            <w:pPr>
              <w:jc w:val="center"/>
              <w:rPr>
                <w:rFonts w:hint="eastAsia" w:ascii="微软雅黑" w:hAnsi="微软雅黑" w:eastAsia="微软雅黑" w:cs="微软雅黑"/>
                <w:i/>
                <w:iCs/>
                <w:color w:val="000000"/>
                <w:sz w:val="16"/>
                <w:szCs w:val="16"/>
                <w:u w:val="none"/>
              </w:rPr>
            </w:pPr>
          </w:p>
        </w:tc>
      </w:tr>
      <w:tr w14:paraId="561B0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C7AA6">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AA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3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1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0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攻固</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FED8">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2CF4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8F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A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DB78">
            <w:pPr>
              <w:jc w:val="center"/>
              <w:rPr>
                <w:rFonts w:hint="eastAsia" w:ascii="微软雅黑" w:hAnsi="微软雅黑" w:eastAsia="微软雅黑" w:cs="微软雅黑"/>
                <w:i/>
                <w:iCs/>
                <w:color w:val="000000"/>
                <w:sz w:val="16"/>
                <w:szCs w:val="16"/>
                <w:u w:val="none"/>
              </w:rPr>
            </w:pPr>
          </w:p>
        </w:tc>
      </w:tr>
      <w:tr w14:paraId="117CD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0C5ED">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9F5B">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B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5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生态修复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D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85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攻固成效</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A681">
            <w:pPr>
              <w:jc w:val="center"/>
              <w:rPr>
                <w:rFonts w:hint="eastAsia" w:ascii="宋体" w:hAnsi="宋体" w:eastAsia="宋体" w:cs="宋体"/>
                <w:i w:val="0"/>
                <w:iCs w:val="0"/>
                <w:color w:val="000000"/>
                <w:sz w:val="18"/>
                <w:szCs w:val="18"/>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F58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5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B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14A">
            <w:pPr>
              <w:jc w:val="center"/>
              <w:rPr>
                <w:rFonts w:hint="eastAsia" w:ascii="微软雅黑" w:hAnsi="微软雅黑" w:eastAsia="微软雅黑" w:cs="微软雅黑"/>
                <w:i/>
                <w:iCs/>
                <w:color w:val="000000"/>
                <w:sz w:val="16"/>
                <w:szCs w:val="16"/>
                <w:u w:val="none"/>
              </w:rPr>
            </w:pPr>
          </w:p>
        </w:tc>
      </w:tr>
      <w:tr w14:paraId="49C9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FA737">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B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5D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D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F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E1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D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A4B9">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AB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4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0520F">
            <w:pPr>
              <w:jc w:val="center"/>
              <w:rPr>
                <w:rFonts w:hint="eastAsia" w:ascii="微软雅黑" w:hAnsi="微软雅黑" w:eastAsia="微软雅黑" w:cs="微软雅黑"/>
                <w:i/>
                <w:iCs/>
                <w:color w:val="000000"/>
                <w:sz w:val="16"/>
                <w:szCs w:val="16"/>
                <w:u w:val="none"/>
              </w:rPr>
            </w:pPr>
          </w:p>
        </w:tc>
      </w:tr>
      <w:tr w14:paraId="2505F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18C3B">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7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1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投资额度</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3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29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2688</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2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BB6D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4B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C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0581">
            <w:pPr>
              <w:jc w:val="center"/>
              <w:rPr>
                <w:rFonts w:hint="eastAsia" w:ascii="微软雅黑" w:hAnsi="微软雅黑" w:eastAsia="微软雅黑" w:cs="微软雅黑"/>
                <w:i/>
                <w:iCs/>
                <w:color w:val="000000"/>
                <w:sz w:val="16"/>
                <w:szCs w:val="16"/>
                <w:u w:val="none"/>
              </w:rPr>
            </w:pPr>
          </w:p>
        </w:tc>
      </w:tr>
      <w:tr w14:paraId="4B3A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C49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46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314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B5EC">
            <w:pPr>
              <w:rPr>
                <w:rFonts w:hint="eastAsia" w:ascii="宋体" w:hAnsi="宋体" w:eastAsia="宋体" w:cs="宋体"/>
                <w:i w:val="0"/>
                <w:iCs w:val="0"/>
                <w:color w:val="000000"/>
                <w:sz w:val="18"/>
                <w:szCs w:val="18"/>
                <w:u w:val="none"/>
              </w:rPr>
            </w:pPr>
          </w:p>
        </w:tc>
      </w:tr>
      <w:tr w14:paraId="557A2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8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0BEF9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该项目2025年完成了前期工作，年底才完成招投标，自查得分64分</w:t>
            </w:r>
          </w:p>
        </w:tc>
      </w:tr>
      <w:tr w14:paraId="6B748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7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6600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项目进展缓慢，2025年底才完成招投标</w:t>
            </w:r>
          </w:p>
        </w:tc>
      </w:tr>
      <w:tr w14:paraId="6AC7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4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5762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项目合同签订后，督促施工单位进展，严格按照合同要求，加快项目实施。</w:t>
            </w:r>
          </w:p>
        </w:tc>
      </w:tr>
      <w:tr w14:paraId="608D6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2A78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项目负责人：何欣</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5535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4A816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662F314">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0CAD5E4D">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3946CD5D">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3A20EE18">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5D3B5DF5">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0167A6C3">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6B00CB8C">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72ECA7EA">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5D56A864">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4EFEB513">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ACF98CC">
            <w:pPr>
              <w:rPr>
                <w:rFonts w:hint="eastAsia" w:ascii="宋体" w:hAnsi="宋体" w:eastAsia="宋体" w:cs="宋体"/>
                <w:i w:val="0"/>
                <w:iCs w:val="0"/>
                <w:color w:val="000000"/>
                <w:sz w:val="18"/>
                <w:szCs w:val="18"/>
                <w:u w:val="none"/>
              </w:rPr>
            </w:pPr>
          </w:p>
        </w:tc>
      </w:tr>
      <w:tr w14:paraId="739D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2E0C7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933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0BB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36E9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14:paraId="19AB3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558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CA78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5993D6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29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43054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C63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A2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8E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F86DC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07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B41EA">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070F7">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7800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96EC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完成了2025年生态环境目标任务</w:t>
            </w:r>
          </w:p>
        </w:tc>
      </w:tr>
      <w:tr w14:paraId="4CEB7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31C5E">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05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3142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开展生态环境保护相关工作，保障单位日常运转。</w:t>
            </w:r>
          </w:p>
        </w:tc>
      </w:tr>
      <w:tr w14:paraId="08679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09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84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1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5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E4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F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D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D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E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4AE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E06F4">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8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0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F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9A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B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C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7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EA2A4">
            <w:pPr>
              <w:rPr>
                <w:rFonts w:hint="eastAsia" w:ascii="黑体" w:hAnsi="黑体" w:eastAsia="黑体" w:cs="黑体"/>
                <w:i/>
                <w:iCs/>
                <w:color w:val="000000"/>
                <w:sz w:val="18"/>
                <w:szCs w:val="18"/>
                <w:u w:val="none"/>
              </w:rPr>
            </w:pPr>
          </w:p>
        </w:tc>
      </w:tr>
      <w:tr w14:paraId="2FB6B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9BA1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D1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D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16.93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4E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0C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10.21</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D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E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8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EC318">
            <w:pPr>
              <w:rPr>
                <w:rFonts w:hint="eastAsia" w:ascii="黑体" w:hAnsi="黑体" w:eastAsia="黑体" w:cs="黑体"/>
                <w:i/>
                <w:iCs/>
                <w:color w:val="000000"/>
                <w:sz w:val="18"/>
                <w:szCs w:val="18"/>
                <w:u w:val="none"/>
              </w:rPr>
            </w:pPr>
          </w:p>
        </w:tc>
      </w:tr>
      <w:tr w14:paraId="34DC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C0B4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6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6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C82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6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A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0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21E7">
            <w:pPr>
              <w:rPr>
                <w:rFonts w:hint="eastAsia" w:ascii="黑体" w:hAnsi="黑体" w:eastAsia="黑体" w:cs="黑体"/>
                <w:i/>
                <w:iCs/>
                <w:color w:val="000000"/>
                <w:sz w:val="18"/>
                <w:szCs w:val="18"/>
                <w:u w:val="none"/>
              </w:rPr>
            </w:pPr>
          </w:p>
        </w:tc>
      </w:tr>
      <w:tr w14:paraId="4D684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24B39">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1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A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A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0D8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5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3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D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994C2">
            <w:pPr>
              <w:rPr>
                <w:rFonts w:hint="eastAsia" w:ascii="黑体" w:hAnsi="黑体" w:eastAsia="黑体" w:cs="黑体"/>
                <w:i/>
                <w:iCs/>
                <w:color w:val="000000"/>
                <w:sz w:val="18"/>
                <w:szCs w:val="18"/>
                <w:u w:val="none"/>
              </w:rPr>
            </w:pPr>
          </w:p>
        </w:tc>
      </w:tr>
      <w:tr w14:paraId="7935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BF65A">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A2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7E6A">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39F6">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A98122">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2116">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C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2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E8B62">
            <w:pPr>
              <w:rPr>
                <w:rFonts w:hint="eastAsia" w:ascii="黑体" w:hAnsi="黑体" w:eastAsia="黑体" w:cs="黑体"/>
                <w:i/>
                <w:iCs/>
                <w:color w:val="000000"/>
                <w:sz w:val="18"/>
                <w:szCs w:val="18"/>
                <w:u w:val="none"/>
              </w:rPr>
            </w:pPr>
          </w:p>
        </w:tc>
      </w:tr>
      <w:tr w14:paraId="320E1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D0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78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F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5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51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9B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A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5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8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EC0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2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7FA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0AD17">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A2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7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3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2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7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5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4367">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9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4D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9E18">
            <w:pPr>
              <w:jc w:val="center"/>
              <w:rPr>
                <w:rFonts w:hint="eastAsia" w:ascii="微软雅黑" w:hAnsi="微软雅黑" w:eastAsia="微软雅黑" w:cs="微软雅黑"/>
                <w:i/>
                <w:iCs/>
                <w:color w:val="000000"/>
                <w:sz w:val="16"/>
                <w:szCs w:val="16"/>
                <w:u w:val="none"/>
              </w:rPr>
            </w:pPr>
          </w:p>
        </w:tc>
      </w:tr>
      <w:tr w14:paraId="2BBF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9F7D9">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183E3">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9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6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3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0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B914">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E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C4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754E">
            <w:pPr>
              <w:jc w:val="center"/>
              <w:rPr>
                <w:rFonts w:hint="eastAsia" w:ascii="微软雅黑" w:hAnsi="微软雅黑" w:eastAsia="微软雅黑" w:cs="微软雅黑"/>
                <w:i/>
                <w:iCs/>
                <w:color w:val="000000"/>
                <w:sz w:val="16"/>
                <w:szCs w:val="16"/>
                <w:u w:val="none"/>
              </w:rPr>
            </w:pPr>
          </w:p>
        </w:tc>
      </w:tr>
      <w:tr w14:paraId="2B71C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F470">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F2E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8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5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E3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AE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7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7CD1B">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B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D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2895">
            <w:pPr>
              <w:jc w:val="center"/>
              <w:rPr>
                <w:rFonts w:hint="eastAsia" w:ascii="微软雅黑" w:hAnsi="微软雅黑" w:eastAsia="微软雅黑" w:cs="微软雅黑"/>
                <w:i/>
                <w:iCs/>
                <w:color w:val="000000"/>
                <w:sz w:val="16"/>
                <w:szCs w:val="16"/>
                <w:u w:val="none"/>
              </w:rPr>
            </w:pPr>
          </w:p>
        </w:tc>
      </w:tr>
      <w:tr w14:paraId="505F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1E2C4">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2CA57">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9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2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2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7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1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5D1D">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E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3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7B44">
            <w:pPr>
              <w:jc w:val="center"/>
              <w:rPr>
                <w:rFonts w:hint="eastAsia" w:ascii="微软雅黑" w:hAnsi="微软雅黑" w:eastAsia="微软雅黑" w:cs="微软雅黑"/>
                <w:i/>
                <w:iCs/>
                <w:color w:val="000000"/>
                <w:sz w:val="16"/>
                <w:szCs w:val="16"/>
                <w:u w:val="none"/>
              </w:rPr>
            </w:pPr>
          </w:p>
        </w:tc>
      </w:tr>
      <w:tr w14:paraId="35F55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7AA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2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819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206E">
            <w:pPr>
              <w:rPr>
                <w:rFonts w:hint="eastAsia" w:ascii="宋体" w:hAnsi="宋体" w:eastAsia="宋体" w:cs="宋体"/>
                <w:i w:val="0"/>
                <w:iCs w:val="0"/>
                <w:color w:val="000000"/>
                <w:sz w:val="18"/>
                <w:szCs w:val="18"/>
                <w:u w:val="none"/>
              </w:rPr>
            </w:pPr>
          </w:p>
        </w:tc>
      </w:tr>
      <w:tr w14:paraId="3AAAD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F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43CEA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完成了2025年生态环境各项目目标工作任务，单位日常运转得到了确实保障，自查得分100分。</w:t>
            </w:r>
          </w:p>
        </w:tc>
      </w:tr>
      <w:tr w14:paraId="6B291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50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F2A7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2E6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5EED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3E5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5890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3EEEC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r w14:paraId="77CF5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40" w:type="dxa"/>
            <w:tcBorders>
              <w:top w:val="nil"/>
              <w:left w:val="nil"/>
              <w:bottom w:val="nil"/>
              <w:right w:val="nil"/>
            </w:tcBorders>
            <w:shd w:val="clear" w:color="auto" w:fill="auto"/>
            <w:vAlign w:val="center"/>
          </w:tcPr>
          <w:p w14:paraId="321CCDBA">
            <w:pPr>
              <w:rPr>
                <w:rFonts w:hint="eastAsia" w:ascii="宋体" w:hAnsi="宋体" w:eastAsia="宋体" w:cs="宋体"/>
                <w:i w:val="0"/>
                <w:iCs w:val="0"/>
                <w:color w:val="000000"/>
                <w:sz w:val="18"/>
                <w:szCs w:val="18"/>
                <w:u w:val="none"/>
              </w:rPr>
            </w:pPr>
          </w:p>
        </w:tc>
        <w:tc>
          <w:tcPr>
            <w:tcW w:w="1215" w:type="dxa"/>
            <w:tcBorders>
              <w:top w:val="nil"/>
              <w:left w:val="nil"/>
              <w:bottom w:val="nil"/>
              <w:right w:val="nil"/>
            </w:tcBorders>
            <w:shd w:val="clear" w:color="auto" w:fill="auto"/>
            <w:vAlign w:val="center"/>
          </w:tcPr>
          <w:p w14:paraId="2E6799D7">
            <w:pPr>
              <w:rPr>
                <w:rFonts w:hint="eastAsia" w:ascii="宋体" w:hAnsi="宋体" w:eastAsia="宋体" w:cs="宋体"/>
                <w:i w:val="0"/>
                <w:iCs w:val="0"/>
                <w:color w:val="000000"/>
                <w:sz w:val="18"/>
                <w:szCs w:val="18"/>
                <w:u w:val="none"/>
              </w:rPr>
            </w:pPr>
          </w:p>
        </w:tc>
        <w:tc>
          <w:tcPr>
            <w:tcW w:w="1320" w:type="dxa"/>
            <w:tcBorders>
              <w:top w:val="nil"/>
              <w:left w:val="nil"/>
              <w:bottom w:val="nil"/>
              <w:right w:val="nil"/>
            </w:tcBorders>
            <w:shd w:val="clear" w:color="auto" w:fill="auto"/>
            <w:vAlign w:val="center"/>
          </w:tcPr>
          <w:p w14:paraId="12832170">
            <w:pPr>
              <w:rPr>
                <w:rFonts w:hint="eastAsia" w:ascii="宋体" w:hAnsi="宋体" w:eastAsia="宋体" w:cs="宋体"/>
                <w:i w:val="0"/>
                <w:iCs w:val="0"/>
                <w:color w:val="000000"/>
                <w:sz w:val="18"/>
                <w:szCs w:val="18"/>
                <w:u w:val="none"/>
              </w:rPr>
            </w:pPr>
          </w:p>
        </w:tc>
        <w:tc>
          <w:tcPr>
            <w:tcW w:w="1485" w:type="dxa"/>
            <w:tcBorders>
              <w:top w:val="nil"/>
              <w:left w:val="nil"/>
              <w:bottom w:val="nil"/>
              <w:right w:val="nil"/>
            </w:tcBorders>
            <w:shd w:val="clear" w:color="auto" w:fill="auto"/>
            <w:vAlign w:val="center"/>
          </w:tcPr>
          <w:p w14:paraId="261D3A09">
            <w:pPr>
              <w:rPr>
                <w:rFonts w:hint="eastAsia" w:ascii="宋体" w:hAnsi="宋体" w:eastAsia="宋体" w:cs="宋体"/>
                <w:i w:val="0"/>
                <w:iCs w:val="0"/>
                <w:color w:val="000000"/>
                <w:sz w:val="18"/>
                <w:szCs w:val="18"/>
                <w:u w:val="none"/>
              </w:rPr>
            </w:pPr>
          </w:p>
        </w:tc>
        <w:tc>
          <w:tcPr>
            <w:tcW w:w="600" w:type="dxa"/>
            <w:tcBorders>
              <w:top w:val="nil"/>
              <w:left w:val="nil"/>
              <w:bottom w:val="nil"/>
              <w:right w:val="nil"/>
            </w:tcBorders>
            <w:shd w:val="clear" w:color="auto" w:fill="auto"/>
            <w:vAlign w:val="center"/>
          </w:tcPr>
          <w:p w14:paraId="6BB17E17">
            <w:pPr>
              <w:rPr>
                <w:rFonts w:hint="eastAsia" w:ascii="宋体" w:hAnsi="宋体" w:eastAsia="宋体" w:cs="宋体"/>
                <w:i w:val="0"/>
                <w:iCs w:val="0"/>
                <w:color w:val="000000"/>
                <w:sz w:val="18"/>
                <w:szCs w:val="18"/>
                <w:u w:val="none"/>
              </w:rPr>
            </w:pPr>
          </w:p>
        </w:tc>
        <w:tc>
          <w:tcPr>
            <w:tcW w:w="735" w:type="dxa"/>
            <w:tcBorders>
              <w:top w:val="nil"/>
              <w:left w:val="nil"/>
              <w:bottom w:val="nil"/>
              <w:right w:val="nil"/>
            </w:tcBorders>
            <w:shd w:val="clear" w:color="auto" w:fill="auto"/>
            <w:vAlign w:val="center"/>
          </w:tcPr>
          <w:p w14:paraId="767990D6">
            <w:pPr>
              <w:rPr>
                <w:rFonts w:hint="eastAsia" w:ascii="宋体" w:hAnsi="宋体" w:eastAsia="宋体" w:cs="宋体"/>
                <w:i w:val="0"/>
                <w:iCs w:val="0"/>
                <w:color w:val="000000"/>
                <w:sz w:val="18"/>
                <w:szCs w:val="18"/>
                <w:u w:val="none"/>
              </w:rPr>
            </w:pPr>
          </w:p>
        </w:tc>
        <w:tc>
          <w:tcPr>
            <w:tcW w:w="525" w:type="dxa"/>
            <w:tcBorders>
              <w:top w:val="nil"/>
              <w:left w:val="nil"/>
              <w:bottom w:val="nil"/>
              <w:right w:val="nil"/>
            </w:tcBorders>
            <w:shd w:val="clear" w:color="auto" w:fill="auto"/>
            <w:vAlign w:val="center"/>
          </w:tcPr>
          <w:p w14:paraId="5A361265">
            <w:pPr>
              <w:rPr>
                <w:rFonts w:hint="eastAsia" w:ascii="宋体" w:hAnsi="宋体" w:eastAsia="宋体" w:cs="宋体"/>
                <w:i w:val="0"/>
                <w:iCs w:val="0"/>
                <w:color w:val="000000"/>
                <w:sz w:val="18"/>
                <w:szCs w:val="18"/>
                <w:u w:val="none"/>
              </w:rPr>
            </w:pPr>
          </w:p>
        </w:tc>
        <w:tc>
          <w:tcPr>
            <w:tcW w:w="975" w:type="dxa"/>
            <w:tcBorders>
              <w:top w:val="nil"/>
              <w:left w:val="nil"/>
              <w:bottom w:val="nil"/>
              <w:right w:val="nil"/>
            </w:tcBorders>
            <w:shd w:val="clear" w:color="auto" w:fill="auto"/>
            <w:vAlign w:val="center"/>
          </w:tcPr>
          <w:p w14:paraId="27036121">
            <w:pPr>
              <w:rPr>
                <w:rFonts w:hint="eastAsia" w:ascii="宋体" w:hAnsi="宋体" w:eastAsia="宋体" w:cs="宋体"/>
                <w:i w:val="0"/>
                <w:iCs w:val="0"/>
                <w:color w:val="000000"/>
                <w:sz w:val="18"/>
                <w:szCs w:val="18"/>
                <w:u w:val="none"/>
              </w:rPr>
            </w:pPr>
          </w:p>
        </w:tc>
        <w:tc>
          <w:tcPr>
            <w:tcW w:w="510" w:type="dxa"/>
            <w:tcBorders>
              <w:top w:val="nil"/>
              <w:left w:val="nil"/>
              <w:bottom w:val="nil"/>
              <w:right w:val="nil"/>
            </w:tcBorders>
            <w:shd w:val="clear" w:color="auto" w:fill="auto"/>
            <w:vAlign w:val="center"/>
          </w:tcPr>
          <w:p w14:paraId="174ABA4D">
            <w:pPr>
              <w:rPr>
                <w:rFonts w:hint="eastAsia" w:ascii="宋体" w:hAnsi="宋体" w:eastAsia="宋体" w:cs="宋体"/>
                <w:i w:val="0"/>
                <w:iCs w:val="0"/>
                <w:color w:val="000000"/>
                <w:sz w:val="18"/>
                <w:szCs w:val="18"/>
                <w:u w:val="none"/>
              </w:rPr>
            </w:pPr>
          </w:p>
        </w:tc>
        <w:tc>
          <w:tcPr>
            <w:tcW w:w="450" w:type="dxa"/>
            <w:tcBorders>
              <w:top w:val="nil"/>
              <w:left w:val="nil"/>
              <w:bottom w:val="nil"/>
              <w:right w:val="nil"/>
            </w:tcBorders>
            <w:shd w:val="clear" w:color="auto" w:fill="auto"/>
            <w:vAlign w:val="center"/>
          </w:tcPr>
          <w:p w14:paraId="2CD3C409">
            <w:pPr>
              <w:rPr>
                <w:rFonts w:hint="eastAsia" w:ascii="宋体" w:hAnsi="宋体" w:eastAsia="宋体" w:cs="宋体"/>
                <w:i w:val="0"/>
                <w:iCs w:val="0"/>
                <w:color w:val="000000"/>
                <w:sz w:val="18"/>
                <w:szCs w:val="18"/>
                <w:u w:val="none"/>
              </w:rPr>
            </w:pPr>
          </w:p>
        </w:tc>
        <w:tc>
          <w:tcPr>
            <w:tcW w:w="810" w:type="dxa"/>
            <w:tcBorders>
              <w:top w:val="nil"/>
              <w:left w:val="nil"/>
              <w:bottom w:val="nil"/>
              <w:right w:val="nil"/>
            </w:tcBorders>
            <w:shd w:val="clear" w:color="auto" w:fill="auto"/>
            <w:vAlign w:val="center"/>
          </w:tcPr>
          <w:p w14:paraId="0D618D7C">
            <w:pPr>
              <w:rPr>
                <w:rFonts w:hint="eastAsia" w:ascii="宋体" w:hAnsi="宋体" w:eastAsia="宋体" w:cs="宋体"/>
                <w:i w:val="0"/>
                <w:iCs w:val="0"/>
                <w:color w:val="000000"/>
                <w:sz w:val="18"/>
                <w:szCs w:val="18"/>
                <w:u w:val="none"/>
              </w:rPr>
            </w:pPr>
          </w:p>
        </w:tc>
      </w:tr>
      <w:tr w14:paraId="2599F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94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9DD62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4423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05E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4D68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51320025Y000013371712-财政代管资金</w:t>
            </w:r>
          </w:p>
        </w:tc>
      </w:tr>
      <w:tr w14:paraId="25DC6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F87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C45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975" w:type="dxa"/>
            <w:tcBorders>
              <w:top w:val="nil"/>
              <w:left w:val="nil"/>
              <w:bottom w:val="nil"/>
              <w:right w:val="nil"/>
            </w:tcBorders>
            <w:shd w:val="clear" w:color="auto" w:fill="auto"/>
            <w:vAlign w:val="center"/>
          </w:tcPr>
          <w:p w14:paraId="041FE23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827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理县生态环境局</w:t>
            </w:r>
          </w:p>
        </w:tc>
      </w:tr>
      <w:tr w14:paraId="0EB0C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AC3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F84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01C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C94F9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CC9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06E6B">
            <w:pP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A71F8">
            <w:pPr>
              <w:rPr>
                <w:rFonts w:hint="eastAsia" w:ascii="宋体" w:hAnsi="宋体" w:eastAsia="宋体" w:cs="宋体"/>
                <w:i w:val="0"/>
                <w:iCs w:val="0"/>
                <w:color w:val="000000"/>
                <w:sz w:val="18"/>
                <w:szCs w:val="18"/>
                <w:u w:val="none"/>
              </w:rPr>
            </w:pPr>
          </w:p>
        </w:tc>
        <w:tc>
          <w:tcPr>
            <w:tcW w:w="46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22CF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27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717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2025年度代管资金未使用</w:t>
            </w:r>
          </w:p>
        </w:tc>
      </w:tr>
      <w:tr w14:paraId="5C430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318F0">
            <w:pP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96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74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3F40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2025年度代管资金未使用</w:t>
            </w:r>
          </w:p>
        </w:tc>
      </w:tr>
      <w:tr w14:paraId="3E86D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5B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6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2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E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5F75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CB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30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8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B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84E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F5B93">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86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9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83A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EE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4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26D0">
            <w:pPr>
              <w:jc w:val="center"/>
              <w:rPr>
                <w:rFonts w:hint="eastAsia" w:ascii="宋体" w:hAnsi="宋体" w:eastAsia="宋体" w:cs="宋体"/>
                <w:i w:val="0"/>
                <w:iCs w:val="0"/>
                <w:color w:val="000000"/>
                <w:sz w:val="18"/>
                <w:szCs w:val="18"/>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90440">
            <w:pPr>
              <w:rPr>
                <w:rFonts w:hint="eastAsia" w:ascii="黑体" w:hAnsi="黑体" w:eastAsia="黑体" w:cs="黑体"/>
                <w:i/>
                <w:iCs/>
                <w:color w:val="000000"/>
                <w:sz w:val="18"/>
                <w:szCs w:val="18"/>
                <w:u w:val="none"/>
              </w:rPr>
            </w:pPr>
          </w:p>
        </w:tc>
      </w:tr>
      <w:tr w14:paraId="3DB1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A6A22">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F9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4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FA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4BF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0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C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05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2AB56">
            <w:pPr>
              <w:rPr>
                <w:rFonts w:hint="eastAsia" w:ascii="黑体" w:hAnsi="黑体" w:eastAsia="黑体" w:cs="黑体"/>
                <w:i/>
                <w:iCs/>
                <w:color w:val="000000"/>
                <w:sz w:val="18"/>
                <w:szCs w:val="18"/>
                <w:u w:val="none"/>
              </w:rPr>
            </w:pPr>
          </w:p>
        </w:tc>
      </w:tr>
      <w:tr w14:paraId="5671F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654ED">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A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F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3A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CA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2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3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D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420AC">
            <w:pPr>
              <w:rPr>
                <w:rFonts w:hint="eastAsia" w:ascii="黑体" w:hAnsi="黑体" w:eastAsia="黑体" w:cs="黑体"/>
                <w:i/>
                <w:iCs/>
                <w:color w:val="000000"/>
                <w:sz w:val="18"/>
                <w:szCs w:val="18"/>
                <w:u w:val="none"/>
              </w:rPr>
            </w:pPr>
          </w:p>
        </w:tc>
      </w:tr>
      <w:tr w14:paraId="5912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60571">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C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42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0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16.68</w:t>
            </w: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6DB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B6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02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9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6951E">
            <w:pPr>
              <w:rPr>
                <w:rFonts w:hint="eastAsia" w:ascii="黑体" w:hAnsi="黑体" w:eastAsia="黑体" w:cs="黑体"/>
                <w:i/>
                <w:iCs/>
                <w:color w:val="000000"/>
                <w:sz w:val="18"/>
                <w:szCs w:val="18"/>
                <w:u w:val="none"/>
              </w:rPr>
            </w:pPr>
          </w:p>
        </w:tc>
      </w:tr>
      <w:tr w14:paraId="4230A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CB4AE">
            <w:pPr>
              <w:jc w:val="center"/>
              <w:rPr>
                <w:rFonts w:hint="eastAsia" w:ascii="宋体" w:hAnsi="宋体" w:eastAsia="宋体" w:cs="宋体"/>
                <w:i w:val="0"/>
                <w:iCs w:val="0"/>
                <w:color w:val="000000"/>
                <w:sz w:val="18"/>
                <w:szCs w:val="18"/>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0666">
            <w:pPr>
              <w:jc w:val="center"/>
              <w:rPr>
                <w:rFonts w:hint="eastAsia" w:ascii="微软雅黑" w:hAnsi="微软雅黑" w:eastAsia="微软雅黑" w:cs="微软雅黑"/>
                <w:i/>
                <w:iCs/>
                <w:color w:val="000000"/>
                <w:sz w:val="16"/>
                <w:szCs w:val="16"/>
                <w:u w:val="none"/>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EE7F">
            <w:pPr>
              <w:jc w:val="center"/>
              <w:rPr>
                <w:rFonts w:hint="eastAsia" w:ascii="微软雅黑" w:hAnsi="微软雅黑" w:eastAsia="微软雅黑" w:cs="微软雅黑"/>
                <w:i/>
                <w:iCs/>
                <w:color w:val="000000"/>
                <w:sz w:val="16"/>
                <w:szCs w:val="16"/>
                <w:u w:val="none"/>
              </w:rPr>
            </w:pPr>
          </w:p>
        </w:tc>
        <w:tc>
          <w:tcPr>
            <w:tcW w:w="18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5B56F">
            <w:pPr>
              <w:jc w:val="center"/>
              <w:rPr>
                <w:rFonts w:hint="eastAsia" w:ascii="微软雅黑" w:hAnsi="微软雅黑" w:eastAsia="微软雅黑" w:cs="微软雅黑"/>
                <w:i/>
                <w:iCs/>
                <w:color w:val="000000"/>
                <w:sz w:val="16"/>
                <w:szCs w:val="16"/>
                <w:u w:val="none"/>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E480">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F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3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A4A4C">
            <w:pPr>
              <w:rPr>
                <w:rFonts w:hint="eastAsia" w:ascii="黑体" w:hAnsi="黑体" w:eastAsia="黑体" w:cs="黑体"/>
                <w:i/>
                <w:iCs/>
                <w:color w:val="000000"/>
                <w:sz w:val="18"/>
                <w:szCs w:val="18"/>
                <w:u w:val="none"/>
              </w:rPr>
            </w:pPr>
          </w:p>
        </w:tc>
      </w:tr>
      <w:tr w14:paraId="1236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10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E1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AC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9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F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FC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A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D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A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7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E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4D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5879F">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1E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7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4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90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1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649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F38E">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9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33CE">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D300">
            <w:pPr>
              <w:jc w:val="center"/>
              <w:rPr>
                <w:rFonts w:hint="eastAsia" w:ascii="微软雅黑" w:hAnsi="微软雅黑" w:eastAsia="微软雅黑" w:cs="微软雅黑"/>
                <w:i/>
                <w:iCs/>
                <w:color w:val="000000"/>
                <w:sz w:val="16"/>
                <w:szCs w:val="16"/>
                <w:u w:val="none"/>
              </w:rPr>
            </w:pPr>
          </w:p>
        </w:tc>
      </w:tr>
      <w:tr w14:paraId="37E1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85E6">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0EFE">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4C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C8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0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4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F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34F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7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F4AE">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1C93">
            <w:pPr>
              <w:jc w:val="center"/>
              <w:rPr>
                <w:rFonts w:hint="eastAsia" w:ascii="微软雅黑" w:hAnsi="微软雅黑" w:eastAsia="微软雅黑" w:cs="微软雅黑"/>
                <w:i/>
                <w:iCs/>
                <w:color w:val="000000"/>
                <w:sz w:val="16"/>
                <w:szCs w:val="16"/>
                <w:u w:val="none"/>
              </w:rPr>
            </w:pPr>
          </w:p>
        </w:tc>
      </w:tr>
      <w:tr w14:paraId="05055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C706B">
            <w:pPr>
              <w:jc w:val="center"/>
              <w:rPr>
                <w:rFonts w:hint="eastAsia" w:ascii="宋体" w:hAnsi="宋体" w:eastAsia="宋体" w:cs="宋体"/>
                <w:i w:val="0"/>
                <w:iCs w:val="0"/>
                <w:color w:val="000000"/>
                <w:sz w:val="18"/>
                <w:szCs w:val="18"/>
                <w:u w:val="none"/>
              </w:rPr>
            </w:pP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5F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E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E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D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F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D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F683">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8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D762B">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3986">
            <w:pPr>
              <w:jc w:val="center"/>
              <w:rPr>
                <w:rFonts w:hint="eastAsia" w:ascii="微软雅黑" w:hAnsi="微软雅黑" w:eastAsia="微软雅黑" w:cs="微软雅黑"/>
                <w:i/>
                <w:iCs/>
                <w:color w:val="000000"/>
                <w:sz w:val="16"/>
                <w:szCs w:val="16"/>
                <w:u w:val="none"/>
              </w:rPr>
            </w:pPr>
          </w:p>
        </w:tc>
      </w:tr>
      <w:tr w14:paraId="4CB2C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C98FB">
            <w:pPr>
              <w:jc w:val="center"/>
              <w:rPr>
                <w:rFonts w:hint="eastAsia" w:ascii="宋体" w:hAnsi="宋体" w:eastAsia="宋体" w:cs="宋体"/>
                <w:i w:val="0"/>
                <w:iCs w:val="0"/>
                <w:color w:val="000000"/>
                <w:sz w:val="18"/>
                <w:szCs w:val="18"/>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930E2">
            <w:pPr>
              <w:jc w:val="center"/>
              <w:rPr>
                <w:rFonts w:hint="eastAsia" w:ascii="宋体" w:hAnsi="宋体" w:eastAsia="宋体" w:cs="宋体"/>
                <w:i w:val="0"/>
                <w:iCs w:val="0"/>
                <w:color w:val="000000"/>
                <w:sz w:val="18"/>
                <w:szCs w:val="18"/>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5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9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4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9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4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A705">
            <w:pPr>
              <w:jc w:val="center"/>
              <w:rPr>
                <w:rFonts w:hint="eastAsia" w:ascii="微软雅黑" w:hAnsi="微软雅黑" w:eastAsia="微软雅黑" w:cs="微软雅黑"/>
                <w:i/>
                <w:iCs/>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6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9BC3">
            <w:pPr>
              <w:jc w:val="center"/>
              <w:rPr>
                <w:rFonts w:hint="eastAsia" w:ascii="宋体" w:hAnsi="宋体" w:eastAsia="宋体" w:cs="宋体"/>
                <w:i w:val="0"/>
                <w:iCs w:val="0"/>
                <w:color w:val="000000"/>
                <w:sz w:val="18"/>
                <w:szCs w:val="18"/>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A27EE">
            <w:pPr>
              <w:jc w:val="center"/>
              <w:rPr>
                <w:rFonts w:hint="eastAsia" w:ascii="微软雅黑" w:hAnsi="微软雅黑" w:eastAsia="微软雅黑" w:cs="微软雅黑"/>
                <w:i/>
                <w:iCs/>
                <w:color w:val="000000"/>
                <w:sz w:val="16"/>
                <w:szCs w:val="16"/>
                <w:u w:val="none"/>
              </w:rPr>
            </w:pPr>
          </w:p>
        </w:tc>
      </w:tr>
      <w:tr w14:paraId="5AE8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69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DF0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A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4CA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4A3E">
            <w:pPr>
              <w:rPr>
                <w:rFonts w:hint="eastAsia" w:ascii="宋体" w:hAnsi="宋体" w:eastAsia="宋体" w:cs="宋体"/>
                <w:i w:val="0"/>
                <w:iCs w:val="0"/>
                <w:color w:val="000000"/>
                <w:sz w:val="18"/>
                <w:szCs w:val="18"/>
                <w:u w:val="none"/>
              </w:rPr>
            </w:pPr>
          </w:p>
        </w:tc>
      </w:tr>
      <w:tr w14:paraId="67E0D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7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D4834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该资金2025年度未使用，自查得分0分</w:t>
            </w:r>
          </w:p>
        </w:tc>
      </w:tr>
      <w:tr w14:paraId="53DC4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7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1D445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主要是以往年度项目质保金和履约保证金，项目实施单位未来申请结算。</w:t>
            </w:r>
          </w:p>
        </w:tc>
      </w:tr>
      <w:tr w14:paraId="54491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B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862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4565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项目实施单位申请结算后立即支付。</w:t>
            </w:r>
          </w:p>
        </w:tc>
      </w:tr>
      <w:tr w14:paraId="6330A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4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BEC14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项目负责人：高志能</w:t>
            </w:r>
          </w:p>
        </w:tc>
        <w:tc>
          <w:tcPr>
            <w:tcW w:w="400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FD45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财务负责人：蒲世海</w:t>
            </w:r>
          </w:p>
        </w:tc>
      </w:tr>
    </w:tbl>
    <w:p w14:paraId="54F0670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olor w:val="000000"/>
          <w:sz w:val="44"/>
          <w:szCs w:val="44"/>
        </w:rPr>
      </w:pPr>
      <w:bookmarkStart w:id="102" w:name="_Toc15396618"/>
      <w:bookmarkStart w:id="103" w:name="_Toc79163635"/>
      <w:bookmarkStart w:id="104" w:name="_Toc79163885"/>
    </w:p>
    <w:p w14:paraId="6EA8DF5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仿宋_GBK" w:hAnsi="方正仿宋_GBK" w:eastAsia="方正仿宋_GBK" w:cs="方正仿宋_GBK"/>
          <w:sz w:val="32"/>
          <w:szCs w:val="32"/>
          <w:lang w:val="en-US" w:eastAsia="zh-CN"/>
        </w:rPr>
      </w:pPr>
      <w:r>
        <w:rPr>
          <w:rFonts w:hint="eastAsia" w:ascii="黑体" w:hAnsi="黑体" w:eastAsia="黑体"/>
          <w:color w:val="000000"/>
          <w:sz w:val="44"/>
          <w:szCs w:val="44"/>
        </w:rPr>
        <w:t>第</w:t>
      </w:r>
      <w:r>
        <w:rPr>
          <w:rStyle w:val="31"/>
          <w:rFonts w:hint="eastAsia" w:ascii="黑体" w:hAnsi="黑体" w:eastAsia="黑体"/>
          <w:b w:val="0"/>
        </w:rPr>
        <w:t>五部分</w:t>
      </w:r>
      <w:r>
        <w:rPr>
          <w:rStyle w:val="31"/>
          <w:rFonts w:ascii="黑体" w:hAnsi="黑体" w:eastAsia="黑体"/>
          <w:b w:val="0"/>
        </w:rPr>
        <w:t xml:space="preserve"> </w:t>
      </w:r>
      <w:r>
        <w:rPr>
          <w:rStyle w:val="31"/>
          <w:rFonts w:hint="eastAsia" w:ascii="黑体" w:hAnsi="黑体" w:eastAsia="黑体"/>
          <w:b w:val="0"/>
        </w:rPr>
        <w:t>附表</w:t>
      </w:r>
      <w:bookmarkEnd w:id="102"/>
      <w:bookmarkEnd w:id="103"/>
      <w:bookmarkEnd w:id="104"/>
    </w:p>
    <w:p w14:paraId="65B5E6FB">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一、收入支出决算总表</w:t>
      </w:r>
    </w:p>
    <w:p w14:paraId="34E8E5E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05" w:name="_Toc15396620"/>
      <w:bookmarkStart w:id="106" w:name="_Toc79163637"/>
      <w:bookmarkStart w:id="107" w:name="_Toc79163887"/>
      <w:r>
        <w:rPr>
          <w:rFonts w:hint="eastAsia" w:ascii="仿宋_GB2312" w:hAnsi="仿宋_GB2312" w:eastAsia="仿宋_GB2312" w:cs="仿宋_GB2312"/>
          <w:kern w:val="2"/>
          <w:sz w:val="32"/>
          <w:szCs w:val="32"/>
          <w:lang w:val="en-US" w:eastAsia="zh-CN" w:bidi="ar-SA"/>
        </w:rPr>
        <w:t>二、收入决算表</w:t>
      </w:r>
      <w:bookmarkEnd w:id="105"/>
      <w:bookmarkEnd w:id="106"/>
      <w:bookmarkEnd w:id="107"/>
    </w:p>
    <w:p w14:paraId="0882F2CF">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08" w:name="_Toc15396621"/>
      <w:bookmarkStart w:id="109" w:name="_Toc79163888"/>
      <w:bookmarkStart w:id="110" w:name="_Toc79163638"/>
      <w:r>
        <w:rPr>
          <w:rFonts w:hint="eastAsia" w:ascii="仿宋_GB2312" w:hAnsi="仿宋_GB2312" w:eastAsia="仿宋_GB2312" w:cs="仿宋_GB2312"/>
          <w:kern w:val="2"/>
          <w:sz w:val="32"/>
          <w:szCs w:val="32"/>
          <w:lang w:val="en-US" w:eastAsia="zh-CN" w:bidi="ar-SA"/>
        </w:rPr>
        <w:t>三、支出决算表</w:t>
      </w:r>
      <w:bookmarkEnd w:id="108"/>
      <w:bookmarkEnd w:id="109"/>
      <w:bookmarkEnd w:id="110"/>
    </w:p>
    <w:p w14:paraId="7F6AB758">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1" w:name="_Toc79163639"/>
      <w:bookmarkStart w:id="112" w:name="_Toc79163889"/>
      <w:bookmarkStart w:id="113" w:name="_Toc15396622"/>
      <w:r>
        <w:rPr>
          <w:rFonts w:hint="eastAsia" w:ascii="仿宋_GB2312" w:hAnsi="仿宋_GB2312" w:eastAsia="仿宋_GB2312" w:cs="仿宋_GB2312"/>
          <w:kern w:val="2"/>
          <w:sz w:val="32"/>
          <w:szCs w:val="32"/>
          <w:lang w:val="en-US" w:eastAsia="zh-CN" w:bidi="ar-SA"/>
        </w:rPr>
        <w:t>四、财政拨款收入支出决算总表</w:t>
      </w:r>
      <w:bookmarkEnd w:id="111"/>
      <w:bookmarkEnd w:id="112"/>
      <w:bookmarkEnd w:id="113"/>
    </w:p>
    <w:p w14:paraId="29126F5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4" w:name="_Toc15396623"/>
      <w:bookmarkStart w:id="115" w:name="_Toc79163890"/>
      <w:bookmarkStart w:id="116" w:name="_Toc79163640"/>
      <w:r>
        <w:rPr>
          <w:rFonts w:hint="eastAsia" w:ascii="仿宋_GB2312" w:hAnsi="仿宋_GB2312" w:eastAsia="仿宋_GB2312" w:cs="仿宋_GB2312"/>
          <w:kern w:val="2"/>
          <w:sz w:val="32"/>
          <w:szCs w:val="32"/>
          <w:lang w:val="en-US" w:eastAsia="zh-CN" w:bidi="ar-SA"/>
        </w:rPr>
        <w:t>五、财政拨款支出决算明细表</w:t>
      </w:r>
      <w:bookmarkEnd w:id="114"/>
      <w:bookmarkEnd w:id="115"/>
      <w:bookmarkEnd w:id="116"/>
      <w:bookmarkStart w:id="117" w:name="_Toc15396624"/>
    </w:p>
    <w:p w14:paraId="66EFD991">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18" w:name="_Toc79163891"/>
      <w:bookmarkStart w:id="119" w:name="_Toc79163641"/>
      <w:r>
        <w:rPr>
          <w:rFonts w:hint="eastAsia" w:ascii="仿宋_GB2312" w:hAnsi="仿宋_GB2312" w:eastAsia="仿宋_GB2312" w:cs="仿宋_GB2312"/>
          <w:kern w:val="2"/>
          <w:sz w:val="32"/>
          <w:szCs w:val="32"/>
          <w:lang w:val="en-US" w:eastAsia="zh-CN" w:bidi="ar-SA"/>
        </w:rPr>
        <w:t>六、一般公共预算财政拨款支出决算表</w:t>
      </w:r>
      <w:bookmarkEnd w:id="117"/>
      <w:bookmarkEnd w:id="118"/>
      <w:bookmarkEnd w:id="119"/>
    </w:p>
    <w:p w14:paraId="57A3AA32">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0" w:name="_Toc79163642"/>
      <w:bookmarkStart w:id="121" w:name="_Toc79163892"/>
      <w:bookmarkStart w:id="122" w:name="_Toc15396625"/>
      <w:r>
        <w:rPr>
          <w:rFonts w:hint="eastAsia" w:ascii="仿宋_GB2312" w:hAnsi="仿宋_GB2312" w:eastAsia="仿宋_GB2312" w:cs="仿宋_GB2312"/>
          <w:kern w:val="2"/>
          <w:sz w:val="32"/>
          <w:szCs w:val="32"/>
          <w:lang w:val="en-US" w:eastAsia="zh-CN" w:bidi="ar-SA"/>
        </w:rPr>
        <w:t>七、一般公共预算财政拨款支出</w:t>
      </w:r>
      <w:bookmarkEnd w:id="120"/>
      <w:bookmarkEnd w:id="121"/>
      <w:bookmarkEnd w:id="122"/>
      <w:r>
        <w:rPr>
          <w:rFonts w:hint="eastAsia" w:ascii="仿宋_GB2312" w:hAnsi="仿宋_GB2312" w:eastAsia="仿宋_GB2312" w:cs="仿宋_GB2312"/>
          <w:kern w:val="2"/>
          <w:sz w:val="32"/>
          <w:szCs w:val="32"/>
          <w:lang w:val="en-US" w:eastAsia="zh-CN" w:bidi="ar-SA"/>
        </w:rPr>
        <w:t>决算明细表</w:t>
      </w:r>
    </w:p>
    <w:p w14:paraId="4709E73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3" w:name="_Toc79163893"/>
      <w:bookmarkStart w:id="124" w:name="_Toc79163643"/>
      <w:bookmarkStart w:id="125" w:name="_Toc15396626"/>
      <w:r>
        <w:rPr>
          <w:rFonts w:hint="eastAsia" w:ascii="仿宋_GB2312" w:hAnsi="仿宋_GB2312" w:eastAsia="仿宋_GB2312" w:cs="仿宋_GB2312"/>
          <w:kern w:val="2"/>
          <w:sz w:val="32"/>
          <w:szCs w:val="32"/>
          <w:lang w:val="en-US" w:eastAsia="zh-CN" w:bidi="ar-SA"/>
        </w:rPr>
        <w:t>八、一般公共预算财政拨款基本支出</w:t>
      </w:r>
      <w:bookmarkEnd w:id="123"/>
      <w:bookmarkEnd w:id="124"/>
      <w:bookmarkEnd w:id="125"/>
      <w:r>
        <w:rPr>
          <w:rFonts w:hint="eastAsia" w:ascii="仿宋_GB2312" w:hAnsi="仿宋_GB2312" w:eastAsia="仿宋_GB2312" w:cs="仿宋_GB2312"/>
          <w:kern w:val="2"/>
          <w:sz w:val="32"/>
          <w:szCs w:val="32"/>
          <w:lang w:val="en-US" w:eastAsia="zh-CN" w:bidi="ar-SA"/>
        </w:rPr>
        <w:t>决算明细表</w:t>
      </w:r>
    </w:p>
    <w:p w14:paraId="74A39FC6">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26" w:name="_Toc79163644"/>
      <w:bookmarkStart w:id="127" w:name="_Toc15396627"/>
      <w:bookmarkStart w:id="128" w:name="_Toc79163894"/>
      <w:r>
        <w:rPr>
          <w:rFonts w:hint="eastAsia" w:ascii="仿宋_GB2312" w:hAnsi="仿宋_GB2312" w:eastAsia="仿宋_GB2312" w:cs="仿宋_GB2312"/>
          <w:kern w:val="2"/>
          <w:sz w:val="32"/>
          <w:szCs w:val="32"/>
          <w:lang w:val="en-US" w:eastAsia="zh-CN" w:bidi="ar-SA"/>
        </w:rPr>
        <w:t>九、一般公共预算财政拨款项目支出决算</w:t>
      </w:r>
      <w:bookmarkEnd w:id="126"/>
      <w:bookmarkEnd w:id="127"/>
      <w:bookmarkEnd w:id="128"/>
      <w:r>
        <w:rPr>
          <w:rFonts w:hint="eastAsia" w:ascii="仿宋_GB2312" w:hAnsi="仿宋_GB2312" w:eastAsia="仿宋_GB2312" w:cs="仿宋_GB2312"/>
          <w:kern w:val="2"/>
          <w:sz w:val="32"/>
          <w:szCs w:val="32"/>
          <w:lang w:val="en-US" w:eastAsia="zh-CN" w:bidi="ar-SA"/>
        </w:rPr>
        <w:t>表</w:t>
      </w:r>
    </w:p>
    <w:p w14:paraId="6A13A4D0">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w:t>
      </w:r>
      <w:bookmarkStart w:id="129" w:name="_Toc15396629"/>
      <w:bookmarkStart w:id="130" w:name="_Toc79163646"/>
      <w:bookmarkStart w:id="131" w:name="_Toc79163896"/>
      <w:r>
        <w:rPr>
          <w:rFonts w:hint="eastAsia" w:ascii="仿宋_GB2312" w:hAnsi="仿宋_GB2312" w:eastAsia="仿宋_GB2312" w:cs="仿宋_GB2312"/>
          <w:kern w:val="2"/>
          <w:sz w:val="32"/>
          <w:szCs w:val="32"/>
          <w:lang w:val="en-US" w:eastAsia="zh-CN" w:bidi="ar-SA"/>
        </w:rPr>
        <w:t>政府性基金预算财政拨款收入支出决算表</w:t>
      </w:r>
      <w:bookmarkEnd w:id="129"/>
      <w:bookmarkEnd w:id="130"/>
      <w:bookmarkEnd w:id="131"/>
    </w:p>
    <w:p w14:paraId="61C168AA">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bookmarkStart w:id="132" w:name="_Toc79163645"/>
      <w:bookmarkStart w:id="133" w:name="_Toc15396628"/>
      <w:bookmarkStart w:id="134" w:name="_Toc79163895"/>
      <w:r>
        <w:rPr>
          <w:rFonts w:hint="eastAsia" w:ascii="仿宋_GB2312" w:hAnsi="仿宋_GB2312" w:eastAsia="仿宋_GB2312" w:cs="仿宋_GB2312"/>
          <w:kern w:val="2"/>
          <w:sz w:val="32"/>
          <w:szCs w:val="32"/>
          <w:lang w:val="en-US" w:eastAsia="zh-CN" w:bidi="ar-SA"/>
        </w:rPr>
        <w:t>十一、</w:t>
      </w:r>
      <w:bookmarkEnd w:id="132"/>
      <w:bookmarkEnd w:id="133"/>
      <w:bookmarkEnd w:id="134"/>
      <w:r>
        <w:rPr>
          <w:rFonts w:hint="eastAsia" w:ascii="仿宋_GB2312" w:hAnsi="仿宋_GB2312" w:eastAsia="仿宋_GB2312" w:cs="仿宋_GB2312"/>
          <w:kern w:val="2"/>
          <w:sz w:val="32"/>
          <w:szCs w:val="32"/>
          <w:lang w:val="en-US" w:eastAsia="zh-CN" w:bidi="ar-SA"/>
        </w:rPr>
        <w:t>国有资本经营预算财政拨款收入支出决算表</w:t>
      </w:r>
    </w:p>
    <w:p w14:paraId="1336B849">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十二、国有资本经营预算财政拨款支出决算表</w:t>
      </w:r>
      <w:bookmarkStart w:id="135" w:name="_Toc79163647"/>
      <w:bookmarkStart w:id="136" w:name="_Toc79163897"/>
      <w:bookmarkStart w:id="137" w:name="_Toc15396630"/>
    </w:p>
    <w:p w14:paraId="2C479CD7">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w:t>
      </w:r>
      <w:bookmarkEnd w:id="135"/>
      <w:bookmarkEnd w:id="136"/>
      <w:bookmarkEnd w:id="137"/>
      <w:r>
        <w:rPr>
          <w:rFonts w:hint="eastAsia" w:ascii="仿宋_GB2312" w:hAnsi="仿宋_GB2312" w:eastAsia="仿宋_GB2312" w:cs="仿宋_GB2312"/>
          <w:kern w:val="2"/>
          <w:sz w:val="32"/>
          <w:szCs w:val="32"/>
          <w:lang w:val="en-US" w:eastAsia="zh-CN" w:bidi="ar-SA"/>
        </w:rPr>
        <w:t>财政拨款“三公”经费支出决算表</w:t>
      </w:r>
    </w:p>
    <w:p w14:paraId="57F04F13">
      <w:pPr>
        <w:keepNext w:val="0"/>
        <w:keepLines w:val="0"/>
        <w:pageBreakBefore w:val="0"/>
        <w:widowControl w:val="0"/>
        <w:kinsoku/>
        <w:wordWrap/>
        <w:overflowPunct/>
        <w:topLinePunct w:val="0"/>
        <w:autoSpaceDE/>
        <w:autoSpaceDN/>
        <w:bidi w:val="0"/>
        <w:adjustRightInd/>
        <w:snapToGrid/>
        <w:spacing w:line="572" w:lineRule="exact"/>
        <w:ind w:firstLine="640" w:firstLineChars="200"/>
        <w:textAlignment w:val="auto"/>
        <w:rPr>
          <w:rFonts w:hint="default" w:ascii="仿宋_GB2312" w:hAnsi="仿宋_GB2312" w:eastAsia="仿宋_GB2312" w:cs="仿宋_GB2312"/>
          <w:kern w:val="2"/>
          <w:sz w:val="32"/>
          <w:szCs w:val="32"/>
          <w:lang w:val="en-US" w:eastAsia="zh-CN" w:bidi="ar-SA"/>
        </w:rPr>
        <w:sectPr>
          <w:headerReference r:id="rId4" w:type="first"/>
          <w:footerReference r:id="rId6" w:type="first"/>
          <w:headerReference r:id="rId3" w:type="default"/>
          <w:footerReference r:id="rId5" w:type="default"/>
          <w:pgSz w:w="11906" w:h="16838"/>
          <w:pgMar w:top="1440" w:right="1689" w:bottom="1440" w:left="1746" w:header="851" w:footer="992" w:gutter="0"/>
          <w:pgNumType w:start="1"/>
          <w:cols w:space="425" w:num="1"/>
          <w:titlePg/>
          <w:docGrid w:type="lines" w:linePitch="312" w:charSpace="0"/>
        </w:sectPr>
      </w:pPr>
    </w:p>
    <w:bookmarkEnd w:id="98"/>
    <w:bookmarkEnd w:id="99"/>
    <w:bookmarkEnd w:id="100"/>
    <w:bookmarkEnd w:id="101"/>
    <w:p w14:paraId="3AAB1C11">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snapToGrid/>
        <w:spacing w:line="536" w:lineRule="exact"/>
        <w:textAlignment w:val="auto"/>
        <w:rPr>
          <w:rStyle w:val="32"/>
          <w:rFonts w:ascii="仿宋" w:hAnsi="仿宋" w:eastAsia="仿宋"/>
          <w:b w:val="0"/>
          <w:bCs w:val="0"/>
        </w:rPr>
      </w:pPr>
    </w:p>
    <w:sectPr>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
    <w:altName w:val="Times New Roman"/>
    <w:panose1 w:val="00000000000000000000"/>
    <w:charset w:val="00"/>
    <w:family w:val="roman"/>
    <w:pitch w:val="default"/>
    <w:sig w:usb0="00000000" w:usb1="00000000" w:usb2="00000000" w:usb3="00000000" w:csb0="00040001" w:csb1="00000000"/>
  </w:font>
  <w:font w:name="方正小标宋简体">
    <w:altName w:val="方正舒体"/>
    <w:panose1 w:val="02010601030101010101"/>
    <w:charset w:val="86"/>
    <w:family w:val="roman"/>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00"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 w:name="KSOFF3CEDE7F">
    <w:panose1 w:val="020B07030202040202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KSOFE4500885">
    <w:panose1 w:val="02010609060101010101"/>
    <w:charset w:val="86"/>
    <w:family w:val="auto"/>
    <w:pitch w:val="default"/>
    <w:sig w:usb0="00000001" w:usb1="00000000" w:usb2="00000000"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77E67">
    <w:pPr>
      <w:pStyle w:val="11"/>
      <w:jc w:val="center"/>
    </w:pPr>
    <w:r>
      <w:fldChar w:fldCharType="begin"/>
    </w:r>
    <w:r>
      <w:instrText xml:space="preserve">PAGE   \* MERGEFORMAT</w:instrText>
    </w:r>
    <w:r>
      <w:fldChar w:fldCharType="separate"/>
    </w:r>
    <w:r>
      <w:rPr>
        <w:lang w:val="zh-CN"/>
      </w:rPr>
      <w:t>4</w:t>
    </w:r>
    <w:r>
      <w:rPr>
        <w:lang w:val="zh-CN"/>
      </w:rPr>
      <w:fldChar w:fldCharType="end"/>
    </w:r>
  </w:p>
  <w:p w14:paraId="6893CAA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4496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17E04">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593">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007937"/>
    <w:multiLevelType w:val="singleLevel"/>
    <w:tmpl w:val="8E007937"/>
    <w:lvl w:ilvl="0" w:tentative="0">
      <w:start w:val="4"/>
      <w:numFmt w:val="decimal"/>
      <w:suff w:val="nothing"/>
      <w:lvlText w:val="（%1）"/>
      <w:lvlJc w:val="left"/>
    </w:lvl>
  </w:abstractNum>
  <w:abstractNum w:abstractNumId="1">
    <w:nsid w:val="9ECF4BC9"/>
    <w:multiLevelType w:val="singleLevel"/>
    <w:tmpl w:val="9ECF4BC9"/>
    <w:lvl w:ilvl="0" w:tentative="0">
      <w:start w:val="2"/>
      <w:numFmt w:val="decimal"/>
      <w:suff w:val="nothing"/>
      <w:lvlText w:val="（%1）"/>
      <w:lvlJc w:val="left"/>
    </w:lvl>
  </w:abstractNum>
  <w:abstractNum w:abstractNumId="2">
    <w:nsid w:val="C2FA2413"/>
    <w:multiLevelType w:val="singleLevel"/>
    <w:tmpl w:val="C2FA2413"/>
    <w:lvl w:ilvl="0" w:tentative="0">
      <w:start w:val="5"/>
      <w:numFmt w:val="decimal"/>
      <w:suff w:val="nothing"/>
      <w:lvlText w:val="（%1）"/>
      <w:lvlJc w:val="left"/>
    </w:lvl>
  </w:abstractNum>
  <w:abstractNum w:abstractNumId="3">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4">
    <w:nsid w:val="E1484156"/>
    <w:multiLevelType w:val="singleLevel"/>
    <w:tmpl w:val="E1484156"/>
    <w:lvl w:ilvl="0" w:tentative="0">
      <w:start w:val="1"/>
      <w:numFmt w:val="chineseCounting"/>
      <w:suff w:val="nothing"/>
      <w:lvlText w:val="（%1）"/>
      <w:lvlJc w:val="left"/>
      <w:rPr>
        <w:rFonts w:hint="eastAsia"/>
      </w:rPr>
    </w:lvl>
  </w:abstractNum>
  <w:abstractNum w:abstractNumId="5">
    <w:nsid w:val="E2FA047D"/>
    <w:multiLevelType w:val="singleLevel"/>
    <w:tmpl w:val="E2FA047D"/>
    <w:lvl w:ilvl="0" w:tentative="0">
      <w:start w:val="3"/>
      <w:numFmt w:val="chineseCounting"/>
      <w:suff w:val="space"/>
      <w:lvlText w:val="第%1部分"/>
      <w:lvlJc w:val="left"/>
      <w:pPr>
        <w:ind w:left="-660"/>
      </w:pPr>
      <w:rPr>
        <w:rFonts w:hint="eastAsia" w:cs="Times New Roman"/>
      </w:rPr>
    </w:lvl>
  </w:abstractNum>
  <w:abstractNum w:abstractNumId="6">
    <w:nsid w:val="32E0D9E4"/>
    <w:multiLevelType w:val="singleLevel"/>
    <w:tmpl w:val="32E0D9E4"/>
    <w:lvl w:ilvl="0" w:tentative="0">
      <w:start w:val="3"/>
      <w:numFmt w:val="decimal"/>
      <w:suff w:val="nothing"/>
      <w:lvlText w:val="（%1）"/>
      <w:lvlJc w:val="left"/>
    </w:lvl>
  </w:abstractNum>
  <w:num w:numId="1">
    <w:abstractNumId w:val="3"/>
  </w:num>
  <w:num w:numId="2">
    <w:abstractNumId w:val="5"/>
  </w:num>
  <w:num w:numId="3">
    <w:abstractNumId w:val="1"/>
  </w:num>
  <w:num w:numId="4">
    <w:abstractNumId w:val="6"/>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MTNhNGI1NDgzY2U3NzYzZGQ4Yzk0ZmRmODRkZjYifQ=="/>
  </w:docVars>
  <w:rsids>
    <w:rsidRoot w:val="00F1361C"/>
    <w:rsid w:val="000025D3"/>
    <w:rsid w:val="000222C6"/>
    <w:rsid w:val="0002549F"/>
    <w:rsid w:val="00045C0C"/>
    <w:rsid w:val="000468DB"/>
    <w:rsid w:val="00055FCA"/>
    <w:rsid w:val="00062ECE"/>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3DF6"/>
    <w:rsid w:val="000E59A2"/>
    <w:rsid w:val="000E6613"/>
    <w:rsid w:val="000E7119"/>
    <w:rsid w:val="000F2833"/>
    <w:rsid w:val="001135DB"/>
    <w:rsid w:val="00114E9B"/>
    <w:rsid w:val="00115301"/>
    <w:rsid w:val="001319E1"/>
    <w:rsid w:val="00142216"/>
    <w:rsid w:val="00144D6A"/>
    <w:rsid w:val="0014729F"/>
    <w:rsid w:val="001523FE"/>
    <w:rsid w:val="00157BAB"/>
    <w:rsid w:val="001654D1"/>
    <w:rsid w:val="00174518"/>
    <w:rsid w:val="0018106D"/>
    <w:rsid w:val="001877A7"/>
    <w:rsid w:val="00191536"/>
    <w:rsid w:val="00196687"/>
    <w:rsid w:val="001A5DBF"/>
    <w:rsid w:val="001C0962"/>
    <w:rsid w:val="001C50BB"/>
    <w:rsid w:val="001D6C03"/>
    <w:rsid w:val="001D7531"/>
    <w:rsid w:val="001E737D"/>
    <w:rsid w:val="001F0592"/>
    <w:rsid w:val="001F7506"/>
    <w:rsid w:val="002006CD"/>
    <w:rsid w:val="00202B36"/>
    <w:rsid w:val="00204B7A"/>
    <w:rsid w:val="00204CDE"/>
    <w:rsid w:val="0021101A"/>
    <w:rsid w:val="00220536"/>
    <w:rsid w:val="00227085"/>
    <w:rsid w:val="00235629"/>
    <w:rsid w:val="00250CFB"/>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0F65"/>
    <w:rsid w:val="003207E6"/>
    <w:rsid w:val="003216A9"/>
    <w:rsid w:val="00335A74"/>
    <w:rsid w:val="00335EC1"/>
    <w:rsid w:val="00353CBB"/>
    <w:rsid w:val="003545C0"/>
    <w:rsid w:val="00357113"/>
    <w:rsid w:val="0036561B"/>
    <w:rsid w:val="0037013F"/>
    <w:rsid w:val="00380C92"/>
    <w:rsid w:val="00381B3D"/>
    <w:rsid w:val="003A484F"/>
    <w:rsid w:val="003A4883"/>
    <w:rsid w:val="003B0BE0"/>
    <w:rsid w:val="003B0C1B"/>
    <w:rsid w:val="003B688C"/>
    <w:rsid w:val="003C0291"/>
    <w:rsid w:val="003C39AE"/>
    <w:rsid w:val="003C7B60"/>
    <w:rsid w:val="003D0C0F"/>
    <w:rsid w:val="003D1FB2"/>
    <w:rsid w:val="003D66DA"/>
    <w:rsid w:val="003E1310"/>
    <w:rsid w:val="003E1BF6"/>
    <w:rsid w:val="003E6F55"/>
    <w:rsid w:val="003E6FE4"/>
    <w:rsid w:val="003E70DD"/>
    <w:rsid w:val="00406254"/>
    <w:rsid w:val="004223DE"/>
    <w:rsid w:val="00434489"/>
    <w:rsid w:val="00437085"/>
    <w:rsid w:val="00443880"/>
    <w:rsid w:val="00445607"/>
    <w:rsid w:val="004464F4"/>
    <w:rsid w:val="00471401"/>
    <w:rsid w:val="00473F31"/>
    <w:rsid w:val="0048263A"/>
    <w:rsid w:val="00487E5D"/>
    <w:rsid w:val="0049730A"/>
    <w:rsid w:val="004A181D"/>
    <w:rsid w:val="004A711F"/>
    <w:rsid w:val="004B199D"/>
    <w:rsid w:val="004B4690"/>
    <w:rsid w:val="004D5479"/>
    <w:rsid w:val="004E0A2D"/>
    <w:rsid w:val="004E1D4E"/>
    <w:rsid w:val="004E206B"/>
    <w:rsid w:val="004E6DF7"/>
    <w:rsid w:val="004F0FBD"/>
    <w:rsid w:val="00505A47"/>
    <w:rsid w:val="00512FDA"/>
    <w:rsid w:val="00520DA0"/>
    <w:rsid w:val="005269A7"/>
    <w:rsid w:val="005269D7"/>
    <w:rsid w:val="00556D91"/>
    <w:rsid w:val="005664BB"/>
    <w:rsid w:val="00566FFA"/>
    <w:rsid w:val="0057481D"/>
    <w:rsid w:val="0058486E"/>
    <w:rsid w:val="00585B33"/>
    <w:rsid w:val="0059014D"/>
    <w:rsid w:val="00595602"/>
    <w:rsid w:val="005B5C64"/>
    <w:rsid w:val="005C5337"/>
    <w:rsid w:val="005C6BD0"/>
    <w:rsid w:val="005D1C8B"/>
    <w:rsid w:val="005D468D"/>
    <w:rsid w:val="005D5CED"/>
    <w:rsid w:val="005D6DAF"/>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23BB"/>
    <w:rsid w:val="006748A4"/>
    <w:rsid w:val="00681A31"/>
    <w:rsid w:val="00683E73"/>
    <w:rsid w:val="00687736"/>
    <w:rsid w:val="00692936"/>
    <w:rsid w:val="006A3141"/>
    <w:rsid w:val="006A5E34"/>
    <w:rsid w:val="006B2422"/>
    <w:rsid w:val="006B2B9A"/>
    <w:rsid w:val="006C1937"/>
    <w:rsid w:val="006E65E7"/>
    <w:rsid w:val="006F020C"/>
    <w:rsid w:val="007127B7"/>
    <w:rsid w:val="0071798E"/>
    <w:rsid w:val="007416B6"/>
    <w:rsid w:val="0074202C"/>
    <w:rsid w:val="00746CA0"/>
    <w:rsid w:val="00746F48"/>
    <w:rsid w:val="0075185F"/>
    <w:rsid w:val="0075404D"/>
    <w:rsid w:val="0076182A"/>
    <w:rsid w:val="00767B7E"/>
    <w:rsid w:val="00775C8A"/>
    <w:rsid w:val="007770C3"/>
    <w:rsid w:val="00784D24"/>
    <w:rsid w:val="00785FBA"/>
    <w:rsid w:val="00786E4A"/>
    <w:rsid w:val="007875EB"/>
    <w:rsid w:val="0079426B"/>
    <w:rsid w:val="007C1BD2"/>
    <w:rsid w:val="007D1682"/>
    <w:rsid w:val="007D312A"/>
    <w:rsid w:val="007D3F19"/>
    <w:rsid w:val="007E23B0"/>
    <w:rsid w:val="007E23E5"/>
    <w:rsid w:val="007E6948"/>
    <w:rsid w:val="007F1991"/>
    <w:rsid w:val="007F2C2F"/>
    <w:rsid w:val="007F55FC"/>
    <w:rsid w:val="007F5665"/>
    <w:rsid w:val="00800112"/>
    <w:rsid w:val="00813348"/>
    <w:rsid w:val="008253BB"/>
    <w:rsid w:val="0082636F"/>
    <w:rsid w:val="00830662"/>
    <w:rsid w:val="0083706E"/>
    <w:rsid w:val="008408F6"/>
    <w:rsid w:val="008423A5"/>
    <w:rsid w:val="00850625"/>
    <w:rsid w:val="008513A4"/>
    <w:rsid w:val="008514FC"/>
    <w:rsid w:val="00853718"/>
    <w:rsid w:val="00855221"/>
    <w:rsid w:val="00860645"/>
    <w:rsid w:val="00871F71"/>
    <w:rsid w:val="00872FD8"/>
    <w:rsid w:val="00885AF4"/>
    <w:rsid w:val="00892977"/>
    <w:rsid w:val="008939CD"/>
    <w:rsid w:val="008A76A4"/>
    <w:rsid w:val="008B768C"/>
    <w:rsid w:val="008C4DB1"/>
    <w:rsid w:val="008C4EAF"/>
    <w:rsid w:val="008C5176"/>
    <w:rsid w:val="008C7FD0"/>
    <w:rsid w:val="008E075C"/>
    <w:rsid w:val="008E1DE7"/>
    <w:rsid w:val="008E707C"/>
    <w:rsid w:val="008E7115"/>
    <w:rsid w:val="00900B08"/>
    <w:rsid w:val="00902155"/>
    <w:rsid w:val="00902FA3"/>
    <w:rsid w:val="00911E11"/>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76839"/>
    <w:rsid w:val="0098660A"/>
    <w:rsid w:val="009931C3"/>
    <w:rsid w:val="009B2C43"/>
    <w:rsid w:val="009B4EAE"/>
    <w:rsid w:val="009B7573"/>
    <w:rsid w:val="009C22F4"/>
    <w:rsid w:val="009C2A4B"/>
    <w:rsid w:val="009C2E98"/>
    <w:rsid w:val="009D3447"/>
    <w:rsid w:val="009D4711"/>
    <w:rsid w:val="009D62B9"/>
    <w:rsid w:val="009E41A5"/>
    <w:rsid w:val="009F06DE"/>
    <w:rsid w:val="009F1185"/>
    <w:rsid w:val="009F18CD"/>
    <w:rsid w:val="009F2A13"/>
    <w:rsid w:val="009F7527"/>
    <w:rsid w:val="00A04EB0"/>
    <w:rsid w:val="00A07A90"/>
    <w:rsid w:val="00A100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3F0"/>
    <w:rsid w:val="00A91760"/>
    <w:rsid w:val="00A93B00"/>
    <w:rsid w:val="00A93C21"/>
    <w:rsid w:val="00AB64C9"/>
    <w:rsid w:val="00AC0C7A"/>
    <w:rsid w:val="00AC3C6A"/>
    <w:rsid w:val="00AD5620"/>
    <w:rsid w:val="00AD656B"/>
    <w:rsid w:val="00AD7C1B"/>
    <w:rsid w:val="00AE16BA"/>
    <w:rsid w:val="00AE1EBE"/>
    <w:rsid w:val="00AE362C"/>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84BB6"/>
    <w:rsid w:val="00B90E4E"/>
    <w:rsid w:val="00B944D6"/>
    <w:rsid w:val="00B965DC"/>
    <w:rsid w:val="00BB4DF0"/>
    <w:rsid w:val="00BC289F"/>
    <w:rsid w:val="00BC2D50"/>
    <w:rsid w:val="00BC5361"/>
    <w:rsid w:val="00BC5460"/>
    <w:rsid w:val="00BC6B50"/>
    <w:rsid w:val="00BC6E6F"/>
    <w:rsid w:val="00BD0E25"/>
    <w:rsid w:val="00BF5BD6"/>
    <w:rsid w:val="00C03E31"/>
    <w:rsid w:val="00C33E72"/>
    <w:rsid w:val="00C354B2"/>
    <w:rsid w:val="00C35554"/>
    <w:rsid w:val="00C42709"/>
    <w:rsid w:val="00C533CC"/>
    <w:rsid w:val="00C5751C"/>
    <w:rsid w:val="00C6067F"/>
    <w:rsid w:val="00C61BFC"/>
    <w:rsid w:val="00C62B85"/>
    <w:rsid w:val="00C65438"/>
    <w:rsid w:val="00C6592C"/>
    <w:rsid w:val="00C777E8"/>
    <w:rsid w:val="00C87FD8"/>
    <w:rsid w:val="00C91381"/>
    <w:rsid w:val="00C91CBB"/>
    <w:rsid w:val="00CA57BA"/>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55482"/>
    <w:rsid w:val="00D7035F"/>
    <w:rsid w:val="00DA26BE"/>
    <w:rsid w:val="00DA634F"/>
    <w:rsid w:val="00DA65AC"/>
    <w:rsid w:val="00DB1913"/>
    <w:rsid w:val="00DC410D"/>
    <w:rsid w:val="00DC5A81"/>
    <w:rsid w:val="00DC68CA"/>
    <w:rsid w:val="00DC74B0"/>
    <w:rsid w:val="00DC7CBA"/>
    <w:rsid w:val="00DD73B7"/>
    <w:rsid w:val="00DE1264"/>
    <w:rsid w:val="00DF28BC"/>
    <w:rsid w:val="00DF34B9"/>
    <w:rsid w:val="00DF3C5F"/>
    <w:rsid w:val="00E01053"/>
    <w:rsid w:val="00E07ACF"/>
    <w:rsid w:val="00E133B7"/>
    <w:rsid w:val="00E1753C"/>
    <w:rsid w:val="00E32CAD"/>
    <w:rsid w:val="00E331A1"/>
    <w:rsid w:val="00E33202"/>
    <w:rsid w:val="00E336A9"/>
    <w:rsid w:val="00E472B1"/>
    <w:rsid w:val="00E50624"/>
    <w:rsid w:val="00E568DF"/>
    <w:rsid w:val="00E64269"/>
    <w:rsid w:val="00E70975"/>
    <w:rsid w:val="00E72CEB"/>
    <w:rsid w:val="00E82267"/>
    <w:rsid w:val="00E84C18"/>
    <w:rsid w:val="00E853CE"/>
    <w:rsid w:val="00E867B6"/>
    <w:rsid w:val="00EA010F"/>
    <w:rsid w:val="00EA70AD"/>
    <w:rsid w:val="00ED1B63"/>
    <w:rsid w:val="00ED3C1F"/>
    <w:rsid w:val="00ED4085"/>
    <w:rsid w:val="00ED420E"/>
    <w:rsid w:val="00ED6FBE"/>
    <w:rsid w:val="00EE0E1D"/>
    <w:rsid w:val="00EE2F57"/>
    <w:rsid w:val="00EF4C34"/>
    <w:rsid w:val="00EF60EF"/>
    <w:rsid w:val="00EF77C6"/>
    <w:rsid w:val="00F05438"/>
    <w:rsid w:val="00F1361C"/>
    <w:rsid w:val="00F156F0"/>
    <w:rsid w:val="00F160C7"/>
    <w:rsid w:val="00F2408F"/>
    <w:rsid w:val="00F240E9"/>
    <w:rsid w:val="00F36D8F"/>
    <w:rsid w:val="00F37E22"/>
    <w:rsid w:val="00F417B1"/>
    <w:rsid w:val="00F45853"/>
    <w:rsid w:val="00F55956"/>
    <w:rsid w:val="00F602DF"/>
    <w:rsid w:val="00F67211"/>
    <w:rsid w:val="00F754A1"/>
    <w:rsid w:val="00F80B5C"/>
    <w:rsid w:val="00F81FD9"/>
    <w:rsid w:val="00F841AA"/>
    <w:rsid w:val="00F84A94"/>
    <w:rsid w:val="00F87E96"/>
    <w:rsid w:val="00F95719"/>
    <w:rsid w:val="00FA23E8"/>
    <w:rsid w:val="00FD3CC1"/>
    <w:rsid w:val="00FF1E02"/>
    <w:rsid w:val="00FF30B4"/>
    <w:rsid w:val="02D26DA3"/>
    <w:rsid w:val="02EC7CF7"/>
    <w:rsid w:val="03074547"/>
    <w:rsid w:val="0482531D"/>
    <w:rsid w:val="04DE084C"/>
    <w:rsid w:val="050671D8"/>
    <w:rsid w:val="0518659F"/>
    <w:rsid w:val="05BA16ED"/>
    <w:rsid w:val="08191038"/>
    <w:rsid w:val="089672D2"/>
    <w:rsid w:val="096F33BD"/>
    <w:rsid w:val="09D37802"/>
    <w:rsid w:val="09FC7E0D"/>
    <w:rsid w:val="0A2032A3"/>
    <w:rsid w:val="0B344E0E"/>
    <w:rsid w:val="0B7D3076"/>
    <w:rsid w:val="0C395F49"/>
    <w:rsid w:val="0D0116D0"/>
    <w:rsid w:val="0D506114"/>
    <w:rsid w:val="0DDE09BF"/>
    <w:rsid w:val="0DE453A5"/>
    <w:rsid w:val="0DEF3E9B"/>
    <w:rsid w:val="0E12244E"/>
    <w:rsid w:val="0E1C42D0"/>
    <w:rsid w:val="0EA16002"/>
    <w:rsid w:val="0F5E473F"/>
    <w:rsid w:val="108A2D71"/>
    <w:rsid w:val="10C055FF"/>
    <w:rsid w:val="118107EC"/>
    <w:rsid w:val="12BC165D"/>
    <w:rsid w:val="145357AB"/>
    <w:rsid w:val="14B02E65"/>
    <w:rsid w:val="14C05E21"/>
    <w:rsid w:val="156055EB"/>
    <w:rsid w:val="15F843DB"/>
    <w:rsid w:val="161F48BF"/>
    <w:rsid w:val="16BB723D"/>
    <w:rsid w:val="18096704"/>
    <w:rsid w:val="19163526"/>
    <w:rsid w:val="19CF615F"/>
    <w:rsid w:val="1AA1615D"/>
    <w:rsid w:val="1B3C4BC5"/>
    <w:rsid w:val="1BA721E6"/>
    <w:rsid w:val="1BA80096"/>
    <w:rsid w:val="1CDA2B3F"/>
    <w:rsid w:val="1D155CEE"/>
    <w:rsid w:val="1D996245"/>
    <w:rsid w:val="1E2B474F"/>
    <w:rsid w:val="2032334E"/>
    <w:rsid w:val="209115EF"/>
    <w:rsid w:val="20C92E70"/>
    <w:rsid w:val="21086483"/>
    <w:rsid w:val="215E41A5"/>
    <w:rsid w:val="22BA1E25"/>
    <w:rsid w:val="240371BF"/>
    <w:rsid w:val="243A1C5B"/>
    <w:rsid w:val="245855D0"/>
    <w:rsid w:val="2485269F"/>
    <w:rsid w:val="24865FCE"/>
    <w:rsid w:val="252600C3"/>
    <w:rsid w:val="256C0D8A"/>
    <w:rsid w:val="25E6454D"/>
    <w:rsid w:val="26581F7D"/>
    <w:rsid w:val="26CB6196"/>
    <w:rsid w:val="274E6044"/>
    <w:rsid w:val="27E616CD"/>
    <w:rsid w:val="29FD04D3"/>
    <w:rsid w:val="2A692312"/>
    <w:rsid w:val="2A7376FC"/>
    <w:rsid w:val="2AC507FE"/>
    <w:rsid w:val="2B0731DF"/>
    <w:rsid w:val="2B245605"/>
    <w:rsid w:val="2BB1749B"/>
    <w:rsid w:val="2BE340D3"/>
    <w:rsid w:val="2C7F4FB0"/>
    <w:rsid w:val="2CC61A6F"/>
    <w:rsid w:val="2DE905B3"/>
    <w:rsid w:val="2E65735C"/>
    <w:rsid w:val="2E814A53"/>
    <w:rsid w:val="2E9E3F14"/>
    <w:rsid w:val="2EA300B9"/>
    <w:rsid w:val="2EE54F6B"/>
    <w:rsid w:val="30BC4C8B"/>
    <w:rsid w:val="30C715C5"/>
    <w:rsid w:val="314E2254"/>
    <w:rsid w:val="319F7F4E"/>
    <w:rsid w:val="322B5232"/>
    <w:rsid w:val="325D12D7"/>
    <w:rsid w:val="340D208D"/>
    <w:rsid w:val="340D40C0"/>
    <w:rsid w:val="35440633"/>
    <w:rsid w:val="360851FA"/>
    <w:rsid w:val="38595E25"/>
    <w:rsid w:val="3A156F9A"/>
    <w:rsid w:val="3A1D5FB8"/>
    <w:rsid w:val="3A7F5AB8"/>
    <w:rsid w:val="3B003499"/>
    <w:rsid w:val="3B6A75F8"/>
    <w:rsid w:val="3B777610"/>
    <w:rsid w:val="3C997092"/>
    <w:rsid w:val="3CAA4150"/>
    <w:rsid w:val="3CDE204C"/>
    <w:rsid w:val="3D857F39"/>
    <w:rsid w:val="3D884F88"/>
    <w:rsid w:val="3D8F631C"/>
    <w:rsid w:val="3F5D6059"/>
    <w:rsid w:val="3F631981"/>
    <w:rsid w:val="3F821E9D"/>
    <w:rsid w:val="3F934AA5"/>
    <w:rsid w:val="3FB252D5"/>
    <w:rsid w:val="401F0977"/>
    <w:rsid w:val="402257AD"/>
    <w:rsid w:val="406960D0"/>
    <w:rsid w:val="41272213"/>
    <w:rsid w:val="41724928"/>
    <w:rsid w:val="41933D8D"/>
    <w:rsid w:val="43280AD2"/>
    <w:rsid w:val="43C970F3"/>
    <w:rsid w:val="4490163B"/>
    <w:rsid w:val="45172894"/>
    <w:rsid w:val="4532203E"/>
    <w:rsid w:val="45BC40E0"/>
    <w:rsid w:val="46751230"/>
    <w:rsid w:val="47252303"/>
    <w:rsid w:val="47406FA6"/>
    <w:rsid w:val="481E61EC"/>
    <w:rsid w:val="4821590A"/>
    <w:rsid w:val="487C4E25"/>
    <w:rsid w:val="4A2D4058"/>
    <w:rsid w:val="4B180FF0"/>
    <w:rsid w:val="4CCC5904"/>
    <w:rsid w:val="4D666CDC"/>
    <w:rsid w:val="4DAC12CB"/>
    <w:rsid w:val="4E516C6E"/>
    <w:rsid w:val="4ECE2238"/>
    <w:rsid w:val="4F263B4E"/>
    <w:rsid w:val="4FE86B22"/>
    <w:rsid w:val="506A16C6"/>
    <w:rsid w:val="50FC59F4"/>
    <w:rsid w:val="5138303C"/>
    <w:rsid w:val="5139258C"/>
    <w:rsid w:val="517F614B"/>
    <w:rsid w:val="51B274A4"/>
    <w:rsid w:val="53C932DB"/>
    <w:rsid w:val="53D52BFF"/>
    <w:rsid w:val="540D4E01"/>
    <w:rsid w:val="541C2DB0"/>
    <w:rsid w:val="543A69AF"/>
    <w:rsid w:val="548C0C21"/>
    <w:rsid w:val="54A430B8"/>
    <w:rsid w:val="54C01189"/>
    <w:rsid w:val="553C53A5"/>
    <w:rsid w:val="563128D5"/>
    <w:rsid w:val="56832FFF"/>
    <w:rsid w:val="578A58F1"/>
    <w:rsid w:val="58102F39"/>
    <w:rsid w:val="594C74B7"/>
    <w:rsid w:val="5A3D6CB5"/>
    <w:rsid w:val="5B094ED8"/>
    <w:rsid w:val="5B90510E"/>
    <w:rsid w:val="5BF26DDE"/>
    <w:rsid w:val="5BFB6BED"/>
    <w:rsid w:val="5C012005"/>
    <w:rsid w:val="5D811597"/>
    <w:rsid w:val="5F2E763F"/>
    <w:rsid w:val="5F4F15F0"/>
    <w:rsid w:val="5FFD034E"/>
    <w:rsid w:val="60D663E0"/>
    <w:rsid w:val="60D8171E"/>
    <w:rsid w:val="63043B0F"/>
    <w:rsid w:val="6324615B"/>
    <w:rsid w:val="64433A80"/>
    <w:rsid w:val="64CE3260"/>
    <w:rsid w:val="6556346D"/>
    <w:rsid w:val="65B74B50"/>
    <w:rsid w:val="6756781B"/>
    <w:rsid w:val="67B11A97"/>
    <w:rsid w:val="68283674"/>
    <w:rsid w:val="685518B1"/>
    <w:rsid w:val="68995A49"/>
    <w:rsid w:val="690E11A4"/>
    <w:rsid w:val="69212F64"/>
    <w:rsid w:val="6942096B"/>
    <w:rsid w:val="69C42264"/>
    <w:rsid w:val="6A502C67"/>
    <w:rsid w:val="6AD40F03"/>
    <w:rsid w:val="6AE21919"/>
    <w:rsid w:val="6B7369F1"/>
    <w:rsid w:val="6BE05E86"/>
    <w:rsid w:val="6C4A05C8"/>
    <w:rsid w:val="6CA95C31"/>
    <w:rsid w:val="6CDF2E0F"/>
    <w:rsid w:val="6D273BAE"/>
    <w:rsid w:val="6D440686"/>
    <w:rsid w:val="6D973F86"/>
    <w:rsid w:val="6DA96D84"/>
    <w:rsid w:val="6FE67CAC"/>
    <w:rsid w:val="701D6B5F"/>
    <w:rsid w:val="70E15C36"/>
    <w:rsid w:val="726A3BE1"/>
    <w:rsid w:val="72734D90"/>
    <w:rsid w:val="73DE4104"/>
    <w:rsid w:val="74262C8B"/>
    <w:rsid w:val="7435005F"/>
    <w:rsid w:val="76222297"/>
    <w:rsid w:val="76791245"/>
    <w:rsid w:val="76B83D65"/>
    <w:rsid w:val="76FC1F87"/>
    <w:rsid w:val="77145B38"/>
    <w:rsid w:val="780A2D7F"/>
    <w:rsid w:val="78443DC6"/>
    <w:rsid w:val="78E45022"/>
    <w:rsid w:val="79751067"/>
    <w:rsid w:val="79F43EFB"/>
    <w:rsid w:val="7AF16E13"/>
    <w:rsid w:val="7BD37FC7"/>
    <w:rsid w:val="7C240B22"/>
    <w:rsid w:val="7CE617A9"/>
    <w:rsid w:val="7DB45FD4"/>
    <w:rsid w:val="7DCF1A4F"/>
    <w:rsid w:val="7E0F6C4C"/>
    <w:rsid w:val="7E3D0615"/>
    <w:rsid w:val="7EFD0CA2"/>
    <w:rsid w:val="7F9070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3"/>
    <w:qFormat/>
    <w:uiPriority w:val="9"/>
    <w:pPr>
      <w:keepNext/>
      <w:keepLines/>
      <w:spacing w:before="260" w:after="260" w:line="416" w:lineRule="auto"/>
      <w:outlineLvl w:val="2"/>
    </w:pPr>
    <w:rPr>
      <w:b/>
      <w:bCs/>
      <w:sz w:val="32"/>
      <w:szCs w:val="32"/>
    </w:rPr>
  </w:style>
  <w:style w:type="character" w:default="1" w:styleId="27">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260"/>
      <w:jc w:val="left"/>
    </w:pPr>
    <w:rPr>
      <w:rFonts w:asciiTheme="minorHAnsi" w:eastAsiaTheme="minorHAnsi"/>
      <w:sz w:val="18"/>
      <w:szCs w:val="18"/>
    </w:rPr>
  </w:style>
  <w:style w:type="paragraph" w:styleId="6">
    <w:name w:val="Normal Indent"/>
    <w:basedOn w:val="1"/>
    <w:qFormat/>
    <w:uiPriority w:val="0"/>
    <w:pPr>
      <w:spacing w:line="440" w:lineRule="exact"/>
      <w:ind w:firstLine="200" w:firstLineChars="200"/>
    </w:pPr>
  </w:style>
  <w:style w:type="paragraph" w:styleId="7">
    <w:name w:val="index 5"/>
    <w:basedOn w:val="1"/>
    <w:next w:val="1"/>
    <w:qFormat/>
    <w:uiPriority w:val="0"/>
    <w:pPr>
      <w:ind w:left="1680"/>
    </w:pPr>
  </w:style>
  <w:style w:type="paragraph" w:styleId="8">
    <w:name w:val="Salutation"/>
    <w:basedOn w:val="1"/>
    <w:next w:val="1"/>
    <w:qFormat/>
    <w:uiPriority w:val="0"/>
  </w:style>
  <w:style w:type="paragraph" w:styleId="9">
    <w:name w:val="Body Text"/>
    <w:basedOn w:val="1"/>
    <w:link w:val="40"/>
    <w:qFormat/>
    <w:uiPriority w:val="99"/>
    <w:pPr>
      <w:spacing w:beforeLines="30"/>
    </w:pPr>
    <w:rPr>
      <w:rFonts w:ascii="仿宋_GB2312" w:eastAsia="仿宋_GB2312"/>
      <w:kern w:val="0"/>
      <w:sz w:val="24"/>
      <w:szCs w:val="20"/>
    </w:rPr>
  </w:style>
  <w:style w:type="paragraph" w:styleId="10">
    <w:name w:val="Body Text Indent"/>
    <w:basedOn w:val="1"/>
    <w:next w:val="11"/>
    <w:qFormat/>
    <w:uiPriority w:val="99"/>
    <w:pPr>
      <w:ind w:firstLine="1380"/>
    </w:pPr>
    <w:rPr>
      <w:rFonts w:ascii="Times New Roman" w:hAnsi="Times New Roman"/>
      <w:b/>
      <w:bCs/>
      <w:sz w:val="36"/>
    </w:rPr>
  </w:style>
  <w:style w:type="paragraph" w:styleId="11">
    <w:name w:val="footer"/>
    <w:basedOn w:val="1"/>
    <w:link w:val="39"/>
    <w:qFormat/>
    <w:uiPriority w:val="99"/>
    <w:pPr>
      <w:tabs>
        <w:tab w:val="center" w:pos="4153"/>
        <w:tab w:val="right" w:pos="8306"/>
      </w:tabs>
      <w:snapToGrid w:val="0"/>
      <w:jc w:val="left"/>
    </w:pPr>
    <w:rPr>
      <w:rFonts w:ascii="Calibri" w:hAnsi="Calibri"/>
      <w:kern w:val="0"/>
      <w:sz w:val="18"/>
      <w:szCs w:val="20"/>
    </w:rPr>
  </w:style>
  <w:style w:type="paragraph" w:styleId="12">
    <w:name w:val="toc 5"/>
    <w:basedOn w:val="1"/>
    <w:next w:val="1"/>
    <w:unhideWhenUsed/>
    <w:qFormat/>
    <w:uiPriority w:val="39"/>
    <w:pPr>
      <w:ind w:left="840"/>
      <w:jc w:val="left"/>
    </w:pPr>
    <w:rPr>
      <w:rFonts w:asciiTheme="minorHAnsi" w:eastAsiaTheme="minorHAnsi"/>
      <w:sz w:val="18"/>
      <w:szCs w:val="18"/>
    </w:rPr>
  </w:style>
  <w:style w:type="paragraph" w:styleId="13">
    <w:name w:val="toc 3"/>
    <w:basedOn w:val="1"/>
    <w:next w:val="1"/>
    <w:unhideWhenUsed/>
    <w:qFormat/>
    <w:uiPriority w:val="39"/>
    <w:pPr>
      <w:ind w:left="420"/>
      <w:jc w:val="left"/>
    </w:pPr>
    <w:rPr>
      <w:rFonts w:asciiTheme="minorHAnsi" w:eastAsiaTheme="minorHAnsi"/>
      <w:i/>
      <w:iCs/>
      <w:sz w:val="20"/>
      <w:szCs w:val="20"/>
    </w:rPr>
  </w:style>
  <w:style w:type="paragraph" w:styleId="14">
    <w:name w:val="Plain Text"/>
    <w:basedOn w:val="1"/>
    <w:qFormat/>
    <w:uiPriority w:val="0"/>
    <w:rPr>
      <w:rFonts w:ascii="宋体" w:hAnsi="Courier New" w:cs="Courier New"/>
      <w:szCs w:val="21"/>
    </w:rPr>
  </w:style>
  <w:style w:type="paragraph" w:styleId="15">
    <w:name w:val="toc 8"/>
    <w:basedOn w:val="1"/>
    <w:next w:val="1"/>
    <w:unhideWhenUsed/>
    <w:qFormat/>
    <w:uiPriority w:val="39"/>
    <w:pPr>
      <w:ind w:left="1470"/>
      <w:jc w:val="left"/>
    </w:pPr>
    <w:rPr>
      <w:rFonts w:asciiTheme="minorHAnsi" w:eastAsiaTheme="minorHAnsi"/>
      <w:sz w:val="18"/>
      <w:szCs w:val="18"/>
    </w:rPr>
  </w:style>
  <w:style w:type="paragraph" w:styleId="16">
    <w:name w:val="Balloon Text"/>
    <w:basedOn w:val="1"/>
    <w:link w:val="35"/>
    <w:semiHidden/>
    <w:unhideWhenUsed/>
    <w:qFormat/>
    <w:uiPriority w:val="99"/>
    <w:rPr>
      <w:sz w:val="18"/>
      <w:szCs w:val="18"/>
    </w:rPr>
  </w:style>
  <w:style w:type="paragraph" w:styleId="17">
    <w:name w:val="header"/>
    <w:basedOn w:val="1"/>
    <w:link w:val="38"/>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8">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9">
    <w:name w:val="toc 4"/>
    <w:basedOn w:val="1"/>
    <w:next w:val="1"/>
    <w:unhideWhenUsed/>
    <w:qFormat/>
    <w:uiPriority w:val="39"/>
    <w:pPr>
      <w:ind w:left="630"/>
      <w:jc w:val="left"/>
    </w:pPr>
    <w:rPr>
      <w:rFonts w:asciiTheme="minorHAnsi" w:eastAsiaTheme="minorHAnsi"/>
      <w:sz w:val="18"/>
      <w:szCs w:val="18"/>
    </w:rPr>
  </w:style>
  <w:style w:type="paragraph" w:styleId="20">
    <w:name w:val="toc 6"/>
    <w:basedOn w:val="1"/>
    <w:next w:val="1"/>
    <w:unhideWhenUsed/>
    <w:qFormat/>
    <w:uiPriority w:val="39"/>
    <w:pPr>
      <w:ind w:left="1050"/>
      <w:jc w:val="left"/>
    </w:pPr>
    <w:rPr>
      <w:rFonts w:asciiTheme="minorHAnsi" w:eastAsiaTheme="minorHAnsi"/>
      <w:sz w:val="18"/>
      <w:szCs w:val="18"/>
    </w:rPr>
  </w:style>
  <w:style w:type="paragraph" w:styleId="21">
    <w:name w:val="toc 2"/>
    <w:basedOn w:val="1"/>
    <w:next w:val="1"/>
    <w:unhideWhenUsed/>
    <w:qFormat/>
    <w:uiPriority w:val="39"/>
    <w:pPr>
      <w:ind w:left="210"/>
      <w:jc w:val="left"/>
    </w:pPr>
    <w:rPr>
      <w:rFonts w:asciiTheme="minorHAnsi" w:eastAsiaTheme="minorHAnsi"/>
      <w:smallCaps/>
      <w:sz w:val="20"/>
      <w:szCs w:val="20"/>
    </w:rPr>
  </w:style>
  <w:style w:type="paragraph" w:styleId="22">
    <w:name w:val="toc 9"/>
    <w:basedOn w:val="1"/>
    <w:next w:val="1"/>
    <w:unhideWhenUsed/>
    <w:qFormat/>
    <w:uiPriority w:val="39"/>
    <w:pPr>
      <w:ind w:left="1680"/>
      <w:jc w:val="left"/>
    </w:pPr>
    <w:rPr>
      <w:rFonts w:asciiTheme="minorHAnsi" w:eastAsiaTheme="minorHAnsi"/>
      <w:sz w:val="18"/>
      <w:szCs w:val="18"/>
    </w:r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2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5">
    <w:name w:val="Body Text First Indent 2"/>
    <w:basedOn w:val="10"/>
    <w:next w:val="14"/>
    <w:qFormat/>
    <w:uiPriority w:val="0"/>
    <w:pPr>
      <w:ind w:firstLine="200" w:firstLineChars="200"/>
    </w:pPr>
  </w:style>
  <w:style w:type="character" w:styleId="28">
    <w:name w:val="Strong"/>
    <w:basedOn w:val="27"/>
    <w:qFormat/>
    <w:uiPriority w:val="99"/>
    <w:rPr>
      <w:rFonts w:cs="Times New Roman"/>
      <w:b/>
    </w:rPr>
  </w:style>
  <w:style w:type="character" w:styleId="29">
    <w:name w:val="page number"/>
    <w:basedOn w:val="27"/>
    <w:qFormat/>
    <w:uiPriority w:val="0"/>
  </w:style>
  <w:style w:type="character" w:styleId="30">
    <w:name w:val="Hyperlink"/>
    <w:basedOn w:val="27"/>
    <w:unhideWhenUsed/>
    <w:qFormat/>
    <w:uiPriority w:val="99"/>
    <w:rPr>
      <w:rFonts w:cs="Times New Roman"/>
      <w:color w:val="0000FF"/>
      <w:u w:val="single"/>
    </w:rPr>
  </w:style>
  <w:style w:type="character" w:customStyle="1" w:styleId="31">
    <w:name w:val="标题 1 Char"/>
    <w:basedOn w:val="27"/>
    <w:link w:val="2"/>
    <w:qFormat/>
    <w:locked/>
    <w:uiPriority w:val="9"/>
    <w:rPr>
      <w:rFonts w:ascii="Times New Roman" w:hAnsi="Times New Roman" w:cs="Times New Roman"/>
      <w:b/>
      <w:bCs/>
      <w:kern w:val="44"/>
      <w:sz w:val="44"/>
      <w:szCs w:val="44"/>
    </w:rPr>
  </w:style>
  <w:style w:type="character" w:customStyle="1" w:styleId="32">
    <w:name w:val="标题 2 Char"/>
    <w:basedOn w:val="27"/>
    <w:link w:val="3"/>
    <w:qFormat/>
    <w:locked/>
    <w:uiPriority w:val="9"/>
    <w:rPr>
      <w:rFonts w:ascii="Cambria" w:hAnsi="Cambria" w:eastAsia="宋体" w:cs="Times New Roman"/>
      <w:b/>
      <w:bCs/>
      <w:kern w:val="2"/>
      <w:sz w:val="32"/>
      <w:szCs w:val="32"/>
    </w:rPr>
  </w:style>
  <w:style w:type="character" w:customStyle="1" w:styleId="33">
    <w:name w:val="标题 3 Char"/>
    <w:basedOn w:val="27"/>
    <w:link w:val="4"/>
    <w:qFormat/>
    <w:locked/>
    <w:uiPriority w:val="9"/>
    <w:rPr>
      <w:rFonts w:ascii="Times New Roman" w:hAnsi="Times New Roman" w:cs="Times New Roman"/>
      <w:b/>
      <w:bCs/>
      <w:kern w:val="2"/>
      <w:sz w:val="32"/>
      <w:szCs w:val="32"/>
    </w:rPr>
  </w:style>
  <w:style w:type="character" w:customStyle="1" w:styleId="34">
    <w:name w:val="Body Text Char"/>
    <w:basedOn w:val="27"/>
    <w:semiHidden/>
    <w:qFormat/>
    <w:uiPriority w:val="99"/>
    <w:rPr>
      <w:rFonts w:ascii="Times New Roman" w:hAnsi="Times New Roman" w:cs="Times New Roman"/>
      <w:sz w:val="24"/>
      <w:szCs w:val="24"/>
    </w:rPr>
  </w:style>
  <w:style w:type="character" w:customStyle="1" w:styleId="35">
    <w:name w:val="批注框文本 Char"/>
    <w:basedOn w:val="27"/>
    <w:link w:val="16"/>
    <w:semiHidden/>
    <w:qFormat/>
    <w:locked/>
    <w:uiPriority w:val="99"/>
    <w:rPr>
      <w:rFonts w:ascii="Times New Roman" w:hAnsi="Times New Roman" w:cs="Times New Roman"/>
      <w:kern w:val="2"/>
      <w:sz w:val="18"/>
      <w:szCs w:val="18"/>
    </w:rPr>
  </w:style>
  <w:style w:type="character" w:customStyle="1" w:styleId="36">
    <w:name w:val="Footer Char"/>
    <w:basedOn w:val="27"/>
    <w:semiHidden/>
    <w:qFormat/>
    <w:uiPriority w:val="99"/>
    <w:rPr>
      <w:rFonts w:ascii="Times New Roman" w:hAnsi="Times New Roman" w:cs="Times New Roman"/>
      <w:sz w:val="18"/>
      <w:szCs w:val="18"/>
    </w:rPr>
  </w:style>
  <w:style w:type="character" w:customStyle="1" w:styleId="37">
    <w:name w:val="Header Char"/>
    <w:basedOn w:val="27"/>
    <w:semiHidden/>
    <w:qFormat/>
    <w:uiPriority w:val="99"/>
    <w:rPr>
      <w:rFonts w:ascii="Times New Roman" w:hAnsi="Times New Roman" w:cs="Times New Roman"/>
      <w:sz w:val="18"/>
      <w:szCs w:val="18"/>
    </w:rPr>
  </w:style>
  <w:style w:type="character" w:customStyle="1" w:styleId="38">
    <w:name w:val="页眉 Char"/>
    <w:link w:val="17"/>
    <w:semiHidden/>
    <w:qFormat/>
    <w:locked/>
    <w:uiPriority w:val="99"/>
    <w:rPr>
      <w:sz w:val="18"/>
    </w:rPr>
  </w:style>
  <w:style w:type="character" w:customStyle="1" w:styleId="39">
    <w:name w:val="页脚 Char"/>
    <w:link w:val="11"/>
    <w:qFormat/>
    <w:locked/>
    <w:uiPriority w:val="99"/>
    <w:rPr>
      <w:sz w:val="18"/>
    </w:rPr>
  </w:style>
  <w:style w:type="character" w:customStyle="1" w:styleId="40">
    <w:name w:val="正文文本 Char"/>
    <w:link w:val="9"/>
    <w:qFormat/>
    <w:locked/>
    <w:uiPriority w:val="99"/>
    <w:rPr>
      <w:rFonts w:ascii="仿宋_GB2312" w:hAnsi="Times New Roman" w:eastAsia="仿宋_GB2312"/>
      <w:sz w:val="24"/>
    </w:rPr>
  </w:style>
  <w:style w:type="paragraph" w:customStyle="1" w:styleId="4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42">
    <w:name w:val="列表段落1"/>
    <w:basedOn w:val="1"/>
    <w:qFormat/>
    <w:uiPriority w:val="34"/>
    <w:pPr>
      <w:ind w:firstLine="420" w:firstLineChars="200"/>
    </w:pPr>
  </w:style>
  <w:style w:type="paragraph" w:customStyle="1" w:styleId="43">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4">
    <w:name w:val="TOC Heading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5">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46">
    <w:name w:val="List Paragraph"/>
    <w:basedOn w:val="1"/>
    <w:qFormat/>
    <w:uiPriority w:val="34"/>
    <w:pPr>
      <w:ind w:firstLine="420" w:firstLineChars="200"/>
    </w:pPr>
  </w:style>
  <w:style w:type="paragraph" w:customStyle="1" w:styleId="47">
    <w:name w:val="列出段落1"/>
    <w:basedOn w:val="1"/>
    <w:qFormat/>
    <w:uiPriority w:val="34"/>
    <w:pPr>
      <w:ind w:firstLine="420" w:firstLineChars="200"/>
    </w:pPr>
  </w:style>
  <w:style w:type="paragraph" w:customStyle="1" w:styleId="48">
    <w:name w:val="四号正文"/>
    <w:basedOn w:val="1"/>
    <w:qFormat/>
    <w:uiPriority w:val="0"/>
    <w:pPr>
      <w:spacing w:line="360" w:lineRule="auto"/>
    </w:pPr>
    <w:rPr>
      <w:rFonts w:ascii="??" w:hAnsi="??" w:eastAsia="宋体" w:cs="宋体"/>
      <w:color w:val="000000"/>
      <w:kern w:val="0"/>
      <w:sz w:val="28"/>
      <w:szCs w:val="21"/>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embeddings/oleObject3.bin"/></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t>年度收入支出决算总计变动情况图</a:t>
            </a:r>
          </a:p>
        </c:rich>
      </c:tx>
      <c:layout>
        <c:manualLayout>
          <c:xMode val="edge"/>
          <c:yMode val="edge"/>
          <c:x val="0.240097619190585"/>
          <c:y val="0.0348870146403565"/>
        </c:manualLayout>
      </c:layout>
      <c:overlay val="0"/>
      <c:spPr>
        <a:noFill/>
        <a:ln>
          <a:noFill/>
        </a:ln>
        <a:effectLst/>
      </c:spPr>
    </c:title>
    <c:autoTitleDeleted val="0"/>
    <c:plotArea>
      <c:layout>
        <c:manualLayout>
          <c:layoutTarget val="inner"/>
          <c:xMode val="edge"/>
          <c:yMode val="edge"/>
          <c:x val="0.216800043026706"/>
          <c:y val="0.13337308312669"/>
          <c:w val="0.779597218892352"/>
          <c:h val="0.745699594889374"/>
        </c:manualLayout>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Sheet1!$B$2</c:f>
              <c:numCache>
                <c:formatCode>General</c:formatCode>
                <c:ptCount val="1"/>
                <c:pt idx="0">
                  <c:v>351.02</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Sheet1!$C$2</c:f>
              <c:numCache>
                <c:formatCode>General</c:formatCode>
                <c:ptCount val="1"/>
                <c:pt idx="0">
                  <c:v>351.02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ayout>
        <c:manualLayout>
          <c:xMode val="edge"/>
          <c:yMode val="edge"/>
          <c:x val="0.338417197069773"/>
          <c:y val="0.925525143220878"/>
          <c:w val="0.323285697129819"/>
          <c:h val="0.069700827498408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acbecdd-c16d-4dd0-972d-ae669edaa9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lang="en-US" altLang="zh-CN"/>
              <a:t>2025</a:t>
            </a:r>
            <a:r>
              <a:rPr altLang="en-US"/>
              <a:t>年度收入决算结构图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Lbls>
            <c:dLbl>
              <c:idx val="4"/>
              <c:delete val="1"/>
            </c:dLbl>
            <c:dLbl>
              <c:idx val="5"/>
              <c:delete val="1"/>
            </c:dLbl>
            <c:dLbl>
              <c:idx val="6"/>
              <c:delete val="1"/>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Sheet1!$A$2:$A$8</c:f>
              <c:strCache>
                <c:ptCount val="7"/>
                <c:pt idx="0">
                  <c:v>一般公共预算收入</c:v>
                </c:pt>
                <c:pt idx="1">
                  <c:v>政府基金收入</c:v>
                </c:pt>
                <c:pt idx="2">
                  <c:v>上级补助收入</c:v>
                </c:pt>
                <c:pt idx="3">
                  <c:v>事业收入</c:v>
                </c:pt>
                <c:pt idx="4">
                  <c:v>经营收入</c:v>
                </c:pt>
                <c:pt idx="5">
                  <c:v>附属单位上缴收入</c:v>
                </c:pt>
                <c:pt idx="6">
                  <c:v>其他收入</c:v>
                </c:pt>
              </c:strCache>
            </c:strRef>
          </c:cat>
          <c:val>
            <c:numRef>
              <c:f>Sheet1!$B$2:$B$8</c:f>
              <c:numCache>
                <c:formatCode>0%</c:formatCode>
                <c:ptCount val="7"/>
                <c:pt idx="0">
                  <c:v>1</c:v>
                </c:pt>
                <c:pt idx="1">
                  <c:v>0</c:v>
                </c:pt>
                <c:pt idx="2">
                  <c:v>0</c:v>
                </c:pt>
                <c:pt idx="3">
                  <c:v>0</c:v>
                </c:pt>
                <c:pt idx="4">
                  <c:v>0</c:v>
                </c:pt>
                <c:pt idx="5">
                  <c:v>0</c:v>
                </c:pt>
                <c:pt idx="6">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58cf9fd9-7840-43bb-abf4-a31d5b8f9bdd}"/>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rPr altLang="en-US"/>
              <a:t>年度</a:t>
            </a:r>
            <a:r>
              <a:t>支出决算结构图</a:t>
            </a:r>
          </a:p>
        </c:rich>
      </c:tx>
      <c:layout/>
      <c:overlay val="0"/>
      <c:spPr>
        <a:noFill/>
        <a:ln>
          <a:noFill/>
        </a:ln>
        <a:effectLst/>
      </c:spPr>
    </c:title>
    <c:autoTitleDeleted val="0"/>
    <c:plotArea>
      <c:layout/>
      <c:pieChart>
        <c:varyColors val="1"/>
        <c:ser>
          <c:idx val="0"/>
          <c:order val="0"/>
          <c:tx>
            <c:strRef>
              <c:f>Sheet1!$B$1</c:f>
              <c:strCache>
                <c:ptCount val="1"/>
                <c:pt idx="0">
                  <c:v>2025支出决算结构图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499783251818832"/>
                  <c:y val="0.13702420280285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60.6</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228927802621082"/>
                  <c:y val="-0.20341045873500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39.4</a:t>
                    </a:r>
                    <a:r>
                      <a:t>%</a:t>
                    </a:r>
                  </a:p>
                </c:rich>
              </c:tx>
              <c:dLblPos val="bestFit"/>
              <c:showLegendKey val="0"/>
              <c:showVal val="1"/>
              <c:showCatName val="0"/>
              <c:showSerName val="0"/>
              <c:showPercent val="0"/>
              <c:showBubbleSize val="0"/>
              <c:extLst>
                <c:ext xmlns:c15="http://schemas.microsoft.com/office/drawing/2012/chart" uri="{CE6537A1-D6FC-4f65-9D91-7224C49458BB}">
                  <c15:layout>
                    <c:manualLayout>
                      <c:w val="0.152740560292326"/>
                      <c:h val="0.0527251184834123"/>
                    </c:manualLayout>
                  </c15:layout>
                </c:ext>
              </c:extLst>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0.00%</c:formatCode>
                <c:ptCount val="4"/>
                <c:pt idx="0">
                  <c:v>0.606</c:v>
                </c:pt>
                <c:pt idx="1">
                  <c:v>0.394</c:v>
                </c:pt>
              </c:numCache>
            </c:numRef>
          </c:val>
        </c:ser>
        <c:ser>
          <c:idx val="1"/>
          <c:order val="1"/>
          <c:tx>
            <c:strRef>
              <c:f>Sheet1!$C$1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基本支出</c:v>
                </c:pt>
                <c:pt idx="1">
                  <c:v>项目支出</c:v>
                </c:pt>
              </c:strCache>
            </c:strRef>
          </c:cat>
          <c:val>
            <c:numRef>
              <c:f>Sheet1!$C$2:$C$5</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99269183922046"/>
          <c:y val="0.836854715748203"/>
          <c:w val="0.297076735688185"/>
          <c:h val="0.12829448921803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dc9817-3ae6-454d-b50d-5b7663cf78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202</a:t>
            </a:r>
            <a:r>
              <a:rPr lang="en-US" altLang="zh-CN"/>
              <a:t>5</a:t>
            </a:r>
            <a:r>
              <a:t>年度收入、决算总计变动图</a:t>
            </a:r>
          </a:p>
        </c:rich>
      </c:tx>
      <c:layout>
        <c:manualLayout>
          <c:xMode val="edge"/>
          <c:yMode val="edge"/>
          <c:x val="0.224633522727273"/>
          <c:y val="0.0301145038167939"/>
        </c:manualLayout>
      </c:layout>
      <c:overlay val="0"/>
      <c:spPr>
        <a:noFill/>
        <a:ln>
          <a:noFill/>
        </a:ln>
        <a:effectLst/>
      </c:spPr>
    </c:title>
    <c:autoTitleDeleted val="0"/>
    <c:plotArea>
      <c:layout>
        <c:manualLayout>
          <c:layoutTarget val="inner"/>
          <c:xMode val="edge"/>
          <c:yMode val="edge"/>
          <c:x val="0.08195"/>
          <c:y val="0.123920922570017"/>
          <c:w val="0.9143"/>
          <c:h val="0.6214"/>
        </c:manualLayout>
      </c:layout>
      <c:barChart>
        <c:barDir val="col"/>
        <c:grouping val="clustered"/>
        <c:varyColors val="0"/>
        <c:ser>
          <c:idx val="0"/>
          <c:order val="0"/>
          <c:tx>
            <c:strRef>
              <c:f>Sheet1!$B$1</c:f>
              <c:strCache>
                <c:ptCount val="1"/>
                <c:pt idx="0">
                  <c:v>2025年收入</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Sheet1!$B$2</c:f>
              <c:numCache>
                <c:formatCode>General</c:formatCode>
                <c:ptCount val="1"/>
                <c:pt idx="0">
                  <c:v>351.02</c:v>
                </c:pt>
              </c:numCache>
            </c:numRef>
          </c:val>
        </c:ser>
        <c:ser>
          <c:idx val="1"/>
          <c:order val="1"/>
          <c:tx>
            <c:strRef>
              <c:f>Sheet1!$C$1</c:f>
              <c:strCache>
                <c:ptCount val="1"/>
                <c:pt idx="0">
                  <c:v>2025年支出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351.02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Sheet1!$C$2</c:f>
              <c:numCache>
                <c:formatCode>General</c:formatCode>
                <c:ptCount val="1"/>
                <c:pt idx="0">
                  <c:v>351.02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2025年收入、支出图</c:v>
                </c:pt>
              </c:strCache>
            </c:str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ayout>
        <c:manualLayout>
          <c:xMode val="edge"/>
          <c:yMode val="edge"/>
          <c:x val="0.347774621212121"/>
          <c:y val="0.88431130345659"/>
          <c:w val="0.318655303030303"/>
          <c:h val="0.11132315521628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12eb8e-3e2a-4427-9d7d-f39df865c7d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chemeClr val="tx1">
                    <a:lumMod val="75000"/>
                    <a:lumOff val="25000"/>
                  </a:schemeClr>
                </a:solidFill>
                <a:latin typeface="+mn-lt"/>
                <a:ea typeface="+mn-ea"/>
                <a:cs typeface="+mn-cs"/>
              </a:defRPr>
            </a:pPr>
            <a:r>
              <a:rPr lang="en-US" altLang="zh-CN" sz="1200"/>
              <a:t>2025</a:t>
            </a:r>
            <a:r>
              <a:rPr altLang="en-US" sz="1200"/>
              <a:t>年度</a:t>
            </a:r>
            <a:r>
              <a:rPr sz="1200"/>
              <a:t>一般公共预算财政拨款支出决算变动情况图</a:t>
            </a:r>
            <a:endParaRPr lang="en-US" altLang="zh-CN" sz="1200"/>
          </a:p>
        </c:rich>
      </c:tx>
      <c:layout>
        <c:manualLayout>
          <c:xMode val="edge"/>
          <c:yMode val="edge"/>
          <c:x val="0.156499501681286"/>
          <c:y val="0.00748689792862491"/>
        </c:manualLayout>
      </c:layout>
      <c:overlay val="0"/>
      <c:spPr>
        <a:noFill/>
        <a:ln>
          <a:noFill/>
        </a:ln>
        <a:effectLst/>
      </c:spPr>
    </c:title>
    <c:autoTitleDeleted val="0"/>
    <c:plotArea>
      <c:layout>
        <c:manualLayout>
          <c:layoutTarget val="inner"/>
          <c:xMode val="edge"/>
          <c:yMode val="edge"/>
          <c:x val="0.074064930255524"/>
          <c:y val="0.0945858498705781"/>
          <c:w val="0.889519812368843"/>
          <c:h val="0.812014667817084"/>
        </c:manualLayout>
      </c:layout>
      <c:barChart>
        <c:barDir val="col"/>
        <c:grouping val="clustered"/>
        <c:varyColors val="0"/>
        <c:ser>
          <c:idx val="0"/>
          <c:order val="0"/>
          <c:tx>
            <c:strRef>
              <c:f>Sheet1!$B$1</c:f>
              <c:strCache>
                <c:ptCount val="1"/>
                <c:pt idx="0">
                  <c:v>2025年支出</c:v>
                </c:pt>
              </c:strCache>
            </c:strRef>
          </c:tx>
          <c:spPr>
            <a:solidFill>
              <a:schemeClr val="accent1"/>
            </a:solidFill>
            <a:ln>
              <a:noFill/>
            </a:ln>
            <a:effectLst/>
          </c:spPr>
          <c:invertIfNegative val="0"/>
          <c:dLbls>
            <c:dLbl>
              <c:idx val="0"/>
              <c:layout>
                <c:manualLayout>
                  <c:x val="-0.000180504828865459"/>
                  <c:y val="0.01163657064402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351.02</c:v>
                </c:pt>
              </c:numCache>
            </c:numRef>
          </c:val>
        </c:ser>
        <c:ser>
          <c:idx val="1"/>
          <c:order val="1"/>
          <c:tx>
            <c:strRef>
              <c:f>Sheet1!$C$1</c:f>
              <c:strCache>
                <c:ptCount val="1"/>
                <c:pt idx="0">
                  <c:v>2024年支出</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sz="1000"/>
                      <a:t>1477.33</a:t>
                    </a:r>
                    <a:endParaRPr lang="en-US" altLang="zh-CN" sz="1000"/>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1477.33</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Sheet1!$D$2</c:f>
              <c:numCache>
                <c:formatCode>General</c:formatCode>
                <c:ptCount val="1"/>
              </c:numCache>
            </c:numRef>
          </c:val>
        </c:ser>
        <c:dLbls>
          <c:showLegendKey val="0"/>
          <c:showVal val="1"/>
          <c:showCatName val="0"/>
          <c:showSerName val="0"/>
          <c:showPercent val="0"/>
          <c:showBubbleSize val="0"/>
        </c:dLbls>
        <c:gapWidth val="246"/>
        <c:overlap val="-28"/>
        <c:axId val="71380352"/>
        <c:axId val="71390336"/>
      </c:barChart>
      <c:catAx>
        <c:axId val="71380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crossAx val="71390336"/>
        <c:crosses val="autoZero"/>
        <c:auto val="1"/>
        <c:lblAlgn val="ctr"/>
        <c:lblOffset val="100"/>
        <c:noMultiLvlLbl val="0"/>
      </c:catAx>
      <c:valAx>
        <c:axId val="7139033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crossAx val="7138035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336995432662634"/>
          <c:y val="0.921268334771355"/>
          <c:w val="0.323787186767066"/>
          <c:h val="0.068809318377912"/>
        </c:manualLayout>
      </c:layout>
      <c:overlay val="0"/>
      <c:spPr>
        <a:noFill/>
        <a:ln>
          <a:noFill/>
        </a:ln>
        <a:effectLst/>
      </c:spPr>
      <c:txPr>
        <a:bodyPr rot="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e3d3bc3-cd93-4982-b17e-7cae7d872b2b}"/>
      </c:ext>
    </c:extLst>
  </c:chart>
  <c:spPr>
    <a:solidFill>
      <a:schemeClr val="bg1"/>
    </a:solidFill>
    <a:ln w="9525" cap="flat" cmpd="sng" algn="ctr">
      <a:solidFill>
        <a:schemeClr val="tx1">
          <a:lumMod val="15000"/>
          <a:lumOff val="85000"/>
        </a:schemeClr>
      </a:solidFill>
      <a:round/>
    </a:ln>
    <a:effectLst/>
  </c:spPr>
  <c:txPr>
    <a:bodyPr/>
    <a:lstStyle/>
    <a:p>
      <a:pPr>
        <a:defRPr lang="zh-CN" sz="10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a:t>
            </a:r>
            <a:r>
              <a:rPr b="1"/>
              <a:t>一般公共预算财政拨款支出决算结构图</a:t>
            </a:r>
            <a:endParaRPr b="1"/>
          </a:p>
        </c:rich>
      </c:tx>
      <c:layout>
        <c:manualLayout>
          <c:xMode val="edge"/>
          <c:yMode val="edge"/>
          <c:x val="0.154096385542169"/>
          <c:y val="0.00865800865800866"/>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149308074212009"/>
                  <c:y val="-0.0466202015933014"/>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5125"/>
                      <c:h val="0.0281214848143982"/>
                    </c:manualLayout>
                  </c15:layout>
                </c:ext>
              </c:extLst>
            </c:dLbl>
            <c:dLbl>
              <c:idx val="1"/>
              <c:layout>
                <c:manualLayout>
                  <c:x val="0.072513077806248"/>
                  <c:y val="0.146177242915037"/>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75"/>
                      <c:h val="0.162542182227222"/>
                    </c:manualLayout>
                  </c15:layout>
                </c:ext>
              </c:extLst>
            </c:dLbl>
            <c:dLbl>
              <c:idx val="2"/>
              <c:layout>
                <c:manualLayout>
                  <c:x val="-0.0377683632611366"/>
                  <c:y val="-0.19794869310782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89114122983802"/>
                  <c:y val="0.0060353383113749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0.0%</c:formatCode>
                <c:ptCount val="4"/>
                <c:pt idx="0">
                  <c:v>0.109</c:v>
                </c:pt>
                <c:pt idx="1">
                  <c:v>0.035</c:v>
                </c:pt>
                <c:pt idx="2">
                  <c:v>0.8</c:v>
                </c:pt>
                <c:pt idx="3">
                  <c:v>0.056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7a8af0-b679-43c9-9135-f12b64dc88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2025</a:t>
            </a:r>
            <a:r>
              <a:rPr altLang="en-US" b="1"/>
              <a:t>年度</a:t>
            </a:r>
            <a:r>
              <a:rPr lang="en-US" altLang="zh-CN" b="1"/>
              <a:t>“</a:t>
            </a:r>
            <a:r>
              <a:rPr altLang="en-US" b="1"/>
              <a:t>三公</a:t>
            </a:r>
            <a:r>
              <a:rPr lang="en-US" altLang="zh-CN" b="1"/>
              <a:t>”</a:t>
            </a:r>
            <a:r>
              <a:rPr altLang="en-US" b="1"/>
              <a:t>经费财政拨款支出结构图</a:t>
            </a:r>
            <a:endParaRPr lang="en-US" altLang="zh-CN" b="1"/>
          </a:p>
        </c:rich>
      </c:tx>
      <c:layout>
        <c:manualLayout>
          <c:xMode val="edge"/>
          <c:yMode val="edge"/>
          <c:x val="0.183608044689354"/>
          <c:y val="0.0274277938300552"/>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074308074212009"/>
                  <c:y val="0.063053589182851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35125"/>
                      <c:h val="0.0281214848143982"/>
                    </c:manualLayout>
                  </c15:layout>
                </c:ext>
              </c:extLst>
            </c:dLbl>
            <c:dLbl>
              <c:idx val="1"/>
              <c:layout>
                <c:manualLayout>
                  <c:x val="-0.0436501776133959"/>
                  <c:y val="0.0607909442673606"/>
                </c:manualLayout>
              </c:layout>
              <c:dLblPos val="bestFit"/>
              <c:showLegendKey val="0"/>
              <c:showVal val="1"/>
              <c:showCatName val="0"/>
              <c:showSerName val="0"/>
              <c:showPercent val="0"/>
              <c:showBubbleSize val="0"/>
              <c:extLst>
                <c:ext xmlns:c15="http://schemas.microsoft.com/office/drawing/2012/chart" uri="{CE6537A1-D6FC-4f65-9D91-7224C49458BB}">
                  <c15:layout>
                    <c:manualLayout>
                      <c:w val="0.109119534940051"/>
                      <c:h val="0.0489554758387846"/>
                    </c:manualLayout>
                  </c15:layout>
                </c:ext>
              </c:extLst>
            </c:dLbl>
            <c:dLbl>
              <c:idx val="2"/>
              <c:layout>
                <c:manualLayout>
                  <c:x val="0.116646072974784"/>
                  <c:y val="0.011679257225185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09816293420435"/>
                  <c:y val="-0.012956010074360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公务用车运行费支出</c:v>
                </c:pt>
                <c:pt idx="1">
                  <c:v>公务接待费支出</c:v>
                </c:pt>
                <c:pt idx="2">
                  <c:v>公务用车购置费支出</c:v>
                </c:pt>
                <c:pt idx="3">
                  <c:v>因公出国（境）费用支出</c:v>
                </c:pt>
              </c:strCache>
            </c:strRef>
          </c:cat>
          <c:val>
            <c:numRef>
              <c:f>Sheet1!$B$2:$B$5</c:f>
              <c:numCache>
                <c:formatCode>0.0%</c:formatCode>
                <c:ptCount val="4"/>
                <c:pt idx="0">
                  <c:v>1</c:v>
                </c:pt>
                <c:pt idx="1">
                  <c:v>0</c:v>
                </c:pt>
                <c:pt idx="2">
                  <c:v>0</c:v>
                </c:pt>
                <c:pt idx="3">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5284f5-fe67-49cc-a54c-88ad752496c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B9ED6-03BF-4A1C-B943-F87C46D78E3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44</Pages>
  <Words>3296</Words>
  <Characters>4688</Characters>
  <Lines>21</Lines>
  <Paragraphs>28</Paragraphs>
  <TotalTime>39</TotalTime>
  <ScaleCrop>false</ScaleCrop>
  <LinksUpToDate>false</LinksUpToDate>
  <CharactersWithSpaces>4709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2021-09-26T07:37:00Z</dcterms:created>
  <dc:creator>曹颖</dc:creator>
  <cp:lastModifiedBy>七哥</cp:lastModifiedBy>
  <cp:lastPrinted>2025-09-14T07:44:00Z</cp:lastPrinted>
  <dcterms:modified xsi:type="dcterms:W3CDTF">2026-09-10T02:36:37Z</dcterms:modified>
  <dc:title>阿坝州部门决算说明</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17C4AE6877174A4385D2A3F50B3B1A7D_13</vt:lpwstr>
  </property>
  <property fmtid="{D5CDD505-2E9C-101B-9397-08002B2CF9AE}" pid="4" name="KSOTemplateDocerSaveRecord">
    <vt:lpwstr>eyJoZGlkIjoiZWY2ODE3NjVlODhmNjBhNDJiYmJlNGJhOWYwMzA1NWQiLCJ1c2VySWQiOiIxMjM1NTEzMTU3In0=</vt:lpwstr>
  </property>
</Properties>
</file>