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83C39C">
      <w:pPr>
        <w:pStyle w:val="6"/>
        <w:rPr>
          <w:rFonts w:hint="eastAsia" w:ascii="黑体" w:hAnsi="黑体" w:eastAsia="黑体" w:cs="黑体"/>
          <w:color w:val="auto"/>
          <w:kern w:val="2"/>
          <w:sz w:val="32"/>
          <w:szCs w:val="32"/>
          <w:highlight w:val="none"/>
          <w:lang w:val="en-US" w:eastAsia="zh-CN" w:bidi="ar-SA"/>
        </w:rPr>
      </w:pPr>
      <w:bookmarkStart w:id="0" w:name="_Toc15377193"/>
      <w:bookmarkStart w:id="1" w:name="_Toc15378441"/>
      <w:bookmarkStart w:id="2" w:name="_Toc15396597"/>
      <w:bookmarkStart w:id="3" w:name="_Toc15377425"/>
      <w:bookmarkStart w:id="4" w:name="_Toc15306267"/>
      <w:bookmarkStart w:id="5" w:name="_Toc15396475"/>
      <w:r>
        <w:rPr>
          <w:rFonts w:hint="eastAsia" w:ascii="黑体" w:hAnsi="黑体" w:eastAsia="黑体" w:cs="黑体"/>
          <w:color w:val="auto"/>
          <w:kern w:val="2"/>
          <w:sz w:val="32"/>
          <w:szCs w:val="32"/>
          <w:highlight w:val="none"/>
          <w:lang w:val="en-US" w:eastAsia="zh-CN" w:bidi="ar-SA"/>
        </w:rPr>
        <w:t>附件4</w:t>
      </w:r>
    </w:p>
    <w:p w14:paraId="058E6473">
      <w:pPr>
        <w:pStyle w:val="6"/>
        <w:rPr>
          <w:rFonts w:hint="eastAsia" w:ascii="Times New Roman" w:hAnsi="Times New Roman" w:eastAsia="方正小标宋简体" w:cs="Times New Roman"/>
          <w:color w:val="auto"/>
          <w:kern w:val="2"/>
          <w:sz w:val="72"/>
          <w:szCs w:val="72"/>
          <w:highlight w:val="none"/>
          <w:lang w:val="en-US" w:eastAsia="zh-CN" w:bidi="ar-SA"/>
        </w:rPr>
      </w:pPr>
    </w:p>
    <w:p w14:paraId="7E03D5CC">
      <w:pPr>
        <w:pStyle w:val="6"/>
        <w:rPr>
          <w:rFonts w:hint="eastAsia" w:ascii="Times New Roman" w:hAnsi="Times New Roman" w:eastAsia="方正小标宋简体" w:cs="Times New Roman"/>
          <w:color w:val="auto"/>
          <w:kern w:val="2"/>
          <w:sz w:val="72"/>
          <w:szCs w:val="72"/>
          <w:highlight w:val="none"/>
          <w:lang w:val="en-US" w:eastAsia="zh-CN" w:bidi="ar-SA"/>
        </w:rPr>
      </w:pPr>
    </w:p>
    <w:p w14:paraId="6A8D5AC1">
      <w:pPr>
        <w:pStyle w:val="6"/>
        <w:rPr>
          <w:rFonts w:hint="eastAsia" w:ascii="Times New Roman" w:hAnsi="Times New Roman" w:eastAsia="方正小标宋简体" w:cs="Times New Roman"/>
          <w:color w:val="auto"/>
          <w:kern w:val="2"/>
          <w:sz w:val="72"/>
          <w:szCs w:val="72"/>
          <w:highlight w:val="none"/>
          <w:lang w:val="en-US" w:eastAsia="zh-CN" w:bidi="ar-SA"/>
        </w:rPr>
      </w:pPr>
    </w:p>
    <w:p w14:paraId="75FDC182">
      <w:pPr>
        <w:pStyle w:val="6"/>
        <w:rPr>
          <w:rFonts w:hint="eastAsia" w:ascii="Times New Roman" w:hAnsi="Times New Roman" w:eastAsia="方正小标宋简体" w:cs="Times New Roman"/>
          <w:color w:val="auto"/>
          <w:kern w:val="2"/>
          <w:sz w:val="72"/>
          <w:szCs w:val="72"/>
          <w:highlight w:val="none"/>
          <w:lang w:val="en-US" w:eastAsia="zh-CN" w:bidi="ar-SA"/>
        </w:rPr>
      </w:pPr>
    </w:p>
    <w:p w14:paraId="1C8F6297">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省级部门（单位）决算</w:t>
      </w:r>
    </w:p>
    <w:p w14:paraId="73CBD49A">
      <w:pPr>
        <w:pStyle w:val="6"/>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公开文字说明</w:t>
      </w:r>
    </w:p>
    <w:p w14:paraId="56BD42AD">
      <w:pPr>
        <w:spacing w:line="600" w:lineRule="exact"/>
        <w:jc w:val="center"/>
        <w:outlineLvl w:val="0"/>
        <w:rPr>
          <w:rFonts w:ascii="Times New Roman" w:hAnsi="Times New Roman" w:eastAsia="方正小标宋简体"/>
          <w:color w:val="auto"/>
          <w:sz w:val="72"/>
          <w:szCs w:val="72"/>
          <w:highlight w:val="none"/>
        </w:rPr>
      </w:pPr>
    </w:p>
    <w:p w14:paraId="4A5802BE">
      <w:pPr>
        <w:pStyle w:val="21"/>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349ECA18">
      <w:pPr>
        <w:rPr>
          <w:rFonts w:ascii="Times New Roman" w:hAnsi="Times New Roman"/>
        </w:rPr>
      </w:pPr>
    </w:p>
    <w:p w14:paraId="5F44A96B">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1CCED39B">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38B36D8A">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0AAEC967">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p w14:paraId="0C3262D6">
      <w:pPr>
        <w:pStyle w:val="6"/>
        <w:jc w:val="center"/>
        <w:rPr>
          <w:rFonts w:hint="eastAsia" w:ascii="Times New Roman" w:eastAsia="方正小标宋简体" w:cs="Times New Roman"/>
          <w:color w:val="auto"/>
          <w:kern w:val="2"/>
          <w:sz w:val="44"/>
          <w:szCs w:val="44"/>
          <w:highlight w:val="none"/>
          <w:lang w:val="en-US" w:eastAsia="zh-CN" w:bidi="ar-SA"/>
        </w:rPr>
      </w:pPr>
      <w:bookmarkStart w:id="6" w:name="_Toc15377194"/>
      <w:bookmarkStart w:id="7" w:name="_Toc15377426"/>
      <w:bookmarkStart w:id="8" w:name="_Toc15396598"/>
      <w:bookmarkStart w:id="9" w:name="_Toc15378442"/>
      <w:bookmarkStart w:id="10" w:name="_Toc15396476"/>
      <w:r>
        <w:rPr>
          <w:rFonts w:hint="eastAsia" w:ascii="Times New Roman" w:hAnsi="Times New Roman" w:eastAsia="方正小标宋简体" w:cs="Times New Roman"/>
          <w:color w:val="auto"/>
          <w:kern w:val="2"/>
          <w:sz w:val="44"/>
          <w:szCs w:val="44"/>
          <w:highlight w:val="none"/>
          <w:lang w:val="en-US" w:eastAsia="zh-CN" w:bidi="ar-SA"/>
        </w:rPr>
        <w:t>2025年度</w:t>
      </w:r>
      <w:bookmarkStart w:id="11" w:name="_Toc15306268"/>
      <w:r>
        <w:rPr>
          <w:rFonts w:hint="eastAsia" w:ascii="Times New Roman" w:eastAsia="方正小标宋简体" w:cs="Times New Roman"/>
          <w:color w:val="auto"/>
          <w:kern w:val="2"/>
          <w:sz w:val="44"/>
          <w:szCs w:val="44"/>
          <w:highlight w:val="none"/>
          <w:lang w:val="en-US" w:eastAsia="zh-CN" w:bidi="ar-SA"/>
        </w:rPr>
        <w:t>阿坝藏族羌族自治州</w:t>
      </w:r>
    </w:p>
    <w:p w14:paraId="603ACD22">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松潘生态环境局</w:t>
      </w: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14:paraId="7018EEB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（注：</w:t>
      </w:r>
      <w:r>
        <w:rPr>
          <w:rFonts w:hint="eastAsia" w:eastAsia="仿宋_GB2312" w:cs="仿宋_GB2312"/>
          <w:color w:val="auto"/>
          <w:sz w:val="32"/>
          <w:szCs w:val="32"/>
          <w:highlight w:val="none"/>
          <w:lang w:val="en-US" w:eastAsia="zh-CN"/>
        </w:rPr>
        <w:t>以下为部门公开范本。单位公开内容应参照部门公开内容和报表格式，并与部门公开内容做好衔接）</w:t>
      </w:r>
    </w:p>
    <w:p w14:paraId="56349BBF">
      <w:pPr>
        <w:widowControl/>
        <w:jc w:val="center"/>
        <w:rPr>
          <w:rFonts w:hint="eastAsia" w:ascii="Times New Roman" w:hAnsi="Times New Roman" w:eastAsia="黑体"/>
          <w:color w:val="auto"/>
          <w:sz w:val="48"/>
          <w:szCs w:val="48"/>
          <w:highlight w:val="none"/>
        </w:rPr>
        <w:sectPr>
          <w:footerReference r:id="rId6" w:type="first"/>
          <w:footerReference r:id="rId5" w:type="default"/>
          <w:pgSz w:w="11906" w:h="16838"/>
          <w:pgMar w:top="1440" w:right="1800" w:bottom="1440" w:left="1800" w:header="851" w:footer="992" w:gutter="0"/>
          <w:pgNumType w:fmt="decimal" w:start="1"/>
          <w:cols w:space="425" w:num="1"/>
          <w:titlePg/>
          <w:docGrid w:type="lines" w:linePitch="312" w:charSpace="0"/>
        </w:sectPr>
      </w:pPr>
    </w:p>
    <w:p w14:paraId="3883D8DD">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2164C759">
      <w:pPr>
        <w:widowControl/>
        <w:jc w:val="center"/>
        <w:rPr>
          <w:rFonts w:ascii="Times New Roman" w:hAnsi="Times New Roman" w:eastAsia="黑体" w:cstheme="minorBidi"/>
          <w:color w:val="auto"/>
          <w:sz w:val="28"/>
          <w:szCs w:val="28"/>
          <w:highlight w:val="none"/>
        </w:rPr>
      </w:pPr>
    </w:p>
    <w:p w14:paraId="3315F7D6">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rPr>
        <w:t>日</w:t>
      </w:r>
    </w:p>
    <w:p w14:paraId="59C08C55">
      <w:pPr>
        <w:rPr>
          <w:rFonts w:ascii="Times New Roman" w:hAnsi="Times New Roman"/>
          <w:color w:val="auto"/>
          <w:highlight w:val="none"/>
        </w:rPr>
      </w:pPr>
    </w:p>
    <w:p w14:paraId="7C8ECC92">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3BEE125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4B07A68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61C2AA24">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6668055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4902E1A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3290752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0F58F12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18D2AD0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4CDCA1A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1B0879E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5FD3A28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26F73A2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7D6AB2A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370D9ADA">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2318A4EB">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03609C6C">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1A3FC0E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0B59EE5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3EFF87B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106BA30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3AF6E54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69FB0B8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32DB72F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2282718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073FCFF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5A2AEDA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0768798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1C9EFDE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575FD83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59E21B5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258083DF">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96599"/>
      <w:bookmarkStart w:id="13" w:name="_Toc15377196"/>
      <w:r>
        <w:rPr>
          <w:rFonts w:hint="eastAsia" w:ascii="Times New Roman" w:hAnsi="Times New Roman" w:eastAsia="仿宋_GB2312" w:cs="仿宋_GB2312"/>
          <w:b/>
          <w:color w:val="auto"/>
          <w:sz w:val="32"/>
          <w:szCs w:val="32"/>
          <w:highlight w:val="none"/>
        </w:rPr>
        <w:br w:type="page"/>
      </w:r>
    </w:p>
    <w:p w14:paraId="54390E15">
      <w:pPr>
        <w:pStyle w:val="3"/>
        <w:jc w:val="center"/>
        <w:rPr>
          <w:rStyle w:val="30"/>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12"/>
      <w:bookmarkEnd w:id="13"/>
    </w:p>
    <w:p w14:paraId="16D0C9C3">
      <w:pPr>
        <w:widowControl/>
        <w:jc w:val="left"/>
        <w:rPr>
          <w:rFonts w:ascii="Times New Roman" w:hAnsi="Times New Roman" w:eastAsia="黑体"/>
          <w:color w:val="auto"/>
          <w:sz w:val="32"/>
          <w:szCs w:val="32"/>
          <w:highlight w:val="none"/>
        </w:rPr>
      </w:pPr>
    </w:p>
    <w:p w14:paraId="3B64A38E">
      <w:pPr>
        <w:pStyle w:val="4"/>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653053DA">
      <w:pPr>
        <w:pStyle w:val="16"/>
        <w:keepNext w:val="0"/>
        <w:keepLines w:val="0"/>
        <w:widowControl/>
        <w:suppressLineNumbers w:val="0"/>
        <w:shd w:val="clear" w:fill="FFFFFF"/>
        <w:spacing w:before="240" w:beforeAutospacing="0" w:after="240" w:afterAutospacing="0"/>
        <w:ind w:left="0" w:right="0" w:firstLine="0"/>
        <w:rPr>
          <w:rFonts w:ascii="Segoe UI" w:hAnsi="Segoe UI" w:eastAsia="Segoe UI" w:cs="Segoe UI"/>
          <w:i w:val="0"/>
          <w:iCs w:val="0"/>
          <w:caps w:val="0"/>
          <w:color w:val="0F1115"/>
          <w:spacing w:val="0"/>
          <w:sz w:val="24"/>
          <w:szCs w:val="24"/>
        </w:rPr>
      </w:pPr>
      <w:r>
        <w:rPr>
          <w:rFonts w:hint="eastAsia"/>
          <w:lang w:val="en-US" w:eastAsia="zh-CN"/>
        </w:rPr>
        <w:t>1、</w:t>
      </w:r>
      <w:r>
        <w:rPr>
          <w:rFonts w:hint="default" w:ascii="Segoe UI" w:hAnsi="Segoe UI" w:eastAsia="Segoe UI" w:cs="Segoe UI"/>
          <w:b/>
          <w:bCs/>
          <w:i w:val="0"/>
          <w:iCs w:val="0"/>
          <w:caps w:val="0"/>
          <w:color w:val="0F1115"/>
          <w:spacing w:val="0"/>
          <w:sz w:val="24"/>
          <w:szCs w:val="24"/>
          <w:shd w:val="clear" w:fill="FFFFFF"/>
        </w:rPr>
        <w:t>污染防治监管</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负责大气、水、土壤、噪声、固体废物等各类污染的防治工作。具体包括监督管理饮用水水源地、入河排污口，并协调推进重污染天气应对等工作。</w:t>
      </w:r>
    </w:p>
    <w:p w14:paraId="71690865">
      <w:pPr>
        <w:pStyle w:val="16"/>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eastAsia" w:ascii="Segoe UI" w:hAnsi="Segoe UI" w:eastAsia="宋体" w:cs="Segoe UI"/>
          <w:b/>
          <w:bCs/>
          <w:i w:val="0"/>
          <w:iCs w:val="0"/>
          <w:caps w:val="0"/>
          <w:color w:val="0F1115"/>
          <w:spacing w:val="0"/>
          <w:sz w:val="24"/>
          <w:szCs w:val="24"/>
          <w:shd w:val="clear" w:fill="FFFFFF"/>
          <w:lang w:val="en-US" w:eastAsia="zh-CN"/>
        </w:rPr>
        <w:t>2</w:t>
      </w:r>
      <w:r>
        <w:rPr>
          <w:rFonts w:hint="default" w:ascii="Segoe UI" w:hAnsi="Segoe UI" w:eastAsia="Segoe UI" w:cs="Segoe UI"/>
          <w:b/>
          <w:bCs/>
          <w:i w:val="0"/>
          <w:iCs w:val="0"/>
          <w:caps w:val="0"/>
          <w:color w:val="0F1115"/>
          <w:spacing w:val="0"/>
          <w:sz w:val="24"/>
          <w:szCs w:val="24"/>
          <w:shd w:val="clear" w:fill="FFFFFF"/>
        </w:rPr>
        <w:t>、 生态保护与修复</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协调和监督生态保护修复工作，落实生态保护红线管理。同时负责监督农村生态环境、野生动植物保护及生物多样性保护等工作。</w:t>
      </w:r>
    </w:p>
    <w:p w14:paraId="250EF84F">
      <w:pPr>
        <w:pStyle w:val="16"/>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eastAsia" w:ascii="Segoe UI" w:hAnsi="Segoe UI" w:eastAsia="宋体" w:cs="Segoe UI"/>
          <w:b/>
          <w:bCs/>
          <w:i w:val="0"/>
          <w:iCs w:val="0"/>
          <w:caps w:val="0"/>
          <w:color w:val="0F1115"/>
          <w:spacing w:val="0"/>
          <w:sz w:val="24"/>
          <w:szCs w:val="24"/>
          <w:shd w:val="clear" w:fill="FFFFFF"/>
          <w:lang w:val="en-US" w:eastAsia="zh-CN"/>
        </w:rPr>
        <w:t>3</w:t>
      </w:r>
      <w:r>
        <w:rPr>
          <w:rFonts w:hint="default" w:ascii="Segoe UI" w:hAnsi="Segoe UI" w:eastAsia="Segoe UI" w:cs="Segoe UI"/>
          <w:b/>
          <w:bCs/>
          <w:i w:val="0"/>
          <w:iCs w:val="0"/>
          <w:caps w:val="0"/>
          <w:color w:val="0F1115"/>
          <w:spacing w:val="0"/>
          <w:sz w:val="24"/>
          <w:szCs w:val="24"/>
          <w:shd w:val="clear" w:fill="FFFFFF"/>
        </w:rPr>
        <w:t>、 环境执法与应急</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组织开展生态环境保护执法检查，查处环境违法行为。同时牵头协调突发生态环境事件的应急、预警和调查处理。</w:t>
      </w:r>
    </w:p>
    <w:p w14:paraId="5C7EC205">
      <w:pPr>
        <w:pStyle w:val="16"/>
        <w:keepNext w:val="0"/>
        <w:keepLines w:val="0"/>
        <w:widowControl/>
        <w:suppressLineNumbers w:val="0"/>
        <w:shd w:val="clear" w:fill="FFFFFF"/>
        <w:spacing w:before="240" w:beforeAutospacing="0" w:after="0" w:afterAutospacing="0"/>
        <w:ind w:left="0" w:right="0" w:firstLine="0"/>
        <w:rPr>
          <w:rFonts w:hint="default" w:ascii="Segoe UI" w:hAnsi="Segoe UI" w:eastAsia="Segoe UI" w:cs="Segoe UI"/>
          <w:i w:val="0"/>
          <w:iCs w:val="0"/>
          <w:caps w:val="0"/>
          <w:color w:val="0F1115"/>
          <w:spacing w:val="0"/>
          <w:sz w:val="24"/>
          <w:szCs w:val="24"/>
        </w:rPr>
      </w:pPr>
      <w:r>
        <w:rPr>
          <w:rFonts w:hint="eastAsia" w:ascii="Segoe UI" w:hAnsi="Segoe UI" w:eastAsia="宋体" w:cs="Segoe UI"/>
          <w:b/>
          <w:bCs/>
          <w:i w:val="0"/>
          <w:iCs w:val="0"/>
          <w:caps w:val="0"/>
          <w:color w:val="0F1115"/>
          <w:spacing w:val="0"/>
          <w:sz w:val="24"/>
          <w:szCs w:val="24"/>
          <w:shd w:val="clear" w:fill="FFFFFF"/>
          <w:lang w:val="en-US" w:eastAsia="zh-CN"/>
        </w:rPr>
        <w:t>4</w:t>
      </w:r>
      <w:r>
        <w:rPr>
          <w:rFonts w:hint="default" w:ascii="Segoe UI" w:hAnsi="Segoe UI" w:eastAsia="Segoe UI" w:cs="Segoe UI"/>
          <w:b/>
          <w:bCs/>
          <w:i w:val="0"/>
          <w:iCs w:val="0"/>
          <w:caps w:val="0"/>
          <w:color w:val="0F1115"/>
          <w:spacing w:val="0"/>
          <w:sz w:val="24"/>
          <w:szCs w:val="24"/>
          <w:shd w:val="clear" w:fill="FFFFFF"/>
        </w:rPr>
        <w:t>、 统筹协调与宣教</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负责落实污染物减排任务和督察整改工作并组织开展生态环境宣传教育工作，推动社会公众参与环境保护。</w:t>
      </w:r>
    </w:p>
    <w:p w14:paraId="7C37801A">
      <w:pPr>
        <w:numPr>
          <w:ilvl w:val="0"/>
          <w:numId w:val="0"/>
        </w:numPr>
        <w:rPr>
          <w:rFonts w:hint="default"/>
          <w:lang w:val="en-US" w:eastAsia="zh-CN"/>
        </w:rPr>
      </w:pPr>
    </w:p>
    <w:p w14:paraId="6DCAEE0F">
      <w:pPr>
        <w:pStyle w:val="4"/>
        <w:numPr>
          <w:ilvl w:val="0"/>
          <w:numId w:val="1"/>
        </w:numPr>
        <w:ind w:left="0" w:leftChars="0" w:firstLine="0" w:firstLineChars="0"/>
        <w:rPr>
          <w:rStyle w:val="31"/>
          <w:rFonts w:hint="eastAsia" w:ascii="Times New Roman" w:hAnsi="Times New Roman" w:eastAsia="黑体"/>
          <w:b w:val="0"/>
          <w:bCs w:val="0"/>
          <w:color w:val="auto"/>
          <w:highlight w:val="none"/>
        </w:rPr>
      </w:pPr>
      <w:bookmarkStart w:id="14" w:name="_Toc15377200"/>
      <w:bookmarkStart w:id="15" w:name="_Toc15396601"/>
      <w:r>
        <w:rPr>
          <w:rFonts w:hint="eastAsia" w:ascii="Times New Roman" w:hAnsi="Times New Roman" w:eastAsia="黑体"/>
          <w:b w:val="0"/>
          <w:color w:val="auto"/>
          <w:highlight w:val="none"/>
        </w:rPr>
        <w:t>机</w:t>
      </w:r>
      <w:r>
        <w:rPr>
          <w:rStyle w:val="31"/>
          <w:rFonts w:hint="eastAsia" w:ascii="Times New Roman" w:hAnsi="Times New Roman" w:eastAsia="黑体"/>
          <w:b w:val="0"/>
          <w:bCs w:val="0"/>
          <w:color w:val="auto"/>
          <w:highlight w:val="none"/>
        </w:rPr>
        <w:t>构设置</w:t>
      </w:r>
      <w:bookmarkEnd w:id="14"/>
      <w:bookmarkEnd w:id="15"/>
    </w:p>
    <w:p w14:paraId="784C2AE0">
      <w:pPr>
        <w:pStyle w:val="4"/>
        <w:numPr>
          <w:ilvl w:val="0"/>
          <w:numId w:val="0"/>
        </w:numPr>
        <w:ind w:leftChars="0" w:firstLine="643" w:firstLineChars="20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阿坝藏族羌族自治州松潘生态环境局</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w:t>
      </w:r>
    </w:p>
    <w:p w14:paraId="64ECB4D5">
      <w:pPr>
        <w:pStyle w:val="6"/>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纳入</w:t>
      </w:r>
      <w:r>
        <w:rPr>
          <w:rFonts w:hint="eastAsia" w:ascii="仿宋_GB2312" w:hAnsi="仿宋_GB2312" w:eastAsia="仿宋_GB2312" w:cs="仿宋_GB2312"/>
          <w:color w:val="auto"/>
          <w:sz w:val="32"/>
          <w:szCs w:val="32"/>
          <w:highlight w:val="none"/>
        </w:rPr>
        <w:t>阿坝藏族羌族自治州松潘生态环境局</w:t>
      </w:r>
      <w:r>
        <w:rPr>
          <w:rFonts w:hint="eastAsia" w:ascii="Times New Roman"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rPr>
        <w:t>部门决算编制范围的二级预算单位包括：</w:t>
      </w:r>
    </w:p>
    <w:p w14:paraId="626A593C">
      <w:pPr>
        <w:pStyle w:val="6"/>
        <w:numPr>
          <w:ilvl w:val="0"/>
          <w:numId w:val="2"/>
        </w:numPr>
        <w:adjustRightInd w:val="0"/>
        <w:snapToGrid w:val="0"/>
        <w:spacing w:before="93" w:line="600" w:lineRule="exact"/>
        <w:outlineLvl w:val="2"/>
        <w:rPr>
          <w:rFonts w:hint="eastAsia" w:ascii="Times New Roman" w:hAnsi="Times New Roman" w:eastAsia="仿宋_GB2312" w:cs="仿宋_GB2312"/>
          <w:color w:val="auto"/>
          <w:sz w:val="32"/>
          <w:szCs w:val="32"/>
          <w:highlight w:val="none"/>
        </w:rPr>
      </w:pPr>
      <w:bookmarkStart w:id="16" w:name="_Toc15378449"/>
      <w:bookmarkStart w:id="17" w:name="_Toc15306276"/>
      <w:bookmarkStart w:id="18" w:name="_Toc15377202"/>
      <w:bookmarkStart w:id="19" w:name="_Toc15377433"/>
      <w:bookmarkStart w:id="20" w:name="_Toc15378450"/>
      <w:bookmarkStart w:id="21" w:name="_Toc15377434"/>
      <w:bookmarkStart w:id="22" w:name="_Toc15377203"/>
      <w:bookmarkStart w:id="23" w:name="_Toc15306277"/>
      <w:r>
        <w:rPr>
          <w:rFonts w:hint="eastAsia" w:ascii="Times New Roman" w:cs="仿宋_GB2312"/>
          <w:color w:val="auto"/>
          <w:sz w:val="32"/>
          <w:szCs w:val="32"/>
          <w:highlight w:val="none"/>
          <w:lang w:eastAsia="zh-CN"/>
        </w:rPr>
        <w:t>松潘县生态环境局</w:t>
      </w:r>
      <w:bookmarkEnd w:id="16"/>
      <w:bookmarkEnd w:id="17"/>
      <w:bookmarkEnd w:id="18"/>
      <w:bookmarkEnd w:id="19"/>
    </w:p>
    <w:p w14:paraId="17344CDC">
      <w:pPr>
        <w:pStyle w:val="6"/>
        <w:adjustRightInd w:val="0"/>
        <w:snapToGrid w:val="0"/>
        <w:spacing w:before="93" w:line="600" w:lineRule="exact"/>
        <w:ind w:firstLine="640" w:firstLineChars="200"/>
        <w:rPr>
          <w:rFonts w:hint="eastAsia" w:ascii="Times New Roman" w:hAnsi="Times New Roman" w:eastAsia="仿宋_GB2312" w:cs="仿宋_GB2312"/>
          <w:color w:val="auto"/>
          <w:sz w:val="32"/>
          <w:szCs w:val="32"/>
          <w:highlight w:val="none"/>
        </w:rPr>
      </w:pPr>
      <w:r>
        <w:rPr>
          <w:rFonts w:hint="eastAsia" w:ascii="Times New Roman" w:cs="仿宋_GB2312"/>
          <w:color w:val="auto"/>
          <w:sz w:val="32"/>
          <w:szCs w:val="32"/>
          <w:highlight w:val="none"/>
          <w:lang w:val="en-US" w:eastAsia="zh-CN"/>
        </w:rPr>
        <w:t>2.</w:t>
      </w:r>
      <w:r>
        <w:rPr>
          <w:rFonts w:hint="eastAsia" w:ascii="Times New Roman" w:cs="仿宋_GB2312"/>
          <w:color w:val="auto"/>
          <w:sz w:val="32"/>
          <w:szCs w:val="32"/>
          <w:highlight w:val="none"/>
          <w:lang w:eastAsia="zh-CN"/>
        </w:rPr>
        <w:t>松潘县环境监测站</w:t>
      </w:r>
    </w:p>
    <w:bookmarkEnd w:id="20"/>
    <w:bookmarkEnd w:id="21"/>
    <w:bookmarkEnd w:id="22"/>
    <w:bookmarkEnd w:id="23"/>
    <w:p w14:paraId="0F49A829">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27CD3971">
      <w:pPr>
        <w:pStyle w:val="3"/>
        <w:jc w:val="center"/>
        <w:rPr>
          <w:rFonts w:hint="eastAsia" w:ascii="Times New Roman" w:hAnsi="Times New Roman" w:eastAsia="方正小标宋简体" w:cs="方正小标宋简体"/>
          <w:b w:val="0"/>
          <w:color w:val="auto"/>
          <w:highlight w:val="none"/>
        </w:rPr>
      </w:pPr>
      <w:bookmarkStart w:id="24" w:name="_Toc15377204"/>
      <w:bookmarkStart w:id="25"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24"/>
      <w:bookmarkEnd w:id="25"/>
    </w:p>
    <w:p w14:paraId="1B744326">
      <w:pPr>
        <w:rPr>
          <w:rFonts w:ascii="Times New Roman" w:hAnsi="Times New Roman"/>
          <w:color w:val="auto"/>
          <w:highlight w:val="none"/>
        </w:rPr>
      </w:pPr>
    </w:p>
    <w:p w14:paraId="4520568C">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26" w:name="_Toc15396603"/>
      <w:bookmarkStart w:id="27"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26"/>
      <w:bookmarkEnd w:id="27"/>
    </w:p>
    <w:p w14:paraId="67301694">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568.42</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23.59</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4.15</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2025年人员增加供给7人，相应经费增加。</w:t>
      </w:r>
    </w:p>
    <w:p w14:paraId="6020D7F0">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val="en-US" w:eastAsia="zh-CN"/>
        </w:rPr>
        <w:drawing>
          <wp:anchor distT="0" distB="0" distL="114300" distR="114300" simplePos="0" relativeHeight="251659264" behindDoc="0" locked="0" layoutInCell="1" allowOverlap="1">
            <wp:simplePos x="0" y="0"/>
            <wp:positionH relativeFrom="column">
              <wp:posOffset>208280</wp:posOffset>
            </wp:positionH>
            <wp:positionV relativeFrom="paragraph">
              <wp:posOffset>323850</wp:posOffset>
            </wp:positionV>
            <wp:extent cx="4926330" cy="2640330"/>
            <wp:effectExtent l="0" t="0" r="7620" b="7620"/>
            <wp:wrapSquare wrapText="bothSides"/>
            <wp:docPr id="2" name="图片 2" descr="a6dec69f-41ac-4385-bb6b-76805a9432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a6dec69f-41ac-4385-bb6b-76805a9432f9"/>
                    <pic:cNvPicPr>
                      <a:picLocks noChangeAspect="1"/>
                    </pic:cNvPicPr>
                  </pic:nvPicPr>
                  <pic:blipFill>
                    <a:blip r:embed="rId10"/>
                    <a:stretch>
                      <a:fillRect/>
                    </a:stretch>
                  </pic:blipFill>
                  <pic:spPr>
                    <a:xfrm>
                      <a:off x="0" y="0"/>
                      <a:ext cx="4926330" cy="2640330"/>
                    </a:xfrm>
                    <a:prstGeom prst="rect">
                      <a:avLst/>
                    </a:prstGeom>
                  </pic:spPr>
                </pic:pic>
              </a:graphicData>
            </a:graphic>
          </wp:anchor>
        </w:drawing>
      </w: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6CFF18B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557AECE0">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8" w:name="_Toc15396604"/>
      <w:bookmarkStart w:id="29" w:name="_Toc15377206"/>
      <w:r>
        <w:rPr>
          <w:rFonts w:hint="eastAsia" w:ascii="Times New Roman" w:hAnsi="Times New Roman" w:eastAsia="黑体"/>
          <w:color w:val="auto"/>
          <w:sz w:val="32"/>
          <w:szCs w:val="32"/>
          <w:highlight w:val="none"/>
          <w:lang w:eastAsia="zh-CN"/>
        </w:rPr>
        <w:t>二、收入决算情况说明</w:t>
      </w:r>
      <w:bookmarkEnd w:id="28"/>
      <w:bookmarkEnd w:id="29"/>
    </w:p>
    <w:p w14:paraId="287D5D99">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568.42</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409.82</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72.09</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158.6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27.9</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14:paraId="0E47E907">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drawing>
          <wp:anchor distT="0" distB="0" distL="114300" distR="114300" simplePos="0" relativeHeight="251660288" behindDoc="0" locked="0" layoutInCell="1" allowOverlap="1">
            <wp:simplePos x="0" y="0"/>
            <wp:positionH relativeFrom="column">
              <wp:posOffset>377190</wp:posOffset>
            </wp:positionH>
            <wp:positionV relativeFrom="paragraph">
              <wp:posOffset>180340</wp:posOffset>
            </wp:positionV>
            <wp:extent cx="4359275" cy="2567940"/>
            <wp:effectExtent l="0" t="0" r="3175" b="3810"/>
            <wp:wrapSquare wrapText="bothSides"/>
            <wp:docPr id="3" name="图片 3" descr="d4b83eb7-edc3-48f8-9420-a415d6a12a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4b83eb7-edc3-48f8-9420-a415d6a12ae8"/>
                    <pic:cNvPicPr>
                      <a:picLocks noChangeAspect="1"/>
                    </pic:cNvPicPr>
                  </pic:nvPicPr>
                  <pic:blipFill>
                    <a:blip r:embed="rId11"/>
                    <a:stretch>
                      <a:fillRect/>
                    </a:stretch>
                  </pic:blipFill>
                  <pic:spPr>
                    <a:xfrm>
                      <a:off x="0" y="0"/>
                      <a:ext cx="4359275" cy="2567940"/>
                    </a:xfrm>
                    <a:prstGeom prst="rect">
                      <a:avLst/>
                    </a:prstGeom>
                  </pic:spPr>
                </pic:pic>
              </a:graphicData>
            </a:graphic>
          </wp:anchor>
        </w:drawing>
      </w:r>
    </w:p>
    <w:p w14:paraId="544DEF60">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Times New Roman" w:hAnsi="Times New Roman" w:eastAsia="仿宋_GB2312" w:cs="仿宋_GB2312"/>
          <w:b/>
          <w:bCs/>
          <w:color w:val="auto"/>
          <w:sz w:val="32"/>
          <w:szCs w:val="32"/>
          <w:highlight w:val="none"/>
          <w:lang w:eastAsia="zh-CN"/>
        </w:rPr>
      </w:pPr>
    </w:p>
    <w:p w14:paraId="35E2E7D5">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Times New Roman" w:hAnsi="Times New Roman" w:eastAsia="仿宋_GB2312" w:cs="仿宋_GB2312"/>
          <w:b/>
          <w:bCs/>
          <w:color w:val="auto"/>
          <w:sz w:val="32"/>
          <w:szCs w:val="32"/>
          <w:highlight w:val="none"/>
          <w:lang w:eastAsia="zh-CN"/>
        </w:rPr>
      </w:pPr>
    </w:p>
    <w:p w14:paraId="6FB910C8">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Times New Roman" w:hAnsi="Times New Roman" w:eastAsia="仿宋_GB2312" w:cs="仿宋_GB2312"/>
          <w:b/>
          <w:bCs/>
          <w:color w:val="auto"/>
          <w:sz w:val="32"/>
          <w:szCs w:val="32"/>
          <w:highlight w:val="none"/>
          <w:lang w:eastAsia="zh-CN"/>
        </w:rPr>
      </w:pPr>
    </w:p>
    <w:p w14:paraId="5FD14983">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Times New Roman" w:hAnsi="Times New Roman" w:eastAsia="仿宋_GB2312" w:cs="仿宋_GB2312"/>
          <w:b/>
          <w:bCs/>
          <w:color w:val="auto"/>
          <w:sz w:val="32"/>
          <w:szCs w:val="32"/>
          <w:highlight w:val="none"/>
          <w:lang w:eastAsia="zh-CN"/>
        </w:rPr>
      </w:pPr>
    </w:p>
    <w:p w14:paraId="42AE275F">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Times New Roman" w:hAnsi="Times New Roman" w:eastAsia="仿宋_GB2312" w:cs="仿宋_GB2312"/>
          <w:b/>
          <w:bCs/>
          <w:color w:val="auto"/>
          <w:sz w:val="32"/>
          <w:szCs w:val="32"/>
          <w:highlight w:val="none"/>
          <w:lang w:eastAsia="zh-CN"/>
        </w:rPr>
      </w:pPr>
    </w:p>
    <w:p w14:paraId="1F083A3B">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14:paraId="71667CAC">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14:paraId="4A330B42">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600" w:firstLineChars="5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596CD4B4">
      <w:pPr>
        <w:ind w:firstLine="800" w:firstLineChars="250"/>
        <w:rPr>
          <w:rFonts w:hint="eastAsia" w:ascii="Times New Roman" w:hAnsi="Times New Roman" w:eastAsia="仿宋_GB2312" w:cs="仿宋_GB2312"/>
          <w:color w:val="auto"/>
          <w:sz w:val="32"/>
          <w:szCs w:val="32"/>
          <w:highlight w:val="none"/>
          <w:lang w:eastAsia="zh-CN"/>
        </w:rPr>
      </w:pPr>
    </w:p>
    <w:p w14:paraId="7C7BD73C">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30" w:name="_Toc15396605"/>
      <w:bookmarkStart w:id="31"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30"/>
      <w:bookmarkEnd w:id="31"/>
    </w:p>
    <w:p w14:paraId="04697290">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568.42</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379.65</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66.79</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188.77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33.2</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p>
    <w:p w14:paraId="4F26CB38">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Times New Roman" w:hAnsi="Times New Roman" w:eastAsia="仿宋_GB2312" w:cs="仿宋_GB2312"/>
          <w:b/>
          <w:bCs/>
          <w:color w:val="auto"/>
          <w:sz w:val="32"/>
          <w:szCs w:val="32"/>
          <w:highlight w:val="none"/>
          <w:lang w:eastAsia="zh-CN"/>
        </w:rPr>
      </w:pPr>
    </w:p>
    <w:p w14:paraId="69CBDF24">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Times New Roman" w:hAnsi="Times New Roman" w:eastAsia="仿宋_GB2312" w:cs="仿宋_GB2312"/>
          <w:b/>
          <w:bCs/>
          <w:color w:val="auto"/>
          <w:sz w:val="32"/>
          <w:szCs w:val="32"/>
          <w:highlight w:val="none"/>
          <w:lang w:eastAsia="zh-CN"/>
        </w:rPr>
      </w:pPr>
    </w:p>
    <w:p w14:paraId="58260FDF">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Times New Roman" w:hAnsi="Times New Roman" w:eastAsia="仿宋_GB2312" w:cs="仿宋_GB2312"/>
          <w:b/>
          <w:bCs/>
          <w:color w:val="auto"/>
          <w:sz w:val="32"/>
          <w:szCs w:val="32"/>
          <w:highlight w:val="none"/>
          <w:lang w:eastAsia="zh-CN"/>
        </w:rPr>
      </w:pPr>
    </w:p>
    <w:p w14:paraId="0A0FEF3F">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Times New Roman" w:hAnsi="Times New Roman" w:eastAsia="仿宋_GB2312" w:cs="仿宋_GB2312"/>
          <w:b/>
          <w:bCs/>
          <w:color w:val="auto"/>
          <w:sz w:val="32"/>
          <w:szCs w:val="32"/>
          <w:highlight w:val="none"/>
          <w:lang w:eastAsia="zh-CN"/>
        </w:rPr>
      </w:pPr>
    </w:p>
    <w:p w14:paraId="7ADDA64A">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Times New Roman" w:hAnsi="Times New Roman" w:eastAsia="仿宋_GB2312" w:cs="仿宋_GB2312"/>
          <w:b/>
          <w:bCs/>
          <w:color w:val="auto"/>
          <w:sz w:val="32"/>
          <w:szCs w:val="32"/>
          <w:highlight w:val="none"/>
          <w:lang w:eastAsia="zh-CN"/>
        </w:rPr>
      </w:pPr>
    </w:p>
    <w:p w14:paraId="17134A83">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drawing>
          <wp:anchor distT="0" distB="0" distL="114300" distR="114300" simplePos="0" relativeHeight="251661312" behindDoc="0" locked="0" layoutInCell="1" allowOverlap="1">
            <wp:simplePos x="0" y="0"/>
            <wp:positionH relativeFrom="column">
              <wp:posOffset>157480</wp:posOffset>
            </wp:positionH>
            <wp:positionV relativeFrom="paragraph">
              <wp:posOffset>220980</wp:posOffset>
            </wp:positionV>
            <wp:extent cx="5262880" cy="2956560"/>
            <wp:effectExtent l="0" t="0" r="13970" b="15240"/>
            <wp:wrapSquare wrapText="bothSides"/>
            <wp:docPr id="4" name="图片 4" descr="2025年收入支出决算总计变动情况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025年收入支出决算总计变动情况图 (1)"/>
                    <pic:cNvPicPr>
                      <a:picLocks noChangeAspect="1"/>
                    </pic:cNvPicPr>
                  </pic:nvPicPr>
                  <pic:blipFill>
                    <a:blip r:embed="rId12"/>
                    <a:stretch>
                      <a:fillRect/>
                    </a:stretch>
                  </pic:blipFill>
                  <pic:spPr>
                    <a:xfrm>
                      <a:off x="0" y="0"/>
                      <a:ext cx="5262880" cy="2956560"/>
                    </a:xfrm>
                    <a:prstGeom prst="rect">
                      <a:avLst/>
                    </a:prstGeom>
                  </pic:spPr>
                </pic:pic>
              </a:graphicData>
            </a:graphic>
          </wp:anchor>
        </w:drawing>
      </w:r>
    </w:p>
    <w:p w14:paraId="2C6F6B49">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280" w:firstLineChars="4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34CA80F3">
      <w:pPr>
        <w:ind w:firstLine="800" w:firstLineChars="250"/>
        <w:rPr>
          <w:rFonts w:hint="eastAsia" w:ascii="Times New Roman" w:hAnsi="Times New Roman" w:eastAsia="仿宋_GB2312" w:cs="仿宋_GB2312"/>
          <w:color w:val="auto"/>
          <w:sz w:val="32"/>
          <w:szCs w:val="32"/>
          <w:highlight w:val="none"/>
          <w:lang w:eastAsia="zh-CN"/>
        </w:rPr>
      </w:pPr>
    </w:p>
    <w:p w14:paraId="17E89433">
      <w:pPr>
        <w:spacing w:line="600" w:lineRule="exact"/>
        <w:ind w:firstLine="640" w:firstLineChars="200"/>
        <w:outlineLvl w:val="1"/>
        <w:rPr>
          <w:rStyle w:val="31"/>
          <w:rFonts w:ascii="Times New Roman" w:hAnsi="Times New Roman" w:eastAsia="黑体"/>
          <w:b w:val="0"/>
          <w:color w:val="auto"/>
          <w:highlight w:val="none"/>
        </w:rPr>
      </w:pPr>
      <w:bookmarkStart w:id="32" w:name="_Toc15396606"/>
      <w:bookmarkStart w:id="33" w:name="_Toc15377208"/>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32"/>
      <w:bookmarkEnd w:id="33"/>
    </w:p>
    <w:p w14:paraId="4334B8D8">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409.82</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37.14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6.62</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2025年人员新增。</w:t>
      </w:r>
    </w:p>
    <w:p w14:paraId="189588F9">
      <w:pPr>
        <w:pStyle w:val="2"/>
        <w:rPr>
          <w:rFonts w:hint="default"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drawing>
          <wp:inline distT="0" distB="0" distL="114300" distR="114300">
            <wp:extent cx="5262880" cy="2956560"/>
            <wp:effectExtent l="0" t="0" r="13970" b="15240"/>
            <wp:docPr id="5" name="图片 5" descr="2025年收入支出决算总计变动情况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025年收入支出决算总计变动情况图 (2)"/>
                    <pic:cNvPicPr>
                      <a:picLocks noChangeAspect="1"/>
                    </pic:cNvPicPr>
                  </pic:nvPicPr>
                  <pic:blipFill>
                    <a:blip r:embed="rId13"/>
                    <a:stretch>
                      <a:fillRect/>
                    </a:stretch>
                  </pic:blipFill>
                  <pic:spPr>
                    <a:xfrm>
                      <a:off x="0" y="0"/>
                      <a:ext cx="5262880" cy="2956560"/>
                    </a:xfrm>
                    <a:prstGeom prst="rect">
                      <a:avLst/>
                    </a:prstGeom>
                  </pic:spPr>
                </pic:pic>
              </a:graphicData>
            </a:graphic>
          </wp:inline>
        </w:drawing>
      </w:r>
    </w:p>
    <w:p w14:paraId="3C05AF86">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225B5AB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3A2239A">
      <w:pPr>
        <w:spacing w:line="600" w:lineRule="exact"/>
        <w:ind w:firstLine="640" w:firstLineChars="200"/>
        <w:outlineLvl w:val="1"/>
        <w:rPr>
          <w:rStyle w:val="31"/>
          <w:rFonts w:ascii="Times New Roman" w:hAnsi="Times New Roman" w:eastAsia="黑体"/>
          <w:b w:val="0"/>
          <w:color w:val="auto"/>
          <w:highlight w:val="none"/>
        </w:rPr>
      </w:pPr>
      <w:bookmarkStart w:id="34" w:name="_Toc15396607"/>
      <w:bookmarkStart w:id="35"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34"/>
      <w:bookmarkEnd w:id="35"/>
    </w:p>
    <w:p w14:paraId="2BCC1D4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6"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6"/>
    </w:p>
    <w:p w14:paraId="27EB1523">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409.82</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72.09</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年度相比，一般公共预算财政拨款支出加</w:t>
      </w:r>
      <w:r>
        <w:rPr>
          <w:rFonts w:hint="eastAsia" w:eastAsia="仿宋_GB2312" w:cs="仿宋_GB2312"/>
          <w:color w:val="auto"/>
          <w:kern w:val="2"/>
          <w:sz w:val="32"/>
          <w:szCs w:val="32"/>
          <w:highlight w:val="none"/>
          <w:lang w:val="en-US" w:eastAsia="zh-CN" w:bidi="ar-SA"/>
        </w:rPr>
        <w:t>37.14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6.62</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2025年人员新增。</w:t>
      </w:r>
    </w:p>
    <w:p w14:paraId="4B738C0C">
      <w:pPr>
        <w:pStyle w:val="2"/>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drawing>
          <wp:inline distT="0" distB="0" distL="114300" distR="114300">
            <wp:extent cx="5271135" cy="3223260"/>
            <wp:effectExtent l="0" t="0" r="5715" b="15240"/>
            <wp:docPr id="7" name="图片 7" descr="d1c0c318-dc95-456f-a678-a63bbcc3413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d1c0c318-dc95-456f-a678-a63bbcc3413f"/>
                    <pic:cNvPicPr>
                      <a:picLocks noChangeAspect="1"/>
                    </pic:cNvPicPr>
                  </pic:nvPicPr>
                  <pic:blipFill>
                    <a:blip r:embed="rId14"/>
                    <a:stretch>
                      <a:fillRect/>
                    </a:stretch>
                  </pic:blipFill>
                  <pic:spPr>
                    <a:xfrm>
                      <a:off x="0" y="0"/>
                      <a:ext cx="5271135" cy="3223260"/>
                    </a:xfrm>
                    <a:prstGeom prst="rect">
                      <a:avLst/>
                    </a:prstGeom>
                  </pic:spPr>
                </pic:pic>
              </a:graphicData>
            </a:graphic>
          </wp:inline>
        </w:drawing>
      </w:r>
    </w:p>
    <w:p w14:paraId="01DDDC7F">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1424899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7"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7"/>
    </w:p>
    <w:p w14:paraId="092509F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409.82</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：节能环保支出306.34万元，占比74.74%，</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57.31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13.98</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18.6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4.53</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27.57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6.72</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14:paraId="1850A947">
      <w:pPr>
        <w:pStyle w:val="2"/>
        <w:rPr>
          <w:rFonts w:hint="eastAsia" w:ascii="Times New Roman" w:hAnsi="Times New Roman" w:eastAsia="仿宋_GB2312" w:cs="仿宋_GB2312"/>
          <w:b/>
          <w:bCs/>
          <w:color w:val="auto"/>
          <w:kern w:val="2"/>
          <w:sz w:val="32"/>
          <w:szCs w:val="32"/>
          <w:highlight w:val="none"/>
          <w:lang w:val="en-US" w:eastAsia="zh-CN" w:bidi="ar-SA"/>
        </w:rPr>
      </w:pPr>
    </w:p>
    <w:p w14:paraId="6D125D28">
      <w:pPr>
        <w:pStyle w:val="2"/>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drawing>
          <wp:inline distT="0" distB="0" distL="114300" distR="114300">
            <wp:extent cx="5262880" cy="2956560"/>
            <wp:effectExtent l="0" t="0" r="13970" b="15240"/>
            <wp:docPr id="8" name="图片 8" descr="2025年收入支出决算总计变动情况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2025年收入支出决算总计变动情况图"/>
                    <pic:cNvPicPr>
                      <a:picLocks noChangeAspect="1"/>
                    </pic:cNvPicPr>
                  </pic:nvPicPr>
                  <pic:blipFill>
                    <a:blip r:embed="rId15"/>
                    <a:stretch>
                      <a:fillRect/>
                    </a:stretch>
                  </pic:blipFill>
                  <pic:spPr>
                    <a:xfrm>
                      <a:off x="0" y="0"/>
                      <a:ext cx="5262880" cy="2956560"/>
                    </a:xfrm>
                    <a:prstGeom prst="rect">
                      <a:avLst/>
                    </a:prstGeom>
                  </pic:spPr>
                </pic:pic>
              </a:graphicData>
            </a:graphic>
          </wp:inline>
        </w:drawing>
      </w:r>
    </w:p>
    <w:p w14:paraId="19D0A5FC">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19BB4A4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170B06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8"/>
    </w:p>
    <w:p w14:paraId="3B460B6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9" w:name="_Toc15377213"/>
      <w:bookmarkStart w:id="40" w:name="_Toc15377444"/>
      <w:bookmarkStart w:id="41"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lang w:val="en-US" w:eastAsia="zh-CN"/>
        </w:rPr>
        <w:t>568.42</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9"/>
      <w:bookmarkEnd w:id="40"/>
      <w:bookmarkEnd w:id="41"/>
    </w:p>
    <w:p w14:paraId="44CC5F48">
      <w:pPr>
        <w:numPr>
          <w:ilvl w:val="0"/>
          <w:numId w:val="3"/>
        </w:numPr>
        <w:spacing w:line="600" w:lineRule="exact"/>
        <w:ind w:firstLine="640"/>
        <w:rPr>
          <w:rFonts w:hint="eastAsia" w:ascii="仿宋" w:hAnsi="仿宋" w:eastAsia="仿宋"/>
          <w:color w:val="auto"/>
          <w:sz w:val="32"/>
          <w:szCs w:val="32"/>
        </w:rPr>
      </w:pPr>
      <w:r>
        <w:rPr>
          <w:rFonts w:hint="eastAsia" w:ascii="仿宋" w:hAnsi="仿宋" w:eastAsia="仿宋"/>
          <w:color w:val="auto"/>
          <w:sz w:val="32"/>
          <w:szCs w:val="32"/>
        </w:rPr>
        <w:t>社会保障和就业支出（208）行政事业单位养老支出（20805）机关事业单位基本养老保险缴费支出（2080505）支出决算</w:t>
      </w:r>
      <w:r>
        <w:rPr>
          <w:rFonts w:hint="eastAsia" w:ascii="仿宋" w:hAnsi="仿宋" w:eastAsia="仿宋"/>
          <w:color w:val="auto"/>
          <w:sz w:val="32"/>
          <w:szCs w:val="32"/>
          <w:lang w:val="en-US" w:eastAsia="zh-CN"/>
        </w:rPr>
        <w:t>35.83</w:t>
      </w:r>
      <w:r>
        <w:rPr>
          <w:rFonts w:hint="eastAsia" w:ascii="仿宋" w:hAnsi="仿宋" w:eastAsia="仿宋"/>
          <w:color w:val="auto"/>
          <w:sz w:val="32"/>
          <w:szCs w:val="32"/>
        </w:rPr>
        <w:t>万元，完成预算100%。</w:t>
      </w:r>
      <w:r>
        <w:rPr>
          <w:rFonts w:hint="eastAsia" w:ascii="仿宋" w:hAnsi="仿宋" w:eastAsia="仿宋"/>
          <w:color w:val="auto"/>
          <w:sz w:val="32"/>
          <w:szCs w:val="32"/>
        </w:rPr>
        <w:cr/>
      </w:r>
      <w:r>
        <w:rPr>
          <w:rFonts w:hint="eastAsia" w:ascii="仿宋" w:hAnsi="仿宋" w:eastAsia="仿宋"/>
          <w:color w:val="auto"/>
          <w:sz w:val="32"/>
          <w:szCs w:val="32"/>
        </w:rPr>
        <w:t xml:space="preserve">    2.社会保障和就业支出（208）行政事业单位养老支出（20805）机关事业单位职业年金缴费支出（2080506）支出决算</w:t>
      </w:r>
      <w:r>
        <w:rPr>
          <w:rFonts w:hint="eastAsia" w:ascii="仿宋" w:hAnsi="仿宋" w:eastAsia="仿宋"/>
          <w:color w:val="auto"/>
          <w:sz w:val="32"/>
          <w:szCs w:val="32"/>
          <w:lang w:val="en-US" w:eastAsia="zh-CN"/>
        </w:rPr>
        <w:t>17.91</w:t>
      </w:r>
      <w:r>
        <w:rPr>
          <w:rFonts w:hint="eastAsia" w:ascii="仿宋" w:hAnsi="仿宋" w:eastAsia="仿宋"/>
          <w:color w:val="auto"/>
          <w:sz w:val="32"/>
          <w:szCs w:val="32"/>
        </w:rPr>
        <w:t>万元，完成预算100%。</w:t>
      </w:r>
    </w:p>
    <w:p w14:paraId="1D4245B8">
      <w:pPr>
        <w:numPr>
          <w:numId w:val="0"/>
        </w:numPr>
        <w:spacing w:line="600" w:lineRule="exact"/>
        <w:ind w:left="640" w:leftChars="0"/>
        <w:rPr>
          <w:rFonts w:hint="eastAsia" w:ascii="仿宋" w:hAnsi="仿宋" w:eastAsia="仿宋"/>
          <w:color w:val="auto"/>
          <w:sz w:val="32"/>
          <w:szCs w:val="32"/>
        </w:rPr>
      </w:pPr>
      <w:r>
        <w:rPr>
          <w:rFonts w:hint="eastAsia" w:ascii="仿宋" w:hAnsi="仿宋" w:eastAsia="仿宋"/>
          <w:color w:val="auto"/>
          <w:sz w:val="32"/>
          <w:szCs w:val="32"/>
          <w:lang w:val="en-US" w:eastAsia="zh-CN"/>
        </w:rPr>
        <w:t>3.</w:t>
      </w:r>
      <w:r>
        <w:rPr>
          <w:rFonts w:hint="eastAsia" w:ascii="仿宋" w:hAnsi="仿宋" w:eastAsia="仿宋"/>
          <w:color w:val="auto"/>
          <w:sz w:val="32"/>
          <w:szCs w:val="32"/>
        </w:rPr>
        <w:t>社会保障和就业支出（208）行政事业单位养老支出（20805）</w:t>
      </w:r>
      <w:r>
        <w:rPr>
          <w:rFonts w:hint="eastAsia" w:ascii="仿宋" w:hAnsi="仿宋" w:eastAsia="仿宋"/>
          <w:color w:val="auto"/>
          <w:sz w:val="32"/>
          <w:szCs w:val="32"/>
          <w:lang w:eastAsia="zh-CN"/>
        </w:rPr>
        <w:t>其他行政事业单位养老支出</w:t>
      </w:r>
      <w:r>
        <w:rPr>
          <w:rFonts w:hint="eastAsia" w:ascii="仿宋" w:hAnsi="仿宋" w:eastAsia="仿宋"/>
          <w:color w:val="auto"/>
          <w:sz w:val="32"/>
          <w:szCs w:val="32"/>
        </w:rPr>
        <w:t>（2080505）支出决算</w:t>
      </w:r>
      <w:r>
        <w:rPr>
          <w:rFonts w:hint="eastAsia" w:ascii="仿宋" w:hAnsi="仿宋" w:eastAsia="仿宋"/>
          <w:color w:val="auto"/>
          <w:sz w:val="32"/>
          <w:szCs w:val="32"/>
          <w:lang w:val="en-US" w:eastAsia="zh-CN"/>
        </w:rPr>
        <w:t>3.57</w:t>
      </w:r>
      <w:r>
        <w:rPr>
          <w:rFonts w:hint="eastAsia" w:ascii="仿宋" w:hAnsi="仿宋" w:eastAsia="仿宋"/>
          <w:color w:val="auto"/>
          <w:sz w:val="32"/>
          <w:szCs w:val="32"/>
        </w:rPr>
        <w:t>万元，完成预算100%。</w:t>
      </w:r>
      <w:r>
        <w:rPr>
          <w:rFonts w:hint="eastAsia" w:ascii="仿宋" w:hAnsi="仿宋" w:eastAsia="仿宋"/>
          <w:color w:val="auto"/>
          <w:sz w:val="32"/>
          <w:szCs w:val="32"/>
        </w:rPr>
        <w:cr/>
      </w:r>
      <w:r>
        <w:rPr>
          <w:rFonts w:hint="eastAsia" w:ascii="仿宋" w:hAnsi="仿宋" w:eastAsia="仿宋"/>
          <w:color w:val="auto"/>
          <w:sz w:val="32"/>
          <w:szCs w:val="32"/>
        </w:rPr>
        <w:t xml:space="preserve">    </w:t>
      </w:r>
      <w:r>
        <w:rPr>
          <w:rFonts w:hint="eastAsia" w:ascii="仿宋" w:hAnsi="仿宋" w:eastAsia="仿宋"/>
          <w:color w:val="auto"/>
          <w:sz w:val="32"/>
          <w:szCs w:val="32"/>
          <w:lang w:val="en-US" w:eastAsia="zh-CN"/>
        </w:rPr>
        <w:t>4</w:t>
      </w:r>
      <w:r>
        <w:rPr>
          <w:rFonts w:hint="eastAsia" w:ascii="仿宋" w:hAnsi="仿宋" w:eastAsia="仿宋"/>
          <w:color w:val="auto"/>
          <w:sz w:val="32"/>
          <w:szCs w:val="32"/>
        </w:rPr>
        <w:t>.卫生健康支出（210）行政事业单位医疗（21011）行政单位医疗（2101101）支出决算</w:t>
      </w:r>
      <w:r>
        <w:rPr>
          <w:rFonts w:hint="eastAsia" w:ascii="仿宋" w:hAnsi="仿宋" w:eastAsia="仿宋"/>
          <w:color w:val="auto"/>
          <w:sz w:val="32"/>
          <w:szCs w:val="32"/>
          <w:lang w:val="en-US" w:eastAsia="zh-CN"/>
        </w:rPr>
        <w:t>15.4</w:t>
      </w:r>
      <w:r>
        <w:rPr>
          <w:rFonts w:hint="eastAsia" w:ascii="仿宋" w:hAnsi="仿宋" w:eastAsia="仿宋"/>
          <w:color w:val="auto"/>
          <w:sz w:val="32"/>
          <w:szCs w:val="32"/>
        </w:rPr>
        <w:t>万元，完成预算100%。</w:t>
      </w:r>
      <w:r>
        <w:rPr>
          <w:rFonts w:hint="eastAsia" w:ascii="仿宋" w:hAnsi="仿宋" w:eastAsia="仿宋"/>
          <w:color w:val="auto"/>
          <w:sz w:val="32"/>
          <w:szCs w:val="32"/>
        </w:rPr>
        <w:cr/>
      </w:r>
      <w:r>
        <w:rPr>
          <w:rFonts w:hint="eastAsia" w:ascii="仿宋" w:hAnsi="仿宋" w:eastAsia="仿宋"/>
          <w:color w:val="auto"/>
          <w:sz w:val="32"/>
          <w:szCs w:val="32"/>
        </w:rPr>
        <w:t xml:space="preserve">    </w:t>
      </w:r>
      <w:r>
        <w:rPr>
          <w:rFonts w:hint="eastAsia" w:ascii="仿宋" w:hAnsi="仿宋" w:eastAsia="仿宋"/>
          <w:color w:val="auto"/>
          <w:sz w:val="32"/>
          <w:szCs w:val="32"/>
          <w:lang w:val="en-US" w:eastAsia="zh-CN"/>
        </w:rPr>
        <w:t>5</w:t>
      </w:r>
      <w:r>
        <w:rPr>
          <w:rFonts w:hint="eastAsia" w:ascii="仿宋" w:hAnsi="仿宋" w:eastAsia="仿宋"/>
          <w:color w:val="auto"/>
          <w:sz w:val="32"/>
          <w:szCs w:val="32"/>
        </w:rPr>
        <w:t>.卫生健康支出（210）行政事业单位医疗（21011）公务员医疗补助（2101103）支出决算</w:t>
      </w:r>
      <w:r>
        <w:rPr>
          <w:rFonts w:hint="eastAsia" w:ascii="仿宋" w:hAnsi="仿宋" w:eastAsia="仿宋"/>
          <w:color w:val="auto"/>
          <w:sz w:val="32"/>
          <w:szCs w:val="32"/>
          <w:lang w:val="en-US" w:eastAsia="zh-CN"/>
        </w:rPr>
        <w:t>3.2</w:t>
      </w:r>
      <w:r>
        <w:rPr>
          <w:rFonts w:hint="eastAsia" w:ascii="仿宋" w:hAnsi="仿宋" w:eastAsia="仿宋"/>
          <w:color w:val="auto"/>
          <w:sz w:val="32"/>
          <w:szCs w:val="32"/>
        </w:rPr>
        <w:t>万元，完成预算100%。</w:t>
      </w:r>
      <w:r>
        <w:rPr>
          <w:rFonts w:hint="eastAsia" w:ascii="仿宋" w:hAnsi="仿宋" w:eastAsia="仿宋"/>
          <w:color w:val="auto"/>
          <w:sz w:val="32"/>
          <w:szCs w:val="32"/>
        </w:rPr>
        <w:cr/>
      </w:r>
      <w:r>
        <w:rPr>
          <w:rFonts w:hint="eastAsia" w:ascii="仿宋" w:hAnsi="仿宋" w:eastAsia="仿宋"/>
          <w:color w:val="auto"/>
          <w:sz w:val="32"/>
          <w:szCs w:val="32"/>
        </w:rPr>
        <w:t xml:space="preserve">    </w:t>
      </w:r>
      <w:r>
        <w:rPr>
          <w:rFonts w:hint="eastAsia" w:ascii="仿宋" w:hAnsi="仿宋" w:eastAsia="仿宋"/>
          <w:color w:val="auto"/>
          <w:sz w:val="32"/>
          <w:szCs w:val="32"/>
          <w:lang w:val="en-US" w:eastAsia="zh-CN"/>
        </w:rPr>
        <w:t>6</w:t>
      </w:r>
      <w:r>
        <w:rPr>
          <w:rFonts w:hint="eastAsia" w:ascii="仿宋" w:hAnsi="仿宋" w:eastAsia="仿宋"/>
          <w:color w:val="auto"/>
          <w:sz w:val="32"/>
          <w:szCs w:val="32"/>
        </w:rPr>
        <w:t>.节能环保支出（211）环境保护管理事务（21101）行政运行（2110101）支出决算</w:t>
      </w:r>
      <w:r>
        <w:rPr>
          <w:rFonts w:hint="eastAsia" w:ascii="仿宋" w:hAnsi="仿宋" w:eastAsia="仿宋"/>
          <w:color w:val="auto"/>
          <w:sz w:val="32"/>
          <w:szCs w:val="32"/>
          <w:lang w:val="en-US" w:eastAsia="zh-CN"/>
        </w:rPr>
        <w:t>276.17</w:t>
      </w:r>
      <w:r>
        <w:rPr>
          <w:rFonts w:hint="eastAsia" w:ascii="仿宋" w:hAnsi="仿宋" w:eastAsia="仿宋"/>
          <w:color w:val="auto"/>
          <w:sz w:val="32"/>
          <w:szCs w:val="32"/>
        </w:rPr>
        <w:t>万元，完成预算100%。</w:t>
      </w:r>
      <w:r>
        <w:rPr>
          <w:rFonts w:hint="eastAsia" w:ascii="仿宋" w:hAnsi="仿宋" w:eastAsia="仿宋"/>
          <w:color w:val="auto"/>
          <w:sz w:val="32"/>
          <w:szCs w:val="32"/>
        </w:rPr>
        <w:cr/>
      </w:r>
      <w:r>
        <w:rPr>
          <w:rFonts w:hint="eastAsia" w:ascii="仿宋" w:hAnsi="仿宋" w:eastAsia="仿宋"/>
          <w:color w:val="auto"/>
          <w:sz w:val="32"/>
          <w:szCs w:val="32"/>
        </w:rPr>
        <w:t xml:space="preserve">   </w:t>
      </w:r>
      <w:r>
        <w:rPr>
          <w:rFonts w:hint="eastAsia" w:ascii="仿宋" w:hAnsi="仿宋" w:eastAsia="仿宋"/>
          <w:color w:val="auto"/>
          <w:sz w:val="32"/>
          <w:szCs w:val="32"/>
          <w:lang w:val="en-US" w:eastAsia="zh-CN"/>
        </w:rPr>
        <w:t>7</w:t>
      </w:r>
      <w:r>
        <w:rPr>
          <w:rFonts w:hint="eastAsia" w:ascii="仿宋" w:hAnsi="仿宋" w:eastAsia="仿宋"/>
          <w:color w:val="auto"/>
          <w:sz w:val="32"/>
          <w:szCs w:val="32"/>
        </w:rPr>
        <w:t>.节能环保支出（211）环境保护管理事务（21101）环境保护管理事务（2110199）支出决算</w:t>
      </w:r>
      <w:r>
        <w:rPr>
          <w:rFonts w:hint="eastAsia" w:ascii="仿宋" w:hAnsi="仿宋" w:eastAsia="仿宋"/>
          <w:color w:val="auto"/>
          <w:sz w:val="32"/>
          <w:szCs w:val="32"/>
          <w:lang w:val="en-US" w:eastAsia="zh-CN"/>
        </w:rPr>
        <w:t>23.17</w:t>
      </w:r>
      <w:r>
        <w:rPr>
          <w:rFonts w:hint="eastAsia" w:ascii="仿宋" w:hAnsi="仿宋" w:eastAsia="仿宋"/>
          <w:color w:val="auto"/>
          <w:sz w:val="32"/>
          <w:szCs w:val="32"/>
        </w:rPr>
        <w:t>万元，完成预算100%。</w:t>
      </w:r>
      <w:r>
        <w:rPr>
          <w:rFonts w:hint="eastAsia" w:ascii="仿宋" w:hAnsi="仿宋" w:eastAsia="仿宋"/>
          <w:color w:val="auto"/>
          <w:sz w:val="32"/>
          <w:szCs w:val="32"/>
        </w:rPr>
        <w:cr/>
      </w:r>
      <w:r>
        <w:rPr>
          <w:rFonts w:hint="eastAsia" w:ascii="仿宋" w:hAnsi="仿宋" w:eastAsia="仿宋"/>
          <w:color w:val="auto"/>
          <w:sz w:val="32"/>
          <w:szCs w:val="32"/>
        </w:rPr>
        <w:t xml:space="preserve">   </w:t>
      </w:r>
      <w:r>
        <w:rPr>
          <w:rFonts w:hint="eastAsia" w:ascii="仿宋" w:hAnsi="仿宋" w:eastAsia="仿宋"/>
          <w:color w:val="auto"/>
          <w:sz w:val="32"/>
          <w:szCs w:val="32"/>
          <w:lang w:val="en-US" w:eastAsia="zh-CN"/>
        </w:rPr>
        <w:t>8</w:t>
      </w:r>
      <w:r>
        <w:rPr>
          <w:rFonts w:hint="eastAsia" w:ascii="仿宋" w:hAnsi="仿宋" w:eastAsia="仿宋"/>
          <w:color w:val="auto"/>
          <w:sz w:val="32"/>
          <w:szCs w:val="32"/>
        </w:rPr>
        <w:t>.节能环保支出（211）</w:t>
      </w:r>
      <w:r>
        <w:rPr>
          <w:rFonts w:hint="eastAsia" w:ascii="仿宋" w:hAnsi="仿宋" w:eastAsia="仿宋"/>
          <w:color w:val="auto"/>
          <w:sz w:val="32"/>
          <w:szCs w:val="32"/>
          <w:lang w:eastAsia="zh-CN"/>
        </w:rPr>
        <w:t>自然生态保护</w:t>
      </w:r>
      <w:r>
        <w:rPr>
          <w:rFonts w:hint="eastAsia" w:ascii="仿宋" w:hAnsi="仿宋" w:eastAsia="仿宋"/>
          <w:color w:val="auto"/>
          <w:sz w:val="32"/>
          <w:szCs w:val="32"/>
        </w:rPr>
        <w:t>（211</w:t>
      </w:r>
      <w:r>
        <w:rPr>
          <w:rFonts w:hint="eastAsia" w:ascii="仿宋" w:hAnsi="仿宋" w:eastAsia="仿宋"/>
          <w:color w:val="auto"/>
          <w:sz w:val="32"/>
          <w:szCs w:val="32"/>
          <w:lang w:val="en-US" w:eastAsia="zh-CN"/>
        </w:rPr>
        <w:t>04</w:t>
      </w:r>
      <w:r>
        <w:rPr>
          <w:rFonts w:hint="eastAsia" w:ascii="仿宋" w:hAnsi="仿宋" w:eastAsia="仿宋"/>
          <w:color w:val="auto"/>
          <w:sz w:val="32"/>
          <w:szCs w:val="32"/>
        </w:rPr>
        <w:t>）</w:t>
      </w:r>
      <w:r>
        <w:rPr>
          <w:rFonts w:hint="eastAsia" w:ascii="仿宋" w:hAnsi="仿宋" w:eastAsia="仿宋"/>
          <w:color w:val="auto"/>
          <w:sz w:val="32"/>
          <w:szCs w:val="32"/>
          <w:lang w:eastAsia="zh-CN"/>
        </w:rPr>
        <w:t>生态保护</w:t>
      </w:r>
      <w:r>
        <w:rPr>
          <w:rFonts w:hint="eastAsia" w:ascii="仿宋" w:hAnsi="仿宋" w:eastAsia="仿宋"/>
          <w:color w:val="auto"/>
          <w:sz w:val="32"/>
          <w:szCs w:val="32"/>
        </w:rPr>
        <w:t>（211</w:t>
      </w:r>
      <w:r>
        <w:rPr>
          <w:rFonts w:hint="eastAsia" w:ascii="仿宋" w:hAnsi="仿宋" w:eastAsia="仿宋"/>
          <w:color w:val="auto"/>
          <w:sz w:val="32"/>
          <w:szCs w:val="32"/>
          <w:lang w:val="en-US" w:eastAsia="zh-CN"/>
        </w:rPr>
        <w:t>0401</w:t>
      </w:r>
      <w:r>
        <w:rPr>
          <w:rFonts w:hint="eastAsia" w:ascii="仿宋" w:hAnsi="仿宋" w:eastAsia="仿宋"/>
          <w:color w:val="auto"/>
          <w:sz w:val="32"/>
          <w:szCs w:val="32"/>
        </w:rPr>
        <w:t>）支出决算</w:t>
      </w:r>
      <w:r>
        <w:rPr>
          <w:rFonts w:hint="eastAsia" w:ascii="仿宋" w:hAnsi="仿宋" w:eastAsia="仿宋"/>
          <w:color w:val="auto"/>
          <w:sz w:val="32"/>
          <w:szCs w:val="32"/>
          <w:lang w:val="en-US" w:eastAsia="zh-CN"/>
        </w:rPr>
        <w:t>158.6</w:t>
      </w:r>
      <w:r>
        <w:rPr>
          <w:rFonts w:hint="eastAsia" w:ascii="仿宋" w:hAnsi="仿宋" w:eastAsia="仿宋"/>
          <w:color w:val="auto"/>
          <w:sz w:val="32"/>
          <w:szCs w:val="32"/>
        </w:rPr>
        <w:t>万元，完成预算100%。</w:t>
      </w:r>
    </w:p>
    <w:p w14:paraId="7D806415">
      <w:pPr>
        <w:numPr>
          <w:ilvl w:val="0"/>
          <w:numId w:val="0"/>
        </w:numPr>
        <w:spacing w:line="600" w:lineRule="exact"/>
        <w:ind w:left="640" w:hanging="640" w:hangingChars="200"/>
        <w:rPr>
          <w:rFonts w:hint="eastAsia"/>
          <w:color w:val="auto"/>
        </w:rPr>
      </w:pPr>
      <w:r>
        <w:rPr>
          <w:rFonts w:hint="eastAsia" w:ascii="仿宋" w:hAnsi="仿宋" w:eastAsia="仿宋"/>
          <w:color w:val="auto"/>
          <w:sz w:val="32"/>
          <w:szCs w:val="32"/>
        </w:rPr>
        <w:t xml:space="preserve"> </w:t>
      </w:r>
      <w:r>
        <w:rPr>
          <w:rFonts w:hint="eastAsia" w:ascii="仿宋" w:hAnsi="仿宋" w:eastAsia="仿宋"/>
          <w:color w:val="auto"/>
          <w:sz w:val="32"/>
          <w:szCs w:val="32"/>
          <w:lang w:val="en-US" w:eastAsia="zh-CN"/>
        </w:rPr>
        <w:t xml:space="preserve">     9</w:t>
      </w:r>
      <w:r>
        <w:rPr>
          <w:rFonts w:hint="eastAsia" w:ascii="仿宋" w:hAnsi="仿宋" w:eastAsia="仿宋"/>
          <w:color w:val="auto"/>
          <w:sz w:val="32"/>
          <w:szCs w:val="32"/>
        </w:rPr>
        <w:t>.节能环保支出（211）</w:t>
      </w:r>
      <w:r>
        <w:rPr>
          <w:rFonts w:hint="eastAsia" w:ascii="仿宋" w:hAnsi="仿宋" w:eastAsia="仿宋"/>
          <w:color w:val="auto"/>
          <w:sz w:val="32"/>
          <w:szCs w:val="32"/>
          <w:lang w:eastAsia="zh-CN"/>
        </w:rPr>
        <w:t>自然生态保护</w:t>
      </w:r>
      <w:r>
        <w:rPr>
          <w:rFonts w:hint="eastAsia" w:ascii="仿宋" w:hAnsi="仿宋" w:eastAsia="仿宋"/>
          <w:color w:val="auto"/>
          <w:sz w:val="32"/>
          <w:szCs w:val="32"/>
        </w:rPr>
        <w:t>（211</w:t>
      </w:r>
      <w:r>
        <w:rPr>
          <w:rFonts w:hint="eastAsia" w:ascii="仿宋" w:hAnsi="仿宋" w:eastAsia="仿宋"/>
          <w:color w:val="auto"/>
          <w:sz w:val="32"/>
          <w:szCs w:val="32"/>
          <w:lang w:val="en-US" w:eastAsia="zh-CN"/>
        </w:rPr>
        <w:t>04</w:t>
      </w:r>
      <w:r>
        <w:rPr>
          <w:rFonts w:hint="eastAsia" w:ascii="仿宋" w:hAnsi="仿宋" w:eastAsia="仿宋"/>
          <w:color w:val="auto"/>
          <w:sz w:val="32"/>
          <w:szCs w:val="32"/>
        </w:rPr>
        <w:t>）</w:t>
      </w:r>
      <w:r>
        <w:rPr>
          <w:rFonts w:hint="eastAsia" w:ascii="仿宋" w:hAnsi="仿宋" w:eastAsia="仿宋"/>
          <w:color w:val="auto"/>
          <w:sz w:val="32"/>
          <w:szCs w:val="32"/>
          <w:lang w:eastAsia="zh-CN"/>
        </w:rPr>
        <w:t>农村环境保护</w:t>
      </w:r>
      <w:r>
        <w:rPr>
          <w:rFonts w:hint="eastAsia" w:ascii="仿宋" w:hAnsi="仿宋" w:eastAsia="仿宋"/>
          <w:color w:val="auto"/>
          <w:sz w:val="32"/>
          <w:szCs w:val="32"/>
        </w:rPr>
        <w:t>（211</w:t>
      </w:r>
      <w:r>
        <w:rPr>
          <w:rFonts w:hint="eastAsia" w:ascii="仿宋" w:hAnsi="仿宋" w:eastAsia="仿宋"/>
          <w:color w:val="auto"/>
          <w:sz w:val="32"/>
          <w:szCs w:val="32"/>
          <w:lang w:val="en-US" w:eastAsia="zh-CN"/>
        </w:rPr>
        <w:t>0402</w:t>
      </w:r>
      <w:r>
        <w:rPr>
          <w:rFonts w:hint="eastAsia" w:ascii="仿宋" w:hAnsi="仿宋" w:eastAsia="仿宋"/>
          <w:color w:val="auto"/>
          <w:sz w:val="32"/>
          <w:szCs w:val="32"/>
        </w:rPr>
        <w:t>）支出决算</w:t>
      </w:r>
      <w:r>
        <w:rPr>
          <w:rFonts w:hint="eastAsia" w:ascii="仿宋" w:hAnsi="仿宋" w:eastAsia="仿宋"/>
          <w:color w:val="auto"/>
          <w:sz w:val="32"/>
          <w:szCs w:val="32"/>
          <w:lang w:val="en-US" w:eastAsia="zh-CN"/>
        </w:rPr>
        <w:t>7</w:t>
      </w:r>
      <w:r>
        <w:rPr>
          <w:rFonts w:hint="eastAsia" w:ascii="仿宋" w:hAnsi="仿宋" w:eastAsia="仿宋"/>
          <w:color w:val="auto"/>
          <w:sz w:val="32"/>
          <w:szCs w:val="32"/>
        </w:rPr>
        <w:t>万元，完成预算100%。</w:t>
      </w:r>
    </w:p>
    <w:p w14:paraId="33576048">
      <w:pPr>
        <w:numPr>
          <w:ilvl w:val="0"/>
          <w:numId w:val="0"/>
        </w:numPr>
        <w:spacing w:line="600" w:lineRule="exact"/>
        <w:ind w:left="638" w:leftChars="304" w:firstLine="320" w:firstLineChars="100"/>
        <w:rPr>
          <w:rFonts w:hint="eastAsia" w:ascii="仿宋" w:hAnsi="仿宋" w:eastAsia="仿宋" w:cs="Times New Roman"/>
          <w:color w:val="auto"/>
          <w:sz w:val="32"/>
          <w:szCs w:val="32"/>
        </w:rPr>
      </w:pPr>
      <w:r>
        <w:rPr>
          <w:rFonts w:hint="eastAsia" w:ascii="仿宋" w:hAnsi="仿宋" w:eastAsia="仿宋"/>
          <w:color w:val="auto"/>
          <w:sz w:val="32"/>
          <w:szCs w:val="32"/>
          <w:lang w:val="en-US" w:eastAsia="zh-CN"/>
        </w:rPr>
        <w:t>10.</w:t>
      </w:r>
      <w:r>
        <w:rPr>
          <w:rFonts w:hint="eastAsia" w:ascii="仿宋" w:hAnsi="仿宋" w:eastAsia="仿宋"/>
          <w:color w:val="auto"/>
          <w:sz w:val="32"/>
          <w:szCs w:val="32"/>
        </w:rPr>
        <w:t>住房保障支出（221）住房改革支出（22102）住房公积金（2210201）支出决算</w:t>
      </w:r>
      <w:r>
        <w:rPr>
          <w:rFonts w:hint="eastAsia" w:ascii="仿宋" w:hAnsi="仿宋" w:eastAsia="仿宋"/>
          <w:color w:val="auto"/>
          <w:sz w:val="32"/>
          <w:szCs w:val="32"/>
          <w:lang w:val="en-US" w:eastAsia="zh-CN"/>
        </w:rPr>
        <w:t>26.37</w:t>
      </w:r>
      <w:r>
        <w:rPr>
          <w:rFonts w:hint="eastAsia" w:ascii="仿宋" w:hAnsi="仿宋" w:eastAsia="仿宋"/>
          <w:color w:val="auto"/>
          <w:sz w:val="32"/>
          <w:szCs w:val="32"/>
        </w:rPr>
        <w:t>万元，完成预算100%。</w:t>
      </w:r>
    </w:p>
    <w:p w14:paraId="3E5860C8">
      <w:pPr>
        <w:numPr>
          <w:ilvl w:val="0"/>
          <w:numId w:val="0"/>
        </w:numPr>
        <w:spacing w:line="600" w:lineRule="exact"/>
        <w:ind w:left="638" w:leftChars="304" w:firstLine="320" w:firstLineChars="100"/>
        <w:rPr>
          <w:color w:val="auto"/>
        </w:rPr>
      </w:pPr>
      <w:r>
        <w:rPr>
          <w:rFonts w:hint="eastAsia" w:ascii="仿宋" w:hAnsi="仿宋" w:eastAsia="仿宋"/>
          <w:color w:val="auto"/>
          <w:sz w:val="32"/>
          <w:szCs w:val="32"/>
          <w:lang w:val="en-US" w:eastAsia="zh-CN"/>
        </w:rPr>
        <w:t>11. 住房保障</w:t>
      </w:r>
      <w:r>
        <w:rPr>
          <w:rFonts w:hint="eastAsia" w:ascii="仿宋" w:hAnsi="仿宋" w:eastAsia="仿宋"/>
          <w:color w:val="auto"/>
          <w:sz w:val="32"/>
          <w:szCs w:val="32"/>
        </w:rPr>
        <w:t>支出（221）住房改革支出（22102）</w:t>
      </w:r>
      <w:r>
        <w:rPr>
          <w:rFonts w:hint="eastAsia" w:ascii="仿宋" w:hAnsi="仿宋" w:eastAsia="仿宋"/>
          <w:color w:val="auto"/>
          <w:sz w:val="32"/>
          <w:szCs w:val="32"/>
          <w:lang w:eastAsia="zh-CN"/>
        </w:rPr>
        <w:t>购房补贴</w:t>
      </w:r>
      <w:r>
        <w:rPr>
          <w:rFonts w:hint="eastAsia" w:ascii="仿宋" w:hAnsi="仿宋" w:eastAsia="仿宋"/>
          <w:color w:val="auto"/>
          <w:sz w:val="32"/>
          <w:szCs w:val="32"/>
        </w:rPr>
        <w:t>（2210201）支出决算</w:t>
      </w:r>
      <w:r>
        <w:rPr>
          <w:rFonts w:hint="eastAsia" w:ascii="仿宋" w:hAnsi="仿宋" w:eastAsia="仿宋"/>
          <w:color w:val="auto"/>
          <w:sz w:val="32"/>
          <w:szCs w:val="32"/>
          <w:lang w:val="en-US" w:eastAsia="zh-CN"/>
        </w:rPr>
        <w:t>1.2</w:t>
      </w:r>
      <w:r>
        <w:rPr>
          <w:rFonts w:hint="eastAsia" w:ascii="仿宋" w:hAnsi="仿宋" w:eastAsia="仿宋"/>
          <w:color w:val="auto"/>
          <w:sz w:val="32"/>
          <w:szCs w:val="32"/>
        </w:rPr>
        <w:t>万元，完成预算100%。</w:t>
      </w:r>
    </w:p>
    <w:p w14:paraId="32CBD94D">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（注：仅罗列本部门涉及的全部功能分类科目，至项级。上述“预算”口径为全年预算数。增减变动原因为决算数&lt;项级&gt;和全年预算数&lt;项级&gt;比较，与预算数持平可以不写原因）</w:t>
      </w:r>
    </w:p>
    <w:p w14:paraId="7401A3F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49FA359">
      <w:pPr>
        <w:tabs>
          <w:tab w:val="right" w:pos="8306"/>
        </w:tabs>
        <w:spacing w:line="600" w:lineRule="exact"/>
        <w:ind w:firstLine="640"/>
        <w:outlineLvl w:val="1"/>
        <w:rPr>
          <w:rStyle w:val="31"/>
          <w:rFonts w:ascii="Times New Roman" w:hAnsi="Times New Roman"/>
          <w:color w:val="auto"/>
          <w:highlight w:val="none"/>
        </w:rPr>
      </w:pPr>
      <w:bookmarkStart w:id="42" w:name="_Toc15396608"/>
      <w:bookmarkStart w:id="43"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w:t>
      </w:r>
      <w:bookmarkStart w:id="75" w:name="_GoBack"/>
      <w:bookmarkEnd w:id="75"/>
      <w:r>
        <w:rPr>
          <w:rStyle w:val="31"/>
          <w:rFonts w:hint="eastAsia" w:ascii="Times New Roman" w:hAnsi="Times New Roman" w:eastAsia="黑体"/>
          <w:b w:val="0"/>
          <w:color w:val="auto"/>
          <w:highlight w:val="none"/>
        </w:rPr>
        <w:t>公共预算财政拨款基本支出决算情况说明</w:t>
      </w:r>
      <w:bookmarkEnd w:id="42"/>
      <w:bookmarkEnd w:id="43"/>
      <w:r>
        <w:rPr>
          <w:rStyle w:val="31"/>
          <w:rFonts w:ascii="Times New Roman" w:hAnsi="Times New Roman" w:eastAsia="黑体"/>
          <w:b w:val="0"/>
          <w:color w:val="auto"/>
          <w:highlight w:val="none"/>
        </w:rPr>
        <w:tab/>
      </w:r>
    </w:p>
    <w:p w14:paraId="69B139A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379.65</w:t>
      </w:r>
      <w:r>
        <w:rPr>
          <w:rFonts w:hint="eastAsia" w:ascii="Times New Roman" w:hAnsi="Times New Roman" w:eastAsia="仿宋_GB2312" w:cs="仿宋_GB2312"/>
          <w:color w:val="auto"/>
          <w:kern w:val="2"/>
          <w:sz w:val="32"/>
          <w:szCs w:val="32"/>
          <w:highlight w:val="none"/>
          <w:lang w:val="en-US" w:eastAsia="zh-CN" w:bidi="ar-SA"/>
        </w:rPr>
        <w:t>万元，其中：</w:t>
      </w:r>
    </w:p>
    <w:p w14:paraId="5E05755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276.64</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103.01</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064E1825">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5433C94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D6AC4CB">
      <w:pPr>
        <w:spacing w:line="600" w:lineRule="exact"/>
        <w:ind w:firstLine="640"/>
        <w:outlineLvl w:val="1"/>
        <w:rPr>
          <w:rStyle w:val="31"/>
          <w:rFonts w:ascii="Times New Roman" w:hAnsi="Times New Roman" w:eastAsia="黑体"/>
          <w:b w:val="0"/>
          <w:color w:val="auto"/>
          <w:highlight w:val="none"/>
        </w:rPr>
      </w:pPr>
      <w:bookmarkStart w:id="44" w:name="_Toc15396609"/>
      <w:bookmarkStart w:id="45" w:name="_Toc15377215"/>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44"/>
      <w:bookmarkEnd w:id="45"/>
    </w:p>
    <w:p w14:paraId="324F6EA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6"/>
    </w:p>
    <w:p w14:paraId="7AD163A5">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14.89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2.7</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18.13</w:t>
      </w:r>
      <w:r>
        <w:rPr>
          <w:rFonts w:hint="eastAsia" w:ascii="Times New Roman" w:hAnsi="Times New Roman" w:eastAsia="仿宋_GB2312" w:cs="仿宋_GB2312"/>
          <w:color w:val="auto"/>
          <w:kern w:val="2"/>
          <w:sz w:val="32"/>
          <w:szCs w:val="32"/>
          <w:highlight w:val="none"/>
          <w:lang w:val="en-US" w:eastAsia="zh-CN" w:bidi="ar-SA"/>
        </w:rPr>
        <w:t>%。决算数与预算数持平</w:t>
      </w:r>
      <w:r>
        <w:rPr>
          <w:rFonts w:hint="eastAsia" w:eastAsia="仿宋_GB2312" w:cs="仿宋_GB2312"/>
          <w:color w:val="auto"/>
          <w:kern w:val="2"/>
          <w:sz w:val="32"/>
          <w:szCs w:val="32"/>
          <w:highlight w:val="none"/>
          <w:lang w:val="en-US" w:eastAsia="zh-CN" w:bidi="ar-SA"/>
        </w:rPr>
        <w:t>。</w:t>
      </w:r>
    </w:p>
    <w:p w14:paraId="641856B7">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14:paraId="197480C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7"/>
    </w:p>
    <w:p w14:paraId="5E2471D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14.84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99.66</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0.05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0.34</w:t>
      </w:r>
      <w:r>
        <w:rPr>
          <w:rFonts w:hint="eastAsia" w:ascii="Times New Roman" w:hAnsi="Times New Roman" w:eastAsia="仿宋_GB2312" w:cs="仿宋_GB2312"/>
          <w:color w:val="auto"/>
          <w:kern w:val="2"/>
          <w:sz w:val="32"/>
          <w:szCs w:val="32"/>
          <w:highlight w:val="none"/>
          <w:lang w:val="en-US" w:eastAsia="zh-CN" w:bidi="ar-SA"/>
        </w:rPr>
        <w:t>%。具体情况如下：</w:t>
      </w:r>
    </w:p>
    <w:p w14:paraId="216D6BB4">
      <w:pPr>
        <w:pStyle w:val="2"/>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5262880" cy="2956560"/>
            <wp:effectExtent l="0" t="0" r="13970" b="152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6"/>
                    <a:stretch>
                      <a:fillRect/>
                    </a:stretch>
                  </pic:blipFill>
                  <pic:spPr>
                    <a:xfrm>
                      <a:off x="0" y="0"/>
                      <a:ext cx="5262880" cy="2956560"/>
                    </a:xfrm>
                    <a:prstGeom prst="rect">
                      <a:avLst/>
                    </a:prstGeom>
                    <a:noFill/>
                    <a:ln>
                      <a:noFill/>
                    </a:ln>
                  </pic:spPr>
                </pic:pic>
              </a:graphicData>
            </a:graphic>
          </wp:inline>
        </w:drawing>
      </w:r>
    </w:p>
    <w:p w14:paraId="6EEB2AF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6A244631">
      <w:pPr>
        <w:numPr>
          <w:ilvl w:val="0"/>
          <w:numId w:val="4"/>
        </w:num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w:t>
      </w:r>
      <w:r>
        <w:rPr>
          <w:rFonts w:hint="eastAsia" w:eastAsia="仿宋_GB2312" w:cs="仿宋_GB2312"/>
          <w:color w:val="auto"/>
          <w:kern w:val="2"/>
          <w:sz w:val="32"/>
          <w:szCs w:val="32"/>
          <w:highlight w:val="none"/>
          <w:lang w:val="en-US" w:eastAsia="zh-CN" w:bidi="ar-SA"/>
        </w:rPr>
        <w:t>。与上年持平。</w:t>
      </w:r>
    </w:p>
    <w:p w14:paraId="167DFEC7">
      <w:pPr>
        <w:numPr>
          <w:ilvl w:val="0"/>
          <w:numId w:val="0"/>
        </w:numPr>
        <w:spacing w:line="600" w:lineRule="exact"/>
        <w:ind w:firstLine="643" w:firstLineChars="20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14.84</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3.33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22.43</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2025年度新增7人，瑞园增加，相应支出增加。</w:t>
      </w:r>
    </w:p>
    <w:p w14:paraId="72D1399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6BCB3DF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14.84</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环境监测、环境保护执法</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1CED849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0.05</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0.63</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92.64</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单位例行节俭</w:t>
      </w:r>
      <w:r>
        <w:rPr>
          <w:rFonts w:hint="eastAsia" w:ascii="Times New Roman" w:hAnsi="Times New Roman" w:eastAsia="仿宋_GB2312" w:cs="仿宋_GB2312"/>
          <w:color w:val="auto"/>
          <w:kern w:val="2"/>
          <w:sz w:val="32"/>
          <w:szCs w:val="32"/>
          <w:highlight w:val="none"/>
          <w:lang w:val="en-US" w:eastAsia="zh-CN" w:bidi="ar-SA"/>
        </w:rPr>
        <w:t>。其中：</w:t>
      </w:r>
    </w:p>
    <w:p w14:paraId="246D65E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0.05</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环境保护工作中</w:t>
      </w:r>
      <w:r>
        <w:rPr>
          <w:rFonts w:hint="eastAsia" w:ascii="Times New Roman" w:hAnsi="Times New Roman" w:eastAsia="仿宋_GB2312" w:cs="仿宋_GB2312"/>
          <w:color w:val="auto"/>
          <w:kern w:val="2"/>
          <w:sz w:val="32"/>
          <w:szCs w:val="32"/>
          <w:highlight w:val="none"/>
          <w:lang w:val="en-US" w:eastAsia="zh-CN" w:bidi="ar-SA"/>
        </w:rPr>
        <w:t>执行公务、开展业务活动开支的交通费、住宿费、用餐费等。国内公务接待</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5</w:t>
      </w:r>
      <w:r>
        <w:rPr>
          <w:rFonts w:hint="eastAsia" w:ascii="Times New Roman" w:hAnsi="Times New Roman" w:eastAsia="仿宋_GB2312" w:cs="仿宋_GB2312"/>
          <w:color w:val="auto"/>
          <w:kern w:val="2"/>
          <w:sz w:val="32"/>
          <w:szCs w:val="32"/>
          <w:highlight w:val="none"/>
          <w:lang w:val="en-US" w:eastAsia="zh-CN" w:bidi="ar-SA"/>
        </w:rPr>
        <w:t>人次（不包括陪同人员）。</w:t>
      </w:r>
    </w:p>
    <w:p w14:paraId="48DC118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bookmarkStart w:id="48" w:name="_Toc15396610"/>
      <w:bookmarkStart w:id="49" w:name="_Toc15377218"/>
      <w:r>
        <w:rPr>
          <w:rFonts w:hint="eastAsia" w:eastAsia="仿宋_GB2312" w:cs="仿宋_GB2312"/>
          <w:color w:val="auto"/>
          <w:kern w:val="2"/>
          <w:sz w:val="32"/>
          <w:szCs w:val="32"/>
          <w:highlight w:val="none"/>
          <w:lang w:val="en-US" w:eastAsia="zh-CN" w:bidi="ar-SA"/>
        </w:rPr>
        <w:t>。</w:t>
      </w:r>
    </w:p>
    <w:p w14:paraId="7C4DE452">
      <w:pPr>
        <w:spacing w:line="600" w:lineRule="exact"/>
        <w:ind w:firstLine="640"/>
        <w:outlineLvl w:val="1"/>
        <w:rPr>
          <w:rStyle w:val="31"/>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48"/>
      <w:bookmarkEnd w:id="49"/>
    </w:p>
    <w:p w14:paraId="3375F692">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持平。</w:t>
      </w:r>
    </w:p>
    <w:p w14:paraId="7B2D0C5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5287117A">
      <w:pPr>
        <w:numPr>
          <w:ilvl w:val="0"/>
          <w:numId w:val="0"/>
        </w:numPr>
        <w:spacing w:line="600" w:lineRule="exact"/>
        <w:ind w:left="630" w:leftChars="0"/>
        <w:outlineLvl w:val="1"/>
        <w:rPr>
          <w:rStyle w:val="31"/>
          <w:rFonts w:ascii="Times New Roman" w:hAnsi="Times New Roman" w:eastAsia="黑体"/>
          <w:b w:val="0"/>
          <w:color w:val="auto"/>
          <w:highlight w:val="none"/>
        </w:rPr>
      </w:pPr>
      <w:bookmarkStart w:id="50" w:name="_Toc15377219"/>
      <w:bookmarkStart w:id="51" w:name="_Toc15396611"/>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50"/>
      <w:bookmarkEnd w:id="51"/>
    </w:p>
    <w:p w14:paraId="256E6692">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w:t>
      </w:r>
      <w:r>
        <w:rPr>
          <w:rFonts w:hint="eastAsia" w:eastAsia="仿宋_GB2312" w:cs="仿宋_GB2312"/>
          <w:color w:val="auto"/>
          <w:kern w:val="2"/>
          <w:sz w:val="32"/>
          <w:szCs w:val="32"/>
          <w:highlight w:val="none"/>
          <w:lang w:val="en-US" w:eastAsia="zh-CN" w:bidi="ar-SA"/>
        </w:rPr>
        <w:t>持平。</w:t>
      </w:r>
    </w:p>
    <w:p w14:paraId="0BA319C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7CE4159E">
      <w:pPr>
        <w:numPr>
          <w:ilvl w:val="0"/>
          <w:numId w:val="0"/>
        </w:numPr>
        <w:spacing w:line="600" w:lineRule="exact"/>
        <w:ind w:left="630" w:leftChars="0"/>
        <w:outlineLvl w:val="1"/>
        <w:rPr>
          <w:rStyle w:val="31"/>
          <w:rFonts w:hint="eastAsia" w:ascii="Times New Roman" w:hAnsi="Times New Roman" w:eastAsia="黑体"/>
          <w:b w:val="0"/>
          <w:color w:val="auto"/>
          <w:highlight w:val="none"/>
        </w:rPr>
      </w:pPr>
      <w:bookmarkStart w:id="52" w:name="_Toc15377221"/>
      <w:bookmarkStart w:id="53" w:name="_Toc15396612"/>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52"/>
      <w:bookmarkEnd w:id="53"/>
    </w:p>
    <w:p w14:paraId="7A1FBDB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4" w:name="_Toc15377222"/>
      <w:r>
        <w:rPr>
          <w:rFonts w:hint="eastAsia" w:ascii="Times New Roman" w:hAnsi="Times New Roman" w:eastAsia="楷体_GB2312" w:cs="楷体_GB2312"/>
          <w:b/>
          <w:color w:val="auto"/>
          <w:sz w:val="32"/>
          <w:szCs w:val="32"/>
          <w:highlight w:val="none"/>
        </w:rPr>
        <w:t>（一）机关运行经费支出情况</w:t>
      </w:r>
      <w:bookmarkEnd w:id="54"/>
    </w:p>
    <w:p w14:paraId="3ADBBC94">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阿坝藏族羌族自治州松潘生态环境局</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103.01</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23.44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22.75</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2025年人员增加较多。</w:t>
      </w:r>
    </w:p>
    <w:p w14:paraId="59A5EBE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0BC1227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5" w:name="_Toc15377223"/>
      <w:r>
        <w:rPr>
          <w:rFonts w:hint="eastAsia" w:ascii="Times New Roman" w:hAnsi="Times New Roman" w:eastAsia="楷体_GB2312" w:cs="楷体_GB2312"/>
          <w:b/>
          <w:color w:val="auto"/>
          <w:sz w:val="32"/>
          <w:szCs w:val="32"/>
          <w:highlight w:val="none"/>
        </w:rPr>
        <w:t>（二）政府采购支出情况</w:t>
      </w:r>
      <w:bookmarkEnd w:id="55"/>
    </w:p>
    <w:p w14:paraId="6400006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阿坝藏族羌族自治州松潘生态环境局</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lang w:val="en-US" w:eastAsia="zh-CN"/>
        </w:rPr>
        <w:t>158.6</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lang w:val="en-US" w:eastAsia="zh-CN"/>
        </w:rPr>
        <w:t>158.6</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松潘县生态功能区生态环境质量监测工作</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35B5237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6" w:name="_Toc15377224"/>
      <w:r>
        <w:rPr>
          <w:rFonts w:hint="eastAsia" w:ascii="Times New Roman" w:hAnsi="Times New Roman" w:eastAsia="楷体_GB2312" w:cs="楷体_GB2312"/>
          <w:b/>
          <w:color w:val="auto"/>
          <w:sz w:val="32"/>
          <w:szCs w:val="32"/>
          <w:highlight w:val="none"/>
        </w:rPr>
        <w:t>（三）国有资产占有使用情况</w:t>
      </w:r>
      <w:bookmarkEnd w:id="56"/>
    </w:p>
    <w:p w14:paraId="603EA41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阿坝藏族羌族自治州松潘生态环境局</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3</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3</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4BA8896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665A14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3D4D72B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松潘生态环境局</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color w:val="auto"/>
          <w:kern w:val="2"/>
          <w:sz w:val="32"/>
          <w:szCs w:val="32"/>
          <w:highlight w:val="none"/>
          <w:lang w:val="en-US" w:eastAsia="zh-CN" w:bidi="ar-SA"/>
        </w:rPr>
        <w:t>松潘先2024年生态功能区生态环境质量监测项目</w:t>
      </w:r>
      <w:r>
        <w:rPr>
          <w:rFonts w:hint="eastAsia" w:ascii="Times New Roman" w:hAnsi="Times New Roman" w:eastAsia="仿宋_GB2312" w:cs="仿宋_GB2312"/>
          <w:color w:val="auto"/>
          <w:kern w:val="2"/>
          <w:sz w:val="32"/>
          <w:szCs w:val="32"/>
          <w:highlight w:val="none"/>
          <w:lang w:val="en-US" w:eastAsia="zh-CN" w:bidi="ar-SA"/>
        </w:rPr>
        <w:t>（项目名称）等</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188.76</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306822D2">
      <w:pPr>
        <w:numPr>
          <w:ilvl w:val="0"/>
          <w:numId w:val="0"/>
        </w:numPr>
        <w:spacing w:line="600" w:lineRule="exact"/>
        <w:jc w:val="center"/>
        <w:outlineLvl w:val="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w:t>
      </w:r>
      <w:r>
        <w:rPr>
          <w:rFonts w:hint="eastAsia" w:eastAsia="仿宋_GB2312" w:cs="仿宋_GB2312"/>
          <w:color w:val="auto"/>
          <w:kern w:val="2"/>
          <w:sz w:val="32"/>
          <w:szCs w:val="32"/>
          <w:highlight w:val="none"/>
          <w:lang w:val="en-US" w:eastAsia="zh-CN" w:bidi="ar-SA"/>
        </w:rPr>
        <w:t>整体</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部门预算（含部门预算项目）绩效自评报告、专项预算项目绩效自评报告</w:t>
      </w:r>
      <w:bookmarkStart w:id="57" w:name="_Toc15396613"/>
      <w:bookmarkStart w:id="58" w:name="_Toc15377225"/>
      <w:r>
        <w:rPr>
          <w:rFonts w:hint="eastAsia" w:eastAsia="仿宋_GB2312" w:cs="仿宋_GB2312"/>
          <w:color w:val="auto"/>
          <w:kern w:val="2"/>
          <w:sz w:val="32"/>
          <w:szCs w:val="32"/>
          <w:highlight w:val="none"/>
          <w:lang w:val="en-US" w:eastAsia="zh-CN" w:bidi="ar-SA"/>
        </w:rPr>
        <w:t>。</w:t>
      </w:r>
    </w:p>
    <w:p w14:paraId="75D7739C">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7"/>
      <w:bookmarkEnd w:id="58"/>
    </w:p>
    <w:p w14:paraId="217EB432">
      <w:pPr>
        <w:spacing w:line="600" w:lineRule="exact"/>
        <w:jc w:val="left"/>
        <w:rPr>
          <w:rFonts w:ascii="Times New Roman" w:hAnsi="Times New Roman"/>
          <w:b/>
          <w:color w:val="auto"/>
          <w:sz w:val="44"/>
          <w:szCs w:val="44"/>
          <w:highlight w:val="none"/>
        </w:rPr>
      </w:pPr>
    </w:p>
    <w:p w14:paraId="1BB9E886">
      <w:pPr>
        <w:spacing w:line="600" w:lineRule="exact"/>
        <w:ind w:firstLine="640"/>
        <w:rPr>
          <w:rFonts w:ascii="仿宋" w:hAnsi="仿宋" w:eastAsia="仿宋"/>
          <w:color w:val="auto"/>
          <w:sz w:val="32"/>
          <w:szCs w:val="32"/>
        </w:rPr>
      </w:pPr>
      <w:bookmarkStart w:id="59" w:name="_Toc15396614"/>
      <w:bookmarkStart w:id="60" w:name="_Toc15377226"/>
      <w:r>
        <w:rPr>
          <w:rFonts w:ascii="仿宋" w:hAnsi="仿宋" w:eastAsia="仿宋"/>
          <w:color w:val="auto"/>
          <w:sz w:val="32"/>
          <w:szCs w:val="32"/>
        </w:rPr>
        <w:t>1.</w:t>
      </w:r>
      <w:r>
        <w:rPr>
          <w:rFonts w:hint="eastAsia" w:ascii="仿宋" w:hAnsi="仿宋" w:eastAsia="仿宋"/>
          <w:color w:val="auto"/>
          <w:sz w:val="32"/>
          <w:szCs w:val="32"/>
        </w:rPr>
        <w:t>财政拨款收入：指单位从同级财政部门取得的财政预算资金。</w:t>
      </w:r>
    </w:p>
    <w:p w14:paraId="71D182A7">
      <w:pPr>
        <w:spacing w:line="600" w:lineRule="exact"/>
        <w:ind w:firstLine="640"/>
        <w:rPr>
          <w:rFonts w:ascii="仿宋" w:hAnsi="仿宋" w:eastAsia="仿宋"/>
          <w:color w:val="auto"/>
          <w:sz w:val="32"/>
          <w:szCs w:val="32"/>
        </w:rPr>
      </w:pPr>
      <w:r>
        <w:rPr>
          <w:rFonts w:ascii="仿宋" w:hAnsi="仿宋" w:eastAsia="仿宋"/>
          <w:color w:val="auto"/>
          <w:sz w:val="32"/>
          <w:szCs w:val="32"/>
        </w:rPr>
        <w:t>2.</w:t>
      </w:r>
      <w:r>
        <w:rPr>
          <w:rFonts w:hint="eastAsia" w:ascii="仿宋" w:hAnsi="仿宋" w:eastAsia="仿宋"/>
          <w:color w:val="auto"/>
          <w:sz w:val="32"/>
          <w:szCs w:val="32"/>
        </w:rPr>
        <w:t>事业收入：指事业单位开展专业业务活动及辅助活动取得的收入。</w:t>
      </w:r>
    </w:p>
    <w:p w14:paraId="6D83A389">
      <w:pPr>
        <w:spacing w:line="600" w:lineRule="exact"/>
        <w:ind w:firstLine="640"/>
        <w:rPr>
          <w:rFonts w:ascii="仿宋" w:hAnsi="仿宋" w:eastAsia="仿宋"/>
          <w:color w:val="auto"/>
          <w:sz w:val="32"/>
          <w:szCs w:val="32"/>
        </w:rPr>
      </w:pPr>
      <w:r>
        <w:rPr>
          <w:rFonts w:ascii="仿宋" w:hAnsi="仿宋" w:eastAsia="仿宋"/>
          <w:color w:val="auto"/>
          <w:sz w:val="32"/>
          <w:szCs w:val="32"/>
        </w:rPr>
        <w:t>3.</w:t>
      </w:r>
      <w:r>
        <w:rPr>
          <w:rFonts w:hint="eastAsia" w:ascii="仿宋" w:hAnsi="仿宋" w:eastAsia="仿宋"/>
          <w:color w:val="auto"/>
          <w:sz w:val="32"/>
          <w:szCs w:val="32"/>
        </w:rPr>
        <w:t>经营收入：指事业单位在专业业务活动及其辅助活动之外开展非独立核算经营活动取得的收入</w:t>
      </w:r>
    </w:p>
    <w:p w14:paraId="67F4F126">
      <w:pPr>
        <w:spacing w:line="600" w:lineRule="exact"/>
        <w:ind w:firstLine="640"/>
        <w:rPr>
          <w:rFonts w:ascii="仿宋" w:hAnsi="仿宋" w:eastAsia="仿宋"/>
          <w:color w:val="auto"/>
          <w:sz w:val="32"/>
          <w:szCs w:val="32"/>
        </w:rPr>
      </w:pPr>
      <w:r>
        <w:rPr>
          <w:rFonts w:ascii="仿宋" w:hAnsi="仿宋" w:eastAsia="仿宋"/>
          <w:color w:val="auto"/>
          <w:sz w:val="32"/>
          <w:szCs w:val="32"/>
        </w:rPr>
        <w:t>4.</w:t>
      </w:r>
      <w:r>
        <w:rPr>
          <w:rFonts w:hint="eastAsia" w:ascii="仿宋" w:hAnsi="仿宋" w:eastAsia="仿宋"/>
          <w:color w:val="auto"/>
          <w:sz w:val="32"/>
          <w:szCs w:val="32"/>
        </w:rPr>
        <w:t>其他收入：指单位取得的除上述收入以外的各项收入。</w:t>
      </w:r>
    </w:p>
    <w:p w14:paraId="46DEFE6F">
      <w:pPr>
        <w:spacing w:line="600" w:lineRule="exact"/>
        <w:ind w:firstLine="640"/>
        <w:rPr>
          <w:rFonts w:ascii="仿宋" w:hAnsi="仿宋" w:eastAsia="仿宋"/>
          <w:color w:val="auto"/>
          <w:sz w:val="32"/>
          <w:szCs w:val="32"/>
        </w:rPr>
      </w:pPr>
      <w:r>
        <w:rPr>
          <w:rFonts w:ascii="仿宋" w:hAnsi="仿宋" w:eastAsia="仿宋"/>
          <w:color w:val="auto"/>
          <w:sz w:val="32"/>
          <w:szCs w:val="32"/>
        </w:rPr>
        <w:t>5.</w:t>
      </w:r>
      <w:r>
        <w:rPr>
          <w:rFonts w:hint="eastAsia" w:ascii="仿宋" w:hAnsi="仿宋" w:eastAsia="仿宋"/>
          <w:color w:val="auto"/>
          <w:sz w:val="32"/>
          <w:szCs w:val="32"/>
        </w:rPr>
        <w:t>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r>
        <w:rPr>
          <w:rFonts w:ascii="仿宋" w:hAnsi="仿宋" w:eastAsia="仿宋"/>
          <w:color w:val="auto"/>
          <w:sz w:val="32"/>
          <w:szCs w:val="32"/>
        </w:rPr>
        <w:t xml:space="preserve"> </w:t>
      </w:r>
    </w:p>
    <w:p w14:paraId="338043AC">
      <w:pPr>
        <w:spacing w:line="600" w:lineRule="exact"/>
        <w:ind w:firstLine="640"/>
        <w:rPr>
          <w:rFonts w:ascii="仿宋" w:hAnsi="仿宋" w:eastAsia="仿宋"/>
          <w:color w:val="auto"/>
          <w:sz w:val="32"/>
          <w:szCs w:val="32"/>
        </w:rPr>
      </w:pPr>
      <w:r>
        <w:rPr>
          <w:rFonts w:ascii="仿宋" w:hAnsi="仿宋" w:eastAsia="仿宋"/>
          <w:color w:val="auto"/>
          <w:sz w:val="32"/>
          <w:szCs w:val="32"/>
        </w:rPr>
        <w:t>6.</w:t>
      </w:r>
      <w:r>
        <w:rPr>
          <w:rFonts w:hint="eastAsia" w:ascii="仿宋" w:hAnsi="仿宋" w:eastAsia="仿宋"/>
          <w:color w:val="auto"/>
          <w:sz w:val="32"/>
          <w:szCs w:val="32"/>
        </w:rPr>
        <w:t>年初结转和结余：指以前年度尚未完成、结转到本年按有关规定继续使用的资金。</w:t>
      </w:r>
      <w:r>
        <w:rPr>
          <w:rFonts w:ascii="仿宋" w:hAnsi="仿宋" w:eastAsia="仿宋"/>
          <w:color w:val="auto"/>
          <w:sz w:val="32"/>
          <w:szCs w:val="32"/>
        </w:rPr>
        <w:t xml:space="preserve"> </w:t>
      </w:r>
    </w:p>
    <w:p w14:paraId="61AA09FF">
      <w:pPr>
        <w:spacing w:line="600" w:lineRule="exact"/>
        <w:ind w:firstLine="640"/>
        <w:rPr>
          <w:rFonts w:ascii="仿宋" w:hAnsi="仿宋" w:eastAsia="仿宋"/>
          <w:color w:val="auto"/>
          <w:sz w:val="32"/>
          <w:szCs w:val="32"/>
        </w:rPr>
      </w:pPr>
      <w:r>
        <w:rPr>
          <w:rFonts w:ascii="仿宋" w:hAnsi="仿宋" w:eastAsia="仿宋"/>
          <w:color w:val="auto"/>
          <w:sz w:val="32"/>
          <w:szCs w:val="32"/>
        </w:rPr>
        <w:t>7.</w:t>
      </w:r>
      <w:r>
        <w:rPr>
          <w:rFonts w:hint="eastAsia" w:ascii="仿宋" w:hAnsi="仿宋" w:eastAsia="仿宋"/>
          <w:color w:val="auto"/>
          <w:sz w:val="32"/>
          <w:szCs w:val="32"/>
        </w:rPr>
        <w:t>结余分配：指事业单位按照事业单位会计制度的规定从非财政补助结余中分配的事业基金和职工福利基金等。</w:t>
      </w:r>
    </w:p>
    <w:p w14:paraId="058D5967">
      <w:pPr>
        <w:spacing w:line="600" w:lineRule="exact"/>
        <w:ind w:firstLine="640"/>
        <w:rPr>
          <w:rFonts w:ascii="仿宋" w:hAnsi="仿宋" w:eastAsia="仿宋"/>
          <w:color w:val="auto"/>
          <w:sz w:val="32"/>
          <w:szCs w:val="32"/>
        </w:rPr>
      </w:pPr>
      <w:r>
        <w:rPr>
          <w:rFonts w:ascii="仿宋" w:hAnsi="仿宋" w:eastAsia="仿宋"/>
          <w:color w:val="auto"/>
          <w:sz w:val="32"/>
          <w:szCs w:val="32"/>
        </w:rPr>
        <w:t>8</w:t>
      </w:r>
      <w:r>
        <w:rPr>
          <w:rFonts w:hint="eastAsia" w:ascii="仿宋" w:hAnsi="仿宋" w:eastAsia="仿宋"/>
          <w:color w:val="auto"/>
          <w:sz w:val="32"/>
          <w:szCs w:val="32"/>
        </w:rPr>
        <w:t>.年末结转和结余：指单位按有关规定结转到下年或以后年度继续使用的资金。</w:t>
      </w:r>
    </w:p>
    <w:p w14:paraId="54F01FEA">
      <w:pPr>
        <w:spacing w:line="600" w:lineRule="exact"/>
        <w:ind w:firstLine="640"/>
        <w:rPr>
          <w:rFonts w:ascii="仿宋" w:hAnsi="仿宋" w:eastAsia="仿宋"/>
          <w:color w:val="auto"/>
          <w:sz w:val="32"/>
          <w:szCs w:val="32"/>
        </w:rPr>
      </w:pPr>
      <w:r>
        <w:rPr>
          <w:rFonts w:hint="eastAsia" w:ascii="仿宋" w:hAnsi="仿宋" w:eastAsia="仿宋"/>
          <w:color w:val="auto"/>
          <w:sz w:val="32"/>
          <w:szCs w:val="32"/>
        </w:rPr>
        <w:t>9.社会保障和就业支出（208）行政事业单位养老支出（20805）机关事业单位基本养老保险缴费支出（2080505）：反映机关事业单位实施养老保险制度由单位缴纳的基本养老保险费支出。</w:t>
      </w:r>
      <w:r>
        <w:rPr>
          <w:rFonts w:hint="eastAsia" w:ascii="仿宋" w:hAnsi="仿宋" w:eastAsia="仿宋"/>
          <w:color w:val="auto"/>
          <w:sz w:val="32"/>
          <w:szCs w:val="32"/>
        </w:rPr>
        <w:cr/>
      </w:r>
      <w:r>
        <w:rPr>
          <w:rFonts w:hint="eastAsia" w:ascii="仿宋" w:hAnsi="仿宋" w:eastAsia="仿宋"/>
          <w:color w:val="auto"/>
          <w:sz w:val="32"/>
          <w:szCs w:val="32"/>
        </w:rPr>
        <w:t xml:space="preserve">    10.社会保障和就业支出（208）行政事业单位养老支出（20805）机关事业单位职业年金缴费支出（2080506）：反映机关事业单位实施养老保险制度由单位实际缴纳的职业年金支出。</w:t>
      </w:r>
      <w:r>
        <w:rPr>
          <w:rFonts w:hint="eastAsia" w:ascii="仿宋" w:hAnsi="仿宋" w:eastAsia="仿宋"/>
          <w:color w:val="auto"/>
          <w:sz w:val="32"/>
          <w:szCs w:val="32"/>
        </w:rPr>
        <w:cr/>
      </w:r>
      <w:r>
        <w:rPr>
          <w:rFonts w:hint="eastAsia" w:ascii="仿宋" w:hAnsi="仿宋" w:eastAsia="仿宋"/>
          <w:color w:val="auto"/>
          <w:sz w:val="32"/>
          <w:szCs w:val="32"/>
        </w:rPr>
        <w:t xml:space="preserve">    11.卫生健康支出（210）行政事业单位医疗（21011）行政单位医疗（2101101）：反映财政部门安排的行政单位（包括实行公务员管理的事业单位，下同）基本医疗保险缴费经费，未参加医疗保险的行政单位的公费医疗经费，按国家规定享受离休人员、红军老战士待遇人员的医疗经费。</w:t>
      </w:r>
      <w:r>
        <w:rPr>
          <w:rFonts w:hint="eastAsia" w:ascii="仿宋" w:hAnsi="仿宋" w:eastAsia="仿宋"/>
          <w:color w:val="auto"/>
          <w:sz w:val="32"/>
          <w:szCs w:val="32"/>
        </w:rPr>
        <w:cr/>
      </w:r>
      <w:r>
        <w:rPr>
          <w:rFonts w:hint="eastAsia" w:ascii="仿宋" w:hAnsi="仿宋" w:eastAsia="仿宋"/>
          <w:color w:val="auto"/>
          <w:sz w:val="32"/>
          <w:szCs w:val="32"/>
        </w:rPr>
        <w:t xml:space="preserve">    12.卫生健康支出（210）行政事业单位医疗（21011）公务员医疗补助（2101103）：反映财政部门安排的公务员医疗补助经费。</w:t>
      </w:r>
      <w:r>
        <w:rPr>
          <w:rFonts w:hint="eastAsia" w:ascii="仿宋" w:hAnsi="仿宋" w:eastAsia="仿宋"/>
          <w:color w:val="auto"/>
          <w:sz w:val="32"/>
          <w:szCs w:val="32"/>
        </w:rPr>
        <w:cr/>
      </w:r>
      <w:r>
        <w:rPr>
          <w:rFonts w:hint="eastAsia" w:ascii="仿宋" w:hAnsi="仿宋" w:eastAsia="仿宋"/>
          <w:color w:val="auto"/>
          <w:sz w:val="32"/>
          <w:szCs w:val="32"/>
        </w:rPr>
        <w:t xml:space="preserve">    13.节能环保支出（211）环境保护管理事务（21101）行政运行（2110101）：反映行政单位（包括实行公务员管理的事业单位）的基本支出。</w:t>
      </w:r>
      <w:r>
        <w:rPr>
          <w:rFonts w:hint="eastAsia" w:ascii="仿宋" w:hAnsi="仿宋" w:eastAsia="仿宋"/>
          <w:color w:val="auto"/>
          <w:sz w:val="32"/>
          <w:szCs w:val="32"/>
        </w:rPr>
        <w:cr/>
      </w:r>
      <w:r>
        <w:rPr>
          <w:rFonts w:hint="eastAsia" w:ascii="仿宋" w:hAnsi="仿宋" w:eastAsia="仿宋"/>
          <w:color w:val="auto"/>
          <w:sz w:val="32"/>
          <w:szCs w:val="32"/>
        </w:rPr>
        <w:t xml:space="preserve">    14.节能环保支出（211）环境保护管理事务（21101）生态环境保护宣传（2110104）：反映生态环境部门环境保护宣传教育方面的支出。</w:t>
      </w:r>
      <w:r>
        <w:rPr>
          <w:rFonts w:hint="eastAsia" w:ascii="仿宋" w:hAnsi="仿宋" w:eastAsia="仿宋"/>
          <w:color w:val="auto"/>
          <w:sz w:val="32"/>
          <w:szCs w:val="32"/>
        </w:rPr>
        <w:cr/>
      </w:r>
      <w:r>
        <w:rPr>
          <w:rFonts w:hint="eastAsia" w:ascii="仿宋" w:hAnsi="仿宋" w:eastAsia="仿宋"/>
          <w:color w:val="auto"/>
          <w:sz w:val="32"/>
          <w:szCs w:val="32"/>
        </w:rPr>
        <w:t xml:space="preserve">    15.节能环保支出（211）环境监测与监察（21102）其他环境监测与监察支出（2110299）：反映除上述项目以外其他用于环境监测与监察方面的支出。</w:t>
      </w:r>
      <w:r>
        <w:rPr>
          <w:rFonts w:hint="eastAsia" w:ascii="仿宋" w:hAnsi="仿宋" w:eastAsia="仿宋"/>
          <w:color w:val="auto"/>
          <w:sz w:val="32"/>
          <w:szCs w:val="32"/>
        </w:rPr>
        <w:cr/>
      </w:r>
      <w:r>
        <w:rPr>
          <w:rFonts w:hint="eastAsia" w:ascii="仿宋" w:hAnsi="仿宋" w:eastAsia="仿宋"/>
          <w:color w:val="auto"/>
          <w:sz w:val="32"/>
          <w:szCs w:val="32"/>
        </w:rPr>
        <w:t xml:space="preserve">    16.节能环保支出（211）其他节能环保支出（21199）其他节能环保支出（2119999）：反映除上述项目以外其他用于节能环保方面的支出。</w:t>
      </w:r>
      <w:r>
        <w:rPr>
          <w:rFonts w:hint="eastAsia" w:ascii="仿宋" w:hAnsi="仿宋" w:eastAsia="仿宋"/>
          <w:color w:val="auto"/>
          <w:sz w:val="32"/>
          <w:szCs w:val="32"/>
        </w:rPr>
        <w:cr/>
      </w:r>
      <w:r>
        <w:rPr>
          <w:rFonts w:hint="eastAsia" w:ascii="仿宋" w:hAnsi="仿宋" w:eastAsia="仿宋"/>
          <w:color w:val="auto"/>
          <w:sz w:val="32"/>
          <w:szCs w:val="32"/>
        </w:rPr>
        <w:t xml:space="preserve">    17.住房保障支出（221）住房改革支出（22102）住房公积金（2210201）：反映行政事业单位按人力资源和社会保障部、财政部规定的基本工资和津贴补贴以及规定比例为职工缴纳的住房公积金。</w:t>
      </w:r>
    </w:p>
    <w:p w14:paraId="2D05D83F">
      <w:pPr>
        <w:spacing w:line="600" w:lineRule="exact"/>
        <w:ind w:firstLine="640"/>
        <w:rPr>
          <w:rFonts w:ascii="仿宋" w:hAnsi="仿宋" w:eastAsia="仿宋"/>
          <w:color w:val="auto"/>
          <w:sz w:val="32"/>
          <w:szCs w:val="32"/>
        </w:rPr>
      </w:pPr>
      <w:r>
        <w:rPr>
          <w:rFonts w:hint="eastAsia" w:ascii="仿宋" w:hAnsi="仿宋" w:eastAsia="仿宋"/>
          <w:color w:val="auto"/>
          <w:sz w:val="32"/>
          <w:szCs w:val="32"/>
        </w:rPr>
        <w:t>18.基本支出：指为保障机构正常运转、完成日常工作任务而发生的人员支出和公用支出。</w:t>
      </w:r>
    </w:p>
    <w:p w14:paraId="75B121CF">
      <w:pPr>
        <w:spacing w:line="600" w:lineRule="exact"/>
        <w:ind w:firstLine="640"/>
        <w:rPr>
          <w:rFonts w:ascii="仿宋" w:hAnsi="仿宋" w:eastAsia="仿宋"/>
          <w:color w:val="auto"/>
          <w:sz w:val="32"/>
          <w:szCs w:val="32"/>
        </w:rPr>
      </w:pPr>
      <w:r>
        <w:rPr>
          <w:rFonts w:hint="eastAsia" w:ascii="仿宋" w:hAnsi="仿宋" w:eastAsia="仿宋"/>
          <w:color w:val="auto"/>
          <w:sz w:val="32"/>
          <w:szCs w:val="32"/>
        </w:rPr>
        <w:t xml:space="preserve">19.项目支出：指在基本支出之外为完成特定行政任务和事业发展目标所发生的支出。 </w:t>
      </w:r>
    </w:p>
    <w:p w14:paraId="1C053CC5">
      <w:pPr>
        <w:spacing w:line="600" w:lineRule="exact"/>
        <w:ind w:firstLine="640"/>
        <w:rPr>
          <w:rFonts w:ascii="仿宋" w:hAnsi="仿宋" w:eastAsia="仿宋"/>
          <w:color w:val="auto"/>
          <w:sz w:val="32"/>
          <w:szCs w:val="32"/>
        </w:rPr>
      </w:pPr>
      <w:r>
        <w:rPr>
          <w:rFonts w:hint="eastAsia" w:ascii="仿宋" w:hAnsi="仿宋" w:eastAsia="仿宋"/>
          <w:color w:val="auto"/>
          <w:sz w:val="32"/>
          <w:szCs w:val="32"/>
        </w:rPr>
        <w:t>20.经营支出：指事业单位在专业业务活动及其辅助活动之外开展非独立核算经营活动发生的支出。</w:t>
      </w:r>
    </w:p>
    <w:p w14:paraId="2006A2FC">
      <w:pPr>
        <w:spacing w:line="600" w:lineRule="exact"/>
        <w:ind w:firstLine="640"/>
        <w:rPr>
          <w:rFonts w:ascii="仿宋" w:hAnsi="仿宋" w:eastAsia="仿宋"/>
          <w:color w:val="auto"/>
          <w:sz w:val="32"/>
          <w:szCs w:val="32"/>
        </w:rPr>
      </w:pPr>
      <w:r>
        <w:rPr>
          <w:rFonts w:hint="eastAsia" w:ascii="仿宋" w:hAnsi="仿宋" w:eastAsia="仿宋"/>
          <w:color w:val="auto"/>
          <w:sz w:val="32"/>
          <w:szCs w:val="32"/>
        </w:rPr>
        <w:t>21.“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377B5E1">
      <w:pPr>
        <w:spacing w:line="600" w:lineRule="exact"/>
        <w:ind w:firstLine="640"/>
        <w:rPr>
          <w:rFonts w:ascii="仿宋" w:hAnsi="仿宋" w:eastAsia="仿宋"/>
          <w:color w:val="auto"/>
          <w:sz w:val="32"/>
          <w:szCs w:val="32"/>
        </w:rPr>
      </w:pPr>
      <w:r>
        <w:rPr>
          <w:rFonts w:hint="eastAsia" w:ascii="仿宋" w:hAnsi="仿宋" w:eastAsia="仿宋"/>
          <w:color w:val="auto"/>
          <w:sz w:val="32"/>
          <w:szCs w:val="32"/>
        </w:rPr>
        <w:t>22.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5F3DB07">
      <w:pPr>
        <w:spacing w:line="600" w:lineRule="exact"/>
        <w:ind w:firstLine="640"/>
        <w:rPr>
          <w:rFonts w:ascii="仿宋_GB2312" w:eastAsia="仿宋_GB2312" w:cs="黑体"/>
          <w:color w:val="auto"/>
          <w:sz w:val="32"/>
          <w:szCs w:val="32"/>
        </w:rPr>
      </w:pPr>
      <w:r>
        <w:rPr>
          <w:rFonts w:hint="eastAsia" w:ascii="仿宋" w:hAnsi="仿宋" w:eastAsia="仿宋"/>
          <w:color w:val="auto"/>
          <w:sz w:val="32"/>
          <w:szCs w:val="32"/>
        </w:rPr>
        <w:t>.财政应返还额度：为行政事业单位会计核算科目，用于核算实行国库集中支付的行政事业单位应收财政返还的资金额度。</w:t>
      </w:r>
    </w:p>
    <w:p w14:paraId="2F548A4D">
      <w:pPr>
        <w:widowControl/>
        <w:jc w:val="left"/>
        <w:rPr>
          <w:rStyle w:val="30"/>
          <w:rFonts w:ascii="黑体" w:hAnsi="黑体" w:eastAsia="黑体"/>
          <w:color w:val="auto"/>
        </w:rPr>
      </w:pPr>
      <w:r>
        <w:rPr>
          <w:rStyle w:val="30"/>
          <w:rFonts w:ascii="黑体" w:hAnsi="黑体" w:eastAsia="黑体"/>
          <w:color w:val="auto"/>
        </w:rPr>
        <w:br w:type="page"/>
      </w:r>
    </w:p>
    <w:p w14:paraId="6F41F4C3">
      <w:pPr>
        <w:spacing w:line="600" w:lineRule="exact"/>
        <w:jc w:val="center"/>
        <w:rPr>
          <w:rStyle w:val="30"/>
          <w:rFonts w:hint="eastAsia" w:ascii="Times New Roman" w:hAnsi="Times New Roman" w:eastAsia="黑体"/>
          <w:b w:val="0"/>
          <w:color w:val="auto"/>
          <w:highlight w:val="none"/>
          <w:lang w:eastAsia="zh-CN"/>
        </w:rPr>
      </w:pPr>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9"/>
    </w:p>
    <w:p w14:paraId="2AECC91D">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225BA96A">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27E3C4CE">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346581E5">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color w:val="auto"/>
          <w:sz w:val="44"/>
          <w:szCs w:val="44"/>
          <w:highlight w:val="none"/>
          <w:shd w:val="clear" w:color="auto" w:fill="FFFFFF"/>
        </w:rPr>
      </w:pPr>
      <w:r>
        <w:rPr>
          <w:rFonts w:hint="default" w:ascii="Times New Roman" w:hAnsi="Times New Roman" w:eastAsia="方正小标宋简体" w:cs="Times New Roman"/>
          <w:b w:val="0"/>
          <w:bCs/>
          <w:color w:val="auto"/>
          <w:sz w:val="44"/>
          <w:szCs w:val="44"/>
          <w:highlight w:val="none"/>
          <w:shd w:val="clear" w:color="auto" w:fill="FFFFFF"/>
        </w:rPr>
        <w:t>部门</w:t>
      </w:r>
      <w:r>
        <w:rPr>
          <w:rFonts w:hint="default" w:ascii="Times New Roman" w:hAnsi="Times New Roman" w:eastAsia="方正小标宋简体" w:cs="Times New Roman"/>
          <w:b w:val="0"/>
          <w:bCs/>
          <w:color w:val="auto"/>
          <w:sz w:val="44"/>
          <w:szCs w:val="44"/>
          <w:highlight w:val="none"/>
          <w:shd w:val="clear" w:color="auto" w:fill="FFFFFF"/>
          <w:lang w:eastAsia="zh-CN"/>
        </w:rPr>
        <w:t>预算</w:t>
      </w:r>
      <w:r>
        <w:rPr>
          <w:rFonts w:hint="default" w:ascii="Times New Roman" w:hAnsi="Times New Roman" w:eastAsia="方正小标宋简体" w:cs="Times New Roman"/>
          <w:b w:val="0"/>
          <w:bCs/>
          <w:color w:val="auto"/>
          <w:sz w:val="44"/>
          <w:szCs w:val="44"/>
          <w:highlight w:val="none"/>
          <w:shd w:val="clear" w:color="auto" w:fill="FFFFFF"/>
        </w:rPr>
        <w:t>绩效</w:t>
      </w:r>
      <w:r>
        <w:rPr>
          <w:rFonts w:hint="eastAsia" w:ascii="Times New Roman" w:hAnsi="Times New Roman" w:eastAsia="方正小标宋简体" w:cs="Times New Roman"/>
          <w:b w:val="0"/>
          <w:bCs/>
          <w:color w:val="auto"/>
          <w:sz w:val="44"/>
          <w:szCs w:val="44"/>
          <w:highlight w:val="none"/>
          <w:shd w:val="clear" w:color="auto" w:fill="FFFFFF"/>
          <w:lang w:eastAsia="zh-CN"/>
        </w:rPr>
        <w:t>评价</w:t>
      </w:r>
      <w:r>
        <w:rPr>
          <w:rFonts w:hint="default" w:ascii="Times New Roman" w:hAnsi="Times New Roman" w:eastAsia="方正小标宋简体" w:cs="Times New Roman"/>
          <w:b w:val="0"/>
          <w:bCs/>
          <w:color w:val="auto"/>
          <w:sz w:val="44"/>
          <w:szCs w:val="44"/>
          <w:highlight w:val="none"/>
          <w:shd w:val="clear" w:color="auto" w:fill="FFFFFF"/>
        </w:rPr>
        <w:t>报告范本</w:t>
      </w:r>
    </w:p>
    <w:p w14:paraId="3941CF07">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（报告范围包括机关和下属单位）</w:t>
      </w:r>
    </w:p>
    <w:p w14:paraId="311DDDE0">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auto"/>
          <w:kern w:val="0"/>
          <w:sz w:val="24"/>
          <w:szCs w:val="32"/>
          <w:highlight w:val="none"/>
          <w:shd w:val="clear" w:color="auto" w:fill="FFFFFF"/>
        </w:rPr>
      </w:pPr>
    </w:p>
    <w:p w14:paraId="762B398B">
      <w:pPr>
        <w:widowControl/>
        <w:adjustRightInd w:val="0"/>
        <w:snapToGrid w:val="0"/>
        <w:spacing w:line="578" w:lineRule="exact"/>
        <w:ind w:firstLine="640" w:firstLineChars="200"/>
        <w:contextualSpacing/>
        <w:jc w:val="left"/>
        <w:rPr>
          <w:rFonts w:ascii="黑体" w:hAnsi="黑体" w:eastAsia="黑体"/>
          <w:color w:val="auto"/>
          <w:sz w:val="32"/>
          <w:szCs w:val="32"/>
        </w:rPr>
      </w:pPr>
      <w:r>
        <w:rPr>
          <w:rFonts w:hint="eastAsia" w:ascii="黑体" w:hAnsi="黑体" w:eastAsia="黑体"/>
          <w:color w:val="auto"/>
          <w:kern w:val="0"/>
          <w:sz w:val="32"/>
          <w:szCs w:val="32"/>
          <w:shd w:val="clear" w:color="auto" w:fill="FFFFFF"/>
          <w:lang w:val="zh-CN"/>
        </w:rPr>
        <w:t>一、</w:t>
      </w:r>
      <w:r>
        <w:rPr>
          <w:rFonts w:ascii="黑体" w:hAnsi="黑体" w:eastAsia="黑体"/>
          <w:color w:val="auto"/>
          <w:kern w:val="0"/>
          <w:sz w:val="32"/>
          <w:szCs w:val="32"/>
          <w:shd w:val="clear" w:color="auto" w:fill="FFFFFF"/>
          <w:lang w:val="zh-CN"/>
        </w:rPr>
        <w:t>部门（单位）基本情况</w:t>
      </w:r>
    </w:p>
    <w:p w14:paraId="4F71A68E">
      <w:pPr>
        <w:widowControl/>
        <w:adjustRightInd w:val="0"/>
        <w:snapToGrid w:val="0"/>
        <w:spacing w:line="600" w:lineRule="exact"/>
        <w:ind w:firstLine="643" w:firstLineChars="200"/>
        <w:jc w:val="left"/>
        <w:rPr>
          <w:rFonts w:ascii="仿宋" w:hAnsi="仿宋" w:eastAsia="仿宋"/>
          <w:b/>
          <w:bCs/>
          <w:color w:val="auto"/>
          <w:kern w:val="0"/>
          <w:sz w:val="32"/>
          <w:szCs w:val="32"/>
          <w:shd w:val="clear" w:color="auto" w:fill="FFFFFF"/>
          <w:lang w:val="zh-CN"/>
        </w:rPr>
      </w:pPr>
      <w:r>
        <w:rPr>
          <w:rFonts w:hint="eastAsia" w:ascii="仿宋" w:hAnsi="仿宋" w:eastAsia="仿宋"/>
          <w:b/>
          <w:bCs/>
          <w:color w:val="auto"/>
          <w:kern w:val="0"/>
          <w:sz w:val="32"/>
          <w:szCs w:val="32"/>
          <w:shd w:val="clear" w:color="auto" w:fill="FFFFFF"/>
          <w:lang w:val="zh-CN"/>
        </w:rPr>
        <w:t>（一）</w:t>
      </w:r>
      <w:r>
        <w:rPr>
          <w:rFonts w:ascii="仿宋" w:hAnsi="仿宋" w:eastAsia="仿宋"/>
          <w:b/>
          <w:bCs/>
          <w:color w:val="auto"/>
          <w:kern w:val="0"/>
          <w:sz w:val="32"/>
          <w:szCs w:val="32"/>
          <w:shd w:val="clear" w:color="auto" w:fill="FFFFFF"/>
          <w:lang w:val="zh-CN"/>
        </w:rPr>
        <w:t>机构组成。</w:t>
      </w:r>
    </w:p>
    <w:p w14:paraId="07CE2D70">
      <w:pPr>
        <w:widowControl/>
        <w:adjustRightInd w:val="0"/>
        <w:snapToGrid w:val="0"/>
        <w:spacing w:line="576" w:lineRule="exact"/>
        <w:ind w:firstLine="640" w:firstLineChars="200"/>
        <w:contextualSpacing/>
        <w:jc w:val="left"/>
        <w:rPr>
          <w:rFonts w:ascii="仿宋" w:hAnsi="仿宋" w:eastAsia="仿宋" w:cs="仿宋_GB2312"/>
          <w:color w:val="auto"/>
          <w:sz w:val="32"/>
          <w:szCs w:val="32"/>
        </w:rPr>
      </w:pPr>
      <w:r>
        <w:rPr>
          <w:rFonts w:hint="eastAsia" w:ascii="仿宋" w:hAnsi="仿宋" w:eastAsia="仿宋" w:cs="仿宋_GB2312"/>
          <w:color w:val="auto"/>
          <w:sz w:val="32"/>
          <w:szCs w:val="32"/>
        </w:rPr>
        <w:t>四川省阿坝州</w:t>
      </w:r>
      <w:r>
        <w:rPr>
          <w:rFonts w:hint="eastAsia" w:ascii="仿宋" w:hAnsi="仿宋" w:eastAsia="仿宋" w:cs="仿宋_GB2312"/>
          <w:color w:val="auto"/>
          <w:sz w:val="32"/>
          <w:szCs w:val="32"/>
          <w:lang w:eastAsia="zh-CN"/>
        </w:rPr>
        <w:t>松潘</w:t>
      </w:r>
      <w:r>
        <w:rPr>
          <w:rFonts w:hint="eastAsia" w:ascii="仿宋" w:hAnsi="仿宋" w:eastAsia="仿宋" w:cs="仿宋_GB2312"/>
          <w:color w:val="auto"/>
          <w:sz w:val="32"/>
          <w:szCs w:val="32"/>
        </w:rPr>
        <w:t>生态环境局属行政单位1个，独立编制机构数1个，机构编制数为4个（局、中心、监测站、执法大队）。</w:t>
      </w:r>
    </w:p>
    <w:p w14:paraId="1CFCAEF9">
      <w:pPr>
        <w:widowControl/>
        <w:adjustRightInd w:val="0"/>
        <w:snapToGrid w:val="0"/>
        <w:spacing w:line="578" w:lineRule="exact"/>
        <w:ind w:firstLine="643" w:firstLineChars="200"/>
        <w:contextualSpacing/>
        <w:jc w:val="left"/>
        <w:rPr>
          <w:rFonts w:ascii="仿宋" w:hAnsi="仿宋" w:eastAsia="仿宋"/>
          <w:b/>
          <w:bCs/>
          <w:color w:val="auto"/>
          <w:kern w:val="0"/>
          <w:sz w:val="32"/>
          <w:szCs w:val="32"/>
          <w:shd w:val="clear" w:color="auto" w:fill="FFFFFF"/>
          <w:lang w:val="zh-CN"/>
        </w:rPr>
      </w:pPr>
      <w:r>
        <w:rPr>
          <w:rFonts w:ascii="仿宋" w:hAnsi="仿宋" w:eastAsia="仿宋"/>
          <w:b/>
          <w:bCs/>
          <w:color w:val="auto"/>
          <w:kern w:val="0"/>
          <w:sz w:val="32"/>
          <w:szCs w:val="32"/>
          <w:shd w:val="clear" w:color="auto" w:fill="FFFFFF"/>
          <w:lang w:val="zh-CN"/>
        </w:rPr>
        <w:t>（二）机构职能</w:t>
      </w:r>
      <w:r>
        <w:rPr>
          <w:rFonts w:hint="eastAsia" w:ascii="仿宋" w:hAnsi="仿宋" w:eastAsia="仿宋"/>
          <w:b/>
          <w:bCs/>
          <w:color w:val="auto"/>
          <w:kern w:val="0"/>
          <w:sz w:val="32"/>
          <w:szCs w:val="32"/>
          <w:shd w:val="clear" w:color="auto" w:fill="FFFFFF"/>
          <w:lang w:val="zh-CN"/>
        </w:rPr>
        <w:t>。</w:t>
      </w:r>
    </w:p>
    <w:p w14:paraId="643E0186">
      <w:pPr>
        <w:widowControl/>
        <w:adjustRightInd w:val="0"/>
        <w:snapToGrid w:val="0"/>
        <w:spacing w:line="576" w:lineRule="exact"/>
        <w:ind w:firstLine="640" w:firstLineChars="200"/>
        <w:contextualSpacing/>
        <w:jc w:val="left"/>
        <w:rPr>
          <w:rFonts w:ascii="仿宋" w:hAnsi="仿宋" w:eastAsia="仿宋" w:cs="仿宋_GB2312"/>
          <w:color w:val="auto"/>
          <w:sz w:val="32"/>
          <w:szCs w:val="32"/>
        </w:rPr>
      </w:pPr>
      <w:r>
        <w:rPr>
          <w:rFonts w:hint="eastAsia" w:ascii="仿宋" w:hAnsi="仿宋" w:eastAsia="仿宋" w:cs="仿宋_GB2312"/>
          <w:color w:val="auto"/>
          <w:sz w:val="32"/>
          <w:szCs w:val="32"/>
        </w:rPr>
        <w:t>1.贯彻执行有关环境保护、法规、规章、方针政策、决定、决议，并对执行情况进行监督。拟定环境保护、林业相关政策、发展战略、中长期规划及年度工作计划，起草相关法规并监督实施。会同有关部门拟定和监督实施重点区域、重点流域的污染防治规划、饮用水水原地环境保护规划。</w:t>
      </w:r>
    </w:p>
    <w:p w14:paraId="7FF50FF7">
      <w:pPr>
        <w:widowControl/>
        <w:adjustRightInd w:val="0"/>
        <w:snapToGrid w:val="0"/>
        <w:spacing w:line="576" w:lineRule="exact"/>
        <w:ind w:firstLine="640" w:firstLineChars="200"/>
        <w:contextualSpacing/>
        <w:jc w:val="left"/>
        <w:rPr>
          <w:rFonts w:ascii="仿宋" w:hAnsi="仿宋" w:eastAsia="仿宋" w:cs="仿宋_GB2312"/>
          <w:color w:val="auto"/>
          <w:sz w:val="32"/>
          <w:szCs w:val="32"/>
        </w:rPr>
      </w:pPr>
      <w:r>
        <w:rPr>
          <w:rFonts w:hint="eastAsia" w:ascii="仿宋" w:hAnsi="仿宋" w:eastAsia="仿宋" w:cs="仿宋_GB2312"/>
          <w:color w:val="auto"/>
          <w:sz w:val="32"/>
          <w:szCs w:val="32"/>
        </w:rPr>
        <w:t>2.受政府委托对重大经济发展规划以及重大经济开发计划进行环境影响评价，按照规定审批开发建设区域、项目环境影响评价文件。</w:t>
      </w:r>
    </w:p>
    <w:p w14:paraId="6733CA43">
      <w:pPr>
        <w:widowControl/>
        <w:adjustRightInd w:val="0"/>
        <w:snapToGrid w:val="0"/>
        <w:spacing w:line="576" w:lineRule="exact"/>
        <w:ind w:firstLine="640" w:firstLineChars="200"/>
        <w:contextualSpacing/>
        <w:jc w:val="left"/>
        <w:rPr>
          <w:rFonts w:ascii="仿宋" w:hAnsi="仿宋" w:eastAsia="仿宋" w:cs="仿宋_GB2312"/>
          <w:color w:val="auto"/>
          <w:sz w:val="32"/>
          <w:szCs w:val="32"/>
        </w:rPr>
      </w:pPr>
      <w:r>
        <w:rPr>
          <w:rFonts w:hint="eastAsia" w:ascii="仿宋" w:hAnsi="仿宋" w:eastAsia="仿宋" w:cs="仿宋_GB2312"/>
          <w:color w:val="auto"/>
          <w:sz w:val="32"/>
          <w:szCs w:val="32"/>
        </w:rPr>
        <w:t>3.贯彻执行国家、省、州分布的大气、水体、土壤、噪声、辐射、固体废物、有毒化学品及机动车污染防治的法律、法规及有关规定，并实施监督检查。</w:t>
      </w:r>
    </w:p>
    <w:p w14:paraId="03D92FC7">
      <w:pPr>
        <w:widowControl/>
        <w:adjustRightInd w:val="0"/>
        <w:snapToGrid w:val="0"/>
        <w:spacing w:line="576" w:lineRule="exact"/>
        <w:ind w:firstLine="640" w:firstLineChars="200"/>
        <w:contextualSpacing/>
        <w:jc w:val="left"/>
        <w:rPr>
          <w:rFonts w:ascii="仿宋" w:hAnsi="仿宋" w:eastAsia="仿宋" w:cs="仿宋_GB2312"/>
          <w:color w:val="auto"/>
          <w:sz w:val="32"/>
          <w:szCs w:val="32"/>
        </w:rPr>
      </w:pPr>
      <w:r>
        <w:rPr>
          <w:rFonts w:hint="eastAsia" w:ascii="仿宋" w:hAnsi="仿宋" w:eastAsia="仿宋" w:cs="仿宋_GB2312"/>
          <w:color w:val="auto"/>
          <w:sz w:val="32"/>
          <w:szCs w:val="32"/>
        </w:rPr>
        <w:t>4.依照规定对建筑项目的环境影响、排污收费、排污许可证、污染限期治理进行监督管理，督查、督办、核查污染物减排任务完成情况，组织实施环境保护目标责任制、总量减排考核工作。</w:t>
      </w:r>
    </w:p>
    <w:p w14:paraId="145AAF4E">
      <w:pPr>
        <w:widowControl/>
        <w:adjustRightInd w:val="0"/>
        <w:snapToGrid w:val="0"/>
        <w:spacing w:line="576" w:lineRule="exact"/>
        <w:ind w:firstLine="640" w:firstLineChars="200"/>
        <w:contextualSpacing/>
        <w:jc w:val="left"/>
        <w:rPr>
          <w:rFonts w:ascii="仿宋" w:hAnsi="仿宋" w:eastAsia="仿宋" w:cs="仿宋_GB2312"/>
          <w:color w:val="auto"/>
          <w:sz w:val="32"/>
          <w:szCs w:val="32"/>
        </w:rPr>
      </w:pPr>
      <w:r>
        <w:rPr>
          <w:rFonts w:hint="eastAsia" w:ascii="仿宋" w:hAnsi="仿宋" w:eastAsia="仿宋" w:cs="仿宋_GB2312"/>
          <w:color w:val="auto"/>
          <w:sz w:val="32"/>
          <w:szCs w:val="32"/>
        </w:rPr>
        <w:t>5.监督执行国家、省颁布的各类环境质量标准和污染物排放标准；监督管理环境污染物防治和城乡环境综合治理工作，协查处理污染物事故、生态破坏事件及污染纠纷。指导、协调县内各个部门以及跨地区、跨流域的重大环境问题；处理重大环境污染事故和生态破坏事件，归口管理全县环境监察、排污收费和环境保护行政稽查工作；组织开展全国环境保护执法检查活动。</w:t>
      </w:r>
    </w:p>
    <w:p w14:paraId="78E70899">
      <w:pPr>
        <w:widowControl/>
        <w:adjustRightInd w:val="0"/>
        <w:snapToGrid w:val="0"/>
        <w:spacing w:line="576" w:lineRule="exact"/>
        <w:ind w:firstLine="640" w:firstLineChars="200"/>
        <w:contextualSpacing/>
        <w:jc w:val="left"/>
        <w:rPr>
          <w:rFonts w:ascii="仿宋" w:hAnsi="仿宋" w:eastAsia="仿宋" w:cs="仿宋_GB2312"/>
          <w:color w:val="auto"/>
          <w:sz w:val="32"/>
          <w:szCs w:val="32"/>
        </w:rPr>
      </w:pPr>
      <w:r>
        <w:rPr>
          <w:rFonts w:hint="eastAsia" w:ascii="仿宋" w:hAnsi="仿宋" w:eastAsia="仿宋" w:cs="仿宋_GB2312"/>
          <w:color w:val="auto"/>
          <w:sz w:val="32"/>
          <w:szCs w:val="32"/>
        </w:rPr>
        <w:t>6.监督执行国家、省颁布的各类环境质量标准和污染物排放标准；审核城镇总体规划环境保护内容；组织编制全县环境质量报告书；发布全县环境状况公报；定期发布重要城（镇）和流域环境质量报告；参与编制全县可持续发展纲要。</w:t>
      </w:r>
    </w:p>
    <w:p w14:paraId="57501990">
      <w:pPr>
        <w:widowControl/>
        <w:adjustRightInd w:val="0"/>
        <w:snapToGrid w:val="0"/>
        <w:spacing w:line="576" w:lineRule="exact"/>
        <w:ind w:firstLine="640" w:firstLineChars="200"/>
        <w:contextualSpacing/>
        <w:jc w:val="left"/>
        <w:rPr>
          <w:rFonts w:ascii="仿宋" w:hAnsi="仿宋" w:eastAsia="仿宋" w:cs="仿宋_GB2312"/>
          <w:color w:val="auto"/>
          <w:sz w:val="32"/>
          <w:szCs w:val="32"/>
        </w:rPr>
      </w:pPr>
      <w:r>
        <w:rPr>
          <w:rFonts w:hint="eastAsia" w:ascii="仿宋" w:hAnsi="仿宋" w:eastAsia="仿宋" w:cs="仿宋_GB2312"/>
          <w:color w:val="auto"/>
          <w:sz w:val="32"/>
          <w:szCs w:val="32"/>
        </w:rPr>
        <w:t>7.负责环境监测、统计、信息工作，制定环境监测制度和管理规范，建设和管理全县环境信息网，组织环境质量监测和污染监督性监测。</w:t>
      </w:r>
    </w:p>
    <w:p w14:paraId="6F8C6BC5">
      <w:pPr>
        <w:pStyle w:val="37"/>
        <w:spacing w:before="0" w:line="360" w:lineRule="auto"/>
        <w:ind w:firstLine="627" w:firstLineChars="196"/>
        <w:rPr>
          <w:rFonts w:ascii="仿宋" w:hAnsi="仿宋" w:eastAsia="仿宋" w:cs="Times New Roman"/>
          <w:color w:val="auto"/>
          <w:kern w:val="2"/>
          <w:sz w:val="32"/>
          <w:szCs w:val="32"/>
        </w:rPr>
      </w:pPr>
      <w:r>
        <w:rPr>
          <w:rFonts w:hint="eastAsia" w:ascii="仿宋" w:hAnsi="仿宋" w:eastAsia="仿宋"/>
          <w:color w:val="auto"/>
          <w:sz w:val="32"/>
          <w:szCs w:val="32"/>
        </w:rPr>
        <w:t>8.负责核安全、辐射环境、放射性废物管理工作，贯彻执行国家、省有关方针、政策、法律、法规和标准、参与核事故、辐射环境事故应急工作，对核设施安全和电磁辐射、技术应用、放射性矿产资源开发利用中的污染防治工作实行监督管理。</w:t>
      </w:r>
    </w:p>
    <w:p w14:paraId="07D7A9B7">
      <w:pPr>
        <w:spacing w:line="600" w:lineRule="exact"/>
        <w:ind w:firstLine="643" w:firstLineChars="200"/>
        <w:rPr>
          <w:rFonts w:ascii="仿宋" w:hAnsi="仿宋" w:eastAsia="仿宋"/>
          <w:b/>
          <w:bCs/>
          <w:color w:val="auto"/>
          <w:kern w:val="0"/>
          <w:sz w:val="32"/>
          <w:szCs w:val="32"/>
          <w:shd w:val="clear" w:color="auto" w:fill="FFFFFF"/>
          <w:lang w:val="zh-CN"/>
        </w:rPr>
      </w:pPr>
      <w:r>
        <w:rPr>
          <w:rFonts w:ascii="仿宋" w:hAnsi="仿宋" w:eastAsia="仿宋"/>
          <w:b/>
          <w:bCs/>
          <w:color w:val="auto"/>
          <w:kern w:val="0"/>
          <w:sz w:val="32"/>
          <w:szCs w:val="32"/>
          <w:shd w:val="clear" w:color="auto" w:fill="FFFFFF"/>
          <w:lang w:val="zh-CN"/>
        </w:rPr>
        <w:t>（</w:t>
      </w:r>
      <w:r>
        <w:rPr>
          <w:rFonts w:hint="eastAsia" w:ascii="仿宋" w:hAnsi="仿宋" w:eastAsia="仿宋"/>
          <w:b/>
          <w:bCs/>
          <w:color w:val="auto"/>
          <w:kern w:val="0"/>
          <w:sz w:val="32"/>
          <w:szCs w:val="32"/>
          <w:shd w:val="clear" w:color="auto" w:fill="FFFFFF"/>
          <w:lang w:val="zh-CN"/>
        </w:rPr>
        <w:t>三</w:t>
      </w:r>
      <w:r>
        <w:rPr>
          <w:rFonts w:ascii="仿宋" w:hAnsi="仿宋" w:eastAsia="仿宋"/>
          <w:b/>
          <w:bCs/>
          <w:color w:val="auto"/>
          <w:kern w:val="0"/>
          <w:sz w:val="32"/>
          <w:szCs w:val="32"/>
          <w:shd w:val="clear" w:color="auto" w:fill="FFFFFF"/>
          <w:lang w:val="zh-CN"/>
        </w:rPr>
        <w:t>）人员概况</w:t>
      </w:r>
      <w:r>
        <w:rPr>
          <w:rFonts w:hint="eastAsia" w:ascii="仿宋" w:hAnsi="仿宋" w:eastAsia="仿宋"/>
          <w:b/>
          <w:bCs/>
          <w:color w:val="auto"/>
          <w:kern w:val="0"/>
          <w:sz w:val="32"/>
          <w:szCs w:val="32"/>
          <w:shd w:val="clear" w:color="auto" w:fill="FFFFFF"/>
          <w:lang w:val="zh-CN"/>
        </w:rPr>
        <w:t>。</w:t>
      </w:r>
    </w:p>
    <w:p w14:paraId="10CDF21A">
      <w:pPr>
        <w:widowControl/>
        <w:adjustRightInd w:val="0"/>
        <w:snapToGrid w:val="0"/>
        <w:spacing w:line="576" w:lineRule="exact"/>
        <w:ind w:firstLine="640" w:firstLineChars="200"/>
        <w:contextualSpacing/>
        <w:jc w:val="left"/>
        <w:rPr>
          <w:rFonts w:ascii="仿宋" w:hAnsi="仿宋" w:eastAsia="仿宋" w:cs="仿宋_GB2312"/>
          <w:color w:val="auto"/>
          <w:sz w:val="32"/>
          <w:szCs w:val="32"/>
        </w:rPr>
      </w:pPr>
      <w:r>
        <w:rPr>
          <w:rFonts w:hint="eastAsia" w:ascii="仿宋" w:hAnsi="仿宋" w:eastAsia="仿宋" w:cs="仿宋_GB2312"/>
          <w:color w:val="auto"/>
          <w:sz w:val="32"/>
          <w:szCs w:val="32"/>
        </w:rPr>
        <w:t>202</w:t>
      </w:r>
      <w:r>
        <w:rPr>
          <w:rFonts w:hint="eastAsia" w:ascii="仿宋" w:hAnsi="仿宋" w:eastAsia="仿宋" w:cs="仿宋_GB2312"/>
          <w:color w:val="auto"/>
          <w:sz w:val="32"/>
          <w:szCs w:val="32"/>
          <w:lang w:val="en-US" w:eastAsia="zh-CN"/>
        </w:rPr>
        <w:t>5</w:t>
      </w:r>
      <w:r>
        <w:rPr>
          <w:rFonts w:hint="eastAsia" w:ascii="仿宋" w:hAnsi="仿宋" w:eastAsia="仿宋" w:cs="仿宋_GB2312"/>
          <w:color w:val="auto"/>
          <w:sz w:val="32"/>
          <w:szCs w:val="32"/>
        </w:rPr>
        <w:t>年财政供养人员编制为</w:t>
      </w:r>
      <w:r>
        <w:rPr>
          <w:rFonts w:hint="eastAsia" w:ascii="仿宋" w:hAnsi="仿宋" w:eastAsia="仿宋" w:cs="仿宋_GB2312"/>
          <w:color w:val="auto"/>
          <w:sz w:val="32"/>
          <w:szCs w:val="32"/>
          <w:lang w:val="en-US" w:eastAsia="zh-CN"/>
        </w:rPr>
        <w:t>19</w:t>
      </w:r>
      <w:r>
        <w:rPr>
          <w:rFonts w:hint="eastAsia" w:ascii="仿宋" w:hAnsi="仿宋" w:eastAsia="仿宋" w:cs="仿宋_GB2312"/>
          <w:color w:val="auto"/>
          <w:sz w:val="32"/>
          <w:szCs w:val="32"/>
        </w:rPr>
        <w:t xml:space="preserve">名，其中行政编制 </w:t>
      </w:r>
      <w:r>
        <w:rPr>
          <w:rFonts w:hint="eastAsia" w:ascii="仿宋" w:hAnsi="仿宋" w:eastAsia="仿宋" w:cs="仿宋_GB2312"/>
          <w:color w:val="auto"/>
          <w:sz w:val="32"/>
          <w:szCs w:val="32"/>
          <w:lang w:val="en-US" w:eastAsia="zh-CN"/>
        </w:rPr>
        <w:t>3</w:t>
      </w:r>
      <w:r>
        <w:rPr>
          <w:rFonts w:hint="eastAsia" w:ascii="仿宋" w:hAnsi="仿宋" w:eastAsia="仿宋" w:cs="仿宋_GB2312"/>
          <w:color w:val="auto"/>
          <w:sz w:val="32"/>
          <w:szCs w:val="32"/>
        </w:rPr>
        <w:t>名，参公编制</w:t>
      </w:r>
      <w:r>
        <w:rPr>
          <w:rFonts w:hint="eastAsia" w:ascii="仿宋" w:hAnsi="仿宋" w:eastAsia="仿宋" w:cs="仿宋_GB2312"/>
          <w:color w:val="auto"/>
          <w:sz w:val="32"/>
          <w:szCs w:val="32"/>
          <w:lang w:val="en-US" w:eastAsia="zh-CN"/>
        </w:rPr>
        <w:t>13</w:t>
      </w:r>
      <w:r>
        <w:rPr>
          <w:rFonts w:hint="eastAsia" w:ascii="仿宋" w:hAnsi="仿宋" w:eastAsia="仿宋" w:cs="仿宋_GB2312"/>
          <w:color w:val="auto"/>
          <w:sz w:val="32"/>
          <w:szCs w:val="32"/>
        </w:rPr>
        <w:t>名，参公工勤编制</w:t>
      </w:r>
      <w:r>
        <w:rPr>
          <w:rFonts w:hint="eastAsia" w:ascii="仿宋" w:hAnsi="仿宋" w:eastAsia="仿宋" w:cs="仿宋_GB2312"/>
          <w:color w:val="auto"/>
          <w:sz w:val="32"/>
          <w:szCs w:val="32"/>
          <w:lang w:val="en-US" w:eastAsia="zh-CN"/>
        </w:rPr>
        <w:t>3</w:t>
      </w:r>
      <w:r>
        <w:rPr>
          <w:rFonts w:hint="eastAsia" w:ascii="仿宋" w:hAnsi="仿宋" w:eastAsia="仿宋" w:cs="仿宋_GB2312"/>
          <w:color w:val="auto"/>
          <w:sz w:val="32"/>
          <w:szCs w:val="32"/>
        </w:rPr>
        <w:t>名；202</w:t>
      </w:r>
      <w:r>
        <w:rPr>
          <w:rFonts w:hint="eastAsia" w:ascii="仿宋" w:hAnsi="仿宋" w:eastAsia="仿宋" w:cs="仿宋_GB2312"/>
          <w:color w:val="auto"/>
          <w:sz w:val="32"/>
          <w:szCs w:val="32"/>
          <w:lang w:val="en-US" w:eastAsia="zh-CN"/>
        </w:rPr>
        <w:t>5</w:t>
      </w:r>
      <w:r>
        <w:rPr>
          <w:rFonts w:hint="eastAsia" w:ascii="仿宋" w:hAnsi="仿宋" w:eastAsia="仿宋" w:cs="仿宋_GB2312"/>
          <w:color w:val="auto"/>
          <w:sz w:val="32"/>
          <w:szCs w:val="32"/>
        </w:rPr>
        <w:t>年单位实有人数</w:t>
      </w:r>
      <w:r>
        <w:rPr>
          <w:rFonts w:hint="eastAsia" w:ascii="仿宋" w:hAnsi="仿宋" w:eastAsia="仿宋" w:cs="仿宋_GB2312"/>
          <w:color w:val="auto"/>
          <w:sz w:val="32"/>
          <w:szCs w:val="32"/>
          <w:lang w:val="en-US" w:eastAsia="zh-CN"/>
        </w:rPr>
        <w:t>13</w:t>
      </w:r>
      <w:r>
        <w:rPr>
          <w:rFonts w:hint="eastAsia" w:ascii="仿宋" w:hAnsi="仿宋" w:eastAsia="仿宋" w:cs="仿宋_GB2312"/>
          <w:color w:val="auto"/>
          <w:sz w:val="32"/>
          <w:szCs w:val="32"/>
        </w:rPr>
        <w:t>人。退休</w:t>
      </w:r>
      <w:r>
        <w:rPr>
          <w:rFonts w:hint="eastAsia" w:ascii="仿宋" w:hAnsi="仿宋" w:eastAsia="仿宋" w:cs="仿宋_GB2312"/>
          <w:color w:val="auto"/>
          <w:sz w:val="32"/>
          <w:szCs w:val="32"/>
          <w:lang w:val="en-US" w:eastAsia="zh-CN"/>
        </w:rPr>
        <w:t>2</w:t>
      </w:r>
      <w:r>
        <w:rPr>
          <w:rFonts w:hint="eastAsia" w:ascii="仿宋" w:hAnsi="仿宋" w:eastAsia="仿宋" w:cs="仿宋_GB2312"/>
          <w:color w:val="auto"/>
          <w:sz w:val="32"/>
          <w:szCs w:val="32"/>
        </w:rPr>
        <w:t>人，工资由社保部门发放。</w:t>
      </w:r>
    </w:p>
    <w:p w14:paraId="1F9129CF">
      <w:pPr>
        <w:spacing w:line="600" w:lineRule="exact"/>
        <w:ind w:firstLine="640" w:firstLineChars="200"/>
        <w:rPr>
          <w:rFonts w:ascii="黑体" w:hAnsi="黑体" w:eastAsia="黑体"/>
          <w:color w:val="auto"/>
          <w:kern w:val="0"/>
          <w:sz w:val="32"/>
          <w:szCs w:val="32"/>
          <w:shd w:val="clear" w:color="auto" w:fill="FFFFFF"/>
        </w:rPr>
      </w:pPr>
      <w:r>
        <w:rPr>
          <w:rFonts w:ascii="黑体" w:hAnsi="黑体" w:eastAsia="黑体"/>
          <w:color w:val="auto"/>
          <w:kern w:val="0"/>
          <w:sz w:val="32"/>
          <w:szCs w:val="32"/>
          <w:shd w:val="clear" w:color="auto" w:fill="FFFFFF"/>
        </w:rPr>
        <w:t>二、部门资金收支情况</w:t>
      </w:r>
    </w:p>
    <w:p w14:paraId="6F7BEF28">
      <w:pPr>
        <w:pStyle w:val="37"/>
        <w:spacing w:before="0" w:line="360" w:lineRule="auto"/>
        <w:ind w:firstLine="630" w:firstLineChars="196"/>
        <w:rPr>
          <w:rFonts w:ascii="仿宋" w:hAnsi="仿宋" w:eastAsia="仿宋" w:cs="Times New Roman"/>
          <w:b/>
          <w:bCs/>
          <w:color w:val="auto"/>
          <w:sz w:val="32"/>
          <w:szCs w:val="32"/>
          <w:shd w:val="clear" w:color="auto" w:fill="FFFFFF"/>
          <w:lang w:val="zh-CN"/>
        </w:rPr>
      </w:pPr>
      <w:r>
        <w:rPr>
          <w:rFonts w:ascii="仿宋" w:hAnsi="仿宋" w:eastAsia="仿宋" w:cs="Times New Roman"/>
          <w:b/>
          <w:bCs/>
          <w:color w:val="auto"/>
          <w:sz w:val="32"/>
          <w:szCs w:val="32"/>
          <w:shd w:val="clear" w:color="auto" w:fill="FFFFFF"/>
          <w:lang w:val="zh-CN"/>
        </w:rPr>
        <w:t>（一）</w:t>
      </w:r>
      <w:r>
        <w:rPr>
          <w:rFonts w:hint="eastAsia" w:ascii="仿宋" w:hAnsi="仿宋" w:eastAsia="仿宋" w:cs="Times New Roman"/>
          <w:b/>
          <w:bCs/>
          <w:color w:val="auto"/>
          <w:sz w:val="32"/>
          <w:szCs w:val="32"/>
          <w:shd w:val="clear" w:color="auto" w:fill="FFFFFF"/>
          <w:lang w:val="zh-CN"/>
        </w:rPr>
        <w:t>收入情况</w:t>
      </w:r>
      <w:r>
        <w:rPr>
          <w:rFonts w:ascii="仿宋" w:hAnsi="仿宋" w:eastAsia="仿宋" w:cs="Times New Roman"/>
          <w:b/>
          <w:bCs/>
          <w:color w:val="auto"/>
          <w:sz w:val="32"/>
          <w:szCs w:val="32"/>
          <w:shd w:val="clear" w:color="auto" w:fill="FFFFFF"/>
          <w:lang w:val="zh-CN"/>
        </w:rPr>
        <w:t>。</w:t>
      </w:r>
    </w:p>
    <w:p w14:paraId="283E0398">
      <w:pPr>
        <w:widowControl/>
        <w:adjustRightInd w:val="0"/>
        <w:snapToGrid w:val="0"/>
        <w:spacing w:line="576" w:lineRule="exact"/>
        <w:ind w:firstLine="640" w:firstLineChars="200"/>
        <w:contextualSpacing/>
        <w:jc w:val="left"/>
        <w:rPr>
          <w:rFonts w:hint="eastAsia" w:ascii="仿宋" w:hAnsi="仿宋" w:eastAsia="仿宋" w:cs="仿宋_GB2312"/>
          <w:color w:val="auto"/>
          <w:sz w:val="32"/>
          <w:szCs w:val="32"/>
          <w:lang w:eastAsia="zh-CN"/>
        </w:rPr>
      </w:pPr>
      <w:r>
        <w:rPr>
          <w:rFonts w:hint="eastAsia" w:ascii="仿宋" w:hAnsi="仿宋" w:eastAsia="仿宋" w:cs="仿宋_GB2312"/>
          <w:color w:val="auto"/>
          <w:sz w:val="32"/>
          <w:szCs w:val="32"/>
        </w:rPr>
        <w:t>202</w:t>
      </w:r>
      <w:r>
        <w:rPr>
          <w:rFonts w:hint="eastAsia" w:ascii="仿宋" w:hAnsi="仿宋" w:eastAsia="仿宋" w:cs="仿宋_GB2312"/>
          <w:color w:val="auto"/>
          <w:sz w:val="32"/>
          <w:szCs w:val="32"/>
          <w:lang w:val="en-US" w:eastAsia="zh-CN"/>
        </w:rPr>
        <w:t>5</w:t>
      </w:r>
      <w:r>
        <w:rPr>
          <w:rFonts w:hint="eastAsia" w:ascii="仿宋" w:hAnsi="仿宋" w:eastAsia="仿宋" w:cs="仿宋_GB2312"/>
          <w:color w:val="auto"/>
          <w:sz w:val="32"/>
          <w:szCs w:val="32"/>
        </w:rPr>
        <w:t>年阿坝州</w:t>
      </w:r>
      <w:r>
        <w:rPr>
          <w:rFonts w:hint="eastAsia" w:ascii="仿宋" w:hAnsi="仿宋" w:eastAsia="仿宋" w:cs="仿宋_GB2312"/>
          <w:color w:val="auto"/>
          <w:sz w:val="32"/>
          <w:szCs w:val="32"/>
          <w:lang w:eastAsia="zh-CN"/>
        </w:rPr>
        <w:t>松潘</w:t>
      </w:r>
      <w:r>
        <w:rPr>
          <w:rFonts w:hint="eastAsia" w:ascii="仿宋" w:hAnsi="仿宋" w:eastAsia="仿宋" w:cs="仿宋_GB2312"/>
          <w:color w:val="auto"/>
          <w:sz w:val="32"/>
          <w:szCs w:val="32"/>
        </w:rPr>
        <w:t>生态环境局收入预算总额为</w:t>
      </w:r>
      <w:r>
        <w:rPr>
          <w:rFonts w:hint="eastAsia" w:ascii="仿宋" w:hAnsi="仿宋" w:eastAsia="仿宋" w:cs="仿宋_GB2312"/>
          <w:color w:val="auto"/>
          <w:sz w:val="32"/>
          <w:szCs w:val="32"/>
          <w:lang w:val="en-US" w:eastAsia="zh-CN"/>
        </w:rPr>
        <w:t>568.42</w:t>
      </w:r>
      <w:r>
        <w:rPr>
          <w:rFonts w:hint="eastAsia" w:ascii="仿宋" w:hAnsi="仿宋" w:eastAsia="仿宋" w:cs="仿宋_GB2312"/>
          <w:color w:val="auto"/>
          <w:sz w:val="32"/>
          <w:szCs w:val="32"/>
        </w:rPr>
        <w:t>万元，其中：当年财政拨款收</w:t>
      </w:r>
      <w:r>
        <w:rPr>
          <w:rFonts w:hint="eastAsia" w:ascii="仿宋" w:hAnsi="仿宋" w:eastAsia="仿宋" w:cs="仿宋_GB2312"/>
          <w:color w:val="auto"/>
          <w:sz w:val="32"/>
          <w:szCs w:val="32"/>
          <w:lang w:val="en-US" w:eastAsia="zh-CN"/>
        </w:rPr>
        <w:t>568.42</w:t>
      </w:r>
      <w:r>
        <w:rPr>
          <w:rFonts w:hint="eastAsia" w:ascii="仿宋" w:hAnsi="仿宋" w:eastAsia="仿宋" w:cs="仿宋_GB2312"/>
          <w:color w:val="auto"/>
          <w:sz w:val="32"/>
          <w:szCs w:val="32"/>
        </w:rPr>
        <w:t>万元</w:t>
      </w:r>
      <w:r>
        <w:rPr>
          <w:rFonts w:hint="eastAsia" w:ascii="仿宋" w:hAnsi="仿宋" w:eastAsia="仿宋" w:cs="仿宋_GB2312"/>
          <w:color w:val="auto"/>
          <w:sz w:val="32"/>
          <w:szCs w:val="32"/>
          <w:lang w:eastAsia="zh-CN"/>
        </w:rPr>
        <w:t>。相应安排支出预算</w:t>
      </w:r>
      <w:r>
        <w:rPr>
          <w:rFonts w:hint="eastAsia" w:ascii="仿宋" w:hAnsi="仿宋" w:eastAsia="仿宋" w:cs="仿宋_GB2312"/>
          <w:color w:val="auto"/>
          <w:sz w:val="32"/>
          <w:szCs w:val="32"/>
          <w:lang w:val="en-US" w:eastAsia="zh-CN"/>
        </w:rPr>
        <w:t>409.82</w:t>
      </w:r>
      <w:r>
        <w:rPr>
          <w:rFonts w:hint="eastAsia" w:ascii="仿宋" w:hAnsi="仿宋" w:eastAsia="仿宋" w:cs="仿宋_GB2312"/>
          <w:color w:val="auto"/>
          <w:sz w:val="32"/>
          <w:szCs w:val="32"/>
          <w:lang w:eastAsia="zh-CN"/>
        </w:rPr>
        <w:t>，其中：</w:t>
      </w:r>
      <w:r>
        <w:rPr>
          <w:rFonts w:hint="eastAsia" w:ascii="仿宋" w:hAnsi="仿宋" w:eastAsia="仿宋" w:cs="仿宋_GB2312"/>
          <w:color w:val="auto"/>
          <w:sz w:val="32"/>
          <w:szCs w:val="32"/>
        </w:rPr>
        <w:t>当年财政拨款收入</w:t>
      </w:r>
      <w:r>
        <w:rPr>
          <w:rFonts w:hint="eastAsia" w:ascii="仿宋" w:hAnsi="仿宋" w:eastAsia="仿宋" w:cs="仿宋_GB2312"/>
          <w:color w:val="auto"/>
          <w:sz w:val="32"/>
          <w:szCs w:val="32"/>
          <w:lang w:val="en-US" w:eastAsia="zh-CN"/>
        </w:rPr>
        <w:t>568.42</w:t>
      </w:r>
      <w:r>
        <w:rPr>
          <w:rFonts w:hint="eastAsia" w:ascii="仿宋" w:hAnsi="仿宋" w:eastAsia="仿宋" w:cs="仿宋_GB2312"/>
          <w:color w:val="auto"/>
          <w:sz w:val="32"/>
          <w:szCs w:val="32"/>
        </w:rPr>
        <w:t>万元，代管资金收入</w:t>
      </w:r>
      <w:r>
        <w:rPr>
          <w:rFonts w:hint="eastAsia" w:ascii="仿宋" w:hAnsi="仿宋" w:eastAsia="仿宋" w:cs="仿宋_GB2312"/>
          <w:color w:val="auto"/>
          <w:sz w:val="32"/>
          <w:szCs w:val="32"/>
          <w:lang w:val="en-US" w:eastAsia="zh-CN"/>
        </w:rPr>
        <w:t>158.6</w:t>
      </w:r>
      <w:r>
        <w:rPr>
          <w:rFonts w:hint="eastAsia" w:ascii="仿宋" w:hAnsi="仿宋" w:eastAsia="仿宋" w:cs="仿宋_GB2312"/>
          <w:color w:val="auto"/>
          <w:sz w:val="32"/>
          <w:szCs w:val="32"/>
        </w:rPr>
        <w:t>万元。相应安排支出预算</w:t>
      </w:r>
      <w:r>
        <w:rPr>
          <w:rFonts w:hint="eastAsia" w:ascii="仿宋" w:hAnsi="仿宋" w:eastAsia="仿宋" w:cs="仿宋_GB2312"/>
          <w:color w:val="auto"/>
          <w:sz w:val="32"/>
          <w:szCs w:val="32"/>
          <w:lang w:val="en-US" w:eastAsia="zh-CN"/>
        </w:rPr>
        <w:t>544.83</w:t>
      </w:r>
      <w:r>
        <w:rPr>
          <w:rFonts w:hint="eastAsia" w:ascii="仿宋" w:hAnsi="仿宋" w:eastAsia="仿宋" w:cs="仿宋_GB2312"/>
          <w:color w:val="auto"/>
          <w:sz w:val="32"/>
          <w:szCs w:val="32"/>
        </w:rPr>
        <w:t>万元</w:t>
      </w:r>
      <w:r>
        <w:rPr>
          <w:rFonts w:hint="eastAsia" w:ascii="仿宋" w:hAnsi="仿宋" w:eastAsia="仿宋" w:cs="仿宋_GB2312"/>
          <w:color w:val="auto"/>
          <w:sz w:val="32"/>
          <w:szCs w:val="32"/>
          <w:lang w:eastAsia="zh-CN"/>
        </w:rPr>
        <w:t>。</w:t>
      </w:r>
    </w:p>
    <w:p w14:paraId="2677A114">
      <w:pPr>
        <w:widowControl/>
        <w:adjustRightInd w:val="0"/>
        <w:snapToGrid w:val="0"/>
        <w:spacing w:line="578" w:lineRule="exact"/>
        <w:ind w:firstLine="643" w:firstLineChars="200"/>
        <w:contextualSpacing/>
        <w:jc w:val="left"/>
        <w:rPr>
          <w:rFonts w:ascii="仿宋" w:hAnsi="仿宋" w:eastAsia="仿宋"/>
          <w:b/>
          <w:bCs/>
          <w:color w:val="auto"/>
          <w:kern w:val="0"/>
          <w:sz w:val="32"/>
          <w:szCs w:val="32"/>
          <w:shd w:val="clear" w:color="auto" w:fill="FFFFFF"/>
          <w:lang w:val="zh-CN"/>
        </w:rPr>
      </w:pPr>
      <w:r>
        <w:rPr>
          <w:rFonts w:ascii="仿宋" w:hAnsi="仿宋" w:eastAsia="仿宋"/>
          <w:b/>
          <w:bCs/>
          <w:color w:val="auto"/>
          <w:kern w:val="0"/>
          <w:sz w:val="32"/>
          <w:szCs w:val="32"/>
          <w:shd w:val="clear" w:color="auto" w:fill="FFFFFF"/>
          <w:lang w:val="zh-CN"/>
        </w:rPr>
        <w:t>（</w:t>
      </w:r>
      <w:r>
        <w:rPr>
          <w:rFonts w:hint="eastAsia" w:ascii="仿宋" w:hAnsi="仿宋" w:eastAsia="仿宋"/>
          <w:b/>
          <w:bCs/>
          <w:color w:val="auto"/>
          <w:kern w:val="0"/>
          <w:sz w:val="32"/>
          <w:szCs w:val="32"/>
          <w:shd w:val="clear" w:color="auto" w:fill="FFFFFF"/>
          <w:lang w:val="zh-CN"/>
        </w:rPr>
        <w:t>二</w:t>
      </w:r>
      <w:r>
        <w:rPr>
          <w:rFonts w:ascii="仿宋" w:hAnsi="仿宋" w:eastAsia="仿宋"/>
          <w:b/>
          <w:bCs/>
          <w:color w:val="auto"/>
          <w:kern w:val="0"/>
          <w:sz w:val="32"/>
          <w:szCs w:val="32"/>
          <w:shd w:val="clear" w:color="auto" w:fill="FFFFFF"/>
          <w:lang w:val="zh-CN"/>
        </w:rPr>
        <w:t>）</w:t>
      </w:r>
      <w:r>
        <w:rPr>
          <w:rFonts w:hint="eastAsia" w:ascii="仿宋" w:hAnsi="仿宋" w:eastAsia="仿宋"/>
          <w:b/>
          <w:bCs/>
          <w:color w:val="auto"/>
          <w:kern w:val="0"/>
          <w:sz w:val="32"/>
          <w:szCs w:val="32"/>
          <w:shd w:val="clear" w:color="auto" w:fill="FFFFFF"/>
          <w:lang w:val="zh-CN"/>
        </w:rPr>
        <w:t>支出情况</w:t>
      </w:r>
      <w:r>
        <w:rPr>
          <w:rFonts w:ascii="仿宋" w:hAnsi="仿宋" w:eastAsia="仿宋"/>
          <w:b/>
          <w:bCs/>
          <w:color w:val="auto"/>
          <w:kern w:val="0"/>
          <w:sz w:val="32"/>
          <w:szCs w:val="32"/>
          <w:shd w:val="clear" w:color="auto" w:fill="FFFFFF"/>
          <w:lang w:val="zh-CN"/>
        </w:rPr>
        <w:t>。</w:t>
      </w:r>
    </w:p>
    <w:p w14:paraId="457E75A5">
      <w:pPr>
        <w:widowControl/>
        <w:adjustRightInd w:val="0"/>
        <w:snapToGrid w:val="0"/>
        <w:spacing w:line="576" w:lineRule="exact"/>
        <w:ind w:firstLine="640" w:firstLineChars="200"/>
        <w:contextualSpacing/>
        <w:jc w:val="left"/>
        <w:rPr>
          <w:rFonts w:ascii="仿宋" w:hAnsi="仿宋" w:eastAsia="仿宋" w:cs="仿宋_GB2312"/>
          <w:color w:val="auto"/>
          <w:sz w:val="32"/>
          <w:szCs w:val="32"/>
        </w:rPr>
      </w:pPr>
      <w:r>
        <w:rPr>
          <w:rFonts w:hint="eastAsia" w:ascii="仿宋" w:hAnsi="仿宋" w:eastAsia="仿宋" w:cs="仿宋_GB2312"/>
          <w:color w:val="auto"/>
          <w:sz w:val="32"/>
          <w:szCs w:val="32"/>
        </w:rPr>
        <w:t>202</w:t>
      </w:r>
      <w:r>
        <w:rPr>
          <w:rFonts w:hint="eastAsia" w:ascii="仿宋" w:hAnsi="仿宋" w:eastAsia="仿宋" w:cs="仿宋_GB2312"/>
          <w:color w:val="auto"/>
          <w:sz w:val="32"/>
          <w:szCs w:val="32"/>
          <w:lang w:val="en-US" w:eastAsia="zh-CN"/>
        </w:rPr>
        <w:t>5</w:t>
      </w:r>
      <w:r>
        <w:rPr>
          <w:rFonts w:hint="eastAsia" w:ascii="仿宋" w:hAnsi="仿宋" w:eastAsia="仿宋" w:cs="仿宋_GB2312"/>
          <w:color w:val="auto"/>
          <w:sz w:val="32"/>
          <w:szCs w:val="32"/>
        </w:rPr>
        <w:t>阿坝州</w:t>
      </w:r>
      <w:r>
        <w:rPr>
          <w:rFonts w:hint="eastAsia" w:ascii="仿宋" w:hAnsi="仿宋" w:eastAsia="仿宋" w:cs="仿宋_GB2312"/>
          <w:color w:val="auto"/>
          <w:sz w:val="32"/>
          <w:szCs w:val="32"/>
          <w:lang w:eastAsia="zh-CN"/>
        </w:rPr>
        <w:t>松潘</w:t>
      </w:r>
      <w:r>
        <w:rPr>
          <w:rFonts w:hint="eastAsia" w:ascii="仿宋" w:hAnsi="仿宋" w:eastAsia="仿宋" w:cs="仿宋_GB2312"/>
          <w:color w:val="auto"/>
          <w:sz w:val="32"/>
          <w:szCs w:val="32"/>
        </w:rPr>
        <w:t>生态环境局全年预算支出合计</w:t>
      </w:r>
      <w:r>
        <w:rPr>
          <w:rFonts w:hint="eastAsia" w:ascii="仿宋" w:hAnsi="仿宋" w:eastAsia="仿宋" w:cs="仿宋_GB2312"/>
          <w:color w:val="auto"/>
          <w:sz w:val="32"/>
          <w:szCs w:val="32"/>
          <w:lang w:val="en-US" w:eastAsia="zh-CN"/>
        </w:rPr>
        <w:t>568.42</w:t>
      </w:r>
      <w:r>
        <w:rPr>
          <w:rFonts w:hint="eastAsia" w:ascii="仿宋" w:hAnsi="仿宋" w:eastAsia="仿宋" w:cs="仿宋_GB2312"/>
          <w:color w:val="auto"/>
          <w:sz w:val="32"/>
          <w:szCs w:val="32"/>
        </w:rPr>
        <w:t>万元，其中：基本支出</w:t>
      </w:r>
      <w:r>
        <w:rPr>
          <w:rFonts w:hint="eastAsia" w:ascii="仿宋" w:hAnsi="仿宋" w:eastAsia="仿宋" w:cs="仿宋_GB2312"/>
          <w:color w:val="auto"/>
          <w:sz w:val="32"/>
          <w:szCs w:val="32"/>
          <w:lang w:val="en-US" w:eastAsia="zh-CN"/>
        </w:rPr>
        <w:t>379.65</w:t>
      </w:r>
      <w:r>
        <w:rPr>
          <w:rFonts w:hint="eastAsia" w:ascii="仿宋" w:hAnsi="仿宋" w:eastAsia="仿宋" w:cs="仿宋_GB2312"/>
          <w:color w:val="auto"/>
          <w:sz w:val="32"/>
          <w:szCs w:val="32"/>
        </w:rPr>
        <w:t>万元：人员经费支出:</w:t>
      </w:r>
      <w:r>
        <w:rPr>
          <w:rFonts w:hint="eastAsia" w:ascii="仿宋" w:hAnsi="仿宋" w:eastAsia="仿宋" w:cs="仿宋_GB2312"/>
          <w:color w:val="auto"/>
          <w:sz w:val="32"/>
          <w:szCs w:val="32"/>
          <w:lang w:val="en-US" w:eastAsia="zh-CN"/>
        </w:rPr>
        <w:t>276.63</w:t>
      </w:r>
      <w:r>
        <w:rPr>
          <w:rFonts w:hint="eastAsia" w:ascii="仿宋" w:hAnsi="仿宋" w:eastAsia="仿宋" w:cs="仿宋_GB2312"/>
          <w:color w:val="auto"/>
          <w:sz w:val="32"/>
          <w:szCs w:val="32"/>
        </w:rPr>
        <w:t>万元，日常公用经费</w:t>
      </w:r>
      <w:r>
        <w:rPr>
          <w:rFonts w:hint="eastAsia" w:ascii="仿宋" w:hAnsi="仿宋" w:eastAsia="仿宋" w:cs="仿宋_GB2312"/>
          <w:color w:val="auto"/>
          <w:sz w:val="32"/>
          <w:szCs w:val="32"/>
          <w:lang w:val="en-US" w:eastAsia="zh-CN"/>
        </w:rPr>
        <w:t>103.01</w:t>
      </w:r>
      <w:r>
        <w:rPr>
          <w:rFonts w:hint="eastAsia" w:ascii="仿宋" w:hAnsi="仿宋" w:eastAsia="仿宋" w:cs="仿宋_GB2312"/>
          <w:color w:val="auto"/>
          <w:sz w:val="32"/>
          <w:szCs w:val="32"/>
        </w:rPr>
        <w:t>万元；项目支出</w:t>
      </w:r>
      <w:r>
        <w:rPr>
          <w:rFonts w:hint="eastAsia" w:ascii="仿宋" w:hAnsi="仿宋" w:eastAsia="仿宋" w:cs="仿宋_GB2312"/>
          <w:color w:val="auto"/>
          <w:sz w:val="32"/>
          <w:szCs w:val="32"/>
          <w:lang w:val="en-US" w:eastAsia="zh-CN"/>
        </w:rPr>
        <w:t>188.76</w:t>
      </w:r>
      <w:r>
        <w:rPr>
          <w:rFonts w:hint="eastAsia" w:ascii="仿宋" w:hAnsi="仿宋" w:eastAsia="仿宋" w:cs="仿宋_GB2312"/>
          <w:color w:val="auto"/>
          <w:sz w:val="32"/>
          <w:szCs w:val="32"/>
        </w:rPr>
        <w:t>万元。</w:t>
      </w:r>
    </w:p>
    <w:p w14:paraId="2C70327F">
      <w:pPr>
        <w:widowControl/>
        <w:adjustRightInd w:val="0"/>
        <w:snapToGrid w:val="0"/>
        <w:spacing w:line="576" w:lineRule="exact"/>
        <w:ind w:firstLine="640" w:firstLineChars="200"/>
        <w:contextualSpacing/>
        <w:jc w:val="left"/>
        <w:rPr>
          <w:rFonts w:ascii="仿宋" w:hAnsi="仿宋" w:eastAsia="仿宋" w:cs="仿宋_GB2312"/>
          <w:color w:val="auto"/>
          <w:sz w:val="32"/>
          <w:szCs w:val="32"/>
        </w:rPr>
      </w:pPr>
      <w:r>
        <w:rPr>
          <w:rFonts w:hint="eastAsia" w:ascii="仿宋" w:hAnsi="仿宋" w:eastAsia="仿宋" w:cs="仿宋_GB2312"/>
          <w:color w:val="auto"/>
          <w:sz w:val="32"/>
          <w:szCs w:val="32"/>
        </w:rPr>
        <w:t>财政拨款支出主要用于保障本部门机构正常运转、完成日常工作任务。基本人员支出，是用于本单位人员工资和社保就业保障经费。日常公用支出包括办公费、印刷费、电费、等日常公用经费。</w:t>
      </w:r>
    </w:p>
    <w:p w14:paraId="069583C8">
      <w:pPr>
        <w:widowControl/>
        <w:adjustRightInd w:val="0"/>
        <w:snapToGrid w:val="0"/>
        <w:spacing w:line="578" w:lineRule="exact"/>
        <w:ind w:firstLine="643" w:firstLineChars="200"/>
        <w:contextualSpacing/>
        <w:jc w:val="left"/>
        <w:rPr>
          <w:rFonts w:ascii="仿宋" w:hAnsi="仿宋" w:eastAsia="仿宋"/>
          <w:b/>
          <w:color w:val="auto"/>
          <w:sz w:val="32"/>
          <w:szCs w:val="32"/>
        </w:rPr>
      </w:pPr>
      <w:r>
        <w:rPr>
          <w:rFonts w:ascii="仿宋" w:hAnsi="仿宋" w:eastAsia="仿宋"/>
          <w:b/>
          <w:bCs/>
          <w:color w:val="auto"/>
          <w:kern w:val="0"/>
          <w:sz w:val="32"/>
          <w:szCs w:val="32"/>
          <w:shd w:val="clear" w:color="auto" w:fill="FFFFFF"/>
          <w:lang w:val="zh-CN"/>
        </w:rPr>
        <w:t>（</w:t>
      </w:r>
      <w:r>
        <w:rPr>
          <w:rFonts w:hint="eastAsia" w:ascii="仿宋" w:hAnsi="仿宋" w:eastAsia="仿宋"/>
          <w:b/>
          <w:bCs/>
          <w:color w:val="auto"/>
          <w:kern w:val="0"/>
          <w:sz w:val="32"/>
          <w:szCs w:val="32"/>
          <w:shd w:val="clear" w:color="auto" w:fill="FFFFFF"/>
          <w:lang w:val="zh-CN"/>
        </w:rPr>
        <w:t>三</w:t>
      </w:r>
      <w:r>
        <w:rPr>
          <w:rFonts w:ascii="仿宋" w:hAnsi="仿宋" w:eastAsia="仿宋"/>
          <w:b/>
          <w:bCs/>
          <w:color w:val="auto"/>
          <w:kern w:val="0"/>
          <w:sz w:val="32"/>
          <w:szCs w:val="32"/>
          <w:shd w:val="clear" w:color="auto" w:fill="FFFFFF"/>
          <w:lang w:val="zh-CN"/>
        </w:rPr>
        <w:t>）</w:t>
      </w:r>
      <w:r>
        <w:rPr>
          <w:rFonts w:ascii="仿宋" w:hAnsi="仿宋" w:eastAsia="仿宋"/>
          <w:b/>
          <w:color w:val="auto"/>
          <w:sz w:val="32"/>
          <w:szCs w:val="32"/>
        </w:rPr>
        <w:t>结余分配和结转结余情况</w:t>
      </w:r>
      <w:r>
        <w:rPr>
          <w:rFonts w:hint="eastAsia" w:ascii="仿宋" w:hAnsi="仿宋" w:eastAsia="仿宋"/>
          <w:b/>
          <w:color w:val="auto"/>
          <w:sz w:val="32"/>
          <w:szCs w:val="32"/>
        </w:rPr>
        <w:t>。</w:t>
      </w:r>
    </w:p>
    <w:p w14:paraId="4ECC5744">
      <w:pPr>
        <w:widowControl/>
        <w:adjustRightInd w:val="0"/>
        <w:snapToGrid w:val="0"/>
        <w:spacing w:line="578" w:lineRule="exact"/>
        <w:ind w:firstLine="640" w:firstLineChars="200"/>
        <w:contextualSpacing/>
        <w:jc w:val="left"/>
        <w:rPr>
          <w:rFonts w:ascii="仿宋" w:hAnsi="仿宋" w:eastAsia="仿宋"/>
          <w:color w:val="auto"/>
          <w:kern w:val="0"/>
          <w:sz w:val="32"/>
          <w:szCs w:val="32"/>
          <w:shd w:val="clear" w:color="auto" w:fill="FFFFFF"/>
          <w:lang w:val="zh-CN"/>
        </w:rPr>
      </w:pPr>
      <w:r>
        <w:rPr>
          <w:rFonts w:hint="eastAsia" w:ascii="仿宋" w:hAnsi="仿宋" w:eastAsia="仿宋"/>
          <w:color w:val="auto"/>
          <w:sz w:val="32"/>
          <w:szCs w:val="32"/>
        </w:rPr>
        <w:t>202</w:t>
      </w:r>
      <w:r>
        <w:rPr>
          <w:rFonts w:hint="eastAsia" w:ascii="仿宋" w:hAnsi="仿宋" w:eastAsia="仿宋"/>
          <w:color w:val="auto"/>
          <w:sz w:val="32"/>
          <w:szCs w:val="32"/>
          <w:lang w:val="en-US" w:eastAsia="zh-CN"/>
        </w:rPr>
        <w:t>4</w:t>
      </w:r>
      <w:r>
        <w:rPr>
          <w:rFonts w:hint="eastAsia" w:ascii="仿宋" w:hAnsi="仿宋" w:eastAsia="仿宋"/>
          <w:color w:val="auto"/>
          <w:sz w:val="32"/>
          <w:szCs w:val="32"/>
        </w:rPr>
        <w:t>年无</w:t>
      </w:r>
      <w:r>
        <w:rPr>
          <w:rFonts w:ascii="仿宋" w:hAnsi="仿宋" w:eastAsia="仿宋"/>
          <w:color w:val="auto"/>
          <w:kern w:val="0"/>
          <w:sz w:val="32"/>
          <w:szCs w:val="32"/>
          <w:shd w:val="clear" w:color="auto" w:fill="FFFFFF"/>
        </w:rPr>
        <w:t>结转结余</w:t>
      </w:r>
      <w:r>
        <w:rPr>
          <w:rFonts w:hint="eastAsia" w:ascii="仿宋" w:hAnsi="仿宋" w:eastAsia="仿宋"/>
          <w:color w:val="auto"/>
          <w:kern w:val="0"/>
          <w:sz w:val="32"/>
          <w:szCs w:val="32"/>
          <w:shd w:val="clear" w:color="auto" w:fill="FFFFFF"/>
        </w:rPr>
        <w:t>情况</w:t>
      </w:r>
      <w:r>
        <w:rPr>
          <w:rFonts w:ascii="仿宋" w:hAnsi="仿宋" w:eastAsia="仿宋"/>
          <w:color w:val="auto"/>
          <w:kern w:val="0"/>
          <w:sz w:val="32"/>
          <w:szCs w:val="32"/>
          <w:shd w:val="clear" w:color="auto" w:fill="FFFFFF"/>
        </w:rPr>
        <w:t>。</w:t>
      </w:r>
    </w:p>
    <w:p w14:paraId="2A64CE56">
      <w:pPr>
        <w:widowControl/>
        <w:adjustRightInd w:val="0"/>
        <w:snapToGrid w:val="0"/>
        <w:spacing w:line="578" w:lineRule="exact"/>
        <w:ind w:firstLine="640" w:firstLineChars="200"/>
        <w:contextualSpacing/>
        <w:jc w:val="left"/>
        <w:rPr>
          <w:rFonts w:ascii="黑体" w:hAnsi="黑体" w:eastAsia="黑体"/>
          <w:color w:val="auto"/>
          <w:kern w:val="0"/>
          <w:sz w:val="32"/>
          <w:szCs w:val="32"/>
          <w:shd w:val="clear" w:color="auto" w:fill="FFFFFF"/>
        </w:rPr>
      </w:pPr>
      <w:r>
        <w:rPr>
          <w:rFonts w:ascii="黑体" w:hAnsi="黑体" w:eastAsia="黑体"/>
          <w:color w:val="auto"/>
          <w:kern w:val="0"/>
          <w:sz w:val="32"/>
          <w:szCs w:val="32"/>
          <w:shd w:val="clear" w:color="auto" w:fill="FFFFFF"/>
        </w:rPr>
        <w:t>三、部门预算绩效分析</w:t>
      </w:r>
    </w:p>
    <w:p w14:paraId="04F3F532">
      <w:pPr>
        <w:widowControl/>
        <w:adjustRightInd w:val="0"/>
        <w:snapToGrid w:val="0"/>
        <w:spacing w:line="600" w:lineRule="exact"/>
        <w:ind w:firstLine="643" w:firstLineChars="200"/>
        <w:jc w:val="left"/>
        <w:rPr>
          <w:rFonts w:ascii="仿宋" w:hAnsi="仿宋" w:eastAsia="仿宋" w:cs="仿宋_GB2312"/>
          <w:color w:val="auto"/>
          <w:sz w:val="32"/>
          <w:szCs w:val="32"/>
        </w:rPr>
      </w:pPr>
      <w:r>
        <w:rPr>
          <w:rFonts w:ascii="仿宋" w:hAnsi="仿宋" w:eastAsia="仿宋"/>
          <w:b/>
          <w:bCs/>
          <w:color w:val="auto"/>
          <w:kern w:val="0"/>
          <w:sz w:val="32"/>
          <w:szCs w:val="32"/>
          <w:shd w:val="clear" w:color="auto" w:fill="FFFFFF"/>
          <w:lang w:val="zh-CN"/>
        </w:rPr>
        <w:t>（一）</w:t>
      </w:r>
      <w:r>
        <w:rPr>
          <w:rFonts w:hint="eastAsia" w:ascii="仿宋" w:hAnsi="仿宋" w:eastAsia="仿宋"/>
          <w:b/>
          <w:bCs/>
          <w:color w:val="auto"/>
          <w:kern w:val="0"/>
          <w:sz w:val="32"/>
          <w:szCs w:val="32"/>
          <w:shd w:val="clear" w:color="auto" w:fill="FFFFFF"/>
          <w:lang w:val="zh-CN"/>
        </w:rPr>
        <w:t>部门预算</w:t>
      </w:r>
      <w:r>
        <w:rPr>
          <w:rFonts w:ascii="仿宋" w:hAnsi="仿宋" w:eastAsia="仿宋"/>
          <w:b/>
          <w:bCs/>
          <w:color w:val="auto"/>
          <w:kern w:val="0"/>
          <w:sz w:val="32"/>
          <w:szCs w:val="32"/>
          <w:shd w:val="clear" w:color="auto" w:fill="FFFFFF"/>
          <w:lang w:val="zh-CN"/>
        </w:rPr>
        <w:t>总体绩效分析。</w:t>
      </w:r>
      <w:r>
        <w:rPr>
          <w:rFonts w:hint="eastAsia" w:ascii="仿宋" w:hAnsi="仿宋" w:eastAsia="仿宋" w:cs="仿宋_GB2312"/>
          <w:color w:val="auto"/>
          <w:sz w:val="32"/>
          <w:szCs w:val="32"/>
        </w:rPr>
        <w:t>严格按照县级部门预算编制通知和有关要求，按时完成各项报送工作，预算编制中，特别注意对预算编制准确性的把握，并严格按照要求进行预算执行调整。按时完成待批复提前细化。202</w:t>
      </w:r>
      <w:r>
        <w:rPr>
          <w:rFonts w:hint="eastAsia" w:ascii="仿宋" w:hAnsi="仿宋" w:eastAsia="仿宋" w:cs="仿宋_GB2312"/>
          <w:color w:val="auto"/>
          <w:sz w:val="32"/>
          <w:szCs w:val="32"/>
          <w:lang w:val="en-US" w:eastAsia="zh-CN"/>
        </w:rPr>
        <w:t>5</w:t>
      </w:r>
      <w:r>
        <w:rPr>
          <w:rFonts w:hint="eastAsia" w:ascii="仿宋" w:hAnsi="仿宋" w:eastAsia="仿宋" w:cs="仿宋_GB2312"/>
          <w:color w:val="auto"/>
          <w:sz w:val="32"/>
          <w:szCs w:val="32"/>
        </w:rPr>
        <w:t>年按编制标准我单位在职职工</w:t>
      </w:r>
      <w:r>
        <w:rPr>
          <w:rFonts w:hint="eastAsia" w:ascii="仿宋" w:hAnsi="仿宋" w:eastAsia="仿宋" w:cs="仿宋_GB2312"/>
          <w:color w:val="auto"/>
          <w:sz w:val="32"/>
          <w:szCs w:val="32"/>
          <w:lang w:val="en-US" w:eastAsia="zh-CN"/>
        </w:rPr>
        <w:t>19</w:t>
      </w:r>
      <w:r>
        <w:rPr>
          <w:rFonts w:hint="eastAsia" w:ascii="仿宋" w:hAnsi="仿宋" w:eastAsia="仿宋" w:cs="仿宋_GB2312"/>
          <w:color w:val="auto"/>
          <w:sz w:val="32"/>
          <w:szCs w:val="32"/>
        </w:rPr>
        <w:t>人，本单位预算在财政部门批复后及时填报预算公示报表报财政审核在政府信息公开网上公示。</w:t>
      </w:r>
    </w:p>
    <w:p w14:paraId="2C1B86EE">
      <w:pPr>
        <w:adjustRightInd w:val="0"/>
        <w:snapToGrid w:val="0"/>
        <w:spacing w:line="578" w:lineRule="exact"/>
        <w:ind w:firstLine="640" w:firstLineChars="200"/>
        <w:contextualSpacing/>
        <w:jc w:val="left"/>
        <w:rPr>
          <w:rFonts w:ascii="仿宋" w:hAnsi="仿宋" w:eastAsia="仿宋"/>
          <w:color w:val="auto"/>
          <w:kern w:val="0"/>
          <w:sz w:val="32"/>
          <w:szCs w:val="32"/>
          <w:shd w:val="clear" w:color="auto" w:fill="FFFFFF"/>
          <w:lang w:val="zh-CN"/>
        </w:rPr>
      </w:pPr>
      <w:r>
        <w:rPr>
          <w:rFonts w:hint="eastAsia" w:ascii="仿宋" w:hAnsi="仿宋" w:eastAsia="仿宋" w:cs="楷体_GB2312"/>
          <w:color w:val="auto"/>
          <w:kern w:val="0"/>
          <w:sz w:val="32"/>
          <w:szCs w:val="32"/>
          <w:shd w:val="clear" w:color="auto" w:fill="FFFFFF"/>
        </w:rPr>
        <w:t>1.</w:t>
      </w:r>
      <w:r>
        <w:rPr>
          <w:rFonts w:hint="eastAsia" w:ascii="仿宋" w:hAnsi="仿宋" w:eastAsia="仿宋" w:cs="楷体_GB2312"/>
          <w:color w:val="auto"/>
          <w:kern w:val="0"/>
          <w:sz w:val="32"/>
          <w:szCs w:val="32"/>
          <w:shd w:val="clear" w:color="auto" w:fill="FFFFFF"/>
          <w:lang w:val="zh-CN"/>
        </w:rPr>
        <w:t>履职效能。</w:t>
      </w:r>
      <w:r>
        <w:rPr>
          <w:rFonts w:hint="eastAsia" w:ascii="仿宋" w:hAnsi="仿宋" w:eastAsia="仿宋"/>
          <w:color w:val="auto"/>
          <w:kern w:val="0"/>
          <w:sz w:val="32"/>
          <w:szCs w:val="32"/>
          <w:shd w:val="clear" w:color="auto" w:fill="FFFFFF"/>
          <w:lang w:val="zh-CN"/>
        </w:rPr>
        <w:t>1.质量指标：我局做好相关预算，保障职工利益；2.实效指标：按时兑现规定待遇；3.满意度指标：全体职工对待遇兑现满意度为98%。</w:t>
      </w:r>
    </w:p>
    <w:p w14:paraId="44BB37C1">
      <w:pPr>
        <w:adjustRightInd w:val="0"/>
        <w:snapToGrid w:val="0"/>
        <w:spacing w:line="578" w:lineRule="exact"/>
        <w:ind w:firstLine="640" w:firstLineChars="200"/>
        <w:contextualSpacing/>
        <w:jc w:val="left"/>
        <w:rPr>
          <w:rFonts w:ascii="仿宋" w:hAnsi="仿宋" w:eastAsia="仿宋" w:cs="楷体_GB2312"/>
          <w:color w:val="auto"/>
          <w:kern w:val="0"/>
          <w:sz w:val="32"/>
          <w:szCs w:val="32"/>
          <w:shd w:val="clear" w:color="auto" w:fill="FFFFFF"/>
        </w:rPr>
      </w:pPr>
      <w:r>
        <w:rPr>
          <w:rFonts w:hint="eastAsia" w:ascii="仿宋" w:hAnsi="仿宋" w:eastAsia="仿宋" w:cs="楷体_GB2312"/>
          <w:color w:val="auto"/>
          <w:kern w:val="0"/>
          <w:sz w:val="32"/>
          <w:szCs w:val="32"/>
          <w:shd w:val="clear" w:color="auto" w:fill="FFFFFF"/>
        </w:rPr>
        <w:t>2.</w:t>
      </w:r>
      <w:r>
        <w:rPr>
          <w:rFonts w:ascii="仿宋" w:hAnsi="仿宋" w:eastAsia="仿宋" w:cs="楷体_GB2312"/>
          <w:color w:val="auto"/>
          <w:kern w:val="0"/>
          <w:sz w:val="32"/>
          <w:szCs w:val="32"/>
          <w:shd w:val="clear" w:color="auto" w:fill="FFFFFF"/>
        </w:rPr>
        <w:t>预算管理</w:t>
      </w:r>
      <w:r>
        <w:rPr>
          <w:rFonts w:hint="eastAsia" w:ascii="仿宋" w:hAnsi="仿宋" w:eastAsia="仿宋" w:cs="楷体_GB2312"/>
          <w:color w:val="auto"/>
          <w:kern w:val="0"/>
          <w:sz w:val="32"/>
          <w:szCs w:val="32"/>
          <w:shd w:val="clear" w:color="auto" w:fill="FFFFFF"/>
        </w:rPr>
        <w:t>。根据县财政有关文件要求，我单位对财政资金使用管理情况，按照《</w:t>
      </w:r>
      <w:r>
        <w:rPr>
          <w:rFonts w:hint="eastAsia" w:ascii="仿宋" w:hAnsi="仿宋" w:eastAsia="仿宋" w:cs="楷体_GB2312"/>
          <w:color w:val="auto"/>
          <w:kern w:val="0"/>
          <w:sz w:val="32"/>
          <w:szCs w:val="32"/>
          <w:shd w:val="clear" w:color="auto" w:fill="FFFFFF"/>
          <w:lang w:eastAsia="zh-CN"/>
        </w:rPr>
        <w:t>松潘</w:t>
      </w:r>
      <w:r>
        <w:rPr>
          <w:rFonts w:ascii="仿宋" w:hAnsi="仿宋" w:eastAsia="仿宋" w:cs="楷体_GB2312"/>
          <w:color w:val="auto"/>
          <w:kern w:val="0"/>
          <w:sz w:val="32"/>
          <w:szCs w:val="32"/>
          <w:shd w:val="clear" w:color="auto" w:fill="FFFFFF"/>
        </w:rPr>
        <w:t>县财政局关于202</w:t>
      </w:r>
      <w:r>
        <w:rPr>
          <w:rFonts w:hint="eastAsia" w:ascii="仿宋" w:hAnsi="仿宋" w:eastAsia="仿宋" w:cs="楷体_GB2312"/>
          <w:color w:val="auto"/>
          <w:kern w:val="0"/>
          <w:sz w:val="32"/>
          <w:szCs w:val="32"/>
          <w:shd w:val="clear" w:color="auto" w:fill="FFFFFF"/>
          <w:lang w:val="en-US" w:eastAsia="zh-CN"/>
        </w:rPr>
        <w:t>5</w:t>
      </w:r>
      <w:r>
        <w:rPr>
          <w:rFonts w:ascii="仿宋" w:hAnsi="仿宋" w:eastAsia="仿宋" w:cs="楷体_GB2312"/>
          <w:color w:val="auto"/>
          <w:kern w:val="0"/>
          <w:sz w:val="32"/>
          <w:szCs w:val="32"/>
          <w:shd w:val="clear" w:color="auto" w:fill="FFFFFF"/>
        </w:rPr>
        <w:t>年县级部门绩效自评工作的通知</w:t>
      </w:r>
      <w:r>
        <w:rPr>
          <w:rFonts w:hint="eastAsia" w:ascii="仿宋" w:hAnsi="仿宋" w:eastAsia="仿宋" w:cs="楷体_GB2312"/>
          <w:color w:val="auto"/>
          <w:kern w:val="0"/>
          <w:sz w:val="32"/>
          <w:szCs w:val="32"/>
          <w:shd w:val="clear" w:color="auto" w:fill="FFFFFF"/>
        </w:rPr>
        <w:t>》认真开展自评工作，撰写部门自评报告。</w:t>
      </w:r>
    </w:p>
    <w:p w14:paraId="4845E839">
      <w:pPr>
        <w:adjustRightInd w:val="0"/>
        <w:snapToGrid w:val="0"/>
        <w:spacing w:line="578" w:lineRule="exact"/>
        <w:ind w:firstLine="640" w:firstLineChars="200"/>
        <w:contextualSpacing/>
        <w:jc w:val="left"/>
        <w:rPr>
          <w:rFonts w:ascii="仿宋" w:hAnsi="仿宋" w:eastAsia="仿宋" w:cs="仿宋_GB2312"/>
          <w:color w:val="auto"/>
          <w:sz w:val="32"/>
          <w:szCs w:val="32"/>
        </w:rPr>
      </w:pPr>
      <w:r>
        <w:rPr>
          <w:rFonts w:hint="eastAsia" w:ascii="仿宋" w:hAnsi="仿宋" w:eastAsia="仿宋" w:cs="楷体_GB2312"/>
          <w:color w:val="auto"/>
          <w:kern w:val="0"/>
          <w:sz w:val="32"/>
          <w:szCs w:val="32"/>
          <w:shd w:val="clear" w:color="auto" w:fill="FFFFFF"/>
        </w:rPr>
        <w:t>3.</w:t>
      </w:r>
      <w:r>
        <w:rPr>
          <w:rFonts w:ascii="仿宋" w:hAnsi="仿宋" w:eastAsia="仿宋" w:cs="楷体_GB2312"/>
          <w:color w:val="auto"/>
          <w:kern w:val="0"/>
          <w:sz w:val="32"/>
          <w:szCs w:val="32"/>
          <w:shd w:val="clear" w:color="auto" w:fill="FFFFFF"/>
          <w:lang w:val="zh-CN"/>
        </w:rPr>
        <w:t>财务管理</w:t>
      </w:r>
      <w:r>
        <w:rPr>
          <w:rFonts w:hint="eastAsia" w:ascii="仿宋" w:hAnsi="仿宋" w:eastAsia="仿宋" w:cs="楷体_GB2312"/>
          <w:color w:val="auto"/>
          <w:kern w:val="0"/>
          <w:sz w:val="32"/>
          <w:szCs w:val="32"/>
          <w:shd w:val="clear" w:color="auto" w:fill="FFFFFF"/>
          <w:lang w:val="zh-CN"/>
        </w:rPr>
        <w:t>。</w:t>
      </w:r>
      <w:r>
        <w:rPr>
          <w:rFonts w:hint="eastAsia" w:ascii="仿宋" w:hAnsi="仿宋" w:eastAsia="仿宋" w:cs="仿宋_GB2312"/>
          <w:color w:val="auto"/>
          <w:sz w:val="32"/>
          <w:szCs w:val="32"/>
        </w:rPr>
        <w:t>我单位财务管理制度健全，执行制度严格合规，会计核算符合相关规定，资金专款专用，资金支付依据和开支标准合法合规，严格执行政府采购。</w:t>
      </w:r>
    </w:p>
    <w:p w14:paraId="5AF53F0B">
      <w:pPr>
        <w:adjustRightInd w:val="0"/>
        <w:snapToGrid w:val="0"/>
        <w:spacing w:line="578" w:lineRule="exact"/>
        <w:ind w:firstLine="640" w:firstLineChars="200"/>
        <w:contextualSpacing/>
        <w:jc w:val="left"/>
        <w:rPr>
          <w:rFonts w:ascii="仿宋" w:hAnsi="仿宋" w:eastAsia="仿宋" w:cs="楷体_GB2312"/>
          <w:color w:val="auto"/>
          <w:kern w:val="0"/>
          <w:sz w:val="32"/>
          <w:szCs w:val="32"/>
          <w:shd w:val="clear" w:color="auto" w:fill="FFFFFF"/>
          <w:lang w:val="zh-CN"/>
        </w:rPr>
      </w:pPr>
      <w:r>
        <w:rPr>
          <w:rFonts w:hint="eastAsia" w:ascii="仿宋" w:hAnsi="仿宋" w:eastAsia="仿宋" w:cs="楷体_GB2312"/>
          <w:color w:val="auto"/>
          <w:kern w:val="0"/>
          <w:sz w:val="32"/>
          <w:szCs w:val="32"/>
          <w:shd w:val="clear" w:color="auto" w:fill="FFFFFF"/>
        </w:rPr>
        <w:t>4.</w:t>
      </w:r>
      <w:r>
        <w:rPr>
          <w:rFonts w:ascii="仿宋" w:hAnsi="仿宋" w:eastAsia="仿宋" w:cs="楷体_GB2312"/>
          <w:color w:val="auto"/>
          <w:kern w:val="0"/>
          <w:sz w:val="32"/>
          <w:szCs w:val="32"/>
          <w:shd w:val="clear" w:color="auto" w:fill="FFFFFF"/>
          <w:lang w:val="zh-CN"/>
        </w:rPr>
        <w:t>资产管理</w:t>
      </w:r>
      <w:r>
        <w:rPr>
          <w:rFonts w:hint="eastAsia" w:ascii="仿宋" w:hAnsi="仿宋" w:eastAsia="仿宋" w:cs="楷体_GB2312"/>
          <w:color w:val="auto"/>
          <w:kern w:val="0"/>
          <w:sz w:val="32"/>
          <w:szCs w:val="32"/>
          <w:shd w:val="clear" w:color="auto" w:fill="FFFFFF"/>
          <w:lang w:val="zh-CN"/>
        </w:rPr>
        <w:t>。</w:t>
      </w:r>
      <w:r>
        <w:rPr>
          <w:rFonts w:hint="eastAsia" w:ascii="仿宋" w:hAnsi="仿宋" w:eastAsia="仿宋"/>
          <w:color w:val="auto"/>
          <w:kern w:val="0"/>
          <w:sz w:val="32"/>
          <w:szCs w:val="32"/>
          <w:shd w:val="clear" w:color="auto" w:fill="FFFFFF"/>
          <w:lang w:val="zh-CN"/>
        </w:rPr>
        <w:t>严格按照资产管理办法，专人管理固定资产，会计做好固定资产的入库等财务工作。</w:t>
      </w:r>
    </w:p>
    <w:p w14:paraId="221B7DFF">
      <w:pPr>
        <w:adjustRightInd w:val="0"/>
        <w:snapToGrid w:val="0"/>
        <w:spacing w:line="578" w:lineRule="exact"/>
        <w:ind w:firstLine="640" w:firstLineChars="200"/>
        <w:contextualSpacing/>
        <w:jc w:val="left"/>
        <w:rPr>
          <w:rFonts w:ascii="仿宋" w:hAnsi="仿宋" w:eastAsia="仿宋"/>
          <w:color w:val="auto"/>
          <w:sz w:val="32"/>
          <w:szCs w:val="32"/>
        </w:rPr>
      </w:pPr>
      <w:r>
        <w:rPr>
          <w:rFonts w:hint="eastAsia" w:ascii="仿宋" w:hAnsi="仿宋" w:eastAsia="仿宋" w:cs="楷体_GB2312"/>
          <w:color w:val="auto"/>
          <w:kern w:val="0"/>
          <w:sz w:val="32"/>
          <w:szCs w:val="32"/>
          <w:shd w:val="clear" w:color="auto" w:fill="FFFFFF"/>
        </w:rPr>
        <w:t>5.</w:t>
      </w:r>
      <w:r>
        <w:rPr>
          <w:rFonts w:ascii="仿宋" w:hAnsi="仿宋" w:eastAsia="仿宋" w:cs="楷体_GB2312"/>
          <w:color w:val="auto"/>
          <w:kern w:val="0"/>
          <w:sz w:val="32"/>
          <w:szCs w:val="32"/>
          <w:shd w:val="clear" w:color="auto" w:fill="FFFFFF"/>
          <w:lang w:val="zh-CN"/>
        </w:rPr>
        <w:t>采购管理</w:t>
      </w:r>
      <w:r>
        <w:rPr>
          <w:rFonts w:hint="eastAsia" w:ascii="仿宋" w:hAnsi="仿宋" w:eastAsia="仿宋" w:cs="楷体_GB2312"/>
          <w:color w:val="auto"/>
          <w:kern w:val="0"/>
          <w:sz w:val="32"/>
          <w:szCs w:val="32"/>
          <w:shd w:val="clear" w:color="auto" w:fill="FFFFFF"/>
          <w:lang w:val="zh-CN"/>
        </w:rPr>
        <w:t>。</w:t>
      </w:r>
      <w:r>
        <w:rPr>
          <w:rFonts w:hint="eastAsia" w:ascii="仿宋" w:hAnsi="仿宋" w:eastAsia="仿宋"/>
          <w:color w:val="auto"/>
          <w:sz w:val="32"/>
          <w:szCs w:val="32"/>
        </w:rPr>
        <w:t>202</w:t>
      </w:r>
      <w:r>
        <w:rPr>
          <w:rFonts w:hint="eastAsia" w:ascii="仿宋" w:hAnsi="仿宋" w:eastAsia="仿宋"/>
          <w:color w:val="auto"/>
          <w:sz w:val="32"/>
          <w:szCs w:val="32"/>
          <w:lang w:val="en-US" w:eastAsia="zh-CN"/>
        </w:rPr>
        <w:t>5</w:t>
      </w:r>
      <w:r>
        <w:rPr>
          <w:rFonts w:hint="eastAsia" w:ascii="仿宋" w:hAnsi="仿宋" w:eastAsia="仿宋"/>
          <w:color w:val="auto"/>
          <w:sz w:val="32"/>
          <w:szCs w:val="32"/>
        </w:rPr>
        <w:t>年我单位有政府采购，严格按固定资产管理办法进行登记入账。</w:t>
      </w:r>
    </w:p>
    <w:p w14:paraId="1D295EB6">
      <w:pPr>
        <w:adjustRightInd w:val="0"/>
        <w:snapToGrid w:val="0"/>
        <w:spacing w:line="578" w:lineRule="exact"/>
        <w:ind w:firstLine="643" w:firstLineChars="200"/>
        <w:contextualSpacing/>
        <w:jc w:val="left"/>
        <w:rPr>
          <w:rFonts w:ascii="仿宋" w:hAnsi="仿宋" w:eastAsia="仿宋"/>
          <w:color w:val="auto"/>
          <w:kern w:val="0"/>
          <w:sz w:val="32"/>
          <w:szCs w:val="32"/>
          <w:shd w:val="clear" w:color="auto" w:fill="FFFFFF"/>
        </w:rPr>
      </w:pPr>
      <w:r>
        <w:rPr>
          <w:rFonts w:ascii="仿宋" w:hAnsi="仿宋" w:eastAsia="仿宋"/>
          <w:b/>
          <w:bCs/>
          <w:color w:val="auto"/>
          <w:kern w:val="0"/>
          <w:sz w:val="32"/>
          <w:szCs w:val="32"/>
          <w:shd w:val="clear" w:color="auto" w:fill="FFFFFF"/>
          <w:lang w:val="zh-CN"/>
        </w:rPr>
        <w:t>（二）部门预算项目绩效分析。</w:t>
      </w:r>
      <w:r>
        <w:rPr>
          <w:rFonts w:hint="eastAsia" w:ascii="仿宋" w:hAnsi="仿宋" w:eastAsia="仿宋"/>
          <w:color w:val="auto"/>
          <w:kern w:val="0"/>
          <w:sz w:val="32"/>
          <w:szCs w:val="32"/>
          <w:shd w:val="clear" w:color="auto" w:fill="FFFFFF"/>
          <w:lang w:val="zh-CN"/>
        </w:rPr>
        <w:t>填报以下数据，并</w:t>
      </w:r>
      <w:r>
        <w:rPr>
          <w:rFonts w:ascii="仿宋" w:hAnsi="仿宋" w:eastAsia="仿宋"/>
          <w:color w:val="auto"/>
          <w:kern w:val="0"/>
          <w:sz w:val="32"/>
          <w:szCs w:val="32"/>
          <w:shd w:val="clear" w:color="auto" w:fill="FFFFFF"/>
          <w:lang w:val="zh-CN"/>
        </w:rPr>
        <w:t>根据部门预算绩效评价指标体系“项目绩效”涉及</w:t>
      </w:r>
      <w:r>
        <w:rPr>
          <w:rFonts w:hint="eastAsia" w:ascii="仿宋" w:hAnsi="仿宋" w:eastAsia="仿宋"/>
          <w:color w:val="auto"/>
          <w:kern w:val="0"/>
          <w:sz w:val="32"/>
          <w:szCs w:val="32"/>
          <w:shd w:val="clear" w:color="auto" w:fill="FFFFFF"/>
          <w:lang w:val="zh-CN"/>
        </w:rPr>
        <w:t>二、三级</w:t>
      </w:r>
      <w:r>
        <w:rPr>
          <w:rFonts w:ascii="仿宋" w:hAnsi="仿宋" w:eastAsia="仿宋"/>
          <w:color w:val="auto"/>
          <w:kern w:val="0"/>
          <w:sz w:val="32"/>
          <w:szCs w:val="32"/>
          <w:shd w:val="clear" w:color="auto" w:fill="FFFFFF"/>
          <w:lang w:val="zh-CN"/>
        </w:rPr>
        <w:t>指标进行</w:t>
      </w:r>
      <w:r>
        <w:rPr>
          <w:rFonts w:hint="eastAsia" w:ascii="仿宋" w:hAnsi="仿宋" w:eastAsia="仿宋"/>
          <w:color w:val="auto"/>
          <w:kern w:val="0"/>
          <w:sz w:val="32"/>
          <w:szCs w:val="32"/>
          <w:shd w:val="clear" w:color="auto" w:fill="FFFFFF"/>
          <w:lang w:val="zh-CN"/>
        </w:rPr>
        <w:t>逐项</w:t>
      </w:r>
      <w:r>
        <w:rPr>
          <w:rFonts w:ascii="仿宋" w:hAnsi="仿宋" w:eastAsia="仿宋"/>
          <w:color w:val="auto"/>
          <w:kern w:val="0"/>
          <w:sz w:val="32"/>
          <w:szCs w:val="32"/>
          <w:shd w:val="clear" w:color="auto" w:fill="FFFFFF"/>
          <w:lang w:val="zh-CN"/>
        </w:rPr>
        <w:t>绩效分析</w:t>
      </w:r>
      <w:r>
        <w:rPr>
          <w:rFonts w:hint="eastAsia" w:ascii="仿宋" w:hAnsi="仿宋" w:eastAsia="仿宋"/>
          <w:color w:val="auto"/>
          <w:kern w:val="0"/>
          <w:sz w:val="32"/>
          <w:szCs w:val="32"/>
          <w:shd w:val="clear" w:color="auto" w:fill="FFFFFF"/>
          <w:lang w:val="zh-CN"/>
        </w:rPr>
        <w:t>并评分</w:t>
      </w:r>
      <w:r>
        <w:rPr>
          <w:rFonts w:ascii="仿宋" w:hAnsi="仿宋" w:eastAsia="仿宋"/>
          <w:color w:val="auto"/>
          <w:kern w:val="0"/>
          <w:sz w:val="32"/>
          <w:szCs w:val="32"/>
          <w:shd w:val="clear" w:color="auto" w:fill="FFFFFF"/>
          <w:lang w:val="zh-CN"/>
        </w:rPr>
        <w:t>，依次包括项目</w:t>
      </w:r>
      <w:r>
        <w:rPr>
          <w:rFonts w:ascii="仿宋" w:hAnsi="仿宋" w:eastAsia="仿宋"/>
          <w:color w:val="auto"/>
          <w:kern w:val="0"/>
          <w:sz w:val="32"/>
          <w:szCs w:val="32"/>
          <w:shd w:val="clear" w:color="auto" w:fill="FFFFFF"/>
        </w:rPr>
        <w:t>决策、项目执行、目标实现等情况</w:t>
      </w:r>
      <w:r>
        <w:rPr>
          <w:rFonts w:hint="eastAsia" w:ascii="仿宋" w:hAnsi="仿宋" w:eastAsia="仿宋"/>
          <w:color w:val="auto"/>
          <w:kern w:val="0"/>
          <w:sz w:val="32"/>
          <w:szCs w:val="32"/>
          <w:shd w:val="clear" w:color="auto" w:fill="FFFFFF"/>
        </w:rPr>
        <w:t>。</w:t>
      </w:r>
    </w:p>
    <w:p w14:paraId="1B71A18A">
      <w:pPr>
        <w:adjustRightInd w:val="0"/>
        <w:snapToGrid w:val="0"/>
        <w:spacing w:line="578" w:lineRule="exact"/>
        <w:ind w:firstLine="640" w:firstLineChars="200"/>
        <w:contextualSpacing/>
        <w:jc w:val="left"/>
        <w:rPr>
          <w:rFonts w:ascii="仿宋" w:hAnsi="仿宋" w:eastAsia="仿宋" w:cs="楷体_GB2312"/>
          <w:color w:val="auto"/>
          <w:kern w:val="0"/>
          <w:sz w:val="32"/>
          <w:szCs w:val="32"/>
          <w:shd w:val="clear" w:color="auto" w:fill="FFFFFF"/>
          <w:lang w:val="zh-CN"/>
        </w:rPr>
      </w:pPr>
      <w:r>
        <w:rPr>
          <w:rFonts w:hint="eastAsia" w:ascii="仿宋" w:hAnsi="仿宋" w:eastAsia="仿宋" w:cs="楷体_GB2312"/>
          <w:color w:val="auto"/>
          <w:kern w:val="0"/>
          <w:sz w:val="32"/>
          <w:szCs w:val="32"/>
          <w:shd w:val="clear" w:color="auto" w:fill="FFFFFF"/>
        </w:rPr>
        <w:t>1.</w:t>
      </w:r>
      <w:r>
        <w:rPr>
          <w:rFonts w:hint="eastAsia" w:ascii="仿宋" w:hAnsi="仿宋" w:eastAsia="仿宋" w:cs="楷体_GB2312"/>
          <w:color w:val="auto"/>
          <w:kern w:val="0"/>
          <w:sz w:val="32"/>
          <w:szCs w:val="32"/>
          <w:shd w:val="clear" w:color="auto" w:fill="FFFFFF"/>
          <w:lang w:val="zh-CN"/>
        </w:rPr>
        <w:t>项目决策。</w:t>
      </w:r>
      <w:r>
        <w:rPr>
          <w:rFonts w:hint="eastAsia" w:ascii="仿宋" w:hAnsi="仿宋" w:eastAsia="仿宋"/>
          <w:color w:val="auto"/>
          <w:kern w:val="0"/>
          <w:sz w:val="32"/>
          <w:szCs w:val="32"/>
          <w:shd w:val="clear" w:color="auto" w:fill="FFFFFF"/>
          <w:lang w:val="zh-CN"/>
        </w:rPr>
        <w:t>严格按照州县财政局要求、单位内控制度，对项目进行科学有效决策。</w:t>
      </w:r>
    </w:p>
    <w:p w14:paraId="3CADAE0E">
      <w:pPr>
        <w:adjustRightInd w:val="0"/>
        <w:snapToGrid w:val="0"/>
        <w:spacing w:line="578" w:lineRule="exact"/>
        <w:ind w:firstLine="640" w:firstLineChars="200"/>
        <w:contextualSpacing/>
        <w:jc w:val="left"/>
        <w:rPr>
          <w:rFonts w:ascii="仿宋" w:hAnsi="仿宋" w:eastAsia="仿宋" w:cs="楷体_GB2312"/>
          <w:color w:val="auto"/>
          <w:kern w:val="0"/>
          <w:sz w:val="32"/>
          <w:szCs w:val="32"/>
          <w:shd w:val="clear" w:color="auto" w:fill="FFFFFF"/>
          <w:lang w:val="zh-CN"/>
        </w:rPr>
      </w:pPr>
      <w:r>
        <w:rPr>
          <w:rFonts w:hint="eastAsia" w:ascii="仿宋" w:hAnsi="仿宋" w:eastAsia="仿宋" w:cs="楷体_GB2312"/>
          <w:color w:val="auto"/>
          <w:kern w:val="0"/>
          <w:sz w:val="32"/>
          <w:szCs w:val="32"/>
          <w:shd w:val="clear" w:color="auto" w:fill="FFFFFF"/>
        </w:rPr>
        <w:t>2.项目执行</w:t>
      </w:r>
      <w:r>
        <w:rPr>
          <w:rFonts w:hint="eastAsia" w:ascii="仿宋" w:hAnsi="仿宋" w:eastAsia="仿宋" w:cs="楷体_GB2312"/>
          <w:color w:val="auto"/>
          <w:kern w:val="0"/>
          <w:sz w:val="32"/>
          <w:szCs w:val="32"/>
          <w:shd w:val="clear" w:color="auto" w:fill="FFFFFF"/>
          <w:lang w:val="zh-CN"/>
        </w:rPr>
        <w:t>。</w:t>
      </w:r>
      <w:r>
        <w:rPr>
          <w:rFonts w:hint="eastAsia" w:ascii="仿宋" w:hAnsi="仿宋" w:eastAsia="仿宋"/>
          <w:color w:val="auto"/>
          <w:kern w:val="0"/>
          <w:sz w:val="32"/>
          <w:szCs w:val="32"/>
          <w:shd w:val="clear" w:color="auto" w:fill="FFFFFF"/>
          <w:lang w:val="zh-CN"/>
        </w:rPr>
        <w:t>根据相关规定，结合项目方案，严格项目资金控制，质量合格等。</w:t>
      </w:r>
    </w:p>
    <w:p w14:paraId="5AE32BCD">
      <w:pPr>
        <w:adjustRightInd w:val="0"/>
        <w:snapToGrid w:val="0"/>
        <w:spacing w:line="578" w:lineRule="exact"/>
        <w:ind w:firstLine="640" w:firstLineChars="200"/>
        <w:contextualSpacing/>
        <w:jc w:val="left"/>
        <w:rPr>
          <w:rFonts w:ascii="仿宋" w:hAnsi="仿宋" w:eastAsia="仿宋" w:cs="楷体_GB2312"/>
          <w:color w:val="auto"/>
          <w:kern w:val="0"/>
          <w:sz w:val="32"/>
          <w:szCs w:val="32"/>
          <w:shd w:val="clear" w:color="auto" w:fill="FFFFFF"/>
          <w:lang w:val="zh-CN"/>
        </w:rPr>
      </w:pPr>
      <w:r>
        <w:rPr>
          <w:rFonts w:hint="eastAsia" w:ascii="仿宋" w:hAnsi="仿宋" w:eastAsia="仿宋" w:cs="楷体_GB2312"/>
          <w:color w:val="auto"/>
          <w:kern w:val="0"/>
          <w:sz w:val="32"/>
          <w:szCs w:val="32"/>
          <w:shd w:val="clear" w:color="auto" w:fill="FFFFFF"/>
        </w:rPr>
        <w:t>3.</w:t>
      </w:r>
      <w:r>
        <w:rPr>
          <w:rFonts w:hint="eastAsia" w:ascii="仿宋" w:hAnsi="仿宋" w:eastAsia="仿宋" w:cs="楷体_GB2312"/>
          <w:color w:val="auto"/>
          <w:kern w:val="0"/>
          <w:sz w:val="32"/>
          <w:szCs w:val="32"/>
          <w:shd w:val="clear" w:color="auto" w:fill="FFFFFF"/>
          <w:lang w:val="zh-CN"/>
        </w:rPr>
        <w:t>目标实现。</w:t>
      </w:r>
      <w:r>
        <w:rPr>
          <w:rFonts w:hint="eastAsia" w:ascii="仿宋" w:hAnsi="仿宋" w:eastAsia="仿宋"/>
          <w:color w:val="auto"/>
          <w:kern w:val="0"/>
          <w:sz w:val="32"/>
          <w:szCs w:val="32"/>
          <w:shd w:val="clear" w:color="auto" w:fill="FFFFFF"/>
          <w:lang w:val="zh-CN"/>
        </w:rPr>
        <w:t>根据项目方案，实施项目时相关指标达标率达95%以上，偏离度较低。</w:t>
      </w:r>
    </w:p>
    <w:p w14:paraId="62BAF996">
      <w:pPr>
        <w:widowControl/>
        <w:adjustRightInd w:val="0"/>
        <w:snapToGrid w:val="0"/>
        <w:spacing w:line="578" w:lineRule="exact"/>
        <w:ind w:firstLine="643" w:firstLineChars="200"/>
        <w:contextualSpacing/>
        <w:jc w:val="left"/>
        <w:rPr>
          <w:rFonts w:ascii="仿宋" w:hAnsi="仿宋" w:eastAsia="仿宋"/>
          <w:b/>
          <w:bCs/>
          <w:color w:val="auto"/>
          <w:kern w:val="0"/>
          <w:sz w:val="32"/>
          <w:szCs w:val="32"/>
          <w:shd w:val="clear" w:color="auto" w:fill="FFFFFF"/>
          <w:lang w:val="zh-CN"/>
        </w:rPr>
      </w:pPr>
      <w:r>
        <w:rPr>
          <w:rFonts w:ascii="仿宋" w:hAnsi="仿宋" w:eastAsia="仿宋"/>
          <w:b/>
          <w:bCs/>
          <w:color w:val="auto"/>
          <w:kern w:val="0"/>
          <w:sz w:val="32"/>
          <w:szCs w:val="32"/>
          <w:shd w:val="clear" w:color="auto" w:fill="FFFFFF"/>
          <w:lang w:val="zh-CN"/>
        </w:rPr>
        <w:t>（</w:t>
      </w:r>
      <w:r>
        <w:rPr>
          <w:rFonts w:hint="eastAsia" w:ascii="仿宋" w:hAnsi="仿宋" w:eastAsia="仿宋"/>
          <w:b/>
          <w:bCs/>
          <w:color w:val="auto"/>
          <w:kern w:val="0"/>
          <w:sz w:val="32"/>
          <w:szCs w:val="32"/>
          <w:shd w:val="clear" w:color="auto" w:fill="FFFFFF"/>
          <w:lang w:val="zh-CN"/>
        </w:rPr>
        <w:t>三</w:t>
      </w:r>
      <w:r>
        <w:rPr>
          <w:rFonts w:ascii="仿宋" w:hAnsi="仿宋" w:eastAsia="仿宋"/>
          <w:b/>
          <w:bCs/>
          <w:color w:val="auto"/>
          <w:kern w:val="0"/>
          <w:sz w:val="32"/>
          <w:szCs w:val="32"/>
          <w:shd w:val="clear" w:color="auto" w:fill="FFFFFF"/>
          <w:lang w:val="zh-CN"/>
        </w:rPr>
        <w:t>）重点领域绩效分析。</w:t>
      </w:r>
      <w:r>
        <w:rPr>
          <w:rFonts w:hint="eastAsia" w:ascii="仿宋" w:hAnsi="仿宋" w:eastAsia="仿宋"/>
          <w:b/>
          <w:bCs/>
          <w:color w:val="auto"/>
          <w:kern w:val="0"/>
          <w:sz w:val="32"/>
          <w:szCs w:val="32"/>
          <w:shd w:val="clear" w:color="auto" w:fill="FFFFFF"/>
          <w:lang w:val="zh-CN"/>
        </w:rPr>
        <w:t>无</w:t>
      </w:r>
    </w:p>
    <w:p w14:paraId="44EABC6C">
      <w:pPr>
        <w:widowControl/>
        <w:adjustRightInd w:val="0"/>
        <w:snapToGrid w:val="0"/>
        <w:spacing w:line="578" w:lineRule="exact"/>
        <w:ind w:firstLine="643" w:firstLineChars="200"/>
        <w:contextualSpacing/>
        <w:jc w:val="left"/>
        <w:rPr>
          <w:rFonts w:ascii="仿宋" w:hAnsi="仿宋" w:eastAsia="仿宋"/>
          <w:b/>
          <w:bCs/>
          <w:color w:val="auto"/>
          <w:sz w:val="32"/>
          <w:szCs w:val="32"/>
          <w:lang w:val="zh-CN"/>
        </w:rPr>
      </w:pPr>
      <w:r>
        <w:rPr>
          <w:rFonts w:ascii="仿宋" w:hAnsi="仿宋" w:eastAsia="仿宋"/>
          <w:b/>
          <w:bCs/>
          <w:color w:val="auto"/>
          <w:sz w:val="32"/>
          <w:szCs w:val="32"/>
          <w:lang w:val="zh-CN"/>
        </w:rPr>
        <w:t>（四）绩效结果应用情况</w:t>
      </w:r>
      <w:r>
        <w:rPr>
          <w:rFonts w:hint="eastAsia" w:ascii="仿宋" w:hAnsi="仿宋" w:eastAsia="仿宋"/>
          <w:b/>
          <w:bCs/>
          <w:color w:val="auto"/>
          <w:sz w:val="32"/>
          <w:szCs w:val="32"/>
          <w:lang w:val="zh-CN"/>
        </w:rPr>
        <w:t>。</w:t>
      </w:r>
    </w:p>
    <w:p w14:paraId="4707F3B8">
      <w:pPr>
        <w:adjustRightInd w:val="0"/>
        <w:snapToGrid w:val="0"/>
        <w:spacing w:line="578" w:lineRule="exact"/>
        <w:ind w:firstLine="640" w:firstLineChars="200"/>
        <w:contextualSpacing/>
        <w:jc w:val="left"/>
        <w:rPr>
          <w:rFonts w:ascii="仿宋" w:hAnsi="仿宋" w:eastAsia="仿宋"/>
          <w:color w:val="auto"/>
          <w:kern w:val="0"/>
          <w:sz w:val="32"/>
          <w:szCs w:val="32"/>
          <w:shd w:val="clear" w:color="auto" w:fill="FFFFFF"/>
        </w:rPr>
      </w:pPr>
      <w:r>
        <w:rPr>
          <w:rFonts w:hint="eastAsia" w:ascii="仿宋" w:hAnsi="仿宋" w:eastAsia="仿宋"/>
          <w:color w:val="auto"/>
          <w:kern w:val="0"/>
          <w:sz w:val="32"/>
          <w:szCs w:val="32"/>
          <w:shd w:val="clear" w:color="auto" w:fill="FFFFFF"/>
        </w:rPr>
        <w:t>1.政府采购方面：202</w:t>
      </w:r>
      <w:r>
        <w:rPr>
          <w:rFonts w:hint="eastAsia" w:ascii="仿宋" w:hAnsi="仿宋" w:eastAsia="仿宋"/>
          <w:color w:val="auto"/>
          <w:kern w:val="0"/>
          <w:sz w:val="32"/>
          <w:szCs w:val="32"/>
          <w:shd w:val="clear" w:color="auto" w:fill="FFFFFF"/>
          <w:lang w:val="en-US" w:eastAsia="zh-CN"/>
        </w:rPr>
        <w:t>5</w:t>
      </w:r>
      <w:r>
        <w:rPr>
          <w:rFonts w:hint="eastAsia" w:ascii="仿宋" w:hAnsi="仿宋" w:eastAsia="仿宋"/>
          <w:color w:val="auto"/>
          <w:kern w:val="0"/>
          <w:sz w:val="32"/>
          <w:szCs w:val="32"/>
          <w:shd w:val="clear" w:color="auto" w:fill="FFFFFF"/>
        </w:rPr>
        <w:t>年我单位有政府采购，严格按固定资产管理办法进行登记入账。</w:t>
      </w:r>
    </w:p>
    <w:p w14:paraId="59D5D8AC">
      <w:pPr>
        <w:adjustRightInd w:val="0"/>
        <w:snapToGrid w:val="0"/>
        <w:spacing w:line="578" w:lineRule="exact"/>
        <w:ind w:firstLine="640" w:firstLineChars="200"/>
        <w:contextualSpacing/>
        <w:jc w:val="left"/>
        <w:rPr>
          <w:rFonts w:ascii="仿宋" w:hAnsi="仿宋" w:eastAsia="仿宋"/>
          <w:color w:val="auto"/>
          <w:kern w:val="0"/>
          <w:sz w:val="32"/>
          <w:szCs w:val="32"/>
          <w:shd w:val="clear" w:color="auto" w:fill="FFFFFF"/>
        </w:rPr>
      </w:pPr>
      <w:r>
        <w:rPr>
          <w:rFonts w:hint="eastAsia" w:ascii="仿宋" w:hAnsi="仿宋" w:eastAsia="仿宋"/>
          <w:color w:val="auto"/>
          <w:kern w:val="0"/>
          <w:sz w:val="32"/>
          <w:szCs w:val="32"/>
          <w:shd w:val="clear" w:color="auto" w:fill="FFFFFF"/>
        </w:rPr>
        <w:t>2.内控制度方面:为进一步做好行政事业单位内部控制基础性工作，贯彻执行县财政局《关于开展行政事业单位内部控制报告编报工作的通知》和相关文件要求，结合我单位实际，特制订以下制度草案：《阿坝州</w:t>
      </w:r>
      <w:r>
        <w:rPr>
          <w:rFonts w:hint="eastAsia" w:ascii="仿宋" w:hAnsi="仿宋" w:eastAsia="仿宋"/>
          <w:color w:val="auto"/>
          <w:kern w:val="0"/>
          <w:sz w:val="32"/>
          <w:szCs w:val="32"/>
          <w:shd w:val="clear" w:color="auto" w:fill="FFFFFF"/>
          <w:lang w:eastAsia="zh-CN"/>
        </w:rPr>
        <w:t>松潘</w:t>
      </w:r>
      <w:r>
        <w:rPr>
          <w:rFonts w:hint="eastAsia" w:ascii="仿宋" w:hAnsi="仿宋" w:eastAsia="仿宋"/>
          <w:color w:val="auto"/>
          <w:kern w:val="0"/>
          <w:sz w:val="32"/>
          <w:szCs w:val="32"/>
          <w:shd w:val="clear" w:color="auto" w:fill="FFFFFF"/>
        </w:rPr>
        <w:t>生态环境局预算管理制度》、《阿坝州</w:t>
      </w:r>
      <w:r>
        <w:rPr>
          <w:rFonts w:hint="eastAsia" w:ascii="仿宋" w:hAnsi="仿宋" w:eastAsia="仿宋"/>
          <w:color w:val="auto"/>
          <w:kern w:val="0"/>
          <w:sz w:val="32"/>
          <w:szCs w:val="32"/>
          <w:shd w:val="clear" w:color="auto" w:fill="FFFFFF"/>
          <w:lang w:eastAsia="zh-CN"/>
        </w:rPr>
        <w:t>松潘</w:t>
      </w:r>
      <w:r>
        <w:rPr>
          <w:rFonts w:hint="eastAsia" w:ascii="仿宋" w:hAnsi="仿宋" w:eastAsia="仿宋"/>
          <w:color w:val="auto"/>
          <w:kern w:val="0"/>
          <w:sz w:val="32"/>
          <w:szCs w:val="32"/>
          <w:shd w:val="clear" w:color="auto" w:fill="FFFFFF"/>
        </w:rPr>
        <w:t>生态环境局财务收支管理制度》、《阿坝州金川生态环境局采购及管理制度》、《阿坝州</w:t>
      </w:r>
      <w:r>
        <w:rPr>
          <w:rFonts w:hint="eastAsia" w:ascii="仿宋" w:hAnsi="仿宋" w:eastAsia="仿宋"/>
          <w:color w:val="auto"/>
          <w:kern w:val="0"/>
          <w:sz w:val="32"/>
          <w:szCs w:val="32"/>
          <w:shd w:val="clear" w:color="auto" w:fill="FFFFFF"/>
          <w:lang w:eastAsia="zh-CN"/>
        </w:rPr>
        <w:t>松潘</w:t>
      </w:r>
      <w:r>
        <w:rPr>
          <w:rFonts w:hint="eastAsia" w:ascii="仿宋" w:hAnsi="仿宋" w:eastAsia="仿宋"/>
          <w:color w:val="auto"/>
          <w:kern w:val="0"/>
          <w:sz w:val="32"/>
          <w:szCs w:val="32"/>
          <w:shd w:val="clear" w:color="auto" w:fill="FFFFFF"/>
        </w:rPr>
        <w:t>生态环境局资产管理制度》《阿坝州</w:t>
      </w:r>
      <w:r>
        <w:rPr>
          <w:rFonts w:hint="eastAsia" w:ascii="仿宋" w:hAnsi="仿宋" w:eastAsia="仿宋"/>
          <w:color w:val="auto"/>
          <w:kern w:val="0"/>
          <w:sz w:val="32"/>
          <w:szCs w:val="32"/>
          <w:shd w:val="clear" w:color="auto" w:fill="FFFFFF"/>
          <w:lang w:eastAsia="zh-CN"/>
        </w:rPr>
        <w:t>松潘</w:t>
      </w:r>
      <w:r>
        <w:rPr>
          <w:rFonts w:hint="eastAsia" w:ascii="仿宋" w:hAnsi="仿宋" w:eastAsia="仿宋"/>
          <w:color w:val="auto"/>
          <w:kern w:val="0"/>
          <w:sz w:val="32"/>
          <w:szCs w:val="32"/>
          <w:shd w:val="clear" w:color="auto" w:fill="FFFFFF"/>
        </w:rPr>
        <w:t>生态环境局差旅费报销制度》等。</w:t>
      </w:r>
    </w:p>
    <w:p w14:paraId="50B1C4AE">
      <w:pPr>
        <w:adjustRightInd w:val="0"/>
        <w:snapToGrid w:val="0"/>
        <w:spacing w:line="578" w:lineRule="exact"/>
        <w:ind w:firstLine="640" w:firstLineChars="200"/>
        <w:contextualSpacing/>
        <w:jc w:val="left"/>
        <w:rPr>
          <w:rFonts w:ascii="仿宋" w:hAnsi="仿宋" w:eastAsia="仿宋"/>
          <w:color w:val="auto"/>
          <w:kern w:val="0"/>
          <w:sz w:val="32"/>
          <w:szCs w:val="32"/>
          <w:shd w:val="clear" w:color="auto" w:fill="FFFFFF"/>
        </w:rPr>
      </w:pPr>
      <w:r>
        <w:rPr>
          <w:rFonts w:hint="eastAsia" w:ascii="仿宋" w:hAnsi="仿宋" w:eastAsia="仿宋"/>
          <w:color w:val="auto"/>
          <w:kern w:val="0"/>
          <w:sz w:val="32"/>
          <w:szCs w:val="32"/>
          <w:shd w:val="clear" w:color="auto" w:fill="FFFFFF"/>
        </w:rPr>
        <w:t>3.信息公开方面：预算决算公开按财政局的要求在收到财政批复后20个工作日在</w:t>
      </w:r>
      <w:r>
        <w:rPr>
          <w:rFonts w:hint="eastAsia" w:ascii="仿宋" w:hAnsi="仿宋" w:eastAsia="仿宋"/>
          <w:color w:val="auto"/>
          <w:kern w:val="0"/>
          <w:sz w:val="32"/>
          <w:szCs w:val="32"/>
          <w:shd w:val="clear" w:color="auto" w:fill="FFFFFF"/>
          <w:lang w:eastAsia="zh-CN"/>
        </w:rPr>
        <w:t>松潘</w:t>
      </w:r>
      <w:r>
        <w:rPr>
          <w:rFonts w:hint="eastAsia" w:ascii="仿宋" w:hAnsi="仿宋" w:eastAsia="仿宋"/>
          <w:color w:val="auto"/>
          <w:kern w:val="0"/>
          <w:sz w:val="32"/>
          <w:szCs w:val="32"/>
          <w:shd w:val="clear" w:color="auto" w:fill="FFFFFF"/>
        </w:rPr>
        <w:t>县政府中心的信息网站进行公开。</w:t>
      </w:r>
    </w:p>
    <w:p w14:paraId="14BA0153">
      <w:pPr>
        <w:adjustRightInd w:val="0"/>
        <w:snapToGrid w:val="0"/>
        <w:spacing w:line="578" w:lineRule="exact"/>
        <w:ind w:firstLine="640" w:firstLineChars="200"/>
        <w:contextualSpacing/>
        <w:jc w:val="left"/>
        <w:rPr>
          <w:rFonts w:ascii="仿宋" w:hAnsi="仿宋" w:eastAsia="仿宋"/>
          <w:color w:val="auto"/>
          <w:kern w:val="0"/>
          <w:sz w:val="32"/>
          <w:szCs w:val="32"/>
          <w:shd w:val="clear" w:color="auto" w:fill="FFFFFF"/>
        </w:rPr>
      </w:pPr>
      <w:r>
        <w:rPr>
          <w:rFonts w:hint="eastAsia" w:ascii="仿宋" w:hAnsi="仿宋" w:eastAsia="仿宋"/>
          <w:color w:val="auto"/>
          <w:kern w:val="0"/>
          <w:sz w:val="32"/>
          <w:szCs w:val="32"/>
          <w:shd w:val="clear" w:color="auto" w:fill="FFFFFF"/>
        </w:rPr>
        <w:t>4.绩效评价及财政监督情况:按财政局文件的部门支出绩效评价指标体系进行单位自评，按财政要求收支并接受财政的监督管理。</w:t>
      </w:r>
    </w:p>
    <w:p w14:paraId="3A61400C">
      <w:pPr>
        <w:widowControl/>
        <w:adjustRightInd w:val="0"/>
        <w:snapToGrid w:val="0"/>
        <w:spacing w:line="578" w:lineRule="exact"/>
        <w:ind w:firstLine="640" w:firstLineChars="200"/>
        <w:contextualSpacing/>
        <w:jc w:val="left"/>
        <w:rPr>
          <w:rFonts w:ascii="黑体" w:hAnsi="黑体" w:eastAsia="黑体"/>
          <w:color w:val="auto"/>
          <w:kern w:val="0"/>
          <w:sz w:val="32"/>
          <w:szCs w:val="32"/>
          <w:shd w:val="clear" w:color="auto" w:fill="FFFFFF"/>
        </w:rPr>
      </w:pPr>
      <w:r>
        <w:rPr>
          <w:rFonts w:ascii="黑体" w:hAnsi="黑体" w:eastAsia="黑体"/>
          <w:color w:val="auto"/>
          <w:kern w:val="0"/>
          <w:sz w:val="32"/>
          <w:szCs w:val="32"/>
          <w:shd w:val="clear" w:color="auto" w:fill="FFFFFF"/>
        </w:rPr>
        <w:t>四、评价结论及建议</w:t>
      </w:r>
    </w:p>
    <w:p w14:paraId="146BB2C5">
      <w:pPr>
        <w:widowControl/>
        <w:adjustRightInd w:val="0"/>
        <w:snapToGrid w:val="0"/>
        <w:spacing w:line="600" w:lineRule="exact"/>
        <w:ind w:firstLine="643" w:firstLineChars="200"/>
        <w:jc w:val="left"/>
        <w:rPr>
          <w:rFonts w:ascii="仿宋" w:hAnsi="仿宋" w:eastAsia="仿宋"/>
          <w:b/>
          <w:bCs/>
          <w:color w:val="auto"/>
          <w:kern w:val="0"/>
          <w:sz w:val="32"/>
          <w:szCs w:val="32"/>
          <w:shd w:val="clear" w:color="auto" w:fill="FFFFFF"/>
          <w:lang w:val="zh-CN"/>
        </w:rPr>
      </w:pPr>
      <w:r>
        <w:rPr>
          <w:rFonts w:ascii="仿宋" w:hAnsi="仿宋" w:eastAsia="仿宋"/>
          <w:b/>
          <w:bCs/>
          <w:color w:val="auto"/>
          <w:kern w:val="0"/>
          <w:sz w:val="32"/>
          <w:szCs w:val="32"/>
          <w:shd w:val="clear" w:color="auto" w:fill="FFFFFF"/>
          <w:lang w:val="zh-CN"/>
        </w:rPr>
        <w:t>（一）评价结论。</w:t>
      </w:r>
    </w:p>
    <w:p w14:paraId="37A958B2">
      <w:pPr>
        <w:widowControl/>
        <w:adjustRightInd w:val="0"/>
        <w:snapToGrid w:val="0"/>
        <w:spacing w:line="600" w:lineRule="exact"/>
        <w:ind w:firstLine="640" w:firstLineChars="200"/>
        <w:jc w:val="left"/>
        <w:rPr>
          <w:rFonts w:ascii="仿宋" w:hAnsi="仿宋" w:eastAsia="仿宋" w:cs="仿宋_GB2312"/>
          <w:color w:val="auto"/>
          <w:sz w:val="32"/>
          <w:szCs w:val="32"/>
        </w:rPr>
      </w:pPr>
      <w:r>
        <w:rPr>
          <w:rFonts w:hint="eastAsia" w:ascii="仿宋" w:hAnsi="仿宋" w:eastAsia="仿宋" w:cs="仿宋_GB2312"/>
          <w:color w:val="auto"/>
          <w:sz w:val="32"/>
          <w:szCs w:val="32"/>
        </w:rPr>
        <w:t>按照国家政策法规规定，结合本部门的实际情况，建立健全了财务管理制度和约束机制，依法、有效地使用财政资金，提高财政资金使用效率，合理分配人、财、物，完成了部门职能目标，实现了较高的工作效率和支出绩效。</w:t>
      </w:r>
    </w:p>
    <w:p w14:paraId="4D665C7C">
      <w:pPr>
        <w:widowControl/>
        <w:adjustRightInd w:val="0"/>
        <w:snapToGrid w:val="0"/>
        <w:spacing w:line="600" w:lineRule="exact"/>
        <w:ind w:firstLine="643" w:firstLineChars="200"/>
        <w:jc w:val="left"/>
        <w:rPr>
          <w:rFonts w:ascii="仿宋" w:hAnsi="仿宋" w:eastAsia="仿宋"/>
          <w:b/>
          <w:bCs/>
          <w:color w:val="auto"/>
          <w:kern w:val="0"/>
          <w:sz w:val="32"/>
          <w:szCs w:val="32"/>
          <w:shd w:val="clear" w:color="auto" w:fill="FFFFFF"/>
          <w:lang w:val="zh-CN"/>
        </w:rPr>
      </w:pPr>
      <w:r>
        <w:rPr>
          <w:rFonts w:ascii="仿宋" w:hAnsi="仿宋" w:eastAsia="仿宋"/>
          <w:b/>
          <w:bCs/>
          <w:color w:val="auto"/>
          <w:kern w:val="0"/>
          <w:sz w:val="32"/>
          <w:szCs w:val="32"/>
          <w:shd w:val="clear" w:color="auto" w:fill="FFFFFF"/>
          <w:lang w:val="zh-CN"/>
        </w:rPr>
        <w:t>（二）存在问题。</w:t>
      </w:r>
    </w:p>
    <w:p w14:paraId="26F3A7DA">
      <w:pPr>
        <w:widowControl/>
        <w:adjustRightInd w:val="0"/>
        <w:snapToGrid w:val="0"/>
        <w:spacing w:line="600" w:lineRule="exact"/>
        <w:ind w:firstLine="640" w:firstLineChars="200"/>
        <w:jc w:val="left"/>
        <w:rPr>
          <w:rFonts w:ascii="仿宋" w:hAnsi="仿宋" w:eastAsia="仿宋" w:cs="仿宋_GB2312"/>
          <w:color w:val="auto"/>
          <w:sz w:val="32"/>
          <w:szCs w:val="32"/>
        </w:rPr>
      </w:pPr>
      <w:r>
        <w:rPr>
          <w:rFonts w:hint="eastAsia" w:ascii="仿宋" w:hAnsi="仿宋" w:eastAsia="仿宋" w:cs="仿宋_GB2312"/>
          <w:color w:val="auto"/>
          <w:sz w:val="32"/>
          <w:szCs w:val="32"/>
        </w:rPr>
        <w:t>我单位有人员增减不定，存在预算不精准，调整追加（减）预算情况;</w:t>
      </w:r>
    </w:p>
    <w:p w14:paraId="09B4D234">
      <w:pPr>
        <w:widowControl/>
        <w:adjustRightInd w:val="0"/>
        <w:snapToGrid w:val="0"/>
        <w:spacing w:line="600" w:lineRule="exact"/>
        <w:ind w:firstLine="643" w:firstLineChars="200"/>
        <w:jc w:val="left"/>
        <w:rPr>
          <w:rFonts w:ascii="仿宋" w:hAnsi="仿宋" w:eastAsia="仿宋"/>
          <w:b/>
          <w:bCs/>
          <w:color w:val="auto"/>
          <w:kern w:val="0"/>
          <w:sz w:val="32"/>
          <w:szCs w:val="32"/>
          <w:shd w:val="clear" w:color="auto" w:fill="FFFFFF"/>
          <w:lang w:val="zh-CN"/>
        </w:rPr>
      </w:pPr>
      <w:r>
        <w:rPr>
          <w:rFonts w:ascii="仿宋" w:hAnsi="仿宋" w:eastAsia="仿宋"/>
          <w:b/>
          <w:bCs/>
          <w:color w:val="auto"/>
          <w:kern w:val="0"/>
          <w:sz w:val="32"/>
          <w:szCs w:val="32"/>
          <w:shd w:val="clear" w:color="auto" w:fill="FFFFFF"/>
          <w:lang w:val="zh-CN"/>
        </w:rPr>
        <w:t>（三）改进建议。</w:t>
      </w:r>
    </w:p>
    <w:p w14:paraId="0E7CE5FA">
      <w:pPr>
        <w:widowControl/>
        <w:adjustRightInd w:val="0"/>
        <w:snapToGrid w:val="0"/>
        <w:spacing w:line="600" w:lineRule="exact"/>
        <w:ind w:firstLine="640" w:firstLineChars="200"/>
        <w:jc w:val="left"/>
        <w:rPr>
          <w:rFonts w:ascii="仿宋" w:hAnsi="仿宋" w:eastAsia="仿宋"/>
          <w:color w:val="auto"/>
          <w:sz w:val="32"/>
          <w:szCs w:val="32"/>
        </w:rPr>
      </w:pPr>
      <w:r>
        <w:rPr>
          <w:rFonts w:hint="eastAsia" w:ascii="仿宋" w:hAnsi="仿宋" w:eastAsia="仿宋" w:cs="仿宋_GB2312"/>
          <w:color w:val="auto"/>
          <w:sz w:val="32"/>
          <w:szCs w:val="32"/>
        </w:rPr>
        <w:t>我单位将进一步重视预算的编制工作，提高预算编制的精确度，提高财政资金使用效率，尽量减少预算执行调整、结余追减的情形；加快完成财务管理规章制度建设、加强会计核算和财务管理能力，及时与县财政局相关科室对接工作，提升工作效率。</w:t>
      </w:r>
    </w:p>
    <w:p w14:paraId="2460F0E1">
      <w:pPr>
        <w:pStyle w:val="3"/>
        <w:jc w:val="center"/>
        <w:rPr>
          <w:rFonts w:hint="eastAsia" w:ascii="黑体" w:hAnsi="黑体" w:eastAsia="黑体" w:cs="黑体"/>
          <w:color w:val="auto"/>
        </w:rPr>
      </w:pPr>
    </w:p>
    <w:p w14:paraId="432B0497">
      <w:pPr>
        <w:pStyle w:val="3"/>
        <w:jc w:val="center"/>
        <w:rPr>
          <w:rFonts w:hint="eastAsia" w:ascii="黑体" w:hAnsi="黑体" w:eastAsia="黑体" w:cs="黑体"/>
          <w:color w:val="auto"/>
        </w:rPr>
      </w:pPr>
    </w:p>
    <w:p w14:paraId="7993D598">
      <w:pPr>
        <w:rPr>
          <w:rFonts w:hint="eastAsia" w:ascii="黑体" w:hAnsi="黑体" w:eastAsia="黑体" w:cs="黑体"/>
          <w:color w:val="auto"/>
        </w:rPr>
      </w:pPr>
    </w:p>
    <w:p w14:paraId="4C4C3D8B">
      <w:pPr>
        <w:pStyle w:val="2"/>
        <w:rPr>
          <w:rFonts w:hint="eastAsia" w:ascii="黑体" w:hAnsi="黑体" w:eastAsia="黑体" w:cs="黑体"/>
          <w:color w:val="auto"/>
        </w:rPr>
      </w:pPr>
    </w:p>
    <w:p w14:paraId="3FE4DCDE">
      <w:pPr>
        <w:pStyle w:val="2"/>
        <w:rPr>
          <w:rFonts w:hint="eastAsia" w:ascii="黑体" w:hAnsi="黑体" w:eastAsia="黑体" w:cs="黑体"/>
          <w:color w:val="auto"/>
        </w:rPr>
      </w:pPr>
    </w:p>
    <w:p w14:paraId="4A637F54">
      <w:pPr>
        <w:pStyle w:val="2"/>
        <w:rPr>
          <w:rFonts w:hint="eastAsia" w:ascii="黑体" w:hAnsi="黑体" w:eastAsia="黑体" w:cs="黑体"/>
          <w:color w:val="auto"/>
        </w:rPr>
      </w:pPr>
    </w:p>
    <w:p w14:paraId="329348A9">
      <w:pPr>
        <w:pStyle w:val="2"/>
        <w:rPr>
          <w:rFonts w:hint="eastAsia" w:ascii="黑体" w:hAnsi="黑体" w:eastAsia="黑体" w:cs="黑体"/>
          <w:color w:val="auto"/>
        </w:rPr>
      </w:pPr>
    </w:p>
    <w:p w14:paraId="2E2C84C8">
      <w:pPr>
        <w:pStyle w:val="2"/>
        <w:rPr>
          <w:rFonts w:hint="eastAsia" w:ascii="黑体" w:hAnsi="黑体" w:eastAsia="黑体" w:cs="黑体"/>
          <w:color w:val="auto"/>
        </w:rPr>
      </w:pPr>
    </w:p>
    <w:p w14:paraId="7F2F7B20">
      <w:pPr>
        <w:pStyle w:val="2"/>
        <w:rPr>
          <w:rFonts w:hint="eastAsia" w:ascii="黑体" w:hAnsi="黑体" w:eastAsia="黑体" w:cs="黑体"/>
          <w:color w:val="auto"/>
        </w:rPr>
      </w:pPr>
    </w:p>
    <w:p w14:paraId="7ADB2958">
      <w:pPr>
        <w:pStyle w:val="6"/>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70EFC545">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60770C92">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专项预算项目绩效评价报告范本</w:t>
      </w:r>
    </w:p>
    <w:p w14:paraId="1DA4C6ED">
      <w:pPr>
        <w:pStyle w:val="36"/>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p>
    <w:p w14:paraId="30DA62D4">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eastAsia="黑体"/>
          <w:sz w:val="32"/>
          <w:szCs w:val="32"/>
          <w:highlight w:val="none"/>
          <w:lang w:val="zh-CN"/>
        </w:rPr>
      </w:pPr>
      <w:r>
        <w:rPr>
          <w:rFonts w:hint="eastAsia" w:ascii="Times New Roman" w:hAnsi="Times New Roman" w:eastAsia="黑体"/>
          <w:sz w:val="32"/>
          <w:szCs w:val="32"/>
          <w:highlight w:val="none"/>
        </w:rPr>
        <w:t>一、</w:t>
      </w:r>
      <w:r>
        <w:rPr>
          <w:rFonts w:hint="eastAsia" w:ascii="Times New Roman" w:hAnsi="Times New Roman" w:eastAsia="黑体"/>
          <w:sz w:val="32"/>
          <w:szCs w:val="32"/>
          <w:highlight w:val="none"/>
          <w:lang w:val="zh-CN"/>
        </w:rPr>
        <w:t>项目概况</w:t>
      </w:r>
    </w:p>
    <w:p w14:paraId="3D98C138">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仿宋_GB2312" w:cs="仿宋_GB2312"/>
          <w:color w:val="auto"/>
          <w:kern w:val="0"/>
          <w:sz w:val="32"/>
          <w:szCs w:val="32"/>
          <w:highlight w:val="none"/>
          <w:u w:val="none"/>
          <w:shd w:val="clear" w:color="auto" w:fill="FFFFFF"/>
          <w:lang w:val="zh-CN"/>
        </w:rPr>
      </w:pPr>
      <w:r>
        <w:rPr>
          <w:rFonts w:hint="eastAsia" w:ascii="Times New Roman" w:hAnsi="Times New Roman" w:eastAsia="楷体_GB2312"/>
          <w:b/>
          <w:color w:val="auto"/>
          <w:sz w:val="32"/>
          <w:szCs w:val="32"/>
          <w:highlight w:val="none"/>
          <w:u w:val="none"/>
          <w:lang w:val="zh-CN"/>
        </w:rPr>
        <w:t>（一）设立背景及基本情况。</w:t>
      </w:r>
      <w:r>
        <w:rPr>
          <w:rFonts w:hint="eastAsia" w:ascii="Times New Roman" w:hAnsi="Times New Roman" w:eastAsia="仿宋_GB2312" w:cs="仿宋_GB2312"/>
          <w:b w:val="0"/>
          <w:bCs w:val="0"/>
          <w:kern w:val="0"/>
          <w:position w:val="0"/>
          <w:sz w:val="32"/>
          <w:szCs w:val="32"/>
          <w:highlight w:val="none"/>
          <w:lang w:val="en-US" w:eastAsia="zh-CN" w:bidi="ar-SA"/>
        </w:rPr>
        <w:t>项目设立原因及背景，</w:t>
      </w:r>
      <w:r>
        <w:rPr>
          <w:rFonts w:hint="eastAsia" w:ascii="Times New Roman" w:hAnsi="Times New Roman" w:eastAsia="仿宋_GB2312" w:cs="仿宋_GB2312"/>
          <w:b w:val="0"/>
          <w:bCs w:val="0"/>
          <w:kern w:val="0"/>
          <w:position w:val="0"/>
          <w:sz w:val="32"/>
          <w:szCs w:val="32"/>
          <w:highlight w:val="none"/>
          <w:lang w:val="zh-CN" w:eastAsia="zh-CN" w:bidi="ar-SA"/>
        </w:rPr>
        <w:t>项目立项、资金申报的依据，项目主要内容</w:t>
      </w:r>
      <w:r>
        <w:rPr>
          <w:rFonts w:hint="eastAsia" w:ascii="Times New Roman" w:hAnsi="Times New Roman" w:eastAsia="仿宋_GB2312" w:cs="仿宋_GB2312"/>
          <w:b w:val="0"/>
          <w:bCs w:val="0"/>
          <w:kern w:val="0"/>
          <w:position w:val="0"/>
          <w:sz w:val="32"/>
          <w:szCs w:val="32"/>
          <w:highlight w:val="none"/>
          <w:lang w:val="en-US"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主管部门职能</w:t>
      </w:r>
      <w:r>
        <w:rPr>
          <w:rFonts w:hint="eastAsia" w:ascii="Times New Roman" w:hAnsi="Times New Roman" w:eastAsia="仿宋_GB2312" w:cs="仿宋_GB2312"/>
          <w:color w:val="auto"/>
          <w:kern w:val="0"/>
          <w:sz w:val="32"/>
          <w:szCs w:val="32"/>
          <w:highlight w:val="none"/>
          <w:u w:val="none"/>
          <w:shd w:val="clear" w:color="auto" w:fill="FFFFFF"/>
          <w:lang w:val="zh-CN"/>
        </w:rPr>
        <w:t>。</w:t>
      </w:r>
    </w:p>
    <w:p w14:paraId="76A4A9D5">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w:t>
      </w:r>
      <w:r>
        <w:rPr>
          <w:rFonts w:hint="eastAsia"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Times New Roman" w:hAnsi="Times New Roman" w:eastAsia="楷体_GB2312" w:cs="Times New Roman"/>
          <w:b/>
          <w:color w:val="auto"/>
          <w:sz w:val="32"/>
          <w:szCs w:val="32"/>
          <w:highlight w:val="none"/>
          <w:u w:val="none"/>
          <w:lang w:val="en-US" w:eastAsia="zh-CN"/>
        </w:rPr>
        <w:t>。</w:t>
      </w:r>
      <w:r>
        <w:rPr>
          <w:rFonts w:hint="eastAsia" w:ascii="Times New Roman" w:hAnsi="Times New Roman" w:eastAsia="仿宋_GB2312" w:cs="仿宋_GB2312"/>
          <w:b w:val="0"/>
          <w:bCs w:val="0"/>
          <w:kern w:val="0"/>
          <w:position w:val="0"/>
          <w:sz w:val="32"/>
          <w:szCs w:val="32"/>
          <w:highlight w:val="none"/>
          <w:lang w:val="en-US" w:eastAsia="zh-CN" w:bidi="ar-SA"/>
        </w:rPr>
        <w:t>项目资金</w:t>
      </w:r>
      <w:r>
        <w:rPr>
          <w:rFonts w:hint="eastAsia" w:ascii="Times New Roman" w:hAnsi="Times New Roman" w:eastAsia="仿宋_GB2312" w:cs="仿宋_GB2312"/>
          <w:b w:val="0"/>
          <w:bCs w:val="0"/>
          <w:kern w:val="0"/>
          <w:position w:val="0"/>
          <w:sz w:val="32"/>
          <w:szCs w:val="32"/>
          <w:highlight w:val="none"/>
          <w:lang w:val="zh-CN" w:eastAsia="zh-CN" w:bidi="ar-SA"/>
        </w:rPr>
        <w:t>管理办法制定情况，项目实施目的和主要工作任务，项目支持方向。</w:t>
      </w:r>
    </w:p>
    <w:p w14:paraId="250FF584">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eastAsia" w:ascii="Times New Roman" w:hAnsi="Times New Roman" w:eastAsia="楷体_GB2312" w:cs="Times New Roman"/>
          <w:b/>
          <w:color w:val="auto"/>
          <w:sz w:val="32"/>
          <w:szCs w:val="32"/>
          <w:highlight w:val="none"/>
          <w:u w:val="none"/>
          <w:lang w:val="zh-CN" w:eastAsia="zh-CN"/>
        </w:rPr>
        <w:t>。</w:t>
      </w:r>
      <w:r>
        <w:rPr>
          <w:rFonts w:hint="eastAsia" w:ascii="Times New Roman" w:hAnsi="Times New Roman" w:eastAsia="仿宋_GB2312" w:cs="仿宋_GB2312"/>
          <w:b w:val="0"/>
          <w:bCs w:val="0"/>
          <w:kern w:val="0"/>
          <w:position w:val="0"/>
          <w:sz w:val="32"/>
          <w:szCs w:val="32"/>
          <w:highlight w:val="none"/>
          <w:lang w:val="zh-CN" w:eastAsia="zh-CN" w:bidi="ar-SA"/>
        </w:rPr>
        <w:t>项目预算安排情况，项目资金分配原则及考虑因素，项目资金分配情况。</w:t>
      </w:r>
    </w:p>
    <w:p w14:paraId="1DCA7417">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default"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（四）项目绩效目标设置。</w:t>
      </w:r>
      <w:r>
        <w:rPr>
          <w:rFonts w:hint="eastAsia" w:ascii="Times New Roman" w:hAnsi="Times New Roman" w:eastAsia="仿宋_GB2312" w:cs="仿宋_GB2312"/>
          <w:b w:val="0"/>
          <w:bCs w:val="0"/>
          <w:kern w:val="0"/>
          <w:position w:val="0"/>
          <w:sz w:val="32"/>
          <w:szCs w:val="32"/>
          <w:highlight w:val="none"/>
          <w:lang w:val="zh-CN" w:eastAsia="zh-CN" w:bidi="ar-SA"/>
        </w:rPr>
        <w:t>项目整体、区域和具体绩效目标设置情况，项目自评工作开展情况。</w:t>
      </w:r>
    </w:p>
    <w:p w14:paraId="1EC4F132">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Times New Roman" w:hAnsi="Times New Roman" w:eastAsia="黑体"/>
          <w:sz w:val="32"/>
          <w:szCs w:val="32"/>
          <w:highlight w:val="none"/>
          <w:lang w:eastAsia="zh-CN"/>
        </w:rPr>
      </w:pPr>
      <w:r>
        <w:rPr>
          <w:rFonts w:hint="eastAsia" w:ascii="Times New Roman" w:hAnsi="Times New Roman" w:eastAsia="黑体"/>
          <w:sz w:val="32"/>
          <w:szCs w:val="32"/>
          <w:highlight w:val="none"/>
        </w:rPr>
        <w:t>二、</w:t>
      </w:r>
      <w:r>
        <w:rPr>
          <w:rFonts w:hint="eastAsia" w:ascii="Times New Roman" w:hAnsi="Times New Roman" w:eastAsia="黑体"/>
          <w:sz w:val="32"/>
          <w:szCs w:val="32"/>
          <w:highlight w:val="none"/>
          <w:lang w:eastAsia="zh-CN"/>
        </w:rPr>
        <w:t>评价实施</w:t>
      </w:r>
    </w:p>
    <w:p w14:paraId="297505D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（一）评价目的。</w:t>
      </w:r>
      <w:r>
        <w:rPr>
          <w:rFonts w:hint="eastAsia" w:ascii="Times New Roman" w:hAnsi="Times New Roman" w:eastAsia="仿宋_GB2312" w:cs="仿宋_GB2312"/>
          <w:b w:val="0"/>
          <w:bCs w:val="0"/>
          <w:kern w:val="0"/>
          <w:position w:val="0"/>
          <w:sz w:val="32"/>
          <w:szCs w:val="32"/>
          <w:highlight w:val="none"/>
          <w:lang w:val="zh-CN" w:eastAsia="zh-CN" w:bidi="ar-SA"/>
        </w:rPr>
        <w:t>通过项目绩效自评要实现的目的。</w:t>
      </w:r>
    </w:p>
    <w:p w14:paraId="41B5CC46">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（二）预设问题及评价重点。</w:t>
      </w:r>
      <w:r>
        <w:rPr>
          <w:rFonts w:hint="eastAsia" w:ascii="Times New Roman" w:hAnsi="Times New Roman" w:eastAsia="仿宋_GB2312" w:cs="仿宋_GB2312"/>
          <w:b w:val="0"/>
          <w:bCs w:val="0"/>
          <w:kern w:val="0"/>
          <w:position w:val="0"/>
          <w:sz w:val="32"/>
          <w:szCs w:val="32"/>
          <w:highlight w:val="none"/>
          <w:lang w:val="zh-CN" w:eastAsia="zh-CN" w:bidi="ar-SA"/>
        </w:rPr>
        <w:t>按照绩效评价指标体系，对资金支出使用全过程及其实施效果进行综合评价和判断。</w:t>
      </w:r>
    </w:p>
    <w:p w14:paraId="1FCDF2B9">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eastAsia="zh-CN"/>
        </w:rPr>
        <w:t>（三）评价选点。</w:t>
      </w:r>
      <w:r>
        <w:rPr>
          <w:rFonts w:hint="eastAsia" w:ascii="Times New Roman" w:hAnsi="Times New Roman" w:eastAsia="仿宋_GB2312" w:cs="仿宋_GB2312"/>
          <w:b w:val="0"/>
          <w:bCs w:val="0"/>
          <w:kern w:val="0"/>
          <w:position w:val="0"/>
          <w:sz w:val="32"/>
          <w:szCs w:val="32"/>
          <w:highlight w:val="none"/>
          <w:lang w:val="zh-CN" w:eastAsia="zh-CN" w:bidi="ar-SA"/>
        </w:rPr>
        <w:t>项目绩效自评所抽样点位情况。每个专项预算项目应选取专项资金分配涉及市县总数的20%、总计不超过20个的市县点位进行实地踏勘，且点位清单应作为自评附表。</w:t>
      </w:r>
    </w:p>
    <w:p w14:paraId="5964CAC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（四）评价方法。</w:t>
      </w:r>
      <w:r>
        <w:rPr>
          <w:rFonts w:hint="eastAsia" w:ascii="Times New Roman" w:hAnsi="Times New Roman" w:eastAsia="仿宋_GB2312" w:cs="仿宋_GB2312"/>
          <w:b w:val="0"/>
          <w:bCs w:val="0"/>
          <w:kern w:val="0"/>
          <w:position w:val="0"/>
          <w:sz w:val="32"/>
          <w:szCs w:val="32"/>
          <w:highlight w:val="none"/>
          <w:lang w:val="zh-CN" w:eastAsia="zh-CN" w:bidi="ar-SA"/>
        </w:rPr>
        <w:t>根据项目情况和评价重点，用来收集相关材料和开展具体评价的方法。包括：采用成本效益分析法、标杆管理法、案卷研究法、单位自评法、实地勘察法、问卷调查法、座谈调研法等多种方法。</w:t>
      </w:r>
    </w:p>
    <w:p w14:paraId="72393D1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bCs/>
          <w:lang w:eastAsia="zh-CN"/>
        </w:rPr>
      </w:pPr>
      <w:r>
        <w:rPr>
          <w:rFonts w:hint="eastAsia" w:ascii="Times New Roman" w:hAnsi="Times New Roman" w:eastAsia="楷体_GB2312"/>
          <w:b/>
          <w:color w:val="auto"/>
          <w:sz w:val="32"/>
          <w:szCs w:val="32"/>
          <w:highlight w:val="none"/>
          <w:u w:val="none"/>
          <w:lang w:val="zh-CN"/>
        </w:rPr>
        <w:t>（五）评价组织。</w:t>
      </w:r>
      <w:r>
        <w:rPr>
          <w:rFonts w:hint="eastAsia" w:ascii="Times New Roman" w:hAnsi="Times New Roman" w:eastAsia="仿宋_GB2312" w:cs="仿宋_GB2312"/>
          <w:b w:val="0"/>
          <w:bCs w:val="0"/>
          <w:kern w:val="0"/>
          <w:position w:val="0"/>
          <w:sz w:val="32"/>
          <w:szCs w:val="32"/>
          <w:highlight w:val="none"/>
          <w:lang w:val="zh-CN" w:eastAsia="zh-CN" w:bidi="ar-SA"/>
        </w:rPr>
        <w:t>评价组人员构成和职责分工。</w:t>
      </w:r>
    </w:p>
    <w:p w14:paraId="6E62CE71">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color w:val="auto"/>
          <w:sz w:val="32"/>
          <w:szCs w:val="32"/>
          <w:highlight w:val="none"/>
          <w:u w:val="none"/>
          <w:lang w:val="zh-CN"/>
        </w:rPr>
      </w:pPr>
      <w:r>
        <w:rPr>
          <w:rFonts w:hint="eastAsia" w:ascii="Times New Roman" w:hAnsi="Times New Roman" w:eastAsia="黑体"/>
          <w:color w:val="auto"/>
          <w:sz w:val="32"/>
          <w:szCs w:val="32"/>
          <w:highlight w:val="none"/>
          <w:u w:val="none"/>
        </w:rPr>
        <w:t>三、</w:t>
      </w:r>
      <w:r>
        <w:rPr>
          <w:rFonts w:hint="eastAsia" w:ascii="Times New Roman" w:hAnsi="Times New Roman" w:eastAsia="黑体"/>
          <w:color w:val="auto"/>
          <w:sz w:val="32"/>
          <w:szCs w:val="32"/>
          <w:highlight w:val="none"/>
          <w:u w:val="none"/>
          <w:lang w:eastAsia="zh-CN"/>
        </w:rPr>
        <w:t>绩效分析</w:t>
      </w:r>
      <w:r>
        <w:rPr>
          <w:rFonts w:hint="eastAsia" w:ascii="Times New Roman" w:hAnsi="Times New Roman"/>
          <w:color w:val="auto"/>
          <w:sz w:val="32"/>
          <w:szCs w:val="32"/>
          <w:highlight w:val="none"/>
          <w:u w:val="none"/>
          <w:lang w:val="zh-CN"/>
        </w:rPr>
        <w:tab/>
      </w:r>
    </w:p>
    <w:p w14:paraId="05FD19B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default"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zh-CN" w:eastAsia="zh-CN" w:bidi="ar-SA"/>
        </w:rPr>
        <w:t>项目</w:t>
      </w:r>
      <w:r>
        <w:rPr>
          <w:rFonts w:hint="default" w:ascii="Times New Roman" w:hAnsi="Times New Roman" w:eastAsia="仿宋_GB2312" w:cs="仿宋_GB2312"/>
          <w:b w:val="0"/>
          <w:bCs w:val="0"/>
          <w:kern w:val="0"/>
          <w:position w:val="0"/>
          <w:sz w:val="32"/>
          <w:szCs w:val="32"/>
          <w:highlight w:val="none"/>
          <w:lang w:val="zh-CN" w:eastAsia="zh-CN" w:bidi="ar-SA"/>
        </w:rPr>
        <w:t>预算绩效评价指标体系</w:t>
      </w:r>
      <w:r>
        <w:rPr>
          <w:rFonts w:hint="eastAsia" w:ascii="Times New Roman" w:hAnsi="Times New Roman" w:eastAsia="仿宋_GB2312" w:cs="仿宋_GB2312"/>
          <w:b w:val="0"/>
          <w:bCs w:val="0"/>
          <w:kern w:val="0"/>
          <w:position w:val="0"/>
          <w:sz w:val="32"/>
          <w:szCs w:val="32"/>
          <w:highlight w:val="none"/>
          <w:lang w:val="zh-CN" w:eastAsia="zh-CN" w:bidi="ar-SA"/>
        </w:rPr>
        <w:t>通用指标、专用指标、个性指标</w:t>
      </w:r>
      <w:r>
        <w:rPr>
          <w:rFonts w:hint="default" w:ascii="Times New Roman" w:hAnsi="Times New Roman" w:eastAsia="仿宋_GB2312" w:cs="仿宋_GB2312"/>
          <w:b w:val="0"/>
          <w:bCs w:val="0"/>
          <w:kern w:val="0"/>
          <w:position w:val="0"/>
          <w:sz w:val="32"/>
          <w:szCs w:val="32"/>
          <w:highlight w:val="none"/>
          <w:lang w:val="zh-CN" w:eastAsia="zh-CN" w:bidi="ar-SA"/>
        </w:rPr>
        <w:t>涉及</w:t>
      </w:r>
      <w:r>
        <w:rPr>
          <w:rFonts w:hint="eastAsia" w:ascii="Times New Roman" w:hAnsi="Times New Roman" w:eastAsia="仿宋_GB2312" w:cs="仿宋_GB2312"/>
          <w:b w:val="0"/>
          <w:bCs w:val="0"/>
          <w:kern w:val="0"/>
          <w:position w:val="0"/>
          <w:sz w:val="32"/>
          <w:szCs w:val="32"/>
          <w:highlight w:val="none"/>
          <w:lang w:val="zh-CN" w:eastAsia="zh-CN" w:bidi="ar-SA"/>
        </w:rPr>
        <w:t>二、三级</w:t>
      </w:r>
      <w:r>
        <w:rPr>
          <w:rFonts w:hint="default" w:ascii="Times New Roman" w:hAnsi="Times New Roman" w:eastAsia="仿宋_GB2312" w:cs="仿宋_GB2312"/>
          <w:b w:val="0"/>
          <w:bCs w:val="0"/>
          <w:kern w:val="0"/>
          <w:position w:val="0"/>
          <w:sz w:val="32"/>
          <w:szCs w:val="32"/>
          <w:highlight w:val="none"/>
          <w:lang w:val="zh-CN" w:eastAsia="zh-CN" w:bidi="ar-SA"/>
        </w:rPr>
        <w:t>指标进行</w:t>
      </w:r>
      <w:r>
        <w:rPr>
          <w:rFonts w:hint="eastAsia" w:ascii="Times New Roman" w:hAnsi="Times New Roman" w:eastAsia="仿宋_GB2312" w:cs="仿宋_GB2312"/>
          <w:b w:val="0"/>
          <w:bCs w:val="0"/>
          <w:kern w:val="0"/>
          <w:position w:val="0"/>
          <w:sz w:val="32"/>
          <w:szCs w:val="32"/>
          <w:highlight w:val="none"/>
          <w:lang w:val="zh-CN" w:eastAsia="zh-CN" w:bidi="ar-SA"/>
        </w:rPr>
        <w:t>逐项</w:t>
      </w:r>
      <w:r>
        <w:rPr>
          <w:rFonts w:hint="default" w:ascii="Times New Roman" w:hAnsi="Times New Roman" w:eastAsia="仿宋_GB2312" w:cs="仿宋_GB2312"/>
          <w:b w:val="0"/>
          <w:bCs w:val="0"/>
          <w:kern w:val="0"/>
          <w:position w:val="0"/>
          <w:sz w:val="32"/>
          <w:szCs w:val="32"/>
          <w:highlight w:val="none"/>
          <w:lang w:val="zh-CN" w:eastAsia="zh-CN" w:bidi="ar-SA"/>
        </w:rPr>
        <w:t>绩效分析</w:t>
      </w:r>
      <w:r>
        <w:rPr>
          <w:rFonts w:hint="eastAsia" w:ascii="Times New Roman" w:hAnsi="Times New Roman" w:eastAsia="仿宋_GB2312" w:cs="仿宋_GB2312"/>
          <w:b w:val="0"/>
          <w:bCs w:val="0"/>
          <w:kern w:val="0"/>
          <w:position w:val="0"/>
          <w:sz w:val="32"/>
          <w:szCs w:val="32"/>
          <w:highlight w:val="none"/>
          <w:lang w:val="zh-CN" w:eastAsia="zh-CN" w:bidi="ar-SA"/>
        </w:rPr>
        <w:t>并评分</w:t>
      </w:r>
      <w:r>
        <w:rPr>
          <w:rFonts w:hint="eastAsia" w:ascii="Times New Roman" w:hAnsi="Times New Roman" w:eastAsia="仿宋_GB2312" w:cs="仿宋_GB2312"/>
          <w:b w:val="0"/>
          <w:bCs w:val="0"/>
          <w:kern w:val="0"/>
          <w:position w:val="0"/>
          <w:sz w:val="32"/>
          <w:szCs w:val="32"/>
          <w:highlight w:val="none"/>
          <w:lang w:val="en-US" w:eastAsia="zh-CN" w:bidi="ar-SA"/>
        </w:rPr>
        <w:t>。</w:t>
      </w:r>
    </w:p>
    <w:p w14:paraId="56D7933C">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zh-CN"/>
        </w:rPr>
        <w:t>（一）</w:t>
      </w:r>
      <w:r>
        <w:rPr>
          <w:rFonts w:hint="eastAsia"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5E96525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w:t>
      </w:r>
      <w:r>
        <w:rPr>
          <w:rFonts w:hint="eastAsia" w:ascii="Times New Roman" w:hAnsi="Times New Roman" w:eastAsia="仿宋_GB2312" w:cs="仿宋_GB2312"/>
          <w:b w:val="0"/>
          <w:bCs w:val="0"/>
          <w:kern w:val="0"/>
          <w:position w:val="0"/>
          <w:sz w:val="32"/>
          <w:szCs w:val="32"/>
          <w:highlight w:val="none"/>
          <w:lang w:val="zh-CN" w:eastAsia="zh-CN" w:bidi="ar-SA"/>
        </w:rPr>
        <w:t>项目决策。围绕决策程序、规划论证、资金投向进行绩效分析。</w:t>
      </w:r>
    </w:p>
    <w:p w14:paraId="77CB7A2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项目管理。围绕制度办法、分配管理、绩效监管进行绩效分析。</w:t>
      </w:r>
    </w:p>
    <w:p w14:paraId="312E8AD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3.项目实施。</w:t>
      </w:r>
      <w:r>
        <w:rPr>
          <w:rFonts w:hint="eastAsia" w:ascii="Times New Roman" w:hAnsi="Times New Roman" w:eastAsia="仿宋_GB2312" w:cs="仿宋_GB2312"/>
          <w:b w:val="0"/>
          <w:bCs w:val="0"/>
          <w:kern w:val="0"/>
          <w:position w:val="0"/>
          <w:sz w:val="32"/>
          <w:szCs w:val="32"/>
          <w:highlight w:val="none"/>
          <w:lang w:val="zh-CN" w:eastAsia="zh-CN" w:bidi="ar-SA"/>
        </w:rPr>
        <w:t>围绕预算执行、资金使用进行绩效分析。</w:t>
      </w:r>
    </w:p>
    <w:p w14:paraId="4261B09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4.项目结果。围绕</w:t>
      </w:r>
      <w:r>
        <w:rPr>
          <w:rFonts w:hint="eastAsia" w:ascii="Times New Roman" w:hAnsi="Times New Roman" w:eastAsia="仿宋_GB2312" w:cs="仿宋_GB2312"/>
          <w:b w:val="0"/>
          <w:bCs w:val="0"/>
          <w:kern w:val="0"/>
          <w:position w:val="0"/>
          <w:sz w:val="32"/>
          <w:szCs w:val="32"/>
          <w:highlight w:val="none"/>
          <w:lang w:val="zh-CN" w:eastAsia="zh-CN" w:bidi="ar-SA"/>
        </w:rPr>
        <w:t>目标完成、完成时效进行绩效分析。</w:t>
      </w:r>
    </w:p>
    <w:p w14:paraId="4EAED40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（二）</w:t>
      </w:r>
      <w:r>
        <w:rPr>
          <w:rFonts w:hint="eastAsia"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en-US" w:eastAsia="zh-CN" w:bidi="ar-SA"/>
        </w:rPr>
        <w:t>专项预算项目资金支持对象选择所属指标进行绩效分析。支持对象</w:t>
      </w:r>
      <w:r>
        <w:rPr>
          <w:rFonts w:hint="eastAsia" w:ascii="Times New Roman" w:hAnsi="Times New Roman" w:eastAsia="仿宋_GB2312" w:cs="仿宋_GB2312"/>
          <w:b w:val="0"/>
          <w:bCs w:val="0"/>
          <w:kern w:val="0"/>
          <w:position w:val="0"/>
          <w:sz w:val="32"/>
          <w:szCs w:val="32"/>
          <w:highlight w:val="none"/>
          <w:lang w:val="zh-CN" w:eastAsia="zh-CN" w:bidi="ar-SA"/>
        </w:rPr>
        <w:t>包括产业发展、民生保障、基础设施、行政运转等方面。</w:t>
      </w:r>
    </w:p>
    <w:p w14:paraId="350DA77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1.产业发展。围绕符合性、成长性、经济性进行绩效分析。</w:t>
      </w:r>
    </w:p>
    <w:p w14:paraId="3EAB77F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民生保障。</w:t>
      </w:r>
      <w:r>
        <w:rPr>
          <w:rFonts w:hint="eastAsia" w:ascii="Times New Roman" w:hAnsi="Times New Roman" w:eastAsia="仿宋_GB2312" w:cs="仿宋_GB2312"/>
          <w:b w:val="0"/>
          <w:bCs w:val="0"/>
          <w:kern w:val="0"/>
          <w:position w:val="0"/>
          <w:sz w:val="32"/>
          <w:szCs w:val="32"/>
          <w:highlight w:val="none"/>
          <w:lang w:val="en-US" w:eastAsia="zh-CN" w:bidi="ar-SA"/>
        </w:rPr>
        <w:t>围绕区域均衡性、对象精准性、标准合理性、群众满意度进行绩效分析。</w:t>
      </w:r>
    </w:p>
    <w:p w14:paraId="4AA27C8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3.基础设施。在建项目围绕工程进度和资金拨付进行绩效分析；建成项目围绕项目验收、功能实现、后续管护进行</w:t>
      </w:r>
      <w:r>
        <w:rPr>
          <w:rFonts w:hint="eastAsia" w:ascii="Times New Roman" w:hAnsi="Times New Roman" w:eastAsia="仿宋_GB2312" w:cs="仿宋_GB2312"/>
          <w:b w:val="0"/>
          <w:bCs w:val="0"/>
          <w:kern w:val="0"/>
          <w:position w:val="0"/>
          <w:sz w:val="32"/>
          <w:szCs w:val="32"/>
          <w:highlight w:val="none"/>
          <w:lang w:val="zh-CN" w:eastAsia="zh-CN" w:bidi="ar-SA"/>
        </w:rPr>
        <w:t>绩效分析。</w:t>
      </w:r>
    </w:p>
    <w:p w14:paraId="7E58683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w:t>
      </w:r>
      <w:r>
        <w:rPr>
          <w:rFonts w:hint="eastAsia" w:ascii="Times New Roman" w:hAnsi="Times New Roman" w:eastAsia="仿宋_GB2312" w:cs="仿宋_GB2312"/>
          <w:b w:val="0"/>
          <w:bCs w:val="0"/>
          <w:kern w:val="0"/>
          <w:position w:val="0"/>
          <w:sz w:val="32"/>
          <w:szCs w:val="32"/>
          <w:highlight w:val="none"/>
          <w:lang w:val="zh-CN" w:eastAsia="zh-CN" w:bidi="ar-SA"/>
        </w:rPr>
        <w:t>行政运转。围绕用途合规性、程序合规性、标准合规性进行绩效分析。</w:t>
      </w:r>
    </w:p>
    <w:p w14:paraId="57EB22E7">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sz w:val="32"/>
          <w:szCs w:val="32"/>
          <w:highlight w:val="none"/>
          <w:u w:val="none"/>
          <w:lang w:val="zh-CN"/>
        </w:rPr>
        <w:t>（三）</w:t>
      </w:r>
      <w:r>
        <w:rPr>
          <w:rFonts w:hint="eastAsia"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根据项目个性自行设定部分指标，反映该项指标执行完成情况。</w:t>
      </w:r>
    </w:p>
    <w:p w14:paraId="4339257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四、评价结论</w:t>
      </w:r>
    </w:p>
    <w:p w14:paraId="245AE2A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简要阐述专项预算项目绩效自评总体结论，包含评价总分、</w:t>
      </w:r>
      <w:r>
        <w:rPr>
          <w:rFonts w:hint="eastAsia" w:ascii="Times New Roman" w:hAnsi="Times New Roman" w:eastAsia="仿宋_GB2312" w:cs="仿宋_GB2312"/>
          <w:b w:val="0"/>
          <w:bCs w:val="0"/>
          <w:kern w:val="0"/>
          <w:position w:val="0"/>
          <w:sz w:val="32"/>
          <w:szCs w:val="32"/>
          <w:highlight w:val="none"/>
          <w:lang w:val="zh-CN" w:eastAsia="zh-CN" w:bidi="ar-SA"/>
        </w:rPr>
        <w:t>项目实施情况。</w:t>
      </w:r>
    </w:p>
    <w:p w14:paraId="030B30F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五、存在主要问题</w:t>
      </w:r>
    </w:p>
    <w:p w14:paraId="14F7DEB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简要阐述专项预算项目绩效自评发现的主要问题。</w:t>
      </w:r>
    </w:p>
    <w:p w14:paraId="0EA5A97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六、改进建议</w:t>
      </w:r>
    </w:p>
    <w:p w14:paraId="6C02D69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简要阐述专项预算项目在</w:t>
      </w:r>
      <w:r>
        <w:rPr>
          <w:rFonts w:hint="eastAsia" w:ascii="Times New Roman" w:hAnsi="Times New Roman" w:eastAsia="仿宋_GB2312" w:cs="仿宋_GB2312"/>
          <w:b w:val="0"/>
          <w:bCs w:val="0"/>
          <w:kern w:val="0"/>
          <w:position w:val="0"/>
          <w:sz w:val="32"/>
          <w:szCs w:val="32"/>
          <w:highlight w:val="none"/>
          <w:lang w:val="en" w:eastAsia="zh-CN" w:bidi="ar-SA"/>
        </w:rPr>
        <w:t>预算安排、完善政策、改进管理等方面的</w:t>
      </w:r>
      <w:r>
        <w:rPr>
          <w:rFonts w:hint="eastAsia" w:ascii="Times New Roman" w:hAnsi="Times New Roman" w:eastAsia="仿宋_GB2312" w:cs="仿宋_GB2312"/>
          <w:b w:val="0"/>
          <w:bCs w:val="0"/>
          <w:kern w:val="0"/>
          <w:position w:val="0"/>
          <w:sz w:val="32"/>
          <w:szCs w:val="32"/>
          <w:highlight w:val="none"/>
          <w:lang w:val="en-US" w:eastAsia="zh-CN" w:bidi="ar-SA"/>
        </w:rPr>
        <w:t>措施</w:t>
      </w:r>
      <w:r>
        <w:rPr>
          <w:rFonts w:hint="eastAsia" w:ascii="Times New Roman" w:hAnsi="Times New Roman" w:eastAsia="仿宋_GB2312" w:cs="仿宋_GB2312"/>
          <w:b w:val="0"/>
          <w:bCs w:val="0"/>
          <w:kern w:val="0"/>
          <w:position w:val="0"/>
          <w:sz w:val="32"/>
          <w:szCs w:val="32"/>
          <w:highlight w:val="none"/>
          <w:lang w:val="en" w:eastAsia="zh-CN" w:bidi="ar-SA"/>
        </w:rPr>
        <w:t>建议，其中</w:t>
      </w:r>
      <w:r>
        <w:rPr>
          <w:rFonts w:hint="eastAsia" w:ascii="Times New Roman" w:hAnsi="Times New Roman" w:eastAsia="仿宋_GB2312" w:cs="仿宋_GB2312"/>
          <w:b w:val="0"/>
          <w:bCs w:val="0"/>
          <w:kern w:val="0"/>
          <w:position w:val="0"/>
          <w:sz w:val="32"/>
          <w:szCs w:val="32"/>
          <w:highlight w:val="none"/>
          <w:lang w:val="en-US" w:eastAsia="zh-CN" w:bidi="ar-SA"/>
        </w:rPr>
        <w:t>必须对应评价发现的主要问题一一提出措施建议。</w:t>
      </w:r>
    </w:p>
    <w:p w14:paraId="5D291A4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bCs/>
          <w:kern w:val="0"/>
          <w:position w:val="0"/>
          <w:sz w:val="32"/>
          <w:szCs w:val="32"/>
          <w:highlight w:val="none"/>
          <w:lang w:val="en-US" w:eastAsia="zh-CN" w:bidi="ar-SA"/>
        </w:rPr>
      </w:pPr>
      <w:r>
        <w:rPr>
          <w:rFonts w:hint="eastAsia" w:ascii="Times New Roman" w:hAnsi="Times New Roman" w:eastAsia="仿宋_GB2312" w:cs="仿宋_GB2312"/>
          <w:b/>
          <w:bCs/>
          <w:kern w:val="0"/>
          <w:position w:val="0"/>
          <w:sz w:val="32"/>
          <w:szCs w:val="32"/>
          <w:highlight w:val="none"/>
          <w:lang w:val="en-US" w:eastAsia="zh-CN" w:bidi="ar-SA"/>
        </w:rPr>
        <w:t>（</w:t>
      </w:r>
      <w:r>
        <w:rPr>
          <w:rFonts w:hint="eastAsia" w:eastAsia="仿宋_GB2312" w:cs="仿宋_GB2312"/>
          <w:b/>
          <w:bCs/>
          <w:kern w:val="0"/>
          <w:position w:val="0"/>
          <w:sz w:val="32"/>
          <w:szCs w:val="32"/>
          <w:highlight w:val="none"/>
          <w:lang w:val="en-US" w:eastAsia="zh-CN" w:bidi="ar-SA"/>
        </w:rPr>
        <w:t>注：</w:t>
      </w:r>
      <w:r>
        <w:rPr>
          <w:rFonts w:hint="eastAsia" w:ascii="Times New Roman" w:hAnsi="Times New Roman" w:eastAsia="仿宋_GB2312" w:cs="仿宋_GB2312"/>
          <w:b/>
          <w:bCs/>
          <w:kern w:val="0"/>
          <w:position w:val="0"/>
          <w:sz w:val="32"/>
          <w:szCs w:val="32"/>
          <w:highlight w:val="none"/>
          <w:lang w:val="en-US" w:eastAsia="zh-CN" w:bidi="ar-SA"/>
        </w:rPr>
        <w:t>以上绩效自评报告，除涉密敏感内容外，原则上都应予以公开）</w:t>
      </w:r>
    </w:p>
    <w:p w14:paraId="60B33D0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2E92175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690BBDB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61"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0E9E8729">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0"/>
          <w:rFonts w:hint="eastAsia" w:ascii="Times New Roman" w:hAnsi="Times New Roman" w:eastAsia="黑体"/>
          <w:b w:val="0"/>
          <w:color w:val="auto"/>
          <w:highlight w:val="none"/>
        </w:rPr>
        <w:t>五部分 附表</w:t>
      </w:r>
      <w:bookmarkEnd w:id="60"/>
      <w:bookmarkEnd w:id="61"/>
      <w:bookmarkStart w:id="62" w:name="_Toc15396619"/>
    </w:p>
    <w:p w14:paraId="0E3487D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3412A50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62"/>
    </w:p>
    <w:p w14:paraId="0BFC9DD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0"/>
      <w:r>
        <w:rPr>
          <w:rFonts w:hint="eastAsia" w:ascii="Times New Roman" w:hAnsi="Times New Roman" w:eastAsia="仿宋_GB2312" w:cs="仿宋_GB2312"/>
          <w:color w:val="auto"/>
          <w:sz w:val="32"/>
          <w:szCs w:val="32"/>
          <w:highlight w:val="none"/>
        </w:rPr>
        <w:t>二、收入决算表</w:t>
      </w:r>
      <w:bookmarkEnd w:id="63"/>
    </w:p>
    <w:p w14:paraId="69F897E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1"/>
      <w:r>
        <w:rPr>
          <w:rFonts w:hint="eastAsia" w:ascii="Times New Roman" w:hAnsi="Times New Roman" w:eastAsia="仿宋_GB2312" w:cs="仿宋_GB2312"/>
          <w:color w:val="auto"/>
          <w:sz w:val="32"/>
          <w:szCs w:val="32"/>
          <w:highlight w:val="none"/>
        </w:rPr>
        <w:t>三、支出决算表</w:t>
      </w:r>
      <w:bookmarkEnd w:id="64"/>
    </w:p>
    <w:p w14:paraId="397B6BC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2"/>
      <w:r>
        <w:rPr>
          <w:rFonts w:hint="eastAsia" w:ascii="Times New Roman" w:hAnsi="Times New Roman" w:eastAsia="仿宋_GB2312" w:cs="仿宋_GB2312"/>
          <w:color w:val="auto"/>
          <w:sz w:val="32"/>
          <w:szCs w:val="32"/>
          <w:highlight w:val="none"/>
        </w:rPr>
        <w:t>四、财政拨款收入支出决算总表</w:t>
      </w:r>
      <w:bookmarkEnd w:id="65"/>
    </w:p>
    <w:p w14:paraId="5780E1B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23"/>
      <w:r>
        <w:rPr>
          <w:rFonts w:hint="eastAsia" w:ascii="Times New Roman" w:hAnsi="Times New Roman" w:eastAsia="仿宋_GB2312" w:cs="仿宋_GB2312"/>
          <w:color w:val="auto"/>
          <w:sz w:val="32"/>
          <w:szCs w:val="32"/>
          <w:highlight w:val="none"/>
        </w:rPr>
        <w:t>五、财政拨款支出决算明细表</w:t>
      </w:r>
      <w:bookmarkEnd w:id="66"/>
      <w:bookmarkStart w:id="67" w:name="_Toc15396624"/>
    </w:p>
    <w:p w14:paraId="119F7FA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7"/>
    </w:p>
    <w:p w14:paraId="62A0955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8" w:name="_Toc15396625"/>
      <w:r>
        <w:rPr>
          <w:rFonts w:hint="eastAsia" w:ascii="Times New Roman" w:hAnsi="Times New Roman" w:eastAsia="仿宋_GB2312" w:cs="仿宋_GB2312"/>
          <w:color w:val="auto"/>
          <w:sz w:val="32"/>
          <w:szCs w:val="32"/>
          <w:highlight w:val="none"/>
        </w:rPr>
        <w:t>七、一般公共预算财政拨款支出决算明细表</w:t>
      </w:r>
      <w:bookmarkEnd w:id="68"/>
    </w:p>
    <w:p w14:paraId="539D167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9" w:name="_Toc15396626"/>
      <w:r>
        <w:rPr>
          <w:rFonts w:hint="eastAsia" w:ascii="Times New Roman" w:hAnsi="Times New Roman" w:eastAsia="仿宋_GB2312" w:cs="仿宋_GB2312"/>
          <w:color w:val="auto"/>
          <w:sz w:val="32"/>
          <w:szCs w:val="32"/>
          <w:highlight w:val="none"/>
        </w:rPr>
        <w:t>八、一般公共预算财政拨款基本支出决算表</w:t>
      </w:r>
      <w:bookmarkEnd w:id="69"/>
    </w:p>
    <w:p w14:paraId="703C215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0" w:name="_Toc15396627"/>
      <w:r>
        <w:rPr>
          <w:rFonts w:hint="eastAsia" w:ascii="Times New Roman" w:hAnsi="Times New Roman" w:eastAsia="仿宋_GB2312" w:cs="仿宋_GB2312"/>
          <w:color w:val="auto"/>
          <w:sz w:val="32"/>
          <w:szCs w:val="32"/>
          <w:highlight w:val="none"/>
        </w:rPr>
        <w:t>九、一般公共预算财政拨款项目支出决算表</w:t>
      </w:r>
      <w:bookmarkEnd w:id="70"/>
    </w:p>
    <w:p w14:paraId="18C74AF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1" w:name="_Toc15396628"/>
      <w:r>
        <w:rPr>
          <w:rFonts w:hint="eastAsia" w:ascii="Times New Roman" w:hAnsi="Times New Roman" w:eastAsia="仿宋_GB2312" w:cs="仿宋_GB2312"/>
          <w:color w:val="auto"/>
          <w:sz w:val="32"/>
          <w:szCs w:val="32"/>
          <w:highlight w:val="none"/>
        </w:rPr>
        <w:t>十、</w:t>
      </w:r>
      <w:bookmarkEnd w:id="71"/>
      <w:r>
        <w:rPr>
          <w:rFonts w:hint="eastAsia" w:ascii="Times New Roman" w:hAnsi="Times New Roman" w:eastAsia="仿宋_GB2312" w:cs="仿宋_GB2312"/>
          <w:color w:val="auto"/>
          <w:sz w:val="32"/>
          <w:szCs w:val="32"/>
          <w:highlight w:val="none"/>
        </w:rPr>
        <w:t>政府性基金预算财政拨款收入支出决算表</w:t>
      </w:r>
    </w:p>
    <w:p w14:paraId="721DD17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2" w:name="_Toc15396629"/>
      <w:r>
        <w:rPr>
          <w:rFonts w:hint="eastAsia" w:ascii="Times New Roman" w:hAnsi="Times New Roman" w:eastAsia="仿宋_GB2312" w:cs="仿宋_GB2312"/>
          <w:color w:val="auto"/>
          <w:sz w:val="32"/>
          <w:szCs w:val="32"/>
          <w:highlight w:val="none"/>
        </w:rPr>
        <w:t>十一、</w:t>
      </w:r>
      <w:bookmarkEnd w:id="72"/>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70C4D21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3" w:name="_Toc15396630"/>
      <w:r>
        <w:rPr>
          <w:rFonts w:hint="eastAsia" w:ascii="Times New Roman" w:hAnsi="Times New Roman" w:eastAsia="仿宋_GB2312" w:cs="仿宋_GB2312"/>
          <w:color w:val="auto"/>
          <w:sz w:val="32"/>
          <w:szCs w:val="32"/>
          <w:highlight w:val="none"/>
        </w:rPr>
        <w:t>十二、</w:t>
      </w:r>
      <w:bookmarkEnd w:id="73"/>
      <w:r>
        <w:rPr>
          <w:rFonts w:hint="eastAsia" w:ascii="Times New Roman" w:hAnsi="Times New Roman" w:eastAsia="仿宋_GB2312" w:cs="仿宋_GB2312"/>
          <w:color w:val="auto"/>
          <w:sz w:val="32"/>
          <w:szCs w:val="32"/>
          <w:highlight w:val="none"/>
          <w:lang w:eastAsia="zh-CN"/>
        </w:rPr>
        <w:t>国有资本经营预算财政拨款支出决算表</w:t>
      </w:r>
    </w:p>
    <w:p w14:paraId="7611A10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74" w:name="_Toc15396631"/>
      <w:r>
        <w:rPr>
          <w:rFonts w:hint="eastAsia" w:ascii="Times New Roman" w:hAnsi="Times New Roman" w:eastAsia="仿宋_GB2312" w:cs="仿宋_GB2312"/>
          <w:color w:val="auto"/>
          <w:sz w:val="32"/>
          <w:szCs w:val="32"/>
          <w:highlight w:val="none"/>
        </w:rPr>
        <w:t>十三、</w:t>
      </w:r>
      <w:bookmarkEnd w:id="74"/>
      <w:r>
        <w:rPr>
          <w:rFonts w:hint="eastAsia" w:ascii="Times New Roman" w:hAnsi="Times New Roman" w:eastAsia="仿宋_GB2312" w:cs="仿宋_GB2312"/>
          <w:color w:val="auto"/>
          <w:sz w:val="32"/>
          <w:szCs w:val="32"/>
          <w:highlight w:val="none"/>
          <w:lang w:eastAsia="zh-CN"/>
        </w:rPr>
        <w:t>财政拨款“三公”经费支出决算表</w:t>
      </w:r>
    </w:p>
    <w:p w14:paraId="53166DF8">
      <w:pPr>
        <w:rPr>
          <w:rFonts w:hint="eastAsia" w:ascii="Times New Roman" w:hAnsi="Times New Roman"/>
          <w:lang w:eastAsia="zh-CN"/>
        </w:rPr>
      </w:pPr>
    </w:p>
    <w:sectPr>
      <w:footerReference r:id="rId8" w:type="first"/>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Segoe UI">
    <w:panose1 w:val="020B0502040204020203"/>
    <w:charset w:val="00"/>
    <w:family w:val="auto"/>
    <w:pitch w:val="default"/>
    <w:sig w:usb0="E10022FF" w:usb1="C000E47F" w:usb2="00000029" w:usb3="00000000" w:csb0="200001DF" w:csb1="2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A1500">
    <w:pPr>
      <w:pStyle w:val="11"/>
      <w:jc w:val="center"/>
    </w:pPr>
  </w:p>
  <w:p w14:paraId="4FBCEEA3">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3E75C9">
    <w:pPr>
      <w:pStyle w:val="11"/>
      <w:jc w:val="center"/>
    </w:pPr>
  </w:p>
  <w:p w14:paraId="4B674CFC">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815C8">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0DAC9">
    <w:pPr>
      <w:pStyle w:val="11"/>
      <w:jc w:val="center"/>
    </w:pPr>
  </w:p>
  <w:p w14:paraId="0339261B">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F24D8">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C3F5CC">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AC3F5CC">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FC672">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6FA7D1"/>
    <w:multiLevelType w:val="singleLevel"/>
    <w:tmpl w:val="8C6FA7D1"/>
    <w:lvl w:ilvl="0" w:tentative="0">
      <w:start w:val="1"/>
      <w:numFmt w:val="decimal"/>
      <w:lvlText w:val="%1."/>
      <w:lvlJc w:val="left"/>
      <w:pPr>
        <w:tabs>
          <w:tab w:val="left" w:pos="312"/>
        </w:tabs>
      </w:pPr>
    </w:lvl>
  </w:abstractNum>
  <w:abstractNum w:abstractNumId="1">
    <w:nsid w:val="3B275067"/>
    <w:multiLevelType w:val="singleLevel"/>
    <w:tmpl w:val="3B275067"/>
    <w:lvl w:ilvl="0" w:tentative="0">
      <w:start w:val="1"/>
      <w:numFmt w:val="chineseCounting"/>
      <w:suff w:val="nothing"/>
      <w:lvlText w:val="%1、"/>
      <w:lvlJc w:val="left"/>
      <w:rPr>
        <w:rFonts w:hint="eastAsia"/>
      </w:rPr>
    </w:lvl>
  </w:abstractNum>
  <w:abstractNum w:abstractNumId="2">
    <w:nsid w:val="57CF5871"/>
    <w:multiLevelType w:val="singleLevel"/>
    <w:tmpl w:val="57CF5871"/>
    <w:lvl w:ilvl="0" w:tentative="0">
      <w:start w:val="1"/>
      <w:numFmt w:val="decimal"/>
      <w:lvlText w:val="%1."/>
      <w:lvlJc w:val="left"/>
      <w:pPr>
        <w:tabs>
          <w:tab w:val="left" w:pos="312"/>
        </w:tabs>
      </w:pPr>
    </w:lvl>
  </w:abstractNum>
  <w:abstractNum w:abstractNumId="3">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407F88"/>
    <w:rsid w:val="014232AA"/>
    <w:rsid w:val="015975B8"/>
    <w:rsid w:val="01A23516"/>
    <w:rsid w:val="02317B1B"/>
    <w:rsid w:val="02FEBE30"/>
    <w:rsid w:val="03885E3A"/>
    <w:rsid w:val="061E35DE"/>
    <w:rsid w:val="066E0107"/>
    <w:rsid w:val="07996F6E"/>
    <w:rsid w:val="07DFD8BA"/>
    <w:rsid w:val="08DB07E4"/>
    <w:rsid w:val="09867E8F"/>
    <w:rsid w:val="0A2032A3"/>
    <w:rsid w:val="0A6C3DC0"/>
    <w:rsid w:val="0BF40511"/>
    <w:rsid w:val="0C6C4794"/>
    <w:rsid w:val="0CA8290A"/>
    <w:rsid w:val="0D35B1ED"/>
    <w:rsid w:val="0DE07E2B"/>
    <w:rsid w:val="0E3746E5"/>
    <w:rsid w:val="0E903DF5"/>
    <w:rsid w:val="0F98263C"/>
    <w:rsid w:val="101860EC"/>
    <w:rsid w:val="10A73DA4"/>
    <w:rsid w:val="10C055FF"/>
    <w:rsid w:val="11772AA4"/>
    <w:rsid w:val="118107EC"/>
    <w:rsid w:val="1310604B"/>
    <w:rsid w:val="13957196"/>
    <w:rsid w:val="13D50BC4"/>
    <w:rsid w:val="14022904"/>
    <w:rsid w:val="152F2A07"/>
    <w:rsid w:val="165E0673"/>
    <w:rsid w:val="16BB723D"/>
    <w:rsid w:val="16F13FCB"/>
    <w:rsid w:val="18555AB7"/>
    <w:rsid w:val="186504BB"/>
    <w:rsid w:val="1938089F"/>
    <w:rsid w:val="19A445FC"/>
    <w:rsid w:val="1A640DA1"/>
    <w:rsid w:val="1B7D550C"/>
    <w:rsid w:val="1BE8440E"/>
    <w:rsid w:val="1D155CEE"/>
    <w:rsid w:val="1DE178F3"/>
    <w:rsid w:val="1E740ACF"/>
    <w:rsid w:val="1FF35744"/>
    <w:rsid w:val="1FF6BC77"/>
    <w:rsid w:val="21962A9E"/>
    <w:rsid w:val="21AE7C77"/>
    <w:rsid w:val="21E07116"/>
    <w:rsid w:val="21F42BC1"/>
    <w:rsid w:val="22BC3C41"/>
    <w:rsid w:val="23860B96"/>
    <w:rsid w:val="240371BF"/>
    <w:rsid w:val="25310884"/>
    <w:rsid w:val="258C20BE"/>
    <w:rsid w:val="260F557C"/>
    <w:rsid w:val="281408E2"/>
    <w:rsid w:val="29DE6D08"/>
    <w:rsid w:val="29FD04D3"/>
    <w:rsid w:val="2A067935"/>
    <w:rsid w:val="2BFF7BC6"/>
    <w:rsid w:val="2C8A61B5"/>
    <w:rsid w:val="2D2E01CF"/>
    <w:rsid w:val="2DF04E50"/>
    <w:rsid w:val="2E9545B0"/>
    <w:rsid w:val="2F040D46"/>
    <w:rsid w:val="2F25260C"/>
    <w:rsid w:val="2FAE5751"/>
    <w:rsid w:val="2FB1A395"/>
    <w:rsid w:val="2FD9A7D8"/>
    <w:rsid w:val="319F7F4E"/>
    <w:rsid w:val="321B2544"/>
    <w:rsid w:val="32381A41"/>
    <w:rsid w:val="3304709D"/>
    <w:rsid w:val="34281836"/>
    <w:rsid w:val="349D6851"/>
    <w:rsid w:val="34C603ED"/>
    <w:rsid w:val="35BA6CAF"/>
    <w:rsid w:val="35D37231"/>
    <w:rsid w:val="364D14C1"/>
    <w:rsid w:val="36AA5135"/>
    <w:rsid w:val="36BE0DA7"/>
    <w:rsid w:val="376B6AA6"/>
    <w:rsid w:val="376D39B2"/>
    <w:rsid w:val="37E16F03"/>
    <w:rsid w:val="37F53A3B"/>
    <w:rsid w:val="389B6C89"/>
    <w:rsid w:val="38D469F0"/>
    <w:rsid w:val="39627CCD"/>
    <w:rsid w:val="397BAF1F"/>
    <w:rsid w:val="3AB79AF3"/>
    <w:rsid w:val="3B082917"/>
    <w:rsid w:val="3B7EF35A"/>
    <w:rsid w:val="3B9FDB6C"/>
    <w:rsid w:val="3BF5BC2F"/>
    <w:rsid w:val="3CEBA265"/>
    <w:rsid w:val="3D98207C"/>
    <w:rsid w:val="3D9B0D99"/>
    <w:rsid w:val="3DEE7CF3"/>
    <w:rsid w:val="3DF02244"/>
    <w:rsid w:val="3E78745D"/>
    <w:rsid w:val="3FF4CAE0"/>
    <w:rsid w:val="3FF7B227"/>
    <w:rsid w:val="40E54C45"/>
    <w:rsid w:val="41313393"/>
    <w:rsid w:val="439264C9"/>
    <w:rsid w:val="43A407DF"/>
    <w:rsid w:val="44515BEA"/>
    <w:rsid w:val="44B41D30"/>
    <w:rsid w:val="44E268DA"/>
    <w:rsid w:val="453F7E5B"/>
    <w:rsid w:val="486A6C7A"/>
    <w:rsid w:val="48A03AB6"/>
    <w:rsid w:val="49176D9B"/>
    <w:rsid w:val="494006BD"/>
    <w:rsid w:val="4A627F82"/>
    <w:rsid w:val="4B0E749A"/>
    <w:rsid w:val="4B4F25DA"/>
    <w:rsid w:val="4BDA0CFB"/>
    <w:rsid w:val="4BE068DB"/>
    <w:rsid w:val="4D3C0CCC"/>
    <w:rsid w:val="4D577224"/>
    <w:rsid w:val="4DBF1CEB"/>
    <w:rsid w:val="4EAB630A"/>
    <w:rsid w:val="4ECE2238"/>
    <w:rsid w:val="4F833267"/>
    <w:rsid w:val="4FD33566"/>
    <w:rsid w:val="4FE9BD67"/>
    <w:rsid w:val="4FFB052F"/>
    <w:rsid w:val="4FFD7E08"/>
    <w:rsid w:val="50493828"/>
    <w:rsid w:val="50FA5D76"/>
    <w:rsid w:val="53083A92"/>
    <w:rsid w:val="537E6D0A"/>
    <w:rsid w:val="53AF27A2"/>
    <w:rsid w:val="53EB70D0"/>
    <w:rsid w:val="53F74C96"/>
    <w:rsid w:val="56E47B74"/>
    <w:rsid w:val="57BD3DD4"/>
    <w:rsid w:val="59AD31DF"/>
    <w:rsid w:val="5AF92295"/>
    <w:rsid w:val="5BDD79E6"/>
    <w:rsid w:val="5BF561CA"/>
    <w:rsid w:val="5BFF5DFC"/>
    <w:rsid w:val="5CD71FC4"/>
    <w:rsid w:val="5D1F11B5"/>
    <w:rsid w:val="5DAE1B18"/>
    <w:rsid w:val="5DE7D9E5"/>
    <w:rsid w:val="5ECEC941"/>
    <w:rsid w:val="5F493CB7"/>
    <w:rsid w:val="5F6E6E08"/>
    <w:rsid w:val="5F814D8D"/>
    <w:rsid w:val="5FBF9FF3"/>
    <w:rsid w:val="5FC609F2"/>
    <w:rsid w:val="5FCD4E2C"/>
    <w:rsid w:val="5FD15F49"/>
    <w:rsid w:val="5FEF394A"/>
    <w:rsid w:val="5FF67715"/>
    <w:rsid w:val="62BF3928"/>
    <w:rsid w:val="63557AD3"/>
    <w:rsid w:val="647F5392"/>
    <w:rsid w:val="659A2704"/>
    <w:rsid w:val="664B1D71"/>
    <w:rsid w:val="67AA3209"/>
    <w:rsid w:val="681C4F0D"/>
    <w:rsid w:val="69046D0F"/>
    <w:rsid w:val="698D0931"/>
    <w:rsid w:val="69D01F4B"/>
    <w:rsid w:val="6A993CED"/>
    <w:rsid w:val="6B053271"/>
    <w:rsid w:val="6BCE6674"/>
    <w:rsid w:val="6C4A05C8"/>
    <w:rsid w:val="6C8742B8"/>
    <w:rsid w:val="6C8A170F"/>
    <w:rsid w:val="6CB54609"/>
    <w:rsid w:val="6DBF5E93"/>
    <w:rsid w:val="6DFF077E"/>
    <w:rsid w:val="6E4964BF"/>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0862203"/>
    <w:rsid w:val="70D02DFD"/>
    <w:rsid w:val="712A28F1"/>
    <w:rsid w:val="715C0E4B"/>
    <w:rsid w:val="71C77CB8"/>
    <w:rsid w:val="72233669"/>
    <w:rsid w:val="72734D90"/>
    <w:rsid w:val="7332FE48"/>
    <w:rsid w:val="733817AF"/>
    <w:rsid w:val="737F118B"/>
    <w:rsid w:val="73AB61DA"/>
    <w:rsid w:val="73AD73D5"/>
    <w:rsid w:val="73B6EB34"/>
    <w:rsid w:val="73FA497D"/>
    <w:rsid w:val="744731E5"/>
    <w:rsid w:val="74527205"/>
    <w:rsid w:val="74BBD01D"/>
    <w:rsid w:val="74ED5379"/>
    <w:rsid w:val="74FC2395"/>
    <w:rsid w:val="75DEEEC2"/>
    <w:rsid w:val="76E3355F"/>
    <w:rsid w:val="76FF5125"/>
    <w:rsid w:val="776F6FFA"/>
    <w:rsid w:val="778769C8"/>
    <w:rsid w:val="77CC69D7"/>
    <w:rsid w:val="77DC22F5"/>
    <w:rsid w:val="79086DAD"/>
    <w:rsid w:val="79865F01"/>
    <w:rsid w:val="79974F09"/>
    <w:rsid w:val="79D7FD79"/>
    <w:rsid w:val="79EE5BA4"/>
    <w:rsid w:val="79FA1DC4"/>
    <w:rsid w:val="7A894339"/>
    <w:rsid w:val="7AD53C03"/>
    <w:rsid w:val="7AFF7572"/>
    <w:rsid w:val="7B6C7DFB"/>
    <w:rsid w:val="7B752E6E"/>
    <w:rsid w:val="7BBFBED0"/>
    <w:rsid w:val="7BC3E394"/>
    <w:rsid w:val="7C1F3737"/>
    <w:rsid w:val="7CBFC87B"/>
    <w:rsid w:val="7CFE0F48"/>
    <w:rsid w:val="7D7EC23E"/>
    <w:rsid w:val="7D916348"/>
    <w:rsid w:val="7E8ADEBF"/>
    <w:rsid w:val="7EED78F1"/>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BodyText"/>
    <w:basedOn w:val="1"/>
    <w:qFormat/>
    <w:uiPriority w:val="0"/>
    <w:pPr>
      <w:spacing w:after="120"/>
      <w:textAlignment w:val="baseline"/>
    </w:pPr>
  </w:style>
  <w:style w:type="paragraph" w:styleId="6">
    <w:name w:val="Body Text"/>
    <w:basedOn w:val="1"/>
    <w:link w:val="27"/>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3"/>
    <w:semiHidden/>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semiHidden/>
    <w:unhideWhenUsed/>
    <w:qFormat/>
    <w:uiPriority w:val="99"/>
    <w:rPr>
      <w:sz w:val="24"/>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6"/>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3"/>
    <w:qFormat/>
    <w:uiPriority w:val="9"/>
    <w:rPr>
      <w:rFonts w:ascii="Times New Roman" w:hAnsi="Times New Roman"/>
      <w:b/>
      <w:bCs/>
      <w:kern w:val="44"/>
      <w:sz w:val="44"/>
      <w:szCs w:val="44"/>
    </w:rPr>
  </w:style>
  <w:style w:type="character" w:customStyle="1" w:styleId="31">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0"/>
    <w:semiHidden/>
    <w:qFormat/>
    <w:uiPriority w:val="99"/>
    <w:rPr>
      <w:rFonts w:ascii="Times New Roman" w:hAnsi="Times New Roman"/>
      <w:kern w:val="2"/>
      <w:sz w:val="18"/>
      <w:szCs w:val="18"/>
    </w:rPr>
  </w:style>
  <w:style w:type="character" w:customStyle="1" w:styleId="34">
    <w:name w:val="标题 3 Char"/>
    <w:basedOn w:val="18"/>
    <w:link w:val="5"/>
    <w:qFormat/>
    <w:uiPriority w:val="9"/>
    <w:rPr>
      <w:rFonts w:ascii="Times New Roman" w:hAnsi="Times New Roman"/>
      <w:b/>
      <w:bCs/>
      <w:kern w:val="2"/>
      <w:sz w:val="32"/>
      <w:szCs w:val="32"/>
    </w:rPr>
  </w:style>
  <w:style w:type="paragraph" w:customStyle="1" w:styleId="35">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7">
    <w:name w:val="正文文本1"/>
    <w:basedOn w:val="1"/>
    <w:qFormat/>
    <w:uiPriority w:val="99"/>
    <w:pPr>
      <w:spacing w:before="93"/>
    </w:pPr>
    <w:rPr>
      <w:rFonts w:ascii="仿宋_GB2312" w:hAnsi="仿宋_GB2312" w:eastAsia="仿宋_GB2312" w:cs="仿宋_GB2312"/>
      <w:kern w:val="0"/>
      <w:sz w:val="30"/>
      <w:szCs w:val="3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30</Pages>
  <Words>9571</Words>
  <Characters>10409</Characters>
  <Lines>61</Lines>
  <Paragraphs>17</Paragraphs>
  <TotalTime>2</TotalTime>
  <ScaleCrop>false</ScaleCrop>
  <LinksUpToDate>false</LinksUpToDate>
  <CharactersWithSpaces>10496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远方</cp:lastModifiedBy>
  <cp:lastPrinted>2026-08-03T09:27:00Z</cp:lastPrinted>
  <dcterms:modified xsi:type="dcterms:W3CDTF">2026-09-08T02:32:40Z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8F51436FF192458CBDC860171DA33965_13</vt:lpwstr>
  </property>
  <property fmtid="{D5CDD505-2E9C-101B-9397-08002B2CF9AE}" pid="4" name="KSOTemplateDocerSaveRecord">
    <vt:lpwstr>eyJoZGlkIjoiOTQ2ZjFkZWEyZTZjNDFlMTQwZWZkNWNlMTRmMDEyOTMiLCJ1c2VySWQiOiIyNzgzMDY0ODYifQ==</vt:lpwstr>
  </property>
</Properties>
</file>