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17B9C">
      <w:pPr>
        <w:pStyle w:val="6"/>
        <w:rPr>
          <w:rFonts w:hint="eastAsia" w:ascii="黑体" w:hAnsi="黑体" w:eastAsia="黑体" w:cs="黑体"/>
          <w:color w:val="auto"/>
          <w:kern w:val="2"/>
          <w:sz w:val="32"/>
          <w:szCs w:val="32"/>
          <w:highlight w:val="none"/>
          <w:lang w:val="en-US" w:eastAsia="zh-CN" w:bidi="ar-SA"/>
        </w:rPr>
      </w:pPr>
      <w:bookmarkStart w:id="0" w:name="_Toc15396475"/>
      <w:bookmarkStart w:id="1" w:name="_Toc15377425"/>
      <w:bookmarkStart w:id="2" w:name="_Toc15396597"/>
      <w:bookmarkStart w:id="3" w:name="_Toc15377193"/>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316C4A40">
      <w:pPr>
        <w:pStyle w:val="6"/>
        <w:rPr>
          <w:rFonts w:hint="eastAsia" w:ascii="Times New Roman" w:hAnsi="Times New Roman" w:eastAsia="方正小标宋简体" w:cs="Times New Roman"/>
          <w:color w:val="auto"/>
          <w:kern w:val="2"/>
          <w:sz w:val="72"/>
          <w:szCs w:val="72"/>
          <w:highlight w:val="none"/>
          <w:lang w:val="en-US" w:eastAsia="zh-CN" w:bidi="ar-SA"/>
        </w:rPr>
      </w:pPr>
    </w:p>
    <w:p w14:paraId="2E2D87F2">
      <w:pPr>
        <w:pStyle w:val="6"/>
        <w:rPr>
          <w:rFonts w:hint="eastAsia" w:ascii="Times New Roman" w:hAnsi="Times New Roman" w:eastAsia="方正小标宋简体" w:cs="Times New Roman"/>
          <w:color w:val="auto"/>
          <w:kern w:val="2"/>
          <w:sz w:val="72"/>
          <w:szCs w:val="72"/>
          <w:highlight w:val="none"/>
          <w:lang w:val="en-US" w:eastAsia="zh-CN" w:bidi="ar-SA"/>
        </w:rPr>
      </w:pPr>
    </w:p>
    <w:p w14:paraId="10977482">
      <w:pPr>
        <w:pStyle w:val="6"/>
        <w:rPr>
          <w:rFonts w:hint="eastAsia" w:ascii="Times New Roman" w:hAnsi="Times New Roman" w:eastAsia="方正小标宋简体" w:cs="Times New Roman"/>
          <w:color w:val="auto"/>
          <w:kern w:val="2"/>
          <w:sz w:val="72"/>
          <w:szCs w:val="72"/>
          <w:highlight w:val="none"/>
          <w:lang w:val="en-US" w:eastAsia="zh-CN" w:bidi="ar-SA"/>
        </w:rPr>
      </w:pPr>
    </w:p>
    <w:p w14:paraId="779C3DA6">
      <w:pPr>
        <w:pStyle w:val="6"/>
        <w:rPr>
          <w:rFonts w:hint="eastAsia" w:ascii="Times New Roman" w:hAnsi="Times New Roman" w:eastAsia="方正小标宋简体" w:cs="Times New Roman"/>
          <w:color w:val="auto"/>
          <w:kern w:val="2"/>
          <w:sz w:val="72"/>
          <w:szCs w:val="72"/>
          <w:highlight w:val="none"/>
          <w:lang w:val="en-US" w:eastAsia="zh-CN" w:bidi="ar-SA"/>
        </w:rPr>
      </w:pPr>
    </w:p>
    <w:p w14:paraId="79996F68">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355F543F">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7ED9F83C">
      <w:pPr>
        <w:spacing w:line="600" w:lineRule="exact"/>
        <w:jc w:val="center"/>
        <w:outlineLvl w:val="0"/>
        <w:rPr>
          <w:rFonts w:ascii="Times New Roman" w:hAnsi="Times New Roman" w:eastAsia="方正小标宋简体"/>
          <w:color w:val="auto"/>
          <w:sz w:val="72"/>
          <w:szCs w:val="72"/>
          <w:highlight w:val="none"/>
        </w:rPr>
      </w:pPr>
    </w:p>
    <w:p w14:paraId="6C735102">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C256DF8">
      <w:pPr>
        <w:rPr>
          <w:rFonts w:ascii="Times New Roman" w:hAnsi="Times New Roman"/>
        </w:rPr>
      </w:pPr>
    </w:p>
    <w:p w14:paraId="26EED52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1778B99">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D85440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12BE1A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3AA285C">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96598"/>
      <w:bookmarkStart w:id="9" w:name="_Toc15378442"/>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松潘生态环局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C9F6C9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5FED83C3">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D2AF39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90BE2DE">
      <w:pPr>
        <w:widowControl/>
        <w:jc w:val="center"/>
        <w:rPr>
          <w:rFonts w:ascii="Times New Roman" w:hAnsi="Times New Roman" w:eastAsia="黑体" w:cstheme="minorBidi"/>
          <w:color w:val="auto"/>
          <w:sz w:val="28"/>
          <w:szCs w:val="28"/>
          <w:highlight w:val="none"/>
        </w:rPr>
      </w:pPr>
    </w:p>
    <w:p w14:paraId="0DADF188">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日</w:t>
      </w:r>
    </w:p>
    <w:p w14:paraId="0AE1A697">
      <w:pPr>
        <w:rPr>
          <w:rFonts w:ascii="Times New Roman" w:hAnsi="Times New Roman"/>
          <w:color w:val="auto"/>
          <w:highlight w:val="none"/>
        </w:rPr>
      </w:pPr>
    </w:p>
    <w:p w14:paraId="1812576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8D9F28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99CE11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68C21A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A670A2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3A6760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0E399AC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DCD64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D31201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002C8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947598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F123A5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1835C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033240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1E1D17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A393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3D689B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5A8D66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728021A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1EDA76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71934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7A4DE2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90070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E972C1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AB944D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78EADC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96F39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A7C1A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E83799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56EFCD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DAD708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F7E8D19">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7DC4C1E9">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47EDD4CE">
      <w:pPr>
        <w:widowControl/>
        <w:jc w:val="left"/>
        <w:rPr>
          <w:rFonts w:ascii="Times New Roman" w:hAnsi="Times New Roman" w:eastAsia="黑体"/>
          <w:color w:val="auto"/>
          <w:sz w:val="32"/>
          <w:szCs w:val="32"/>
          <w:highlight w:val="none"/>
        </w:rPr>
      </w:pPr>
    </w:p>
    <w:p w14:paraId="3F19B664">
      <w:pPr>
        <w:pStyle w:val="4"/>
        <w:rPr>
          <w:rStyle w:val="30"/>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574F774A">
      <w:pPr>
        <w:pStyle w:val="4"/>
        <w:rPr>
          <w:rStyle w:val="30"/>
          <w:rFonts w:ascii="Times New Roman" w:hAnsi="Times New Roman"/>
          <w:b w:val="0"/>
          <w:bCs w:val="0"/>
          <w:color w:val="auto"/>
          <w:highlight w:val="none"/>
        </w:rPr>
      </w:pPr>
      <w:bookmarkStart w:id="16" w:name="_Toc15377200"/>
      <w:bookmarkStart w:id="17"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14:paraId="3A8AE1E0">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阿坝州松潘环境监测站</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47A7C3B">
      <w:pPr>
        <w:ind w:firstLine="800" w:firstLineChars="25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阿坝州松潘环境监测站</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仿宋_GB2312" w:hAnsi="仿宋_GB2312" w:eastAsia="仿宋_GB2312" w:cs="仿宋_GB2312"/>
          <w:color w:val="auto"/>
          <w:sz w:val="32"/>
          <w:szCs w:val="32"/>
          <w:highlight w:val="none"/>
        </w:rPr>
        <w:t>松潘县环境监测站</w:t>
      </w:r>
      <w:r>
        <w:rPr>
          <w:rFonts w:hint="eastAsia" w:hAnsi="仿宋_GB2312" w:cs="仿宋_GB2312"/>
          <w:color w:val="auto"/>
          <w:sz w:val="32"/>
          <w:szCs w:val="32"/>
          <w:highlight w:val="none"/>
          <w:lang w:eastAsia="zh-CN"/>
        </w:rPr>
        <w:t>。</w:t>
      </w:r>
      <w:r>
        <w:rPr>
          <w:rFonts w:ascii="Times New Roman" w:hAnsi="Times New Roman" w:eastAsia="仿宋"/>
          <w:color w:val="auto"/>
          <w:sz w:val="32"/>
          <w:szCs w:val="32"/>
          <w:highlight w:val="none"/>
        </w:rPr>
        <w:br w:type="page"/>
      </w:r>
    </w:p>
    <w:p w14:paraId="0B1C4C27">
      <w:pPr>
        <w:pStyle w:val="3"/>
        <w:jc w:val="center"/>
        <w:rPr>
          <w:rFonts w:hint="eastAsia" w:ascii="Times New Roman" w:hAnsi="Times New Roman" w:eastAsia="方正小标宋简体" w:cs="方正小标宋简体"/>
          <w:b w:val="0"/>
          <w:color w:val="auto"/>
          <w:highlight w:val="none"/>
        </w:rPr>
      </w:pPr>
      <w:bookmarkStart w:id="18" w:name="_Toc15377204"/>
      <w:bookmarkStart w:id="1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5BA72CEA">
      <w:pPr>
        <w:rPr>
          <w:rFonts w:ascii="Times New Roman" w:hAnsi="Times New Roman"/>
          <w:color w:val="auto"/>
          <w:highlight w:val="none"/>
        </w:rPr>
      </w:pPr>
    </w:p>
    <w:p w14:paraId="71FA4C5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p>
    <w:p w14:paraId="01D8B27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4.06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1.76</w:t>
      </w:r>
      <w:r>
        <w:rPr>
          <w:rFonts w:hint="eastAsia" w:ascii="Times New Roman" w:hAnsi="Times New Roman" w:eastAsia="仿宋_GB2312" w:cs="仿宋_GB2312"/>
          <w:color w:val="auto"/>
          <w:sz w:val="32"/>
          <w:szCs w:val="32"/>
          <w:highlight w:val="none"/>
        </w:rPr>
        <w:t>%。主要</w:t>
      </w:r>
      <w:r>
        <w:rPr>
          <w:rFonts w:hint="eastAsia" w:eastAsia="仿宋_GB2312" w:cs="仿宋_GB2312"/>
          <w:color w:val="auto"/>
          <w:sz w:val="32"/>
          <w:szCs w:val="32"/>
          <w:highlight w:val="none"/>
          <w:lang w:eastAsia="zh-CN"/>
        </w:rPr>
        <w:t>例行节俭，日常公用经费开支有所下降。</w:t>
      </w:r>
    </w:p>
    <w:p w14:paraId="47F201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eastAsia="zh-CN"/>
        </w:rPr>
      </w:pPr>
    </w:p>
    <w:p w14:paraId="074C5C9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E6EC7C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2928F1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eastAsia="zh-CN"/>
        </w:rPr>
      </w:pPr>
    </w:p>
    <w:p w14:paraId="00287AF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9BCB27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6B23C6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B9B84A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0F1706E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-2552700</wp:posOffset>
            </wp:positionV>
            <wp:extent cx="5079365" cy="2853690"/>
            <wp:effectExtent l="0" t="0" r="6985" b="38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079365" cy="2853690"/>
                    </a:xfrm>
                    <a:prstGeom prst="rect">
                      <a:avLst/>
                    </a:prstGeom>
                    <a:noFill/>
                    <a:ln>
                      <a:noFill/>
                    </a:ln>
                  </pic:spPr>
                </pic:pic>
              </a:graphicData>
            </a:graphic>
          </wp:anchor>
        </w:drawing>
      </w:r>
    </w:p>
    <w:p w14:paraId="23F8415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0BA2E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30AFD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2"/>
      <w:bookmarkEnd w:id="23"/>
    </w:p>
    <w:p w14:paraId="3298FC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538E2C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63CF0AB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CE89DF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7100A69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489ACDC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4C3C726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05DCB65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085C1A0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4905CE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266700</wp:posOffset>
            </wp:positionH>
            <wp:positionV relativeFrom="paragraph">
              <wp:posOffset>-2876550</wp:posOffset>
            </wp:positionV>
            <wp:extent cx="4958715" cy="3164840"/>
            <wp:effectExtent l="0" t="0" r="13335" b="1651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958715" cy="3164840"/>
                    </a:xfrm>
                    <a:prstGeom prst="rect">
                      <a:avLst/>
                    </a:prstGeom>
                    <a:noFill/>
                    <a:ln>
                      <a:noFill/>
                    </a:ln>
                  </pic:spPr>
                </pic:pic>
              </a:graphicData>
            </a:graphic>
          </wp:anchor>
        </w:drawing>
      </w:r>
    </w:p>
    <w:p w14:paraId="1BBABA3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13FDFD2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p>
    <w:p w14:paraId="63B000C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C8E3B6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EE97C4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409575</wp:posOffset>
            </wp:positionH>
            <wp:positionV relativeFrom="paragraph">
              <wp:posOffset>57785</wp:posOffset>
            </wp:positionV>
            <wp:extent cx="4118610" cy="2313940"/>
            <wp:effectExtent l="0" t="0" r="15240" b="1016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118610" cy="2313940"/>
                    </a:xfrm>
                    <a:prstGeom prst="rect">
                      <a:avLst/>
                    </a:prstGeom>
                    <a:noFill/>
                    <a:ln>
                      <a:noFill/>
                    </a:ln>
                  </pic:spPr>
                </pic:pic>
              </a:graphicData>
            </a:graphic>
          </wp:anchor>
        </w:drawing>
      </w:r>
    </w:p>
    <w:p w14:paraId="553EF60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3C8BD4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4B1A10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285D0F1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0D24D19">
      <w:pPr>
        <w:spacing w:line="600" w:lineRule="exact"/>
        <w:ind w:firstLine="640" w:firstLineChars="200"/>
        <w:outlineLvl w:val="1"/>
        <w:rPr>
          <w:rStyle w:val="30"/>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p>
    <w:p w14:paraId="7599870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kern w:val="2"/>
          <w:sz w:val="32"/>
          <w:szCs w:val="32"/>
          <w:highlight w:val="none"/>
          <w:lang w:val="en-US" w:eastAsia="zh-CN" w:bidi="ar-SA"/>
        </w:rPr>
        <w:t>万元。</w:t>
      </w:r>
    </w:p>
    <w:p w14:paraId="590496DC">
      <w:pPr>
        <w:spacing w:line="600" w:lineRule="exact"/>
        <w:ind w:firstLine="640" w:firstLineChars="200"/>
        <w:outlineLvl w:val="1"/>
        <w:rPr>
          <w:rStyle w:val="30"/>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p>
    <w:p w14:paraId="0E09C9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3BC1A16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4.06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1.76</w:t>
      </w:r>
      <w:r>
        <w:rPr>
          <w:rFonts w:hint="eastAsia" w:ascii="Times New Roman" w:hAnsi="Times New Roman" w:eastAsia="仿宋_GB2312" w:cs="仿宋_GB2312"/>
          <w:color w:val="auto"/>
          <w:sz w:val="32"/>
          <w:szCs w:val="32"/>
          <w:highlight w:val="none"/>
        </w:rPr>
        <w:t>%。主要</w:t>
      </w:r>
      <w:r>
        <w:rPr>
          <w:rFonts w:hint="eastAsia" w:eastAsia="仿宋_GB2312" w:cs="仿宋_GB2312"/>
          <w:color w:val="auto"/>
          <w:sz w:val="32"/>
          <w:szCs w:val="32"/>
          <w:highlight w:val="none"/>
          <w:lang w:eastAsia="zh-CN"/>
        </w:rPr>
        <w:t>例行节俭，日常公用经费开支有所下降。</w:t>
      </w:r>
    </w:p>
    <w:p w14:paraId="196BBB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250825</wp:posOffset>
            </wp:positionH>
            <wp:positionV relativeFrom="paragraph">
              <wp:posOffset>325755</wp:posOffset>
            </wp:positionV>
            <wp:extent cx="5262880" cy="2956560"/>
            <wp:effectExtent l="0" t="0" r="13970" b="15240"/>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5262880" cy="2956560"/>
                    </a:xfrm>
                    <a:prstGeom prst="rect">
                      <a:avLst/>
                    </a:prstGeom>
                    <a:noFill/>
                    <a:ln>
                      <a:noFill/>
                    </a:ln>
                  </pic:spPr>
                </pic:pic>
              </a:graphicData>
            </a:graphic>
          </wp:anchor>
        </w:drawing>
      </w:r>
    </w:p>
    <w:p w14:paraId="5115066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20E89A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03BEEC1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164DDB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312E452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5EB4017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32093C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12854CB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eastAsia="zh-CN"/>
        </w:rPr>
      </w:pPr>
    </w:p>
    <w:p w14:paraId="6EF8F5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1CE99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C414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07E1149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37.63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16.62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20.02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节能环保支出155.71万元，占68.77%。</w:t>
      </w:r>
    </w:p>
    <w:p w14:paraId="6CCB9AC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706EDE80">
      <w:pPr>
        <w:pStyle w:val="2"/>
        <w:rPr>
          <w:rFonts w:hint="eastAsia" w:ascii="Times New Roman" w:hAnsi="Times New Roman" w:eastAsia="仿宋_GB2312" w:cs="仿宋_GB2312"/>
          <w:b/>
          <w:bCs/>
          <w:color w:val="auto"/>
          <w:kern w:val="2"/>
          <w:sz w:val="32"/>
          <w:szCs w:val="32"/>
          <w:highlight w:val="none"/>
          <w:lang w:val="en-US" w:eastAsia="zh-CN" w:bidi="ar-SA"/>
        </w:rPr>
      </w:pPr>
    </w:p>
    <w:p w14:paraId="713532F4">
      <w:pPr>
        <w:pStyle w:val="2"/>
        <w:rPr>
          <w:rFonts w:hint="eastAsia" w:ascii="Times New Roman" w:hAnsi="Times New Roman" w:eastAsia="仿宋_GB2312" w:cs="仿宋_GB2312"/>
          <w:b/>
          <w:bCs/>
          <w:color w:val="auto"/>
          <w:kern w:val="2"/>
          <w:sz w:val="32"/>
          <w:szCs w:val="32"/>
          <w:highlight w:val="none"/>
          <w:lang w:val="en-US" w:eastAsia="zh-CN" w:bidi="ar-SA"/>
        </w:rPr>
      </w:pPr>
      <w:r>
        <w:drawing>
          <wp:inline distT="0" distB="0" distL="114300" distR="114300">
            <wp:extent cx="5262880" cy="2956560"/>
            <wp:effectExtent l="0" t="0" r="13970" b="1524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4"/>
                    <a:stretch>
                      <a:fillRect/>
                    </a:stretch>
                  </pic:blipFill>
                  <pic:spPr>
                    <a:xfrm>
                      <a:off x="0" y="0"/>
                      <a:ext cx="5262880" cy="2956560"/>
                    </a:xfrm>
                    <a:prstGeom prst="rect">
                      <a:avLst/>
                    </a:prstGeom>
                    <a:noFill/>
                    <a:ln>
                      <a:noFill/>
                    </a:ln>
                  </pic:spPr>
                </pic:pic>
              </a:graphicData>
            </a:graphic>
          </wp:inline>
        </w:drawing>
      </w:r>
    </w:p>
    <w:p w14:paraId="50EE08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4CCAB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7C8B09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8460"/>
      <w:bookmarkStart w:id="34" w:name="_Toc15377213"/>
      <w:bookmarkStart w:id="3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44CC5F48">
      <w:pPr>
        <w:numPr>
          <w:ilvl w:val="0"/>
          <w:numId w:val="1"/>
        </w:numPr>
        <w:spacing w:line="600" w:lineRule="exact"/>
        <w:ind w:firstLine="640"/>
        <w:rPr>
          <w:rFonts w:hint="eastAsia" w:ascii="仿宋" w:hAnsi="仿宋" w:eastAsia="仿宋"/>
          <w:color w:val="auto"/>
          <w:sz w:val="32"/>
          <w:szCs w:val="32"/>
        </w:rPr>
      </w:pPr>
      <w:r>
        <w:rPr>
          <w:rFonts w:hint="eastAsia" w:ascii="仿宋" w:hAnsi="仿宋" w:eastAsia="仿宋"/>
          <w:color w:val="auto"/>
          <w:sz w:val="32"/>
          <w:szCs w:val="32"/>
        </w:rPr>
        <w:t>社会保障和就业支出（208）行政事业单位养老支出（20805）机关事业单位基本养老保险缴费支出（2080505）支出决算</w:t>
      </w:r>
      <w:r>
        <w:rPr>
          <w:rFonts w:hint="eastAsia" w:ascii="仿宋" w:hAnsi="仿宋" w:eastAsia="仿宋"/>
          <w:color w:val="auto"/>
          <w:sz w:val="32"/>
          <w:szCs w:val="32"/>
          <w:lang w:val="en-US" w:eastAsia="zh-CN"/>
        </w:rPr>
        <w:t>25.09</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2.社会保障和就业支出（208）行政事业单位养老支出（20805）机关事业单位职业年金缴费支出（2080506）支出决算</w:t>
      </w:r>
      <w:r>
        <w:rPr>
          <w:rFonts w:hint="eastAsia" w:ascii="仿宋" w:hAnsi="仿宋" w:eastAsia="仿宋"/>
          <w:color w:val="auto"/>
          <w:sz w:val="32"/>
          <w:szCs w:val="32"/>
          <w:lang w:val="en-US" w:eastAsia="zh-CN"/>
        </w:rPr>
        <w:t>12.54</w:t>
      </w:r>
      <w:r>
        <w:rPr>
          <w:rFonts w:hint="eastAsia" w:ascii="仿宋" w:hAnsi="仿宋" w:eastAsia="仿宋"/>
          <w:color w:val="auto"/>
          <w:sz w:val="32"/>
          <w:szCs w:val="32"/>
        </w:rPr>
        <w:t>万元，完成预算100%。</w:t>
      </w:r>
    </w:p>
    <w:p w14:paraId="7D806415">
      <w:pPr>
        <w:numPr>
          <w:ilvl w:val="0"/>
          <w:numId w:val="0"/>
        </w:numPr>
        <w:spacing w:line="600" w:lineRule="exact"/>
        <w:rPr>
          <w:rFonts w:hint="eastAsia"/>
          <w:color w:val="auto"/>
        </w:rPr>
      </w:pPr>
      <w:r>
        <w:rPr>
          <w:rFonts w:hint="eastAsia" w:ascii="仿宋" w:hAnsi="仿宋" w:eastAsia="仿宋"/>
          <w:color w:val="auto"/>
          <w:sz w:val="32"/>
          <w:szCs w:val="32"/>
        </w:rPr>
        <w:t xml:space="preserve">    3.卫生健康支出（210）行政事业单位医疗（21011）</w:t>
      </w:r>
      <w:r>
        <w:rPr>
          <w:rFonts w:hint="eastAsia" w:ascii="仿宋" w:hAnsi="仿宋" w:eastAsia="仿宋"/>
          <w:color w:val="auto"/>
          <w:sz w:val="32"/>
          <w:szCs w:val="32"/>
          <w:lang w:eastAsia="zh-CN"/>
        </w:rPr>
        <w:t>事业</w:t>
      </w:r>
      <w:r>
        <w:rPr>
          <w:rFonts w:hint="eastAsia" w:ascii="仿宋" w:hAnsi="仿宋" w:eastAsia="仿宋"/>
          <w:color w:val="auto"/>
          <w:sz w:val="32"/>
          <w:szCs w:val="32"/>
        </w:rPr>
        <w:t>单位医疗（210110</w:t>
      </w:r>
      <w:r>
        <w:rPr>
          <w:rFonts w:hint="eastAsia" w:ascii="仿宋" w:hAnsi="仿宋" w:eastAsia="仿宋"/>
          <w:color w:val="auto"/>
          <w:sz w:val="32"/>
          <w:szCs w:val="32"/>
          <w:lang w:val="en-US" w:eastAsia="zh-CN"/>
        </w:rPr>
        <w:t xml:space="preserve">2 </w:t>
      </w:r>
      <w:r>
        <w:rPr>
          <w:rFonts w:hint="eastAsia" w:ascii="仿宋" w:hAnsi="仿宋" w:eastAsia="仿宋"/>
          <w:color w:val="auto"/>
          <w:sz w:val="32"/>
          <w:szCs w:val="32"/>
        </w:rPr>
        <w:t>）支出决算</w:t>
      </w:r>
      <w:r>
        <w:rPr>
          <w:rFonts w:hint="eastAsia" w:ascii="仿宋" w:hAnsi="仿宋" w:eastAsia="仿宋"/>
          <w:color w:val="auto"/>
          <w:sz w:val="32"/>
          <w:szCs w:val="32"/>
          <w:lang w:val="en-US" w:eastAsia="zh-CN"/>
        </w:rPr>
        <w:t>10.81</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4.卫生健康支出（210）行政事业单位医疗（21011）</w:t>
      </w:r>
      <w:r>
        <w:rPr>
          <w:rFonts w:hint="eastAsia" w:ascii="仿宋" w:hAnsi="仿宋" w:eastAsia="仿宋"/>
          <w:color w:val="auto"/>
          <w:sz w:val="32"/>
          <w:szCs w:val="32"/>
          <w:lang w:eastAsia="zh-CN"/>
        </w:rPr>
        <w:t>其他行政事业单位医疗支出</w:t>
      </w:r>
      <w:r>
        <w:rPr>
          <w:rFonts w:hint="eastAsia" w:ascii="仿宋" w:hAnsi="仿宋" w:eastAsia="仿宋"/>
          <w:color w:val="auto"/>
          <w:sz w:val="32"/>
          <w:szCs w:val="32"/>
        </w:rPr>
        <w:t>（21011</w:t>
      </w:r>
      <w:r>
        <w:rPr>
          <w:rFonts w:hint="eastAsia" w:ascii="仿宋" w:hAnsi="仿宋" w:eastAsia="仿宋"/>
          <w:color w:val="auto"/>
          <w:sz w:val="32"/>
          <w:szCs w:val="32"/>
          <w:lang w:val="en-US" w:eastAsia="zh-CN"/>
        </w:rPr>
        <w:t>99</w:t>
      </w:r>
      <w:r>
        <w:rPr>
          <w:rFonts w:hint="eastAsia" w:ascii="仿宋" w:hAnsi="仿宋" w:eastAsia="仿宋"/>
          <w:color w:val="auto"/>
          <w:sz w:val="32"/>
          <w:szCs w:val="32"/>
        </w:rPr>
        <w:t>）支出决算</w:t>
      </w:r>
      <w:r>
        <w:rPr>
          <w:rFonts w:hint="eastAsia" w:ascii="仿宋" w:hAnsi="仿宋" w:eastAsia="仿宋"/>
          <w:color w:val="auto"/>
          <w:sz w:val="32"/>
          <w:szCs w:val="32"/>
          <w:lang w:val="en-US" w:eastAsia="zh-CN"/>
        </w:rPr>
        <w:t>2.24</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5.节能环保支出（211）环境保护管理事务（21101）</w:t>
      </w:r>
      <w:r>
        <w:rPr>
          <w:rFonts w:hint="eastAsia" w:ascii="仿宋" w:hAnsi="仿宋" w:eastAsia="仿宋"/>
          <w:color w:val="auto"/>
          <w:sz w:val="32"/>
          <w:szCs w:val="32"/>
          <w:lang w:eastAsia="zh-CN"/>
        </w:rPr>
        <w:t>其他环境保护管理事物支出</w:t>
      </w:r>
      <w:r>
        <w:rPr>
          <w:rFonts w:hint="eastAsia" w:ascii="仿宋" w:hAnsi="仿宋" w:eastAsia="仿宋"/>
          <w:color w:val="auto"/>
          <w:sz w:val="32"/>
          <w:szCs w:val="32"/>
        </w:rPr>
        <w:t>（21101</w:t>
      </w:r>
      <w:r>
        <w:rPr>
          <w:rFonts w:hint="eastAsia" w:ascii="仿宋" w:hAnsi="仿宋" w:eastAsia="仿宋"/>
          <w:color w:val="auto"/>
          <w:sz w:val="32"/>
          <w:szCs w:val="32"/>
          <w:lang w:val="en-US" w:eastAsia="zh-CN"/>
        </w:rPr>
        <w:t>99</w:t>
      </w:r>
      <w:r>
        <w:rPr>
          <w:rFonts w:hint="eastAsia" w:ascii="仿宋" w:hAnsi="仿宋" w:eastAsia="仿宋"/>
          <w:color w:val="auto"/>
          <w:sz w:val="32"/>
          <w:szCs w:val="32"/>
        </w:rPr>
        <w:t>）支出决算</w:t>
      </w:r>
      <w:r>
        <w:rPr>
          <w:rFonts w:hint="eastAsia" w:ascii="仿宋" w:hAnsi="仿宋" w:eastAsia="仿宋"/>
          <w:color w:val="auto"/>
          <w:sz w:val="32"/>
          <w:szCs w:val="32"/>
          <w:lang w:val="en-US" w:eastAsia="zh-CN"/>
        </w:rPr>
        <w:t>0.04</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6.节能环保支出（211）</w:t>
      </w:r>
      <w:r>
        <w:rPr>
          <w:rFonts w:hint="eastAsia" w:ascii="仿宋" w:hAnsi="仿宋" w:eastAsia="仿宋"/>
          <w:color w:val="auto"/>
          <w:sz w:val="32"/>
          <w:szCs w:val="32"/>
          <w:lang w:eastAsia="zh-CN"/>
        </w:rPr>
        <w:t>环境监测与监察</w:t>
      </w:r>
      <w:r>
        <w:rPr>
          <w:rFonts w:hint="eastAsia" w:ascii="仿宋" w:hAnsi="仿宋" w:eastAsia="仿宋"/>
          <w:color w:val="auto"/>
          <w:sz w:val="32"/>
          <w:szCs w:val="32"/>
        </w:rPr>
        <w:t>（2110</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w:t>
      </w:r>
      <w:r>
        <w:rPr>
          <w:rFonts w:hint="eastAsia" w:ascii="仿宋" w:hAnsi="仿宋" w:eastAsia="仿宋"/>
          <w:color w:val="auto"/>
          <w:sz w:val="32"/>
          <w:szCs w:val="32"/>
          <w:lang w:eastAsia="zh-CN"/>
        </w:rPr>
        <w:t>其他环境监测与监察支出</w:t>
      </w:r>
      <w:r>
        <w:rPr>
          <w:rFonts w:hint="eastAsia" w:ascii="仿宋" w:hAnsi="仿宋" w:eastAsia="仿宋"/>
          <w:color w:val="auto"/>
          <w:sz w:val="32"/>
          <w:szCs w:val="32"/>
        </w:rPr>
        <w:t>（2110</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99）支出决算</w:t>
      </w:r>
      <w:r>
        <w:rPr>
          <w:rFonts w:hint="eastAsia" w:ascii="仿宋" w:hAnsi="仿宋" w:eastAsia="仿宋"/>
          <w:color w:val="auto"/>
          <w:sz w:val="32"/>
          <w:szCs w:val="32"/>
          <w:lang w:val="en-US" w:eastAsia="zh-CN"/>
        </w:rPr>
        <w:t>155.67</w:t>
      </w:r>
      <w:r>
        <w:rPr>
          <w:rFonts w:hint="eastAsia" w:ascii="仿宋" w:hAnsi="仿宋" w:eastAsia="仿宋"/>
          <w:color w:val="auto"/>
          <w:sz w:val="32"/>
          <w:szCs w:val="32"/>
        </w:rPr>
        <w:t>万元，完成预算100%。</w:t>
      </w:r>
    </w:p>
    <w:p w14:paraId="33576048">
      <w:pPr>
        <w:numPr>
          <w:ilvl w:val="0"/>
          <w:numId w:val="0"/>
        </w:numPr>
        <w:spacing w:line="600" w:lineRule="exact"/>
        <w:ind w:firstLine="640" w:firstLineChars="200"/>
        <w:rPr>
          <w:rFonts w:hint="eastAsia" w:ascii="仿宋" w:hAnsi="仿宋" w:eastAsia="仿宋" w:cs="Times New Roman"/>
          <w:color w:val="auto"/>
          <w:sz w:val="32"/>
          <w:szCs w:val="32"/>
        </w:rPr>
      </w:pPr>
      <w:r>
        <w:rPr>
          <w:rFonts w:hint="eastAsia" w:ascii="仿宋" w:hAnsi="仿宋" w:eastAsia="仿宋"/>
          <w:color w:val="auto"/>
          <w:sz w:val="32"/>
          <w:szCs w:val="32"/>
          <w:lang w:val="en-US" w:eastAsia="zh-CN"/>
        </w:rPr>
        <w:t>7.</w:t>
      </w:r>
      <w:r>
        <w:rPr>
          <w:rFonts w:hint="eastAsia" w:ascii="仿宋" w:hAnsi="仿宋" w:eastAsia="仿宋"/>
          <w:color w:val="auto"/>
          <w:sz w:val="32"/>
          <w:szCs w:val="32"/>
        </w:rPr>
        <w:t>住房保障支出（221）住房改革支出（22102）住房公积金（2210201）支出决算</w:t>
      </w:r>
      <w:r>
        <w:rPr>
          <w:rFonts w:hint="eastAsia" w:ascii="仿宋" w:hAnsi="仿宋" w:eastAsia="仿宋"/>
          <w:color w:val="auto"/>
          <w:sz w:val="32"/>
          <w:szCs w:val="32"/>
          <w:lang w:val="en-US" w:eastAsia="zh-CN"/>
        </w:rPr>
        <w:t>20.02</w:t>
      </w:r>
      <w:r>
        <w:rPr>
          <w:rFonts w:hint="eastAsia" w:ascii="仿宋" w:hAnsi="仿宋" w:eastAsia="仿宋"/>
          <w:color w:val="auto"/>
          <w:sz w:val="32"/>
          <w:szCs w:val="32"/>
        </w:rPr>
        <w:t>万元，完成预算100%。</w:t>
      </w:r>
    </w:p>
    <w:p w14:paraId="18DCC79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FB0F3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ADFFE7">
      <w:pPr>
        <w:tabs>
          <w:tab w:val="right" w:pos="8306"/>
        </w:tabs>
        <w:spacing w:line="600" w:lineRule="exact"/>
        <w:ind w:firstLine="640"/>
        <w:outlineLvl w:val="1"/>
        <w:rPr>
          <w:rStyle w:val="30"/>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6"/>
      <w:bookmarkEnd w:id="37"/>
      <w:r>
        <w:rPr>
          <w:rStyle w:val="30"/>
          <w:rFonts w:ascii="Times New Roman" w:hAnsi="Times New Roman" w:eastAsia="黑体"/>
          <w:b w:val="0"/>
          <w:color w:val="auto"/>
          <w:highlight w:val="none"/>
        </w:rPr>
        <w:tab/>
      </w:r>
    </w:p>
    <w:p w14:paraId="427DB3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226.42</w:t>
      </w:r>
      <w:r>
        <w:rPr>
          <w:rFonts w:hint="eastAsia" w:ascii="Times New Roman" w:hAnsi="Times New Roman" w:eastAsia="仿宋_GB2312" w:cs="仿宋_GB2312"/>
          <w:color w:val="auto"/>
          <w:kern w:val="2"/>
          <w:sz w:val="32"/>
          <w:szCs w:val="32"/>
          <w:highlight w:val="none"/>
          <w:lang w:val="en-US" w:eastAsia="zh-CN" w:bidi="ar-SA"/>
        </w:rPr>
        <w:t>万元，其中：</w:t>
      </w:r>
    </w:p>
    <w:p w14:paraId="6F706D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195.42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514B8D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6FC10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2B86D6">
      <w:pPr>
        <w:spacing w:line="600" w:lineRule="exact"/>
        <w:ind w:firstLine="640"/>
        <w:outlineLvl w:val="1"/>
        <w:rPr>
          <w:rStyle w:val="30"/>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8"/>
      <w:bookmarkEnd w:id="39"/>
    </w:p>
    <w:p w14:paraId="3A4BAF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0CDF131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90.9</w:t>
      </w:r>
      <w:r>
        <w:rPr>
          <w:rFonts w:hint="eastAsia" w:ascii="Times New Roman" w:hAnsi="Times New Roman" w:eastAsia="仿宋_GB2312" w:cs="仿宋_GB2312"/>
          <w:color w:val="auto"/>
          <w:kern w:val="2"/>
          <w:sz w:val="32"/>
          <w:szCs w:val="32"/>
          <w:highlight w:val="none"/>
          <w:lang w:val="en-US" w:eastAsia="zh-CN" w:bidi="ar-SA"/>
        </w:rPr>
        <w:t>%。决算数预算数持平</w:t>
      </w:r>
      <w:r>
        <w:rPr>
          <w:rFonts w:hint="eastAsia" w:eastAsia="仿宋_GB2312" w:cs="仿宋_GB2312"/>
          <w:color w:val="auto"/>
          <w:kern w:val="2"/>
          <w:sz w:val="32"/>
          <w:szCs w:val="32"/>
          <w:highlight w:val="none"/>
          <w:lang w:val="en-US" w:eastAsia="zh-CN" w:bidi="ar-SA"/>
        </w:rPr>
        <w:t>。</w:t>
      </w:r>
    </w:p>
    <w:p w14:paraId="59D9376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1E3141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1455C1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4E78E327">
      <w:pPr>
        <w:pStyle w:val="2"/>
        <w:rPr>
          <w:rFonts w:hint="eastAsia" w:ascii="Times New Roman" w:hAnsi="Times New Roman" w:eastAsia="仿宋_GB2312" w:cs="仿宋_GB2312"/>
          <w:color w:val="auto"/>
          <w:kern w:val="2"/>
          <w:sz w:val="32"/>
          <w:szCs w:val="32"/>
          <w:highlight w:val="none"/>
          <w:lang w:val="en-US" w:eastAsia="zh-CN" w:bidi="ar-SA"/>
        </w:rPr>
      </w:pPr>
    </w:p>
    <w:p w14:paraId="3CDAD179">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62880" cy="2956560"/>
            <wp:effectExtent l="0" t="0" r="13970" b="1524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5"/>
                    <a:stretch>
                      <a:fillRect/>
                    </a:stretch>
                  </pic:blipFill>
                  <pic:spPr>
                    <a:xfrm>
                      <a:off x="0" y="0"/>
                      <a:ext cx="5262880" cy="2956560"/>
                    </a:xfrm>
                    <a:prstGeom prst="rect">
                      <a:avLst/>
                    </a:prstGeom>
                    <a:noFill/>
                    <a:ln>
                      <a:noFill/>
                    </a:ln>
                  </pic:spPr>
                </pic:pic>
              </a:graphicData>
            </a:graphic>
          </wp:inline>
        </w:drawing>
      </w:r>
    </w:p>
    <w:p w14:paraId="57EFB9B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C4071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61C1B9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57F7297">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0.02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bookmarkStart w:id="42" w:name="_Toc15377218"/>
      <w:bookmarkStart w:id="43" w:name="_Toc15396610"/>
    </w:p>
    <w:p w14:paraId="7E110801">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2"/>
      <w:bookmarkEnd w:id="43"/>
    </w:p>
    <w:p w14:paraId="7A3A280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7514B9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809E9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96B2BD">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4" w:name="_Toc15396611"/>
      <w:bookmarkStart w:id="4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4"/>
      <w:bookmarkEnd w:id="45"/>
    </w:p>
    <w:p w14:paraId="5843A02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p>
    <w:p w14:paraId="3B6BFD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B01C8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A3CAA4">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6" w:name="_Toc15377221"/>
      <w:bookmarkStart w:id="47"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6"/>
      <w:bookmarkEnd w:id="47"/>
    </w:p>
    <w:p w14:paraId="5203AF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4F1494A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阿坝州松潘环境监测站</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1C7321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E22E8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75978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5713E7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阿坝州松潘环境监测站</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15C63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295A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1AD249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阿坝州松潘环境监测站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3CF0C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5C66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57B93BD">
      <w:pPr>
        <w:snapToGrid w:val="0"/>
        <w:spacing w:line="52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1.概述项目绩效目标完成情况。</w:t>
      </w:r>
    </w:p>
    <w:p w14:paraId="55BD1C8E">
      <w:pPr>
        <w:snapToGrid w:val="0"/>
        <w:spacing w:line="52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本单位在项目绩效目标完成方面，注重资金使用效益，确保各项工作的顺利开展。经过一年的努力，项目绩效目标完成情况良好。</w:t>
      </w:r>
    </w:p>
    <w:p w14:paraId="42D5DA6D">
      <w:pPr>
        <w:snapToGrid w:val="0"/>
        <w:spacing w:line="52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2.概述本单位整体支出绩效目标实现情况（如有）。</w:t>
      </w:r>
    </w:p>
    <w:p w14:paraId="3E57F025">
      <w:pPr>
        <w:ind w:firstLine="640" w:firstLineChars="200"/>
        <w:rPr>
          <w:rFonts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本单位在整体支出绩效目标</w:t>
      </w:r>
      <w:r>
        <w:rPr>
          <w:rFonts w:hint="eastAsia" w:ascii="仿宋_GB2312" w:hAnsi="仿宋" w:eastAsia="仿宋_GB2312"/>
          <w:sz w:val="32"/>
          <w:szCs w:val="32"/>
          <w:highlight w:val="none"/>
        </w:rPr>
        <w:t>实现</w:t>
      </w:r>
      <w:r>
        <w:rPr>
          <w:rFonts w:hint="eastAsia" w:ascii="仿宋_GB2312" w:hAnsi="仿宋" w:eastAsia="仿宋_GB2312" w:cs="仿宋"/>
          <w:color w:val="000000"/>
          <w:sz w:val="32"/>
          <w:szCs w:val="32"/>
          <w:highlight w:val="none"/>
        </w:rPr>
        <w:t>方面，注重资金使用效益，确保各项工作的顺利开展。经过一年的努力，整体支出绩效目标实现情况良好。</w:t>
      </w:r>
    </w:p>
    <w:p w14:paraId="50EAD3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6FE9D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1E56AE8E">
      <w:pPr>
        <w:spacing w:line="600" w:lineRule="exact"/>
        <w:jc w:val="left"/>
        <w:rPr>
          <w:rFonts w:ascii="Times New Roman" w:hAnsi="Times New Roman"/>
          <w:b/>
          <w:color w:val="auto"/>
          <w:sz w:val="44"/>
          <w:szCs w:val="44"/>
          <w:highlight w:val="none"/>
        </w:rPr>
      </w:pPr>
    </w:p>
    <w:p w14:paraId="1BB9E886">
      <w:pPr>
        <w:spacing w:line="600" w:lineRule="exact"/>
        <w:ind w:firstLine="640"/>
        <w:rPr>
          <w:rFonts w:ascii="仿宋" w:hAnsi="仿宋" w:eastAsia="仿宋"/>
          <w:color w:val="auto"/>
          <w:sz w:val="32"/>
          <w:szCs w:val="32"/>
        </w:rPr>
      </w:pPr>
      <w:bookmarkStart w:id="53" w:name="_Toc15396614"/>
      <w:bookmarkStart w:id="54" w:name="_Toc15377226"/>
      <w:r>
        <w:rPr>
          <w:rFonts w:ascii="仿宋" w:hAnsi="仿宋" w:eastAsia="仿宋"/>
          <w:color w:val="auto"/>
          <w:sz w:val="32"/>
          <w:szCs w:val="32"/>
        </w:rPr>
        <w:t>1.</w:t>
      </w:r>
      <w:r>
        <w:rPr>
          <w:rFonts w:hint="eastAsia" w:ascii="仿宋" w:hAnsi="仿宋" w:eastAsia="仿宋"/>
          <w:color w:val="auto"/>
          <w:sz w:val="32"/>
          <w:szCs w:val="32"/>
        </w:rPr>
        <w:t>财政拨款收入：指单位从同级财政部门取得的财政预算资金。</w:t>
      </w:r>
    </w:p>
    <w:p w14:paraId="71D182A7">
      <w:pPr>
        <w:spacing w:line="600" w:lineRule="exact"/>
        <w:ind w:firstLine="640"/>
        <w:rPr>
          <w:rFonts w:ascii="仿宋" w:hAnsi="仿宋" w:eastAsia="仿宋"/>
          <w:color w:val="auto"/>
          <w:sz w:val="32"/>
          <w:szCs w:val="32"/>
        </w:rPr>
      </w:pPr>
      <w:r>
        <w:rPr>
          <w:rFonts w:ascii="仿宋" w:hAnsi="仿宋" w:eastAsia="仿宋"/>
          <w:color w:val="auto"/>
          <w:sz w:val="32"/>
          <w:szCs w:val="32"/>
        </w:rPr>
        <w:t>2.</w:t>
      </w:r>
      <w:r>
        <w:rPr>
          <w:rFonts w:hint="eastAsia" w:ascii="仿宋" w:hAnsi="仿宋" w:eastAsia="仿宋"/>
          <w:color w:val="auto"/>
          <w:sz w:val="32"/>
          <w:szCs w:val="32"/>
        </w:rPr>
        <w:t>事业收入：指事业单位开展专业业务活动及辅助活动取得的收入。</w:t>
      </w:r>
    </w:p>
    <w:p w14:paraId="6D83A389">
      <w:pPr>
        <w:spacing w:line="600" w:lineRule="exact"/>
        <w:ind w:firstLine="640"/>
        <w:rPr>
          <w:rFonts w:ascii="仿宋" w:hAnsi="仿宋" w:eastAsia="仿宋"/>
          <w:color w:val="auto"/>
          <w:sz w:val="32"/>
          <w:szCs w:val="32"/>
        </w:rPr>
      </w:pPr>
      <w:r>
        <w:rPr>
          <w:rFonts w:ascii="仿宋" w:hAnsi="仿宋" w:eastAsia="仿宋"/>
          <w:color w:val="auto"/>
          <w:sz w:val="32"/>
          <w:szCs w:val="32"/>
        </w:rPr>
        <w:t>3.</w:t>
      </w:r>
      <w:r>
        <w:rPr>
          <w:rFonts w:hint="eastAsia" w:ascii="仿宋" w:hAnsi="仿宋" w:eastAsia="仿宋"/>
          <w:color w:val="auto"/>
          <w:sz w:val="32"/>
          <w:szCs w:val="32"/>
        </w:rPr>
        <w:t>经营收入：指事业单位在专业业务活动及其辅助活动之外开展非独立核算经营活动取得的收入</w:t>
      </w:r>
    </w:p>
    <w:p w14:paraId="67F4F126">
      <w:pPr>
        <w:spacing w:line="600" w:lineRule="exact"/>
        <w:ind w:firstLine="640"/>
        <w:rPr>
          <w:rFonts w:ascii="仿宋" w:hAnsi="仿宋" w:eastAsia="仿宋"/>
          <w:color w:val="auto"/>
          <w:sz w:val="32"/>
          <w:szCs w:val="32"/>
        </w:rPr>
      </w:pPr>
      <w:r>
        <w:rPr>
          <w:rFonts w:ascii="仿宋" w:hAnsi="仿宋" w:eastAsia="仿宋"/>
          <w:color w:val="auto"/>
          <w:sz w:val="32"/>
          <w:szCs w:val="32"/>
        </w:rPr>
        <w:t>4.</w:t>
      </w:r>
      <w:r>
        <w:rPr>
          <w:rFonts w:hint="eastAsia" w:ascii="仿宋" w:hAnsi="仿宋" w:eastAsia="仿宋"/>
          <w:color w:val="auto"/>
          <w:sz w:val="32"/>
          <w:szCs w:val="32"/>
        </w:rPr>
        <w:t>其他收入：指单位取得的除上述收入以外的各项收入。</w:t>
      </w:r>
    </w:p>
    <w:p w14:paraId="46DEFE6F">
      <w:pPr>
        <w:spacing w:line="600" w:lineRule="exact"/>
        <w:ind w:firstLine="640"/>
        <w:rPr>
          <w:rFonts w:ascii="仿宋" w:hAnsi="仿宋" w:eastAsia="仿宋"/>
          <w:color w:val="auto"/>
          <w:sz w:val="32"/>
          <w:szCs w:val="32"/>
        </w:rPr>
      </w:pPr>
      <w:r>
        <w:rPr>
          <w:rFonts w:ascii="仿宋" w:hAnsi="仿宋" w:eastAsia="仿宋"/>
          <w:color w:val="auto"/>
          <w:sz w:val="32"/>
          <w:szCs w:val="32"/>
        </w:rPr>
        <w:t>5.</w:t>
      </w:r>
      <w:r>
        <w:rPr>
          <w:rFonts w:hint="eastAsia" w:ascii="仿宋" w:hAnsi="仿宋" w:eastAsia="仿宋"/>
          <w:color w:val="auto"/>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auto"/>
          <w:sz w:val="32"/>
          <w:szCs w:val="32"/>
        </w:rPr>
        <w:t xml:space="preserve"> </w:t>
      </w:r>
    </w:p>
    <w:p w14:paraId="338043AC">
      <w:pPr>
        <w:spacing w:line="600" w:lineRule="exact"/>
        <w:ind w:firstLine="640"/>
        <w:rPr>
          <w:rFonts w:ascii="仿宋" w:hAnsi="仿宋" w:eastAsia="仿宋"/>
          <w:color w:val="auto"/>
          <w:sz w:val="32"/>
          <w:szCs w:val="32"/>
        </w:rPr>
      </w:pPr>
      <w:r>
        <w:rPr>
          <w:rFonts w:ascii="仿宋" w:hAnsi="仿宋" w:eastAsia="仿宋"/>
          <w:color w:val="auto"/>
          <w:sz w:val="32"/>
          <w:szCs w:val="32"/>
        </w:rPr>
        <w:t>6.</w:t>
      </w:r>
      <w:r>
        <w:rPr>
          <w:rFonts w:hint="eastAsia" w:ascii="仿宋" w:hAnsi="仿宋" w:eastAsia="仿宋"/>
          <w:color w:val="auto"/>
          <w:sz w:val="32"/>
          <w:szCs w:val="32"/>
        </w:rPr>
        <w:t>年初结转和结余：指以前年度尚未完成、结转到本年按有关规定继续使用的资金。</w:t>
      </w:r>
      <w:r>
        <w:rPr>
          <w:rFonts w:ascii="仿宋" w:hAnsi="仿宋" w:eastAsia="仿宋"/>
          <w:color w:val="auto"/>
          <w:sz w:val="32"/>
          <w:szCs w:val="32"/>
        </w:rPr>
        <w:t xml:space="preserve"> </w:t>
      </w:r>
    </w:p>
    <w:p w14:paraId="61AA09FF">
      <w:pPr>
        <w:spacing w:line="600" w:lineRule="exact"/>
        <w:ind w:firstLine="640"/>
        <w:rPr>
          <w:rFonts w:ascii="仿宋" w:hAnsi="仿宋" w:eastAsia="仿宋"/>
          <w:color w:val="auto"/>
          <w:sz w:val="32"/>
          <w:szCs w:val="32"/>
        </w:rPr>
      </w:pPr>
      <w:r>
        <w:rPr>
          <w:rFonts w:ascii="仿宋" w:hAnsi="仿宋" w:eastAsia="仿宋"/>
          <w:color w:val="auto"/>
          <w:sz w:val="32"/>
          <w:szCs w:val="32"/>
        </w:rPr>
        <w:t>7.</w:t>
      </w:r>
      <w:r>
        <w:rPr>
          <w:rFonts w:hint="eastAsia" w:ascii="仿宋" w:hAnsi="仿宋" w:eastAsia="仿宋"/>
          <w:color w:val="auto"/>
          <w:sz w:val="32"/>
          <w:szCs w:val="32"/>
        </w:rPr>
        <w:t>结余分配：指事业单位按照事业单位会计制度的规定从非财政补助结余中分配的事业基金和职工福利基金等。</w:t>
      </w:r>
    </w:p>
    <w:p w14:paraId="058D5967">
      <w:pPr>
        <w:spacing w:line="600" w:lineRule="exact"/>
        <w:ind w:firstLine="640"/>
        <w:rPr>
          <w:rFonts w:ascii="仿宋" w:hAnsi="仿宋" w:eastAsia="仿宋"/>
          <w:color w:val="auto"/>
          <w:sz w:val="32"/>
          <w:szCs w:val="32"/>
        </w:rPr>
      </w:pPr>
      <w:r>
        <w:rPr>
          <w:rFonts w:ascii="仿宋" w:hAnsi="仿宋" w:eastAsia="仿宋"/>
          <w:color w:val="auto"/>
          <w:sz w:val="32"/>
          <w:szCs w:val="32"/>
        </w:rPr>
        <w:t>8</w:t>
      </w:r>
      <w:r>
        <w:rPr>
          <w:rFonts w:hint="eastAsia" w:ascii="仿宋" w:hAnsi="仿宋" w:eastAsia="仿宋"/>
          <w:color w:val="auto"/>
          <w:sz w:val="32"/>
          <w:szCs w:val="32"/>
        </w:rPr>
        <w:t>.年末结转和结余：指单位按有关规定结转到下年或以后年度继续使用的资金。</w:t>
      </w:r>
    </w:p>
    <w:p w14:paraId="54F01FEA">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9.社会保障和就业支出（208）行政事业单位养老支出（20805）机关事业单位基本养老保险缴费支出（2080505）：反映机关事业单位实施养老保险制度由单位缴纳的基本养老保险费支出。</w:t>
      </w:r>
      <w:r>
        <w:rPr>
          <w:rFonts w:hint="eastAsia" w:ascii="仿宋" w:hAnsi="仿宋" w:eastAsia="仿宋"/>
          <w:color w:val="auto"/>
          <w:sz w:val="32"/>
          <w:szCs w:val="32"/>
        </w:rPr>
        <w:cr/>
      </w:r>
      <w:r>
        <w:rPr>
          <w:rFonts w:hint="eastAsia" w:ascii="仿宋" w:hAnsi="仿宋" w:eastAsia="仿宋"/>
          <w:color w:val="auto"/>
          <w:sz w:val="32"/>
          <w:szCs w:val="32"/>
        </w:rPr>
        <w:t xml:space="preserve">    10.社会保障和就业支出（208）行政事业单位养老支出（20805）机关事业单位职业年金缴费支出（2080506）：反映机关事业单位实施养老保险制度由单位实际缴纳的职业年金支出。</w:t>
      </w:r>
      <w:r>
        <w:rPr>
          <w:rFonts w:hint="eastAsia" w:ascii="仿宋" w:hAnsi="仿宋" w:eastAsia="仿宋"/>
          <w:color w:val="auto"/>
          <w:sz w:val="32"/>
          <w:szCs w:val="32"/>
        </w:rPr>
        <w:cr/>
      </w:r>
      <w:r>
        <w:rPr>
          <w:rFonts w:hint="eastAsia" w:ascii="仿宋" w:hAnsi="仿宋" w:eastAsia="仿宋"/>
          <w:color w:val="auto"/>
          <w:sz w:val="32"/>
          <w:szCs w:val="32"/>
        </w:rPr>
        <w:t xml:space="preserve">    11.卫生健康支出（210）行政事业单位医疗（21011）行政单位医疗（2101101）：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olor w:val="auto"/>
          <w:sz w:val="32"/>
          <w:szCs w:val="32"/>
        </w:rPr>
        <w:cr/>
      </w:r>
      <w:r>
        <w:rPr>
          <w:rFonts w:hint="eastAsia" w:ascii="仿宋" w:hAnsi="仿宋" w:eastAsia="仿宋"/>
          <w:color w:val="auto"/>
          <w:sz w:val="32"/>
          <w:szCs w:val="32"/>
        </w:rPr>
        <w:t xml:space="preserve">    12.卫生健康支出（210）行政事业单位医疗（21011）公务员医疗补助（2101103）：反映财政部门安排的公务员医疗补助经费。</w:t>
      </w:r>
      <w:r>
        <w:rPr>
          <w:rFonts w:hint="eastAsia" w:ascii="仿宋" w:hAnsi="仿宋" w:eastAsia="仿宋"/>
          <w:color w:val="auto"/>
          <w:sz w:val="32"/>
          <w:szCs w:val="32"/>
        </w:rPr>
        <w:cr/>
      </w:r>
      <w:r>
        <w:rPr>
          <w:rFonts w:hint="eastAsia" w:ascii="仿宋" w:hAnsi="仿宋" w:eastAsia="仿宋"/>
          <w:color w:val="auto"/>
          <w:sz w:val="32"/>
          <w:szCs w:val="32"/>
        </w:rPr>
        <w:t xml:space="preserve">    13.节能环保支出（211）环境保护管理事务（21101）行政运行（2110101）：反映行政单位（包括实行公务员管理的事业单位）的基本支出。</w:t>
      </w:r>
      <w:r>
        <w:rPr>
          <w:rFonts w:hint="eastAsia" w:ascii="仿宋" w:hAnsi="仿宋" w:eastAsia="仿宋"/>
          <w:color w:val="auto"/>
          <w:sz w:val="32"/>
          <w:szCs w:val="32"/>
        </w:rPr>
        <w:cr/>
      </w:r>
      <w:r>
        <w:rPr>
          <w:rFonts w:hint="eastAsia" w:ascii="仿宋" w:hAnsi="仿宋" w:eastAsia="仿宋"/>
          <w:color w:val="auto"/>
          <w:sz w:val="32"/>
          <w:szCs w:val="32"/>
        </w:rPr>
        <w:t xml:space="preserve">    14.节能环保支出（211）环境保护管理事务（21101）生态环境保护宣传（2110104）：反映生态环境部门环境保护宣传教育方面的支出。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15.节能环保支出（211）环境监测与监察（21102）其他环境监测与监察支出（2110299）：反映除上述项目以外其他用于环境监测与监察方面的支出。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16.节能环保支出（211）其他节能环保支出（21199）其他节能环保支出（2119999）：反映除上述项目以外其他用于节能环保方面的支出。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17.住房保障支出（221）住房改革支出（22102）住房公积金（2210201）：反映行政事业单位按人力资源和社会保障部、财政部规定的基本工资和津贴补贴以及规定比例为职工缴纳的住房公积金。</w:t>
      </w:r>
    </w:p>
    <w:p w14:paraId="2D05D83F">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18.基本支出：指为保障机构正常运转、完成日常工作任务而发生的人员支出和公用支出。</w:t>
      </w:r>
    </w:p>
    <w:p w14:paraId="75B121CF">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 xml:space="preserve">19.项目支出：指在基本支出之外为完成特定行政任务和事业发展目标所发生的支出。 </w:t>
      </w:r>
    </w:p>
    <w:p w14:paraId="1C053CC5">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20.经营支出：指事业单位在专业业务活动及其辅助活动之外开展非独立核算经营活动发生的支出。</w:t>
      </w:r>
    </w:p>
    <w:p w14:paraId="2006A2FC">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77B5E1">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F3DB07">
      <w:pPr>
        <w:spacing w:line="600" w:lineRule="exact"/>
        <w:ind w:firstLine="640"/>
        <w:rPr>
          <w:rFonts w:ascii="仿宋_GB2312" w:eastAsia="仿宋_GB2312" w:cs="黑体"/>
          <w:color w:val="auto"/>
          <w:sz w:val="32"/>
          <w:szCs w:val="32"/>
        </w:rPr>
      </w:pPr>
      <w:r>
        <w:rPr>
          <w:rFonts w:hint="eastAsia" w:ascii="仿宋" w:hAnsi="仿宋" w:eastAsia="仿宋"/>
          <w:color w:val="auto"/>
          <w:sz w:val="32"/>
          <w:szCs w:val="32"/>
        </w:rPr>
        <w:t>.财政应返还额度：为行政事业单位会计核算科目，用于核算实行国库集中支付的行政事业单位应收财政返还的资金额度。</w:t>
      </w:r>
    </w:p>
    <w:p w14:paraId="2F548A4D">
      <w:pPr>
        <w:widowControl/>
        <w:jc w:val="left"/>
        <w:rPr>
          <w:rStyle w:val="29"/>
          <w:rFonts w:ascii="黑体" w:hAnsi="黑体" w:eastAsia="黑体"/>
          <w:color w:val="auto"/>
        </w:rPr>
      </w:pPr>
      <w:r>
        <w:rPr>
          <w:rStyle w:val="29"/>
          <w:rFonts w:ascii="黑体" w:hAnsi="黑体" w:eastAsia="黑体"/>
          <w:color w:val="auto"/>
        </w:rPr>
        <w:br w:type="page"/>
      </w:r>
    </w:p>
    <w:bookmarkEnd w:id="53"/>
    <w:p w14:paraId="6F41F4C3">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p>
    <w:p w14:paraId="2AECC91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25BA96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7E3C4C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46581E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报告范本</w:t>
      </w:r>
    </w:p>
    <w:p w14:paraId="3941CF0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（报告范围包括机关和下属单位）</w:t>
      </w:r>
    </w:p>
    <w:p w14:paraId="311DDDE0">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14:paraId="762B398B">
      <w:pPr>
        <w:widowControl/>
        <w:adjustRightInd w:val="0"/>
        <w:snapToGrid w:val="0"/>
        <w:spacing w:line="578" w:lineRule="exact"/>
        <w:ind w:firstLine="640" w:firstLineChars="200"/>
        <w:contextualSpacing/>
        <w:jc w:val="left"/>
        <w:rPr>
          <w:rFonts w:ascii="黑体" w:hAnsi="黑体" w:eastAsia="黑体"/>
          <w:color w:val="auto"/>
          <w:sz w:val="32"/>
          <w:szCs w:val="32"/>
        </w:rPr>
      </w:pPr>
      <w:r>
        <w:rPr>
          <w:rFonts w:hint="eastAsia" w:ascii="黑体" w:hAnsi="黑体" w:eastAsia="黑体"/>
          <w:color w:val="auto"/>
          <w:kern w:val="0"/>
          <w:sz w:val="32"/>
          <w:szCs w:val="32"/>
          <w:shd w:val="clear" w:color="auto" w:fill="FFFFFF"/>
          <w:lang w:val="zh-CN"/>
        </w:rPr>
        <w:t>一、</w:t>
      </w:r>
      <w:r>
        <w:rPr>
          <w:rFonts w:ascii="黑体" w:hAnsi="黑体" w:eastAsia="黑体"/>
          <w:color w:val="auto"/>
          <w:kern w:val="0"/>
          <w:sz w:val="32"/>
          <w:szCs w:val="32"/>
          <w:shd w:val="clear" w:color="auto" w:fill="FFFFFF"/>
          <w:lang w:val="zh-CN"/>
        </w:rPr>
        <w:t>部门（单位）基本情况</w:t>
      </w:r>
    </w:p>
    <w:p w14:paraId="4F71A68E">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hint="eastAsia" w:ascii="仿宋" w:hAnsi="仿宋" w:eastAsia="仿宋"/>
          <w:b/>
          <w:bCs/>
          <w:color w:val="auto"/>
          <w:kern w:val="0"/>
          <w:sz w:val="32"/>
          <w:szCs w:val="32"/>
          <w:shd w:val="clear" w:color="auto" w:fill="FFFFFF"/>
          <w:lang w:val="zh-CN"/>
        </w:rPr>
        <w:t>（一）</w:t>
      </w:r>
      <w:r>
        <w:rPr>
          <w:rFonts w:ascii="仿宋" w:hAnsi="仿宋" w:eastAsia="仿宋"/>
          <w:b/>
          <w:bCs/>
          <w:color w:val="auto"/>
          <w:kern w:val="0"/>
          <w:sz w:val="32"/>
          <w:szCs w:val="32"/>
          <w:shd w:val="clear" w:color="auto" w:fill="FFFFFF"/>
          <w:lang w:val="zh-CN"/>
        </w:rPr>
        <w:t>机构组成。</w:t>
      </w:r>
    </w:p>
    <w:p w14:paraId="3C3D43F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阿坝州松潘环境监测站</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1CFCAEF9">
      <w:pPr>
        <w:widowControl/>
        <w:adjustRightInd w:val="0"/>
        <w:snapToGrid w:val="0"/>
        <w:spacing w:line="578" w:lineRule="exact"/>
        <w:ind w:firstLine="640" w:firstLineChars="200"/>
        <w:contextualSpacing/>
        <w:jc w:val="left"/>
        <w:rPr>
          <w:rFonts w:ascii="仿宋" w:hAnsi="仿宋" w:eastAsia="仿宋"/>
          <w:b/>
          <w:bCs/>
          <w:color w:val="auto"/>
          <w:kern w:val="0"/>
          <w:sz w:val="32"/>
          <w:szCs w:val="32"/>
          <w:shd w:val="clear" w:color="auto" w:fill="FFFFFF"/>
          <w:lang w:val="zh-CN"/>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阿坝州松潘环境监测站</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仿宋_GB2312" w:hAnsi="仿宋_GB2312" w:eastAsia="仿宋_GB2312" w:cs="仿宋_GB2312"/>
          <w:color w:val="auto"/>
          <w:sz w:val="32"/>
          <w:szCs w:val="32"/>
          <w:highlight w:val="none"/>
        </w:rPr>
        <w:t>松潘县环境监测站</w:t>
      </w:r>
      <w:r>
        <w:rPr>
          <w:rFonts w:hint="eastAsia" w:hAnsi="仿宋_GB2312" w:cs="仿宋_GB2312"/>
          <w:color w:val="auto"/>
          <w:sz w:val="32"/>
          <w:szCs w:val="32"/>
          <w:highlight w:val="none"/>
          <w:lang w:eastAsia="zh-CN"/>
        </w:rPr>
        <w:t>。</w:t>
      </w:r>
      <w:r>
        <w:rPr>
          <w:rFonts w:ascii="Times New Roman" w:hAnsi="Times New Roman" w:eastAsia="仿宋"/>
          <w:color w:val="auto"/>
          <w:sz w:val="32"/>
          <w:szCs w:val="32"/>
          <w:highlight w:val="none"/>
        </w:rPr>
        <w:br w:type="page"/>
      </w:r>
      <w:r>
        <w:rPr>
          <w:rFonts w:ascii="仿宋" w:hAnsi="仿宋" w:eastAsia="仿宋"/>
          <w:b/>
          <w:bCs/>
          <w:color w:val="auto"/>
          <w:kern w:val="0"/>
          <w:sz w:val="32"/>
          <w:szCs w:val="32"/>
          <w:shd w:val="clear" w:color="auto" w:fill="FFFFFF"/>
          <w:lang w:val="zh-CN"/>
        </w:rPr>
        <w:t>（二）机构职能</w:t>
      </w:r>
      <w:r>
        <w:rPr>
          <w:rFonts w:hint="eastAsia" w:ascii="仿宋" w:hAnsi="仿宋" w:eastAsia="仿宋"/>
          <w:b/>
          <w:bCs/>
          <w:color w:val="auto"/>
          <w:kern w:val="0"/>
          <w:sz w:val="32"/>
          <w:szCs w:val="32"/>
          <w:shd w:val="clear" w:color="auto" w:fill="FFFFFF"/>
          <w:lang w:val="zh-CN"/>
        </w:rPr>
        <w:t>。</w:t>
      </w:r>
    </w:p>
    <w:p w14:paraId="643E0186">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1.贯彻执行有关环境保护、法规、规章、方针政策、决定、决议，并对执行情况进行监督。拟定环境保护、林业相关政策、发展战略、中长期规划及年度工作计划，起草相关法规并监督实施。会同有关部门拟定和监督实施重点区域、重点流域的污染防治规划、饮用水水原地环境保护规划。</w:t>
      </w:r>
    </w:p>
    <w:p w14:paraId="7FF50FF7">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2.受政府委托对重大经济发展规划以及重大经济开发计划进行环境影响评价，按照规定审批开发建设区域、项目环境影响评价文件。</w:t>
      </w:r>
    </w:p>
    <w:p w14:paraId="6733CA43">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3.贯彻执行国家、省、州分布的大气、水体、土壤、噪声、辐射、固体废物、有毒化学品及机动车污染防治的法律、法规及有关规定，并实施监督检查。</w:t>
      </w:r>
    </w:p>
    <w:p w14:paraId="03D92FC7">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4.依照规定对建筑项目的环境影响、排污收费、排污许可证、污染限期治理进行监督管理，督查、督办、核查污染物减排任务完成情况，组织实施环境保护目标责任制、总量减排考核工作。</w:t>
      </w:r>
    </w:p>
    <w:p w14:paraId="145AAF4E">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5.监督执行国家、省颁布的各类环境质量标准和污染物排放标准；监督管理环境污染物防治和城乡环境综合治理工作，协查处理污染物事故、生态破坏事件及污染纠纷。指导、协调县内各个部门以及跨地区、跨流域的重大环境问题；处理重大环境污染事故和生态破坏事件，归口管理全县环境监察、排污收费和环境保护行政稽查工作；组织开展全国环境保护执法检查活动。</w:t>
      </w:r>
    </w:p>
    <w:p w14:paraId="78E70899">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6.监督执行国家、省颁布的各类环境质量标准和污染物排放标准；审核城镇总体规划环境保护内容；组织编制全县环境质量报告书；发布全县环境状况公报；定期发布重要城（镇）和流域环境质量报告；参与编制全县可持续发展纲要。</w:t>
      </w:r>
    </w:p>
    <w:p w14:paraId="57501990">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7.负责环境监测、统计、信息工作，制定环境监测制度和管理规范，建设和管理全县环境信息网，组织环境质量监测和污染监督性监测。</w:t>
      </w:r>
    </w:p>
    <w:p w14:paraId="6F8C6BC5">
      <w:pPr>
        <w:pStyle w:val="36"/>
        <w:spacing w:before="0" w:line="360" w:lineRule="auto"/>
        <w:ind w:firstLine="627" w:firstLineChars="196"/>
        <w:rPr>
          <w:rFonts w:ascii="仿宋" w:hAnsi="仿宋" w:eastAsia="仿宋" w:cs="Times New Roman"/>
          <w:color w:val="auto"/>
          <w:kern w:val="2"/>
          <w:sz w:val="32"/>
          <w:szCs w:val="32"/>
        </w:rPr>
      </w:pPr>
      <w:r>
        <w:rPr>
          <w:rFonts w:hint="eastAsia" w:ascii="仿宋" w:hAnsi="仿宋" w:eastAsia="仿宋"/>
          <w:color w:val="auto"/>
          <w:sz w:val="32"/>
          <w:szCs w:val="32"/>
        </w:rPr>
        <w:t>8.负责核安全、辐射环境、放射性废物管理工作，贯彻执行国家、省有关方针、政策、法律、法规和标准、参与核事故、辐射环境事故应急工作，对核设施安全和电磁辐射、技术应用、放射性矿产资源开发利用中的污染防治工作实行监督管理。</w:t>
      </w:r>
    </w:p>
    <w:p w14:paraId="07D7A9B7">
      <w:pPr>
        <w:spacing w:line="600" w:lineRule="exact"/>
        <w:ind w:firstLine="643" w:firstLineChars="200"/>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）人员概况</w:t>
      </w:r>
      <w:r>
        <w:rPr>
          <w:rFonts w:hint="eastAsia" w:ascii="仿宋" w:hAnsi="仿宋" w:eastAsia="仿宋"/>
          <w:b/>
          <w:bCs/>
          <w:color w:val="auto"/>
          <w:kern w:val="0"/>
          <w:sz w:val="32"/>
          <w:szCs w:val="32"/>
          <w:shd w:val="clear" w:color="auto" w:fill="FFFFFF"/>
          <w:lang w:val="zh-CN"/>
        </w:rPr>
        <w:t>。</w:t>
      </w:r>
    </w:p>
    <w:p w14:paraId="10CDF21A">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年财政供养人员编制为</w:t>
      </w:r>
      <w:r>
        <w:rPr>
          <w:rFonts w:hint="eastAsia" w:ascii="仿宋" w:hAnsi="仿宋" w:eastAsia="仿宋" w:cs="仿宋_GB2312"/>
          <w:color w:val="auto"/>
          <w:sz w:val="32"/>
          <w:szCs w:val="32"/>
          <w:lang w:val="en-US" w:eastAsia="zh-CN"/>
        </w:rPr>
        <w:t>12</w:t>
      </w:r>
      <w:r>
        <w:rPr>
          <w:rFonts w:hint="eastAsia" w:ascii="仿宋" w:hAnsi="仿宋" w:eastAsia="仿宋" w:cs="仿宋_GB2312"/>
          <w:color w:val="auto"/>
          <w:sz w:val="32"/>
          <w:szCs w:val="32"/>
        </w:rPr>
        <w:t xml:space="preserve">名，其中行政编制 </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rPr>
        <w:t>名，参公编制</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rPr>
        <w:t>名，参公工勤编制</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rPr>
        <w:t>名</w:t>
      </w:r>
      <w:r>
        <w:rPr>
          <w:rFonts w:hint="eastAsia" w:ascii="仿宋" w:hAnsi="仿宋" w:eastAsia="仿宋" w:cs="仿宋_GB2312"/>
          <w:color w:val="auto"/>
          <w:sz w:val="32"/>
          <w:szCs w:val="32"/>
          <w:lang w:eastAsia="zh-CN"/>
        </w:rPr>
        <w:t>；事业编</w:t>
      </w:r>
      <w:r>
        <w:rPr>
          <w:rFonts w:hint="eastAsia" w:ascii="仿宋" w:hAnsi="仿宋" w:eastAsia="仿宋" w:cs="仿宋_GB2312"/>
          <w:color w:val="auto"/>
          <w:sz w:val="32"/>
          <w:szCs w:val="32"/>
          <w:lang w:val="en-US" w:eastAsia="zh-CN"/>
        </w:rPr>
        <w:t>12人</w:t>
      </w:r>
      <w:r>
        <w:rPr>
          <w:rFonts w:hint="eastAsia" w:ascii="仿宋" w:hAnsi="仿宋" w:eastAsia="仿宋" w:cs="仿宋_GB2312"/>
          <w:color w:val="auto"/>
          <w:sz w:val="32"/>
          <w:szCs w:val="32"/>
        </w:rPr>
        <w:t>；202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年单位实有人数</w:t>
      </w:r>
      <w:r>
        <w:rPr>
          <w:rFonts w:hint="eastAsia" w:ascii="仿宋" w:hAnsi="仿宋" w:eastAsia="仿宋" w:cs="仿宋_GB2312"/>
          <w:color w:val="auto"/>
          <w:sz w:val="32"/>
          <w:szCs w:val="32"/>
          <w:lang w:val="en-US" w:eastAsia="zh-CN"/>
        </w:rPr>
        <w:t>12</w:t>
      </w:r>
      <w:r>
        <w:rPr>
          <w:rFonts w:hint="eastAsia" w:ascii="仿宋" w:hAnsi="仿宋" w:eastAsia="仿宋" w:cs="仿宋_GB2312"/>
          <w:color w:val="auto"/>
          <w:sz w:val="32"/>
          <w:szCs w:val="32"/>
        </w:rPr>
        <w:t>人。退休</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rPr>
        <w:t>人。</w:t>
      </w:r>
    </w:p>
    <w:p w14:paraId="1F9129CF">
      <w:pPr>
        <w:spacing w:line="600" w:lineRule="exact"/>
        <w:ind w:firstLine="640" w:firstLineChars="200"/>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二、部门资金收支情况</w:t>
      </w:r>
    </w:p>
    <w:p w14:paraId="6F7BEF28">
      <w:pPr>
        <w:pStyle w:val="36"/>
        <w:spacing w:before="0" w:line="360" w:lineRule="auto"/>
        <w:ind w:firstLine="630" w:firstLineChars="196"/>
        <w:rPr>
          <w:rFonts w:ascii="仿宋" w:hAnsi="仿宋" w:eastAsia="仿宋" w:cs="Times New Roman"/>
          <w:b/>
          <w:bCs/>
          <w:color w:val="auto"/>
          <w:sz w:val="32"/>
          <w:szCs w:val="32"/>
          <w:shd w:val="clear" w:color="auto" w:fill="FFFFFF"/>
          <w:lang w:val="zh-CN"/>
        </w:rPr>
      </w:pPr>
      <w:r>
        <w:rPr>
          <w:rFonts w:ascii="仿宋" w:hAnsi="仿宋" w:eastAsia="仿宋" w:cs="Times New Roman"/>
          <w:b/>
          <w:bCs/>
          <w:color w:val="auto"/>
          <w:sz w:val="32"/>
          <w:szCs w:val="32"/>
          <w:shd w:val="clear" w:color="auto" w:fill="FFFFFF"/>
          <w:lang w:val="zh-CN"/>
        </w:rPr>
        <w:t>（一）</w:t>
      </w:r>
      <w:r>
        <w:rPr>
          <w:rFonts w:hint="eastAsia" w:ascii="仿宋" w:hAnsi="仿宋" w:eastAsia="仿宋" w:cs="Times New Roman"/>
          <w:b/>
          <w:bCs/>
          <w:color w:val="auto"/>
          <w:sz w:val="32"/>
          <w:szCs w:val="32"/>
          <w:shd w:val="clear" w:color="auto" w:fill="FFFFFF"/>
          <w:lang w:val="zh-CN"/>
        </w:rPr>
        <w:t>收入情况</w:t>
      </w:r>
      <w:r>
        <w:rPr>
          <w:rFonts w:ascii="仿宋" w:hAnsi="仿宋" w:eastAsia="仿宋" w:cs="Times New Roman"/>
          <w:b/>
          <w:bCs/>
          <w:color w:val="auto"/>
          <w:sz w:val="32"/>
          <w:szCs w:val="32"/>
          <w:shd w:val="clear" w:color="auto" w:fill="FFFFFF"/>
          <w:lang w:val="zh-CN"/>
        </w:rPr>
        <w:t>。</w:t>
      </w:r>
    </w:p>
    <w:p w14:paraId="283E0398">
      <w:pPr>
        <w:widowControl/>
        <w:adjustRightInd w:val="0"/>
        <w:snapToGrid w:val="0"/>
        <w:spacing w:line="576" w:lineRule="exact"/>
        <w:ind w:firstLine="640" w:firstLineChars="200"/>
        <w:contextualSpacing/>
        <w:jc w:val="left"/>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eastAsia="zh-CN"/>
        </w:rPr>
        <w:t>2025年度本年收入合计</w:t>
      </w:r>
      <w:r>
        <w:rPr>
          <w:rFonts w:hint="eastAsia" w:ascii="仿宋" w:hAnsi="仿宋" w:eastAsia="仿宋" w:cs="仿宋_GB2312"/>
          <w:color w:val="auto"/>
          <w:sz w:val="32"/>
          <w:szCs w:val="32"/>
        </w:rPr>
        <w:t>226.42</w:t>
      </w:r>
      <w:r>
        <w:rPr>
          <w:rFonts w:hint="eastAsia" w:ascii="仿宋" w:hAnsi="仿宋" w:eastAsia="仿宋" w:cs="仿宋_GB2312"/>
          <w:color w:val="auto"/>
          <w:sz w:val="32"/>
          <w:szCs w:val="32"/>
          <w:lang w:eastAsia="zh-CN"/>
        </w:rPr>
        <w:t>万元，其中：一般公共预算财政拨款收入</w:t>
      </w:r>
      <w:r>
        <w:rPr>
          <w:rFonts w:hint="eastAsia" w:ascii="仿宋" w:hAnsi="仿宋" w:eastAsia="仿宋" w:cs="仿宋_GB2312"/>
          <w:color w:val="auto"/>
          <w:sz w:val="32"/>
          <w:szCs w:val="32"/>
        </w:rPr>
        <w:t>226.42</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100</w:t>
      </w:r>
      <w:r>
        <w:rPr>
          <w:rFonts w:hint="eastAsia" w:ascii="仿宋" w:hAnsi="仿宋" w:eastAsia="仿宋" w:cs="仿宋_GB2312"/>
          <w:color w:val="auto"/>
          <w:sz w:val="32"/>
          <w:szCs w:val="32"/>
          <w:lang w:eastAsia="zh-CN"/>
        </w:rPr>
        <w:t>%；政府性基金预算财政拨款收入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%；国有资本经营预算财政拨款收入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%；上级补助收入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%；事业收入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%；经营收入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%；附属单位上缴收入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%；其他收入</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万元，占</w:t>
      </w:r>
      <w:r>
        <w:rPr>
          <w:rFonts w:hint="eastAsia" w:ascii="仿宋" w:hAnsi="仿宋" w:eastAsia="仿宋" w:cs="仿宋_GB2312"/>
          <w:color w:val="auto"/>
          <w:sz w:val="32"/>
          <w:szCs w:val="32"/>
        </w:rPr>
        <w:t>0</w:t>
      </w:r>
      <w:r>
        <w:rPr>
          <w:rFonts w:hint="eastAsia" w:ascii="仿宋" w:hAnsi="仿宋" w:eastAsia="仿宋" w:cs="仿宋_GB2312"/>
          <w:color w:val="auto"/>
          <w:sz w:val="32"/>
          <w:szCs w:val="32"/>
          <w:lang w:eastAsia="zh-CN"/>
        </w:rPr>
        <w:t>%</w:t>
      </w:r>
      <w:r>
        <w:rPr>
          <w:rFonts w:hint="eastAsia" w:ascii="仿宋" w:hAnsi="仿宋" w:eastAsia="仿宋" w:cs="仿宋_GB2312"/>
          <w:color w:val="auto"/>
          <w:sz w:val="32"/>
          <w:szCs w:val="32"/>
          <w:lang w:eastAsia="zh-CN"/>
        </w:rPr>
        <w:t>。</w:t>
      </w:r>
    </w:p>
    <w:p w14:paraId="2677A114">
      <w:pPr>
        <w:widowControl/>
        <w:adjustRightInd w:val="0"/>
        <w:snapToGrid w:val="0"/>
        <w:spacing w:line="578" w:lineRule="exact"/>
        <w:ind w:firstLine="643" w:firstLineChars="200"/>
        <w:contextualSpacing/>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二</w:t>
      </w: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支出情况</w:t>
      </w:r>
      <w:r>
        <w:rPr>
          <w:rFonts w:ascii="仿宋" w:hAnsi="仿宋" w:eastAsia="仿宋"/>
          <w:b/>
          <w:bCs/>
          <w:color w:val="auto"/>
          <w:kern w:val="0"/>
          <w:sz w:val="32"/>
          <w:szCs w:val="32"/>
          <w:shd w:val="clear" w:color="auto" w:fill="FFFFFF"/>
          <w:lang w:val="zh-CN"/>
        </w:rPr>
        <w:t>。</w:t>
      </w:r>
    </w:p>
    <w:p w14:paraId="457E75A5">
      <w:pPr>
        <w:widowControl/>
        <w:adjustRightInd w:val="0"/>
        <w:snapToGrid w:val="0"/>
        <w:spacing w:line="576" w:lineRule="exact"/>
        <w:ind w:firstLine="640" w:firstLineChars="200"/>
        <w:contextualSpacing/>
        <w:jc w:val="left"/>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eastAsia="zh-CN"/>
        </w:rPr>
        <w:t>2025年度本年支出合计226.42万元，其中：基本支出226.42万元，占100%；项目支出0万元，占0%；上缴上级支出0万元，占0%；经营支出0万元，占0%；对附属单位补助支出0万元，占0%。</w:t>
      </w:r>
    </w:p>
    <w:p w14:paraId="2C70327F">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财政拨款支出主要用于保障本部门机构正常运转、完成日常工作任务。基本人员支出，是用于本单位人员工资和社保就业保障经费。日常公用支出包括办公费、印刷费、电费、等日常公用经费。</w:t>
      </w:r>
    </w:p>
    <w:p w14:paraId="069583C8">
      <w:pPr>
        <w:widowControl/>
        <w:adjustRightInd w:val="0"/>
        <w:snapToGrid w:val="0"/>
        <w:spacing w:line="578" w:lineRule="exact"/>
        <w:ind w:firstLine="643" w:firstLineChars="200"/>
        <w:contextualSpacing/>
        <w:jc w:val="left"/>
        <w:rPr>
          <w:rFonts w:ascii="仿宋" w:hAnsi="仿宋" w:eastAsia="仿宋"/>
          <w:b/>
          <w:color w:val="auto"/>
          <w:sz w:val="32"/>
          <w:szCs w:val="32"/>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w:t>
      </w:r>
      <w:r>
        <w:rPr>
          <w:rFonts w:ascii="仿宋" w:hAnsi="仿宋" w:eastAsia="仿宋"/>
          <w:b/>
          <w:color w:val="auto"/>
          <w:sz w:val="32"/>
          <w:szCs w:val="32"/>
        </w:rPr>
        <w:t>结余分配和结转结余情况</w:t>
      </w:r>
      <w:r>
        <w:rPr>
          <w:rFonts w:hint="eastAsia" w:ascii="仿宋" w:hAnsi="仿宋" w:eastAsia="仿宋"/>
          <w:b/>
          <w:color w:val="auto"/>
          <w:sz w:val="32"/>
          <w:szCs w:val="32"/>
        </w:rPr>
        <w:t>。</w:t>
      </w:r>
    </w:p>
    <w:p w14:paraId="4ECC5744">
      <w:pPr>
        <w:widowControl/>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lang w:val="zh-CN"/>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年无</w:t>
      </w:r>
      <w:r>
        <w:rPr>
          <w:rFonts w:ascii="仿宋" w:hAnsi="仿宋" w:eastAsia="仿宋"/>
          <w:color w:val="auto"/>
          <w:kern w:val="0"/>
          <w:sz w:val="32"/>
          <w:szCs w:val="32"/>
          <w:shd w:val="clear" w:color="auto" w:fill="FFFFFF"/>
        </w:rPr>
        <w:t>结转结余</w:t>
      </w:r>
      <w:r>
        <w:rPr>
          <w:rFonts w:hint="eastAsia" w:ascii="仿宋" w:hAnsi="仿宋" w:eastAsia="仿宋"/>
          <w:color w:val="auto"/>
          <w:kern w:val="0"/>
          <w:sz w:val="32"/>
          <w:szCs w:val="32"/>
          <w:shd w:val="clear" w:color="auto" w:fill="FFFFFF"/>
        </w:rPr>
        <w:t>情况</w:t>
      </w:r>
      <w:r>
        <w:rPr>
          <w:rFonts w:ascii="仿宋" w:hAnsi="仿宋" w:eastAsia="仿宋"/>
          <w:color w:val="auto"/>
          <w:kern w:val="0"/>
          <w:sz w:val="32"/>
          <w:szCs w:val="32"/>
          <w:shd w:val="clear" w:color="auto" w:fill="FFFFFF"/>
        </w:rPr>
        <w:t>。</w:t>
      </w:r>
    </w:p>
    <w:p w14:paraId="2A64CE56">
      <w:pPr>
        <w:widowControl/>
        <w:adjustRightInd w:val="0"/>
        <w:snapToGrid w:val="0"/>
        <w:spacing w:line="578" w:lineRule="exact"/>
        <w:ind w:firstLine="640" w:firstLineChars="200"/>
        <w:contextualSpacing/>
        <w:jc w:val="left"/>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三、部门预算绩效分析</w:t>
      </w:r>
    </w:p>
    <w:p w14:paraId="04F3F532">
      <w:pPr>
        <w:widowControl/>
        <w:adjustRightInd w:val="0"/>
        <w:snapToGrid w:val="0"/>
        <w:spacing w:line="600" w:lineRule="exact"/>
        <w:ind w:firstLine="643" w:firstLineChars="200"/>
        <w:jc w:val="left"/>
        <w:rPr>
          <w:rFonts w:ascii="仿宋" w:hAnsi="仿宋" w:eastAsia="仿宋" w:cs="仿宋_GB2312"/>
          <w:color w:val="auto"/>
          <w:sz w:val="32"/>
          <w:szCs w:val="32"/>
        </w:rPr>
      </w:pPr>
      <w:r>
        <w:rPr>
          <w:rFonts w:ascii="仿宋" w:hAnsi="仿宋" w:eastAsia="仿宋"/>
          <w:b/>
          <w:bCs/>
          <w:color w:val="auto"/>
          <w:kern w:val="0"/>
          <w:sz w:val="32"/>
          <w:szCs w:val="32"/>
          <w:shd w:val="clear" w:color="auto" w:fill="FFFFFF"/>
          <w:lang w:val="zh-CN"/>
        </w:rPr>
        <w:t>（一）</w:t>
      </w:r>
      <w:r>
        <w:rPr>
          <w:rFonts w:hint="eastAsia" w:ascii="仿宋" w:hAnsi="仿宋" w:eastAsia="仿宋"/>
          <w:b/>
          <w:bCs/>
          <w:color w:val="auto"/>
          <w:kern w:val="0"/>
          <w:sz w:val="32"/>
          <w:szCs w:val="32"/>
          <w:shd w:val="clear" w:color="auto" w:fill="FFFFFF"/>
          <w:lang w:val="zh-CN"/>
        </w:rPr>
        <w:t>部门预算</w:t>
      </w:r>
      <w:r>
        <w:rPr>
          <w:rFonts w:ascii="仿宋" w:hAnsi="仿宋" w:eastAsia="仿宋"/>
          <w:b/>
          <w:bCs/>
          <w:color w:val="auto"/>
          <w:kern w:val="0"/>
          <w:sz w:val="32"/>
          <w:szCs w:val="32"/>
          <w:shd w:val="clear" w:color="auto" w:fill="FFFFFF"/>
          <w:lang w:val="zh-CN"/>
        </w:rPr>
        <w:t>总体绩效分析。</w:t>
      </w:r>
      <w:r>
        <w:rPr>
          <w:rFonts w:hint="eastAsia" w:ascii="仿宋" w:hAnsi="仿宋" w:eastAsia="仿宋" w:cs="仿宋_GB2312"/>
          <w:color w:val="auto"/>
          <w:sz w:val="32"/>
          <w:szCs w:val="32"/>
        </w:rPr>
        <w:t>严格按照县级部门预算编制通知和有关要求，按时完成各项报送工作，预算编制中，特别注意对预算编制准确性的把握，并严格按照要求进行预算执行调整。按时完成待批复提前细化。202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年按编制标准我单位在职职工</w:t>
      </w:r>
      <w:r>
        <w:rPr>
          <w:rFonts w:hint="eastAsia" w:ascii="仿宋" w:hAnsi="仿宋" w:eastAsia="仿宋" w:cs="仿宋_GB2312"/>
          <w:color w:val="auto"/>
          <w:sz w:val="32"/>
          <w:szCs w:val="32"/>
          <w:lang w:val="en-US" w:eastAsia="zh-CN"/>
        </w:rPr>
        <w:t>12</w:t>
      </w:r>
      <w:r>
        <w:rPr>
          <w:rFonts w:hint="eastAsia" w:ascii="仿宋" w:hAnsi="仿宋" w:eastAsia="仿宋" w:cs="仿宋_GB2312"/>
          <w:color w:val="auto"/>
          <w:sz w:val="32"/>
          <w:szCs w:val="32"/>
        </w:rPr>
        <w:t>人，本单位预算在财政部门批复后及时填报预算公示报表报财政审核在政府信息公开网上公示。</w:t>
      </w:r>
    </w:p>
    <w:p w14:paraId="2C1B86EE">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1.</w:t>
      </w:r>
      <w:r>
        <w:rPr>
          <w:rFonts w:hint="eastAsia" w:ascii="仿宋" w:hAnsi="仿宋" w:eastAsia="仿宋" w:cs="楷体_GB2312"/>
          <w:color w:val="auto"/>
          <w:kern w:val="0"/>
          <w:sz w:val="32"/>
          <w:szCs w:val="32"/>
          <w:shd w:val="clear" w:color="auto" w:fill="FFFFFF"/>
          <w:lang w:val="zh-CN"/>
        </w:rPr>
        <w:t>履职效能。</w:t>
      </w:r>
      <w:r>
        <w:rPr>
          <w:rFonts w:hint="eastAsia" w:ascii="仿宋" w:hAnsi="仿宋" w:eastAsia="仿宋"/>
          <w:color w:val="auto"/>
          <w:kern w:val="0"/>
          <w:sz w:val="32"/>
          <w:szCs w:val="32"/>
          <w:shd w:val="clear" w:color="auto" w:fill="FFFFFF"/>
          <w:lang w:val="zh-CN"/>
        </w:rPr>
        <w:t>1.质量指标：我局做好相关预算，保障职工利益；2.实效指标：按时兑现规定待遇；3.满意度指标：全体职工对待遇兑现满意度为98%。</w:t>
      </w:r>
    </w:p>
    <w:p w14:paraId="44BB37C1">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rPr>
      </w:pPr>
      <w:r>
        <w:rPr>
          <w:rFonts w:hint="eastAsia" w:ascii="仿宋" w:hAnsi="仿宋" w:eastAsia="仿宋" w:cs="楷体_GB2312"/>
          <w:color w:val="auto"/>
          <w:kern w:val="0"/>
          <w:sz w:val="32"/>
          <w:szCs w:val="32"/>
          <w:shd w:val="clear" w:color="auto" w:fill="FFFFFF"/>
        </w:rPr>
        <w:t>2.</w:t>
      </w:r>
      <w:r>
        <w:rPr>
          <w:rFonts w:ascii="仿宋" w:hAnsi="仿宋" w:eastAsia="仿宋" w:cs="楷体_GB2312"/>
          <w:color w:val="auto"/>
          <w:kern w:val="0"/>
          <w:sz w:val="32"/>
          <w:szCs w:val="32"/>
          <w:shd w:val="clear" w:color="auto" w:fill="FFFFFF"/>
        </w:rPr>
        <w:t>预算管理</w:t>
      </w:r>
      <w:r>
        <w:rPr>
          <w:rFonts w:hint="eastAsia" w:ascii="仿宋" w:hAnsi="仿宋" w:eastAsia="仿宋" w:cs="楷体_GB2312"/>
          <w:color w:val="auto"/>
          <w:kern w:val="0"/>
          <w:sz w:val="32"/>
          <w:szCs w:val="32"/>
          <w:shd w:val="clear" w:color="auto" w:fill="FFFFFF"/>
        </w:rPr>
        <w:t>。根据县财政有关文件要求，我单位对财政资金使用管理情况，按照《</w:t>
      </w:r>
      <w:r>
        <w:rPr>
          <w:rFonts w:hint="eastAsia" w:ascii="仿宋" w:hAnsi="仿宋" w:eastAsia="仿宋" w:cs="楷体_GB2312"/>
          <w:color w:val="auto"/>
          <w:kern w:val="0"/>
          <w:sz w:val="32"/>
          <w:szCs w:val="32"/>
          <w:shd w:val="clear" w:color="auto" w:fill="FFFFFF"/>
          <w:lang w:eastAsia="zh-CN"/>
        </w:rPr>
        <w:t>松潘</w:t>
      </w:r>
      <w:r>
        <w:rPr>
          <w:rFonts w:ascii="仿宋" w:hAnsi="仿宋" w:eastAsia="仿宋" w:cs="楷体_GB2312"/>
          <w:color w:val="auto"/>
          <w:kern w:val="0"/>
          <w:sz w:val="32"/>
          <w:szCs w:val="32"/>
          <w:shd w:val="clear" w:color="auto" w:fill="FFFFFF"/>
        </w:rPr>
        <w:t>县财政局关于202</w:t>
      </w:r>
      <w:r>
        <w:rPr>
          <w:rFonts w:hint="eastAsia" w:ascii="仿宋" w:hAnsi="仿宋" w:eastAsia="仿宋" w:cs="楷体_GB2312"/>
          <w:color w:val="auto"/>
          <w:kern w:val="0"/>
          <w:sz w:val="32"/>
          <w:szCs w:val="32"/>
          <w:shd w:val="clear" w:color="auto" w:fill="FFFFFF"/>
          <w:lang w:val="en-US" w:eastAsia="zh-CN"/>
        </w:rPr>
        <w:t>5</w:t>
      </w:r>
      <w:r>
        <w:rPr>
          <w:rFonts w:ascii="仿宋" w:hAnsi="仿宋" w:eastAsia="仿宋" w:cs="楷体_GB2312"/>
          <w:color w:val="auto"/>
          <w:kern w:val="0"/>
          <w:sz w:val="32"/>
          <w:szCs w:val="32"/>
          <w:shd w:val="clear" w:color="auto" w:fill="FFFFFF"/>
        </w:rPr>
        <w:t>年县级部门绩效自评工作的通知</w:t>
      </w:r>
      <w:r>
        <w:rPr>
          <w:rFonts w:hint="eastAsia" w:ascii="仿宋" w:hAnsi="仿宋" w:eastAsia="仿宋" w:cs="楷体_GB2312"/>
          <w:color w:val="auto"/>
          <w:kern w:val="0"/>
          <w:sz w:val="32"/>
          <w:szCs w:val="32"/>
          <w:shd w:val="clear" w:color="auto" w:fill="FFFFFF"/>
        </w:rPr>
        <w:t>》认真开展自评工作，撰写部门自评报告。</w:t>
      </w:r>
    </w:p>
    <w:p w14:paraId="4845E839">
      <w:pPr>
        <w:adjustRightInd w:val="0"/>
        <w:snapToGrid w:val="0"/>
        <w:spacing w:line="578"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楷体_GB2312"/>
          <w:color w:val="auto"/>
          <w:kern w:val="0"/>
          <w:sz w:val="32"/>
          <w:szCs w:val="32"/>
          <w:shd w:val="clear" w:color="auto" w:fill="FFFFFF"/>
        </w:rPr>
        <w:t>3.</w:t>
      </w:r>
      <w:r>
        <w:rPr>
          <w:rFonts w:ascii="仿宋" w:hAnsi="仿宋" w:eastAsia="仿宋" w:cs="楷体_GB2312"/>
          <w:color w:val="auto"/>
          <w:kern w:val="0"/>
          <w:sz w:val="32"/>
          <w:szCs w:val="32"/>
          <w:shd w:val="clear" w:color="auto" w:fill="FFFFFF"/>
          <w:lang w:val="zh-CN"/>
        </w:rPr>
        <w:t>财务管理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s="仿宋_GB2312"/>
          <w:color w:val="auto"/>
          <w:sz w:val="32"/>
          <w:szCs w:val="32"/>
        </w:rPr>
        <w:t>我单位财务管理制度健全，执行制度严格合规，会计核算符合相关规定，资金专款专用，资金支付依据和开支标准合法合规，严格执行政府采购。</w:t>
      </w:r>
    </w:p>
    <w:p w14:paraId="5AF53F0B">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4.</w:t>
      </w:r>
      <w:r>
        <w:rPr>
          <w:rFonts w:ascii="仿宋" w:hAnsi="仿宋" w:eastAsia="仿宋" w:cs="楷体_GB2312"/>
          <w:color w:val="auto"/>
          <w:kern w:val="0"/>
          <w:sz w:val="32"/>
          <w:szCs w:val="32"/>
          <w:shd w:val="clear" w:color="auto" w:fill="FFFFFF"/>
          <w:lang w:val="zh-CN"/>
        </w:rPr>
        <w:t>资产管理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kern w:val="0"/>
          <w:sz w:val="32"/>
          <w:szCs w:val="32"/>
          <w:shd w:val="clear" w:color="auto" w:fill="FFFFFF"/>
          <w:lang w:val="zh-CN"/>
        </w:rPr>
        <w:t>严格按照资产管理办法，专人管理固定资产，会计做好固定资产的入库等财务工作。</w:t>
      </w:r>
    </w:p>
    <w:p w14:paraId="221B7DFF">
      <w:pPr>
        <w:adjustRightInd w:val="0"/>
        <w:snapToGrid w:val="0"/>
        <w:spacing w:line="578" w:lineRule="exact"/>
        <w:ind w:firstLine="640" w:firstLineChars="200"/>
        <w:contextualSpacing/>
        <w:jc w:val="left"/>
        <w:rPr>
          <w:rFonts w:ascii="仿宋" w:hAnsi="仿宋" w:eastAsia="仿宋"/>
          <w:color w:val="auto"/>
          <w:sz w:val="32"/>
          <w:szCs w:val="32"/>
        </w:rPr>
      </w:pPr>
      <w:r>
        <w:rPr>
          <w:rFonts w:hint="eastAsia" w:ascii="仿宋" w:hAnsi="仿宋" w:eastAsia="仿宋" w:cs="楷体_GB2312"/>
          <w:color w:val="auto"/>
          <w:kern w:val="0"/>
          <w:sz w:val="32"/>
          <w:szCs w:val="32"/>
          <w:shd w:val="clear" w:color="auto" w:fill="FFFFFF"/>
        </w:rPr>
        <w:t>5.</w:t>
      </w:r>
      <w:r>
        <w:rPr>
          <w:rFonts w:ascii="仿宋" w:hAnsi="仿宋" w:eastAsia="仿宋" w:cs="楷体_GB2312"/>
          <w:color w:val="auto"/>
          <w:kern w:val="0"/>
          <w:sz w:val="32"/>
          <w:szCs w:val="32"/>
          <w:shd w:val="clear" w:color="auto" w:fill="FFFFFF"/>
          <w:lang w:val="zh-CN"/>
        </w:rPr>
        <w:t>采购管理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年我单位有政府采购，严格按固定资产管理办法进行登记入账。</w:t>
      </w:r>
    </w:p>
    <w:p w14:paraId="1D295EB6">
      <w:pPr>
        <w:adjustRightInd w:val="0"/>
        <w:snapToGrid w:val="0"/>
        <w:spacing w:line="578" w:lineRule="exact"/>
        <w:ind w:firstLine="643" w:firstLineChars="200"/>
        <w:contextualSpacing/>
        <w:jc w:val="left"/>
        <w:rPr>
          <w:rFonts w:ascii="仿宋" w:hAnsi="仿宋" w:eastAsia="仿宋"/>
          <w:color w:val="auto"/>
          <w:kern w:val="0"/>
          <w:sz w:val="32"/>
          <w:szCs w:val="32"/>
          <w:shd w:val="clear" w:color="auto" w:fill="FFFFFF"/>
        </w:rPr>
      </w:pPr>
      <w:r>
        <w:rPr>
          <w:rFonts w:ascii="仿宋" w:hAnsi="仿宋" w:eastAsia="仿宋"/>
          <w:b/>
          <w:bCs/>
          <w:color w:val="auto"/>
          <w:kern w:val="0"/>
          <w:sz w:val="32"/>
          <w:szCs w:val="32"/>
          <w:shd w:val="clear" w:color="auto" w:fill="FFFFFF"/>
          <w:lang w:val="zh-CN"/>
        </w:rPr>
        <w:t>（二）部门预算项目绩效分析。</w:t>
      </w:r>
      <w:r>
        <w:rPr>
          <w:rFonts w:hint="eastAsia" w:ascii="仿宋" w:hAnsi="仿宋" w:eastAsia="仿宋"/>
          <w:color w:val="auto"/>
          <w:kern w:val="0"/>
          <w:sz w:val="32"/>
          <w:szCs w:val="32"/>
          <w:shd w:val="clear" w:color="auto" w:fill="FFFFFF"/>
          <w:lang w:val="zh-CN"/>
        </w:rPr>
        <w:t>填报以下数据，并</w:t>
      </w:r>
      <w:r>
        <w:rPr>
          <w:rFonts w:ascii="仿宋" w:hAnsi="仿宋" w:eastAsia="仿宋"/>
          <w:color w:val="auto"/>
          <w:kern w:val="0"/>
          <w:sz w:val="32"/>
          <w:szCs w:val="32"/>
          <w:shd w:val="clear" w:color="auto" w:fill="FFFFFF"/>
          <w:lang w:val="zh-CN"/>
        </w:rPr>
        <w:t>根据部门预算绩效评价指标体系“项目绩效”涉及</w:t>
      </w:r>
      <w:r>
        <w:rPr>
          <w:rFonts w:hint="eastAsia" w:ascii="仿宋" w:hAnsi="仿宋" w:eastAsia="仿宋"/>
          <w:color w:val="auto"/>
          <w:kern w:val="0"/>
          <w:sz w:val="32"/>
          <w:szCs w:val="32"/>
          <w:shd w:val="clear" w:color="auto" w:fill="FFFFFF"/>
          <w:lang w:val="zh-CN"/>
        </w:rPr>
        <w:t>二、三级</w:t>
      </w:r>
      <w:r>
        <w:rPr>
          <w:rFonts w:ascii="仿宋" w:hAnsi="仿宋" w:eastAsia="仿宋"/>
          <w:color w:val="auto"/>
          <w:kern w:val="0"/>
          <w:sz w:val="32"/>
          <w:szCs w:val="32"/>
          <w:shd w:val="clear" w:color="auto" w:fill="FFFFFF"/>
          <w:lang w:val="zh-CN"/>
        </w:rPr>
        <w:t>指标进行</w:t>
      </w:r>
      <w:r>
        <w:rPr>
          <w:rFonts w:hint="eastAsia" w:ascii="仿宋" w:hAnsi="仿宋" w:eastAsia="仿宋"/>
          <w:color w:val="auto"/>
          <w:kern w:val="0"/>
          <w:sz w:val="32"/>
          <w:szCs w:val="32"/>
          <w:shd w:val="clear" w:color="auto" w:fill="FFFFFF"/>
          <w:lang w:val="zh-CN"/>
        </w:rPr>
        <w:t>逐项</w:t>
      </w:r>
      <w:r>
        <w:rPr>
          <w:rFonts w:ascii="仿宋" w:hAnsi="仿宋" w:eastAsia="仿宋"/>
          <w:color w:val="auto"/>
          <w:kern w:val="0"/>
          <w:sz w:val="32"/>
          <w:szCs w:val="32"/>
          <w:shd w:val="clear" w:color="auto" w:fill="FFFFFF"/>
          <w:lang w:val="zh-CN"/>
        </w:rPr>
        <w:t>绩效分析</w:t>
      </w:r>
      <w:r>
        <w:rPr>
          <w:rFonts w:hint="eastAsia" w:ascii="仿宋" w:hAnsi="仿宋" w:eastAsia="仿宋"/>
          <w:color w:val="auto"/>
          <w:kern w:val="0"/>
          <w:sz w:val="32"/>
          <w:szCs w:val="32"/>
          <w:shd w:val="clear" w:color="auto" w:fill="FFFFFF"/>
          <w:lang w:val="zh-CN"/>
        </w:rPr>
        <w:t>并评分</w:t>
      </w:r>
      <w:r>
        <w:rPr>
          <w:rFonts w:ascii="仿宋" w:hAnsi="仿宋" w:eastAsia="仿宋"/>
          <w:color w:val="auto"/>
          <w:kern w:val="0"/>
          <w:sz w:val="32"/>
          <w:szCs w:val="32"/>
          <w:shd w:val="clear" w:color="auto" w:fill="FFFFFF"/>
          <w:lang w:val="zh-CN"/>
        </w:rPr>
        <w:t>，依次包括项目</w:t>
      </w:r>
      <w:r>
        <w:rPr>
          <w:rFonts w:ascii="仿宋" w:hAnsi="仿宋" w:eastAsia="仿宋"/>
          <w:color w:val="auto"/>
          <w:kern w:val="0"/>
          <w:sz w:val="32"/>
          <w:szCs w:val="32"/>
          <w:shd w:val="clear" w:color="auto" w:fill="FFFFFF"/>
        </w:rPr>
        <w:t>决策、项目执行、目标实现等情况</w:t>
      </w:r>
      <w:r>
        <w:rPr>
          <w:rFonts w:hint="eastAsia" w:ascii="仿宋" w:hAnsi="仿宋" w:eastAsia="仿宋"/>
          <w:color w:val="auto"/>
          <w:kern w:val="0"/>
          <w:sz w:val="32"/>
          <w:szCs w:val="32"/>
          <w:shd w:val="clear" w:color="auto" w:fill="FFFFFF"/>
        </w:rPr>
        <w:t>。</w:t>
      </w:r>
    </w:p>
    <w:p w14:paraId="1B71A18A">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1.</w:t>
      </w:r>
      <w:r>
        <w:rPr>
          <w:rFonts w:hint="eastAsia" w:ascii="仿宋" w:hAnsi="仿宋" w:eastAsia="仿宋" w:cs="楷体_GB2312"/>
          <w:color w:val="auto"/>
          <w:kern w:val="0"/>
          <w:sz w:val="32"/>
          <w:szCs w:val="32"/>
          <w:shd w:val="clear" w:color="auto" w:fill="FFFFFF"/>
          <w:lang w:val="zh-CN"/>
        </w:rPr>
        <w:t>项目决策。</w:t>
      </w:r>
      <w:r>
        <w:rPr>
          <w:rFonts w:hint="eastAsia" w:ascii="仿宋" w:hAnsi="仿宋" w:eastAsia="仿宋"/>
          <w:color w:val="auto"/>
          <w:kern w:val="0"/>
          <w:sz w:val="32"/>
          <w:szCs w:val="32"/>
          <w:shd w:val="clear" w:color="auto" w:fill="FFFFFF"/>
          <w:lang w:val="zh-CN"/>
        </w:rPr>
        <w:t>严格按照州县财政局要求、单位内控制度，对项目进行科学有效决策。</w:t>
      </w:r>
    </w:p>
    <w:p w14:paraId="3CADAE0E">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2.项目执行</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kern w:val="0"/>
          <w:sz w:val="32"/>
          <w:szCs w:val="32"/>
          <w:shd w:val="clear" w:color="auto" w:fill="FFFFFF"/>
          <w:lang w:val="zh-CN"/>
        </w:rPr>
        <w:t>根据相关规定，结合项目方案，严格项目资金控制，质量合格等。</w:t>
      </w:r>
    </w:p>
    <w:p w14:paraId="5AE32BCD">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3.</w:t>
      </w:r>
      <w:r>
        <w:rPr>
          <w:rFonts w:hint="eastAsia" w:ascii="仿宋" w:hAnsi="仿宋" w:eastAsia="仿宋" w:cs="楷体_GB2312"/>
          <w:color w:val="auto"/>
          <w:kern w:val="0"/>
          <w:sz w:val="32"/>
          <w:szCs w:val="32"/>
          <w:shd w:val="clear" w:color="auto" w:fill="FFFFFF"/>
          <w:lang w:val="zh-CN"/>
        </w:rPr>
        <w:t>目标实现。</w:t>
      </w:r>
      <w:r>
        <w:rPr>
          <w:rFonts w:hint="eastAsia" w:ascii="仿宋" w:hAnsi="仿宋" w:eastAsia="仿宋"/>
          <w:color w:val="auto"/>
          <w:kern w:val="0"/>
          <w:sz w:val="32"/>
          <w:szCs w:val="32"/>
          <w:shd w:val="clear" w:color="auto" w:fill="FFFFFF"/>
          <w:lang w:val="zh-CN"/>
        </w:rPr>
        <w:t>根据项目方案，实施项目时相关指标达标率达95%以上，偏离度较低。</w:t>
      </w:r>
    </w:p>
    <w:p w14:paraId="62BAF996">
      <w:pPr>
        <w:widowControl/>
        <w:adjustRightInd w:val="0"/>
        <w:snapToGrid w:val="0"/>
        <w:spacing w:line="578" w:lineRule="exact"/>
        <w:ind w:firstLine="643" w:firstLineChars="200"/>
        <w:contextualSpacing/>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）重点领域绩效分析。</w:t>
      </w:r>
      <w:r>
        <w:rPr>
          <w:rFonts w:hint="eastAsia" w:ascii="仿宋" w:hAnsi="仿宋" w:eastAsia="仿宋"/>
          <w:b/>
          <w:bCs/>
          <w:color w:val="auto"/>
          <w:kern w:val="0"/>
          <w:sz w:val="32"/>
          <w:szCs w:val="32"/>
          <w:shd w:val="clear" w:color="auto" w:fill="FFFFFF"/>
          <w:lang w:val="zh-CN"/>
        </w:rPr>
        <w:t>无</w:t>
      </w:r>
    </w:p>
    <w:p w14:paraId="44EABC6C">
      <w:pPr>
        <w:widowControl/>
        <w:adjustRightInd w:val="0"/>
        <w:snapToGrid w:val="0"/>
        <w:spacing w:line="578" w:lineRule="exact"/>
        <w:ind w:firstLine="643" w:firstLineChars="200"/>
        <w:contextualSpacing/>
        <w:jc w:val="left"/>
        <w:rPr>
          <w:rFonts w:ascii="仿宋" w:hAnsi="仿宋" w:eastAsia="仿宋"/>
          <w:b/>
          <w:bCs/>
          <w:color w:val="auto"/>
          <w:sz w:val="32"/>
          <w:szCs w:val="32"/>
          <w:lang w:val="zh-CN"/>
        </w:rPr>
      </w:pPr>
      <w:r>
        <w:rPr>
          <w:rFonts w:ascii="仿宋" w:hAnsi="仿宋" w:eastAsia="仿宋"/>
          <w:b/>
          <w:bCs/>
          <w:color w:val="auto"/>
          <w:sz w:val="32"/>
          <w:szCs w:val="32"/>
          <w:lang w:val="zh-CN"/>
        </w:rPr>
        <w:t>（四）绩效结果应用情况</w:t>
      </w:r>
      <w:r>
        <w:rPr>
          <w:rFonts w:hint="eastAsia" w:ascii="仿宋" w:hAnsi="仿宋" w:eastAsia="仿宋"/>
          <w:b/>
          <w:bCs/>
          <w:color w:val="auto"/>
          <w:sz w:val="32"/>
          <w:szCs w:val="32"/>
          <w:lang w:val="zh-CN"/>
        </w:rPr>
        <w:t>。</w:t>
      </w:r>
    </w:p>
    <w:p w14:paraId="4707F3B8">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1.政府采购方面：202</w:t>
      </w:r>
      <w:r>
        <w:rPr>
          <w:rFonts w:hint="eastAsia" w:ascii="仿宋" w:hAnsi="仿宋" w:eastAsia="仿宋"/>
          <w:color w:val="auto"/>
          <w:kern w:val="0"/>
          <w:sz w:val="32"/>
          <w:szCs w:val="32"/>
          <w:shd w:val="clear" w:color="auto" w:fill="FFFFFF"/>
          <w:lang w:val="en-US" w:eastAsia="zh-CN"/>
        </w:rPr>
        <w:t>5</w:t>
      </w:r>
      <w:r>
        <w:rPr>
          <w:rFonts w:hint="eastAsia" w:ascii="仿宋" w:hAnsi="仿宋" w:eastAsia="仿宋"/>
          <w:color w:val="auto"/>
          <w:kern w:val="0"/>
          <w:sz w:val="32"/>
          <w:szCs w:val="32"/>
          <w:shd w:val="clear" w:color="auto" w:fill="FFFFFF"/>
        </w:rPr>
        <w:t>年我单位有政府采购，严格按固定资产管理办法进行登记入账。</w:t>
      </w:r>
    </w:p>
    <w:p w14:paraId="59D5D8AC">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2.内控制度方面:为进一步做好行政事业单位内部控制基础性工作，贯彻执行县财政局《关于开展行政事业单位内部控制报告编报工作的通知》和相关文件要求，结合我单位实际，特制订以下制度草案：《阿坝州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生态环境局预算管理制度》、《阿坝州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生态环境局财务收支管理制度》、《阿坝州金川生态环境局采购及管理制度》、《阿坝州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生态环境局资产管理制度》《阿坝州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生态环境局差旅费报销制度》等。</w:t>
      </w:r>
    </w:p>
    <w:p w14:paraId="50B1C4AE">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3.信息公开方面：预算决算公开按财政局的要求在收到财政批复后20个工作日在</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县政府中心的信息网站进行公开。</w:t>
      </w:r>
    </w:p>
    <w:p w14:paraId="14BA0153">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4.绩效评价及财政监督情况:按财政局文件的部门支出绩效评价指标体系进行单位自评，按财政要求收支并接受财政的监督管理。</w:t>
      </w:r>
    </w:p>
    <w:p w14:paraId="3A61400C">
      <w:pPr>
        <w:widowControl/>
        <w:adjustRightInd w:val="0"/>
        <w:snapToGrid w:val="0"/>
        <w:spacing w:line="578" w:lineRule="exact"/>
        <w:ind w:firstLine="640" w:firstLineChars="200"/>
        <w:contextualSpacing/>
        <w:jc w:val="left"/>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四、评价结论及建议</w:t>
      </w:r>
    </w:p>
    <w:p w14:paraId="146BB2C5">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（一）评价结论。</w:t>
      </w:r>
    </w:p>
    <w:p w14:paraId="37A958B2">
      <w:pPr>
        <w:widowControl/>
        <w:adjustRightInd w:val="0"/>
        <w:snapToGrid w:val="0"/>
        <w:spacing w:line="600" w:lineRule="exact"/>
        <w:ind w:firstLine="640" w:firstLineChars="200"/>
        <w:jc w:val="left"/>
        <w:rPr>
          <w:rFonts w:ascii="仿宋" w:hAnsi="仿宋" w:eastAsia="仿宋" w:cs="仿宋_GB2312"/>
          <w:color w:val="auto"/>
          <w:sz w:val="32"/>
          <w:szCs w:val="32"/>
        </w:rPr>
      </w:pPr>
      <w:r>
        <w:rPr>
          <w:rFonts w:hint="eastAsia" w:ascii="仿宋" w:hAnsi="仿宋" w:eastAsia="仿宋" w:cs="仿宋_GB2312"/>
          <w:color w:val="auto"/>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14:paraId="4D665C7C">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（二）存在问题。</w:t>
      </w:r>
    </w:p>
    <w:p w14:paraId="26F3A7DA">
      <w:pPr>
        <w:widowControl/>
        <w:adjustRightInd w:val="0"/>
        <w:snapToGrid w:val="0"/>
        <w:spacing w:line="600" w:lineRule="exact"/>
        <w:ind w:firstLine="640" w:firstLineChars="200"/>
        <w:jc w:val="left"/>
        <w:rPr>
          <w:rFonts w:ascii="仿宋" w:hAnsi="仿宋" w:eastAsia="仿宋" w:cs="仿宋_GB2312"/>
          <w:color w:val="auto"/>
          <w:sz w:val="32"/>
          <w:szCs w:val="32"/>
        </w:rPr>
      </w:pPr>
      <w:r>
        <w:rPr>
          <w:rFonts w:hint="eastAsia" w:ascii="仿宋" w:hAnsi="仿宋" w:eastAsia="仿宋" w:cs="仿宋_GB2312"/>
          <w:color w:val="auto"/>
          <w:sz w:val="32"/>
          <w:szCs w:val="32"/>
        </w:rPr>
        <w:t>我单位有人员增减不定，存在预算不精准，调整追加（减）预算情况;</w:t>
      </w:r>
    </w:p>
    <w:p w14:paraId="09B4D234">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（三）改进建议。</w:t>
      </w:r>
    </w:p>
    <w:p w14:paraId="0E7CE5FA">
      <w:pPr>
        <w:widowControl/>
        <w:adjustRightInd w:val="0"/>
        <w:snapToGrid w:val="0"/>
        <w:spacing w:line="600" w:lineRule="exact"/>
        <w:ind w:firstLine="640" w:firstLineChars="200"/>
        <w:jc w:val="left"/>
        <w:rPr>
          <w:rFonts w:ascii="仿宋" w:hAnsi="仿宋" w:eastAsia="仿宋"/>
          <w:color w:val="auto"/>
          <w:sz w:val="32"/>
          <w:szCs w:val="32"/>
        </w:rPr>
      </w:pPr>
      <w:r>
        <w:rPr>
          <w:rFonts w:hint="eastAsia" w:ascii="仿宋" w:hAnsi="仿宋" w:eastAsia="仿宋" w:cs="仿宋_GB2312"/>
          <w:color w:val="auto"/>
          <w:sz w:val="32"/>
          <w:szCs w:val="32"/>
        </w:rPr>
        <w:t>我单位将进一步重视预算的编制工作，提高预算编制的精确度，提高财政资金使用效率，尽量减少预算执行调整、结余追减的情形；加快完成财务管理规章制度建设、加强会计核算和财务管理能力，及时与县财政局相关科室对接工作，提升工作效率。</w:t>
      </w:r>
    </w:p>
    <w:p w14:paraId="2460F0E1">
      <w:pPr>
        <w:pStyle w:val="3"/>
        <w:jc w:val="center"/>
        <w:rPr>
          <w:rFonts w:hint="eastAsia" w:ascii="黑体" w:hAnsi="黑体" w:eastAsia="黑体" w:cs="黑体"/>
          <w:color w:val="auto"/>
        </w:rPr>
      </w:pPr>
    </w:p>
    <w:p w14:paraId="36784871">
      <w:pPr>
        <w:rPr>
          <w:rFonts w:hint="eastAsia" w:ascii="黑体" w:hAnsi="黑体" w:eastAsia="黑体" w:cs="黑体"/>
          <w:color w:val="auto"/>
        </w:rPr>
      </w:pPr>
    </w:p>
    <w:p w14:paraId="36FA0F0D">
      <w:pPr>
        <w:pStyle w:val="2"/>
        <w:rPr>
          <w:rFonts w:hint="eastAsia" w:ascii="黑体" w:hAnsi="黑体" w:eastAsia="黑体" w:cs="黑体"/>
          <w:color w:val="auto"/>
        </w:rPr>
      </w:pPr>
    </w:p>
    <w:p w14:paraId="3EA144BA">
      <w:pPr>
        <w:pStyle w:val="2"/>
        <w:rPr>
          <w:rFonts w:hint="eastAsia" w:ascii="黑体" w:hAnsi="黑体" w:eastAsia="黑体" w:cs="黑体"/>
          <w:color w:val="auto"/>
        </w:rPr>
      </w:pPr>
    </w:p>
    <w:p w14:paraId="5105D769">
      <w:pPr>
        <w:pStyle w:val="2"/>
        <w:rPr>
          <w:rFonts w:hint="eastAsia" w:ascii="黑体" w:hAnsi="黑体" w:eastAsia="黑体" w:cs="黑体"/>
          <w:color w:val="auto"/>
        </w:rPr>
      </w:pPr>
    </w:p>
    <w:p w14:paraId="7919A111">
      <w:pPr>
        <w:pStyle w:val="2"/>
        <w:rPr>
          <w:rFonts w:hint="eastAsia" w:ascii="黑体" w:hAnsi="黑体" w:eastAsia="黑体" w:cs="黑体"/>
          <w:color w:val="auto"/>
        </w:rPr>
      </w:pPr>
    </w:p>
    <w:p w14:paraId="4F627318">
      <w:pPr>
        <w:pStyle w:val="2"/>
        <w:rPr>
          <w:rFonts w:hint="eastAsia" w:ascii="黑体" w:hAnsi="黑体" w:eastAsia="黑体" w:cs="黑体"/>
          <w:color w:val="auto"/>
        </w:rPr>
      </w:pPr>
    </w:p>
    <w:p w14:paraId="01E61C35">
      <w:pPr>
        <w:pStyle w:val="2"/>
        <w:rPr>
          <w:rFonts w:hint="eastAsia" w:ascii="黑体" w:hAnsi="黑体" w:eastAsia="黑体" w:cs="黑体"/>
          <w:color w:val="auto"/>
        </w:rPr>
      </w:pPr>
    </w:p>
    <w:p w14:paraId="592607EB">
      <w:pPr>
        <w:pStyle w:val="2"/>
        <w:rPr>
          <w:rFonts w:hint="eastAsia" w:ascii="黑体" w:hAnsi="黑体" w:eastAsia="黑体" w:cs="黑体"/>
          <w:color w:val="auto"/>
        </w:rPr>
      </w:pPr>
    </w:p>
    <w:p w14:paraId="17BF1FD4">
      <w:pPr>
        <w:pStyle w:val="2"/>
        <w:rPr>
          <w:rFonts w:hint="eastAsia" w:ascii="黑体" w:hAnsi="黑体" w:eastAsia="黑体" w:cs="黑体"/>
          <w:color w:val="auto"/>
        </w:rPr>
      </w:pPr>
    </w:p>
    <w:p w14:paraId="56F08446">
      <w:pPr>
        <w:pStyle w:val="2"/>
        <w:rPr>
          <w:rFonts w:hint="eastAsia" w:ascii="黑体" w:hAnsi="黑体" w:eastAsia="黑体" w:cs="黑体"/>
          <w:color w:val="auto"/>
        </w:rPr>
      </w:pPr>
    </w:p>
    <w:p w14:paraId="245E6B3B">
      <w:pPr>
        <w:pStyle w:val="2"/>
        <w:rPr>
          <w:rFonts w:hint="eastAsia" w:ascii="黑体" w:hAnsi="黑体" w:eastAsia="黑体" w:cs="黑体"/>
          <w:color w:val="auto"/>
        </w:rPr>
      </w:pPr>
    </w:p>
    <w:p w14:paraId="22170F42">
      <w:pPr>
        <w:pStyle w:val="2"/>
        <w:rPr>
          <w:rFonts w:hint="eastAsia" w:ascii="黑体" w:hAnsi="黑体" w:eastAsia="黑体" w:cs="黑体"/>
          <w:color w:val="auto"/>
        </w:rPr>
      </w:pPr>
    </w:p>
    <w:p w14:paraId="1D30932E">
      <w:pPr>
        <w:pStyle w:val="2"/>
        <w:rPr>
          <w:rFonts w:hint="eastAsia" w:ascii="黑体" w:hAnsi="黑体" w:eastAsia="黑体" w:cs="黑体"/>
          <w:color w:val="auto"/>
        </w:rPr>
      </w:pPr>
    </w:p>
    <w:p w14:paraId="2B9D84BD">
      <w:pPr>
        <w:pStyle w:val="2"/>
        <w:rPr>
          <w:rFonts w:hint="eastAsia" w:ascii="黑体" w:hAnsi="黑体" w:eastAsia="黑体" w:cs="黑体"/>
          <w:color w:val="auto"/>
        </w:rPr>
      </w:pPr>
    </w:p>
    <w:p w14:paraId="52D88068">
      <w:pPr>
        <w:pStyle w:val="2"/>
        <w:rPr>
          <w:rFonts w:hint="eastAsia" w:ascii="黑体" w:hAnsi="黑体" w:eastAsia="黑体" w:cs="黑体"/>
          <w:color w:val="auto"/>
        </w:rPr>
      </w:pPr>
    </w:p>
    <w:p w14:paraId="594C992A">
      <w:pPr>
        <w:pStyle w:val="2"/>
        <w:rPr>
          <w:rFonts w:hint="eastAsia" w:ascii="黑体" w:hAnsi="黑体" w:eastAsia="黑体" w:cs="黑体"/>
          <w:color w:val="auto"/>
        </w:rPr>
      </w:pPr>
    </w:p>
    <w:p w14:paraId="548B5DAF">
      <w:pPr>
        <w:pStyle w:val="2"/>
        <w:rPr>
          <w:rFonts w:hint="eastAsia" w:ascii="黑体" w:hAnsi="黑体" w:eastAsia="黑体" w:cs="黑体"/>
          <w:color w:val="auto"/>
        </w:rPr>
      </w:pPr>
      <w:bookmarkStart w:id="69" w:name="_GoBack"/>
      <w:bookmarkEnd w:id="69"/>
    </w:p>
    <w:p w14:paraId="20577157">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F3CE4B5">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197E668">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206ECB9A">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5BB198E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4E47D35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0ED022B4">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2D03B10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397887D6">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0123B94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7EE7CE6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2DA8113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4C1401C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581347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14:paraId="29F3A9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6011640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47E670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55501F4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DF340D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2EFDE92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548F800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6E32464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6C9079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141CA8E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36B96E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354D9A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5FC268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654617A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75DEC34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07A47D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1BB7CCB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52083E0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32AEA54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B4AD5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582EF5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38A3AA4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39661C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BCF04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5B5A6E8">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4"/>
      <w:bookmarkEnd w:id="55"/>
      <w:bookmarkStart w:id="56" w:name="_Toc15396619"/>
    </w:p>
    <w:p w14:paraId="43EB469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E772B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14:paraId="39C241E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14:paraId="234693F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14:paraId="58A8316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14:paraId="22B5470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14:paraId="68D12A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14:paraId="58BB81A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14:paraId="2E5CA09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14:paraId="56F7A95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14:paraId="3D9E7EC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14:paraId="78B5E58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A01590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14:paraId="7F5BD5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14:paraId="288BF104">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FCE5A">
    <w:pPr>
      <w:pStyle w:val="11"/>
      <w:jc w:val="center"/>
    </w:pPr>
  </w:p>
  <w:p w14:paraId="00676D8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5BFBC">
    <w:pPr>
      <w:pStyle w:val="11"/>
      <w:jc w:val="center"/>
    </w:pPr>
  </w:p>
  <w:p w14:paraId="2F8FC62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3C9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50879">
    <w:pPr>
      <w:pStyle w:val="11"/>
      <w:jc w:val="center"/>
    </w:pPr>
  </w:p>
  <w:p w14:paraId="297EFCD2">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E8EE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5296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C45296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9150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FA7D1"/>
    <w:multiLevelType w:val="singleLevel"/>
    <w:tmpl w:val="8C6FA7D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AB65DB"/>
    <w:rsid w:val="02FEBE30"/>
    <w:rsid w:val="03AB5706"/>
    <w:rsid w:val="061E35DE"/>
    <w:rsid w:val="066E0107"/>
    <w:rsid w:val="074D5543"/>
    <w:rsid w:val="07996F6E"/>
    <w:rsid w:val="07DFD8BA"/>
    <w:rsid w:val="08DB07E4"/>
    <w:rsid w:val="09867E8F"/>
    <w:rsid w:val="0A2032A3"/>
    <w:rsid w:val="0B226B74"/>
    <w:rsid w:val="0C6C4794"/>
    <w:rsid w:val="0CA8290A"/>
    <w:rsid w:val="0D35B1ED"/>
    <w:rsid w:val="0D5406C6"/>
    <w:rsid w:val="0DE07E2B"/>
    <w:rsid w:val="0F98263C"/>
    <w:rsid w:val="101860EC"/>
    <w:rsid w:val="10C055FF"/>
    <w:rsid w:val="11772AA4"/>
    <w:rsid w:val="118107EC"/>
    <w:rsid w:val="13957196"/>
    <w:rsid w:val="13D50BC4"/>
    <w:rsid w:val="14022904"/>
    <w:rsid w:val="152F2A07"/>
    <w:rsid w:val="165E0673"/>
    <w:rsid w:val="16BB723D"/>
    <w:rsid w:val="16C624EA"/>
    <w:rsid w:val="16F13FCB"/>
    <w:rsid w:val="186504BB"/>
    <w:rsid w:val="1938089F"/>
    <w:rsid w:val="19A445FC"/>
    <w:rsid w:val="1B7D550C"/>
    <w:rsid w:val="1BE8440E"/>
    <w:rsid w:val="1D102CD1"/>
    <w:rsid w:val="1D155CEE"/>
    <w:rsid w:val="1DE178F3"/>
    <w:rsid w:val="1E740ACF"/>
    <w:rsid w:val="1FE46A9C"/>
    <w:rsid w:val="1FF35744"/>
    <w:rsid w:val="1FF6BC77"/>
    <w:rsid w:val="21962A9E"/>
    <w:rsid w:val="21AE7C77"/>
    <w:rsid w:val="21D20555"/>
    <w:rsid w:val="226D4721"/>
    <w:rsid w:val="22BC3C41"/>
    <w:rsid w:val="23860B96"/>
    <w:rsid w:val="240371BF"/>
    <w:rsid w:val="260F557C"/>
    <w:rsid w:val="281408E2"/>
    <w:rsid w:val="29845E2B"/>
    <w:rsid w:val="29FD04D3"/>
    <w:rsid w:val="2BFF7BC6"/>
    <w:rsid w:val="2C8A61B5"/>
    <w:rsid w:val="2D2E01CF"/>
    <w:rsid w:val="2DF04E50"/>
    <w:rsid w:val="2E9545B0"/>
    <w:rsid w:val="2EB30BC2"/>
    <w:rsid w:val="2F040D46"/>
    <w:rsid w:val="2FAE5751"/>
    <w:rsid w:val="2FB1A395"/>
    <w:rsid w:val="2FD9A7D8"/>
    <w:rsid w:val="319F7F4E"/>
    <w:rsid w:val="321B2544"/>
    <w:rsid w:val="32B038A6"/>
    <w:rsid w:val="3304709D"/>
    <w:rsid w:val="34281836"/>
    <w:rsid w:val="349D6851"/>
    <w:rsid w:val="35BA6CAF"/>
    <w:rsid w:val="35D37231"/>
    <w:rsid w:val="364D14C1"/>
    <w:rsid w:val="36AA5135"/>
    <w:rsid w:val="36BE0DA7"/>
    <w:rsid w:val="376B6AA6"/>
    <w:rsid w:val="376D39B2"/>
    <w:rsid w:val="37E16F03"/>
    <w:rsid w:val="37F53A3B"/>
    <w:rsid w:val="389B6C89"/>
    <w:rsid w:val="389D046F"/>
    <w:rsid w:val="38D469F0"/>
    <w:rsid w:val="39627CCD"/>
    <w:rsid w:val="397BAF1F"/>
    <w:rsid w:val="3A257964"/>
    <w:rsid w:val="3AB79AF3"/>
    <w:rsid w:val="3B7EF35A"/>
    <w:rsid w:val="3B9FDB6C"/>
    <w:rsid w:val="3BF5BC2F"/>
    <w:rsid w:val="3CEBA265"/>
    <w:rsid w:val="3D6A7F37"/>
    <w:rsid w:val="3D98207C"/>
    <w:rsid w:val="3D9B0D99"/>
    <w:rsid w:val="3DD671C7"/>
    <w:rsid w:val="3DEE7CF3"/>
    <w:rsid w:val="3DF02244"/>
    <w:rsid w:val="3E78745D"/>
    <w:rsid w:val="3FF4CAE0"/>
    <w:rsid w:val="3FF7B227"/>
    <w:rsid w:val="40256263"/>
    <w:rsid w:val="40E54C45"/>
    <w:rsid w:val="41313393"/>
    <w:rsid w:val="427F603F"/>
    <w:rsid w:val="43A407DF"/>
    <w:rsid w:val="44515BEA"/>
    <w:rsid w:val="44E268DA"/>
    <w:rsid w:val="453F7E5B"/>
    <w:rsid w:val="486A6C7A"/>
    <w:rsid w:val="49176D9B"/>
    <w:rsid w:val="494006BD"/>
    <w:rsid w:val="49C3753A"/>
    <w:rsid w:val="4A627F82"/>
    <w:rsid w:val="4B0E749A"/>
    <w:rsid w:val="4B4F25DA"/>
    <w:rsid w:val="4BDA0CFB"/>
    <w:rsid w:val="4BE068DB"/>
    <w:rsid w:val="4D3C0CCC"/>
    <w:rsid w:val="4D577224"/>
    <w:rsid w:val="4DBF1CEB"/>
    <w:rsid w:val="4EAB630A"/>
    <w:rsid w:val="4ECE2238"/>
    <w:rsid w:val="4F833267"/>
    <w:rsid w:val="4FE9BD67"/>
    <w:rsid w:val="4FFB052F"/>
    <w:rsid w:val="52A12522"/>
    <w:rsid w:val="53083A92"/>
    <w:rsid w:val="537E6D0A"/>
    <w:rsid w:val="53AF27A2"/>
    <w:rsid w:val="53CC27A6"/>
    <w:rsid w:val="53F74C96"/>
    <w:rsid w:val="553920BD"/>
    <w:rsid w:val="56E47B74"/>
    <w:rsid w:val="57BD3DD4"/>
    <w:rsid w:val="5AF92295"/>
    <w:rsid w:val="5B305D11"/>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0C7949"/>
    <w:rsid w:val="6A7C1F1D"/>
    <w:rsid w:val="6A993CED"/>
    <w:rsid w:val="6B053271"/>
    <w:rsid w:val="6BCE6674"/>
    <w:rsid w:val="6C4A05C8"/>
    <w:rsid w:val="6C8742B8"/>
    <w:rsid w:val="6C8A170F"/>
    <w:rsid w:val="6CB54609"/>
    <w:rsid w:val="6D276982"/>
    <w:rsid w:val="6D4F6381"/>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8922C2"/>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pPr>
      <w:spacing w:after="120"/>
      <w:textAlignment w:val="baseline"/>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7911</Words>
  <Characters>8394</Characters>
  <Lines>61</Lines>
  <Paragraphs>17</Paragraphs>
  <TotalTime>0</TotalTime>
  <ScaleCrop>false</ScaleCrop>
  <LinksUpToDate>false</LinksUpToDate>
  <CharactersWithSpaces>8421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远方</cp:lastModifiedBy>
  <cp:lastPrinted>2026-08-03T09:27:00Z</cp:lastPrinted>
  <dcterms:modified xsi:type="dcterms:W3CDTF">2026-09-08T02:31:26Z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9954AD5FE9A74DE288C8ED7448B37905_13</vt:lpwstr>
  </property>
  <property fmtid="{D5CDD505-2E9C-101B-9397-08002B2CF9AE}" pid="4" name="KSOTemplateDocerSaveRecord">
    <vt:lpwstr>eyJoZGlkIjoiOTQ2ZjFkZWEyZTZjNDFlMTQwZWZkNWNlMTRmMDEyOTMiLCJ1c2VySWQiOiIyNzgzMDY0ODYifQ==</vt:lpwstr>
  </property>
</Properties>
</file>