
<file path=[Content_Types].xml><?xml version="1.0" encoding="utf-8"?>
<Types xmlns="http://schemas.openxmlformats.org/package/2006/content-types">
  <Default Extension="xml" ContentType="application/xml"/>
  <Default Extension="xlsx" ContentType="application/vnd.openxmlformats-officedocument.spreadsheetml.sheet"/>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E4BEDB">
      <w:pPr>
        <w:spacing w:line="600" w:lineRule="exact"/>
        <w:jc w:val="left"/>
        <w:outlineLvl w:val="9"/>
        <w:rPr>
          <w:rFonts w:ascii="方正小标宋简体" w:hAnsi="宋体" w:eastAsia="方正小标宋简体"/>
          <w:szCs w:val="21"/>
        </w:rPr>
      </w:pPr>
      <w:bookmarkStart w:id="0" w:name="_Toc15306267"/>
    </w:p>
    <w:p w14:paraId="1687121F">
      <w:pPr>
        <w:pStyle w:val="7"/>
        <w:spacing w:before="93"/>
      </w:pPr>
    </w:p>
    <w:p w14:paraId="0C6E337A">
      <w:pPr>
        <w:spacing w:line="600" w:lineRule="exact"/>
        <w:jc w:val="center"/>
        <w:outlineLvl w:val="9"/>
        <w:rPr>
          <w:rFonts w:ascii="方正小标宋简体" w:hAnsi="宋体" w:eastAsia="方正小标宋简体"/>
          <w:sz w:val="72"/>
          <w:szCs w:val="72"/>
        </w:rPr>
      </w:pPr>
    </w:p>
    <w:p w14:paraId="65B21A77">
      <w:pPr>
        <w:spacing w:line="600" w:lineRule="exact"/>
        <w:jc w:val="center"/>
        <w:outlineLvl w:val="9"/>
        <w:rPr>
          <w:rFonts w:ascii="方正小标宋简体" w:hAnsi="宋体" w:eastAsia="方正小标宋简体"/>
          <w:sz w:val="72"/>
          <w:szCs w:val="72"/>
        </w:rPr>
      </w:pPr>
    </w:p>
    <w:p w14:paraId="0DD9AD3E">
      <w:pPr>
        <w:adjustRightInd w:val="0"/>
        <w:snapToGrid w:val="0"/>
        <w:spacing w:line="360" w:lineRule="auto"/>
        <w:jc w:val="center"/>
        <w:outlineLvl w:val="0"/>
        <w:rPr>
          <w:rFonts w:hint="eastAsia" w:ascii="Times New Roman" w:hAnsi="Times New Roman" w:eastAsia="方正小标宋简体" w:cs="Times New Roman"/>
          <w:color w:val="auto"/>
          <w:kern w:val="2"/>
          <w:sz w:val="44"/>
          <w:szCs w:val="44"/>
          <w:highlight w:val="none"/>
          <w:lang w:val="en-US" w:eastAsia="zh-CN" w:bidi="ar-SA"/>
        </w:rPr>
      </w:pPr>
      <w:bookmarkStart w:id="1" w:name="_Toc15396475"/>
      <w:bookmarkStart w:id="2" w:name="_Toc15377193"/>
      <w:bookmarkStart w:id="3" w:name="_Toc15396597"/>
      <w:bookmarkStart w:id="4" w:name="_Toc17010"/>
      <w:bookmarkStart w:id="5" w:name="_Toc15377425"/>
      <w:bookmarkStart w:id="6" w:name="_Toc11596"/>
      <w:bookmarkStart w:id="7" w:name="_Toc15378441"/>
      <w:r>
        <w:rPr>
          <w:rFonts w:hint="eastAsia" w:ascii="Times New Roman" w:hAnsi="Times New Roman" w:eastAsia="方正小标宋简体" w:cs="Times New Roman"/>
          <w:color w:val="auto"/>
          <w:kern w:val="2"/>
          <w:sz w:val="44"/>
          <w:szCs w:val="44"/>
          <w:highlight w:val="none"/>
          <w:lang w:val="en-US" w:eastAsia="zh-CN" w:bidi="ar-SA"/>
        </w:rPr>
        <w:t>2025年度</w:t>
      </w:r>
      <w:bookmarkEnd w:id="0"/>
      <w:bookmarkEnd w:id="1"/>
      <w:bookmarkEnd w:id="2"/>
      <w:bookmarkEnd w:id="3"/>
      <w:bookmarkEnd w:id="4"/>
      <w:bookmarkEnd w:id="5"/>
      <w:bookmarkEnd w:id="6"/>
      <w:bookmarkEnd w:id="7"/>
      <w:bookmarkStart w:id="8" w:name="_Toc15378442"/>
      <w:bookmarkStart w:id="9" w:name="_Toc22714"/>
      <w:bookmarkStart w:id="10" w:name="_Toc15396476"/>
      <w:bookmarkStart w:id="11" w:name="_Toc220"/>
      <w:bookmarkStart w:id="12" w:name="_Toc15377194"/>
      <w:bookmarkStart w:id="13" w:name="_Toc15396598"/>
      <w:bookmarkStart w:id="14" w:name="_Toc15377426"/>
      <w:bookmarkStart w:id="15" w:name="_Toc15306268"/>
      <w:r>
        <w:rPr>
          <w:rFonts w:hint="eastAsia" w:eastAsia="方正小标宋简体" w:cs="Times New Roman"/>
          <w:color w:val="auto"/>
          <w:kern w:val="2"/>
          <w:sz w:val="44"/>
          <w:szCs w:val="44"/>
          <w:highlight w:val="none"/>
          <w:lang w:val="en-US" w:eastAsia="zh-CN" w:bidi="ar-SA"/>
        </w:rPr>
        <w:t>阿坝州生态环境局</w:t>
      </w:r>
    </w:p>
    <w:p w14:paraId="7DB83D46">
      <w:pPr>
        <w:adjustRightInd w:val="0"/>
        <w:snapToGrid w:val="0"/>
        <w:spacing w:line="360" w:lineRule="auto"/>
        <w:jc w:val="center"/>
        <w:outlineLvl w:val="0"/>
        <w:rPr>
          <w:rFonts w:hint="default" w:ascii="Times New Roman" w:hAnsi="Times New Roman" w:eastAsia="方正小标宋简体" w:cs="Times New Roman"/>
          <w:color w:val="auto"/>
          <w:kern w:val="2"/>
          <w:sz w:val="44"/>
          <w:szCs w:val="44"/>
          <w:highlight w:val="none"/>
          <w:lang w:val="en-US" w:eastAsia="zh-CN" w:bidi="ar-SA"/>
        </w:rPr>
      </w:pPr>
      <w:r>
        <w:rPr>
          <w:rFonts w:hint="eastAsia" w:eastAsia="方正小标宋简体" w:cs="Times New Roman"/>
          <w:color w:val="auto"/>
          <w:kern w:val="2"/>
          <w:sz w:val="44"/>
          <w:szCs w:val="44"/>
          <w:highlight w:val="none"/>
          <w:lang w:val="en-US" w:eastAsia="zh-CN" w:bidi="ar-SA"/>
        </w:rPr>
        <w:t>部门</w:t>
      </w:r>
      <w:r>
        <w:rPr>
          <w:rFonts w:hint="eastAsia" w:ascii="Times New Roman" w:hAnsi="Times New Roman" w:eastAsia="方正小标宋简体" w:cs="Times New Roman"/>
          <w:color w:val="auto"/>
          <w:kern w:val="2"/>
          <w:sz w:val="44"/>
          <w:szCs w:val="44"/>
          <w:highlight w:val="none"/>
          <w:lang w:val="en-US" w:eastAsia="zh-CN" w:bidi="ar-SA"/>
        </w:rPr>
        <w:t>决算</w:t>
      </w:r>
      <w:bookmarkEnd w:id="8"/>
      <w:bookmarkEnd w:id="9"/>
      <w:bookmarkEnd w:id="10"/>
      <w:bookmarkEnd w:id="11"/>
      <w:bookmarkEnd w:id="12"/>
      <w:bookmarkEnd w:id="13"/>
      <w:bookmarkEnd w:id="14"/>
      <w:bookmarkEnd w:id="15"/>
      <w:r>
        <w:rPr>
          <w:rFonts w:hint="eastAsia" w:ascii="Times New Roman" w:hAnsi="Times New Roman" w:eastAsia="方正小标宋简体" w:cs="Times New Roman"/>
          <w:color w:val="auto"/>
          <w:kern w:val="2"/>
          <w:sz w:val="44"/>
          <w:szCs w:val="44"/>
          <w:highlight w:val="none"/>
          <w:lang w:val="en-US" w:eastAsia="zh-CN" w:bidi="ar-SA"/>
        </w:rPr>
        <w:t>公开</w:t>
      </w:r>
    </w:p>
    <w:p w14:paraId="54F301BD">
      <w:pPr>
        <w:widowControl/>
        <w:jc w:val="center"/>
        <w:rPr>
          <w:rFonts w:hint="eastAsia" w:ascii="Times New Roman" w:hAnsi="Times New Roman" w:eastAsia="黑体" w:cs="Times New Roman"/>
          <w:color w:val="auto"/>
          <w:sz w:val="48"/>
          <w:szCs w:val="48"/>
          <w:highlight w:val="none"/>
        </w:rPr>
      </w:pPr>
      <w:r>
        <w:rPr>
          <w:rFonts w:ascii="方正小标宋简体" w:hAnsi="宋体" w:eastAsia="方正小标宋简体"/>
          <w:sz w:val="36"/>
          <w:szCs w:val="36"/>
        </w:rPr>
        <w:br w:type="page"/>
      </w:r>
      <w:r>
        <w:rPr>
          <w:rFonts w:hint="eastAsia" w:ascii="Times New Roman" w:hAnsi="Times New Roman" w:eastAsia="黑体" w:cs="Times New Roman"/>
          <w:color w:val="auto"/>
          <w:sz w:val="48"/>
          <w:szCs w:val="48"/>
          <w:highlight w:val="none"/>
        </w:rPr>
        <w:t>目录</w:t>
      </w:r>
    </w:p>
    <w:p w14:paraId="52825DEC">
      <w:pPr>
        <w:widowControl/>
        <w:jc w:val="center"/>
        <w:rPr>
          <w:rFonts w:ascii="黑体" w:hAnsi="黑体" w:eastAsia="黑体" w:cstheme="minorBidi"/>
          <w:sz w:val="28"/>
          <w:szCs w:val="28"/>
        </w:rPr>
      </w:pPr>
    </w:p>
    <w:p w14:paraId="4098951F">
      <w:pPr>
        <w:pStyle w:val="15"/>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公开时间：2026年9月18日</w:t>
      </w:r>
    </w:p>
    <w:sdt>
      <w:sdtPr>
        <w:rPr>
          <w:rFonts w:ascii="宋体" w:hAnsi="宋体" w:eastAsia="宋体" w:cs="Times New Roman"/>
          <w:kern w:val="2"/>
          <w:sz w:val="21"/>
          <w:szCs w:val="24"/>
          <w:lang w:val="en-US" w:eastAsia="zh-CN" w:bidi="ar-SA"/>
        </w:rPr>
        <w:id w:val="147480824"/>
        <w15:color w:val="DBDBDB"/>
        <w:docPartObj>
          <w:docPartGallery w:val="Table of Contents"/>
          <w:docPartUnique/>
        </w:docPartObj>
      </w:sdtPr>
      <w:sdtEndPr>
        <w:rPr>
          <w:rFonts w:ascii="宋体" w:hAnsi="宋体" w:eastAsia="宋体" w:cs="Times New Roman"/>
          <w:b/>
          <w:kern w:val="2"/>
          <w:sz w:val="21"/>
          <w:szCs w:val="24"/>
          <w:lang w:val="en-US" w:eastAsia="zh-CN" w:bidi="ar-SA"/>
        </w:rPr>
      </w:sdtEndPr>
      <w:sdtContent>
        <w:p w14:paraId="2E8322AD">
          <w:pPr>
            <w:keepNext w:val="0"/>
            <w:keepLines w:val="0"/>
            <w:pageBreakBefore w:val="0"/>
            <w:kinsoku/>
            <w:wordWrap/>
            <w:overflowPunct/>
            <w:topLinePunct w:val="0"/>
            <w:autoSpaceDE/>
            <w:autoSpaceDN/>
            <w:bidi w:val="0"/>
            <w:adjustRightInd/>
            <w:snapToGrid/>
            <w:spacing w:line="560" w:lineRule="exact"/>
            <w:textAlignment w:val="auto"/>
            <w:rPr>
              <w:rFonts w:hint="eastAsia" w:ascii="宋体" w:hAnsi="宋体" w:eastAsia="宋体" w:cs="宋体"/>
              <w:b/>
              <w:kern w:val="2"/>
              <w:sz w:val="24"/>
              <w:szCs w:val="24"/>
              <w:lang w:val="en-US" w:eastAsia="zh-CN" w:bidi="ar-SA"/>
            </w:rPr>
          </w:pPr>
          <w:bookmarkStart w:id="16" w:name="_Toc15377196"/>
          <w:bookmarkStart w:id="17" w:name="_Toc15396599"/>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TOC \o "1-2" \h \u </w:instrText>
          </w:r>
          <w:r>
            <w:rPr>
              <w:rFonts w:hint="eastAsia" w:ascii="宋体" w:hAnsi="宋体" w:eastAsia="宋体" w:cs="宋体"/>
              <w:sz w:val="24"/>
              <w:szCs w:val="24"/>
            </w:rPr>
            <w:fldChar w:fldCharType="separate"/>
          </w:r>
        </w:p>
        <w:p w14:paraId="5C0AD8F9">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440" w:lineRule="exac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HYPERLINK \l _Toc19929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 xml:space="preserve">第一部分 </w:t>
          </w:r>
          <w:r>
            <w:rPr>
              <w:rFonts w:hint="eastAsia" w:ascii="Times New Roman" w:hAnsi="Times New Roman" w:eastAsia="黑体" w:cs="黑体"/>
              <w:color w:val="auto"/>
              <w:sz w:val="32"/>
              <w:szCs w:val="32"/>
              <w:highlight w:val="none"/>
              <w:lang w:val="en-US" w:eastAsia="zh-CN"/>
            </w:rPr>
            <w:t>部门</w:t>
          </w:r>
          <w:r>
            <w:rPr>
              <w:rFonts w:hint="eastAsia" w:ascii="Times New Roman" w:hAnsi="Times New Roman" w:eastAsia="黑体" w:cs="黑体"/>
              <w:color w:val="auto"/>
              <w:sz w:val="32"/>
              <w:szCs w:val="32"/>
              <w:highlight w:val="none"/>
            </w:rPr>
            <w:t>概况</w:t>
          </w:r>
          <w:r>
            <w:rPr>
              <w:rFonts w:hint="eastAsia" w:ascii="Times New Roman" w:hAnsi="Times New Roman" w:eastAsia="黑体" w:cs="黑体"/>
              <w:color w:val="auto"/>
              <w:sz w:val="32"/>
              <w:szCs w:val="32"/>
              <w:highlight w:val="none"/>
            </w:rPr>
            <w:tab/>
          </w: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PAGEREF _Toc19929 \h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1</w:t>
          </w:r>
          <w:r>
            <w:rPr>
              <w:rFonts w:hint="eastAsia" w:ascii="Times New Roman" w:hAnsi="Times New Roman" w:eastAsia="黑体" w:cs="黑体"/>
              <w:color w:val="auto"/>
              <w:sz w:val="32"/>
              <w:szCs w:val="32"/>
              <w:highlight w:val="none"/>
            </w:rPr>
            <w:fldChar w:fldCharType="end"/>
          </w:r>
          <w:r>
            <w:rPr>
              <w:rFonts w:hint="eastAsia" w:ascii="Times New Roman" w:hAnsi="Times New Roman" w:eastAsia="黑体" w:cs="黑体"/>
              <w:color w:val="auto"/>
              <w:sz w:val="32"/>
              <w:szCs w:val="32"/>
              <w:highlight w:val="none"/>
            </w:rPr>
            <w:fldChar w:fldCharType="end"/>
          </w:r>
        </w:p>
        <w:p w14:paraId="7A137863">
          <w:pPr>
            <w:pStyle w:val="19"/>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_Toc5669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一、主要职责</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_Toc5669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1</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14:paraId="33F20B28">
          <w:pPr>
            <w:pStyle w:val="19"/>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宋体" w:hAnsi="宋体" w:eastAsia="宋体" w:cs="宋体"/>
              <w:sz w:val="24"/>
              <w:szCs w:val="24"/>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_Toc8515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二、机构设置</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黑体" w:cs="黑体"/>
              <w:color w:val="auto"/>
              <w:kern w:val="2"/>
              <w:sz w:val="32"/>
              <w:szCs w:val="32"/>
              <w:highlight w:val="none"/>
              <w:lang w:val="en-US" w:eastAsia="zh-CN" w:bidi="ar-SA"/>
            </w:rPr>
            <w:fldChar w:fldCharType="begin"/>
          </w:r>
          <w:r>
            <w:rPr>
              <w:rFonts w:hint="eastAsia" w:ascii="Times New Roman" w:hAnsi="Times New Roman" w:eastAsia="黑体" w:cs="黑体"/>
              <w:color w:val="auto"/>
              <w:kern w:val="2"/>
              <w:sz w:val="32"/>
              <w:szCs w:val="32"/>
              <w:highlight w:val="none"/>
              <w:lang w:val="en-US" w:eastAsia="zh-CN" w:bidi="ar-SA"/>
            </w:rPr>
            <w:instrText xml:space="preserve"> PAGEREF _Toc8515 \h </w:instrText>
          </w:r>
          <w:r>
            <w:rPr>
              <w:rFonts w:hint="eastAsia" w:ascii="Times New Roman" w:hAnsi="Times New Roman" w:eastAsia="黑体" w:cs="黑体"/>
              <w:color w:val="auto"/>
              <w:kern w:val="2"/>
              <w:sz w:val="32"/>
              <w:szCs w:val="32"/>
              <w:highlight w:val="none"/>
              <w:lang w:val="en-US" w:eastAsia="zh-CN" w:bidi="ar-SA"/>
            </w:rPr>
            <w:fldChar w:fldCharType="separate"/>
          </w:r>
          <w:r>
            <w:rPr>
              <w:rFonts w:hint="eastAsia" w:ascii="Times New Roman" w:hAnsi="Times New Roman" w:eastAsia="黑体" w:cs="黑体"/>
              <w:color w:val="auto"/>
              <w:kern w:val="2"/>
              <w:sz w:val="32"/>
              <w:szCs w:val="32"/>
              <w:highlight w:val="none"/>
              <w:lang w:val="en-US" w:eastAsia="zh-CN" w:bidi="ar-SA"/>
            </w:rPr>
            <w:t>9</w:t>
          </w:r>
          <w:r>
            <w:rPr>
              <w:rFonts w:hint="eastAsia" w:ascii="Times New Roman" w:hAnsi="Times New Roman" w:eastAsia="黑体" w:cs="黑体"/>
              <w:color w:val="auto"/>
              <w:kern w:val="2"/>
              <w:sz w:val="32"/>
              <w:szCs w:val="32"/>
              <w:highlight w:val="none"/>
              <w:lang w:val="en-US" w:eastAsia="zh-CN" w:bidi="ar-SA"/>
            </w:rPr>
            <w:fldChar w:fldCharType="end"/>
          </w:r>
          <w:r>
            <w:rPr>
              <w:rFonts w:hint="eastAsia" w:ascii="Times New Roman" w:hAnsi="Times New Roman" w:eastAsia="仿宋_GB2312" w:cs="仿宋_GB2312"/>
              <w:color w:val="auto"/>
              <w:sz w:val="32"/>
              <w:szCs w:val="32"/>
              <w:highlight w:val="none"/>
              <w:lang w:eastAsia="zh-CN"/>
            </w:rPr>
            <w:fldChar w:fldCharType="end"/>
          </w:r>
        </w:p>
        <w:p w14:paraId="3B6BF9F1">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440" w:lineRule="exac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HYPERLINK \l _Toc31038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 xml:space="preserve">第二部分 </w:t>
          </w:r>
          <w:r>
            <w:rPr>
              <w:rFonts w:hint="eastAsia" w:ascii="Times New Roman" w:hAnsi="Times New Roman" w:eastAsia="黑体" w:cs="黑体"/>
              <w:color w:val="auto"/>
              <w:sz w:val="32"/>
              <w:szCs w:val="32"/>
              <w:highlight w:val="none"/>
              <w:lang w:eastAsia="zh-CN"/>
            </w:rPr>
            <w:t>2025</w:t>
          </w:r>
          <w:r>
            <w:rPr>
              <w:rFonts w:hint="eastAsia" w:ascii="Times New Roman" w:hAnsi="Times New Roman" w:eastAsia="黑体" w:cs="黑体"/>
              <w:color w:val="auto"/>
              <w:sz w:val="32"/>
              <w:szCs w:val="32"/>
              <w:highlight w:val="none"/>
            </w:rPr>
            <w:t>年度单位决算情况说明</w:t>
          </w:r>
          <w:r>
            <w:rPr>
              <w:rFonts w:hint="eastAsia" w:ascii="Times New Roman" w:hAnsi="Times New Roman" w:eastAsia="黑体" w:cs="黑体"/>
              <w:color w:val="auto"/>
              <w:sz w:val="32"/>
              <w:szCs w:val="32"/>
              <w:highlight w:val="none"/>
            </w:rPr>
            <w:tab/>
          </w: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PAGEREF _Toc31038 \h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11</w:t>
          </w:r>
          <w:r>
            <w:rPr>
              <w:rFonts w:hint="eastAsia" w:ascii="Times New Roman" w:hAnsi="Times New Roman" w:eastAsia="黑体" w:cs="黑体"/>
              <w:color w:val="auto"/>
              <w:sz w:val="32"/>
              <w:szCs w:val="32"/>
              <w:highlight w:val="none"/>
            </w:rPr>
            <w:fldChar w:fldCharType="end"/>
          </w:r>
          <w:r>
            <w:rPr>
              <w:rFonts w:hint="eastAsia" w:ascii="Times New Roman" w:hAnsi="Times New Roman" w:eastAsia="黑体" w:cs="黑体"/>
              <w:color w:val="auto"/>
              <w:sz w:val="32"/>
              <w:szCs w:val="32"/>
              <w:highlight w:val="none"/>
            </w:rPr>
            <w:fldChar w:fldCharType="end"/>
          </w:r>
        </w:p>
        <w:p w14:paraId="06A6FC11">
          <w:pPr>
            <w:pStyle w:val="19"/>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_Toc30007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一、收入支出决算总体情况说明</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_Toc30007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11</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14:paraId="0B672297">
          <w:pPr>
            <w:pStyle w:val="19"/>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_Toc31673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二、收入决算情况说明</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_Toc31673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11</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14:paraId="6EB67015">
          <w:pPr>
            <w:pStyle w:val="19"/>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_Toc9118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三、支出决算情况说明</w:t>
          </w:r>
          <w:bookmarkStart w:id="116" w:name="_GoBack"/>
          <w:bookmarkEnd w:id="116"/>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_Toc9118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12</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14:paraId="4ED1A66D">
          <w:pPr>
            <w:pStyle w:val="19"/>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_Toc24956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四、财政拨款收入支出决算总体情况说明</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_Toc24956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13</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14:paraId="2F6BF377">
          <w:pPr>
            <w:pStyle w:val="19"/>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_Toc20952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五、一般公共预算财政拨款支出决算情况说明</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_Toc20952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14</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14:paraId="54D90DE3">
          <w:pPr>
            <w:pStyle w:val="19"/>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_Toc25318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六、一般公共预算财政拨款基本支出决算情况说明</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_Toc25318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18</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14:paraId="3DF18822">
          <w:pPr>
            <w:pStyle w:val="19"/>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_Toc15811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七、财政拨款“</w:t>
          </w:r>
          <w:r>
            <w:rPr>
              <w:rFonts w:hint="eastAsia" w:ascii="Times New Roman" w:hAnsi="Times New Roman" w:eastAsia="仿宋_GB2312" w:cs="仿宋_GB2312"/>
              <w:color w:val="auto"/>
              <w:sz w:val="32"/>
              <w:szCs w:val="32"/>
              <w:highlight w:val="none"/>
              <w:lang w:val="en-US" w:eastAsia="zh-CN"/>
            </w:rPr>
            <w:t xml:space="preserve"> 三公”经费</w:t>
          </w:r>
          <w:r>
            <w:rPr>
              <w:rFonts w:hint="eastAsia" w:ascii="Times New Roman" w:hAnsi="Times New Roman" w:eastAsia="仿宋_GB2312" w:cs="仿宋_GB2312"/>
              <w:color w:val="auto"/>
              <w:sz w:val="32"/>
              <w:szCs w:val="32"/>
              <w:highlight w:val="none"/>
              <w:lang w:eastAsia="zh-CN"/>
            </w:rPr>
            <w:t>支出决算情况说明</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_Toc15811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19</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14:paraId="05644B4A">
          <w:pPr>
            <w:pStyle w:val="19"/>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_Toc32637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八、政府性基金预算支出决算情况说明</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_Toc32637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21</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14:paraId="2CDEA7FC">
          <w:pPr>
            <w:pStyle w:val="19"/>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_Toc30986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九、国有资本经营预算支出决算情况说明</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_Toc30986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21</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14:paraId="3E7CDA29">
          <w:pPr>
            <w:pStyle w:val="19"/>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宋体" w:hAnsi="宋体" w:eastAsia="宋体" w:cs="宋体"/>
              <w:sz w:val="24"/>
              <w:szCs w:val="24"/>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_Toc28451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十、其他重要事项的情况说明</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_Toc28451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22</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14:paraId="62D748E8">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440" w:lineRule="exac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HYPERLINK \l _Toc18379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第三部分 名词解释</w:t>
          </w:r>
          <w:r>
            <w:rPr>
              <w:rFonts w:hint="eastAsia" w:ascii="Times New Roman" w:hAnsi="Times New Roman" w:eastAsia="黑体" w:cs="黑体"/>
              <w:color w:val="auto"/>
              <w:sz w:val="32"/>
              <w:szCs w:val="32"/>
              <w:highlight w:val="none"/>
            </w:rPr>
            <w:tab/>
          </w: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PAGEREF _Toc18379 \h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24</w:t>
          </w:r>
          <w:r>
            <w:rPr>
              <w:rFonts w:hint="eastAsia" w:ascii="Times New Roman" w:hAnsi="Times New Roman" w:eastAsia="黑体" w:cs="黑体"/>
              <w:color w:val="auto"/>
              <w:sz w:val="32"/>
              <w:szCs w:val="32"/>
              <w:highlight w:val="none"/>
            </w:rPr>
            <w:fldChar w:fldCharType="end"/>
          </w:r>
          <w:r>
            <w:rPr>
              <w:rFonts w:hint="eastAsia" w:ascii="Times New Roman" w:hAnsi="Times New Roman" w:eastAsia="黑体" w:cs="黑体"/>
              <w:color w:val="auto"/>
              <w:sz w:val="32"/>
              <w:szCs w:val="32"/>
              <w:highlight w:val="none"/>
            </w:rPr>
            <w:fldChar w:fldCharType="end"/>
          </w:r>
        </w:p>
        <w:p w14:paraId="30A7E270">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440" w:lineRule="exact"/>
            <w:textAlignment w:val="auto"/>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HYPERLINK \l _Toc6027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第四部分 附件</w:t>
          </w:r>
          <w:r>
            <w:rPr>
              <w:rFonts w:hint="eastAsia" w:ascii="Times New Roman" w:hAnsi="Times New Roman" w:eastAsia="黑体" w:cs="黑体"/>
              <w:color w:val="auto"/>
              <w:sz w:val="32"/>
              <w:szCs w:val="32"/>
              <w:highlight w:val="none"/>
            </w:rPr>
            <w:tab/>
          </w:r>
          <w:r>
            <w:rPr>
              <w:rFonts w:hint="eastAsia" w:ascii="Times New Roman" w:hAnsi="Times New Roman" w:eastAsia="黑体" w:cs="黑体"/>
              <w:color w:val="auto"/>
              <w:sz w:val="32"/>
              <w:szCs w:val="32"/>
              <w:highlight w:val="none"/>
              <w:lang w:val="en-US" w:eastAsia="zh-CN"/>
            </w:rPr>
            <w:t>2</w:t>
          </w:r>
          <w:r>
            <w:rPr>
              <w:rFonts w:hint="eastAsia" w:ascii="Times New Roman" w:hAnsi="Times New Roman" w:eastAsia="黑体" w:cs="黑体"/>
              <w:color w:val="auto"/>
              <w:sz w:val="32"/>
              <w:szCs w:val="32"/>
              <w:highlight w:val="none"/>
            </w:rPr>
            <w:fldChar w:fldCharType="end"/>
          </w:r>
          <w:r>
            <w:rPr>
              <w:rFonts w:hint="eastAsia" w:ascii="Times New Roman" w:hAnsi="Times New Roman" w:eastAsia="黑体" w:cs="黑体"/>
              <w:color w:val="auto"/>
              <w:sz w:val="32"/>
              <w:szCs w:val="32"/>
              <w:highlight w:val="none"/>
              <w:lang w:val="en-US" w:eastAsia="zh-CN"/>
            </w:rPr>
            <w:t>4</w:t>
          </w:r>
        </w:p>
        <w:p w14:paraId="0681B5E6">
          <w:pPr>
            <w:pStyle w:val="15"/>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440" w:lineRule="exact"/>
            <w:textAlignment w:val="auto"/>
            <w:rPr>
              <w:rFonts w:hint="eastAsia" w:ascii="宋体" w:hAnsi="宋体" w:eastAsia="宋体" w:cs="宋体"/>
              <w:sz w:val="24"/>
              <w:szCs w:val="24"/>
            </w:rPr>
          </w:pP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HYPERLINK \l _Toc9611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第五部分 附表</w:t>
          </w:r>
          <w:r>
            <w:rPr>
              <w:rFonts w:hint="eastAsia" w:ascii="Times New Roman" w:hAnsi="Times New Roman" w:eastAsia="黑体" w:cs="黑体"/>
              <w:color w:val="auto"/>
              <w:sz w:val="32"/>
              <w:szCs w:val="32"/>
              <w:highlight w:val="none"/>
            </w:rPr>
            <w:tab/>
          </w: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PAGEREF _Toc9611 \h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68</w:t>
          </w:r>
          <w:r>
            <w:rPr>
              <w:rFonts w:hint="eastAsia" w:ascii="Times New Roman" w:hAnsi="Times New Roman" w:eastAsia="黑体" w:cs="黑体"/>
              <w:color w:val="auto"/>
              <w:sz w:val="32"/>
              <w:szCs w:val="32"/>
              <w:highlight w:val="none"/>
            </w:rPr>
            <w:fldChar w:fldCharType="end"/>
          </w:r>
          <w:r>
            <w:rPr>
              <w:rFonts w:hint="eastAsia" w:ascii="Times New Roman" w:hAnsi="Times New Roman" w:eastAsia="黑体" w:cs="黑体"/>
              <w:color w:val="auto"/>
              <w:sz w:val="32"/>
              <w:szCs w:val="32"/>
              <w:highlight w:val="none"/>
            </w:rPr>
            <w:fldChar w:fldCharType="end"/>
          </w:r>
        </w:p>
        <w:p w14:paraId="5694E871">
          <w:pPr>
            <w:pStyle w:val="19"/>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_Toc19004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一、收入支出决算总表</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_Toc19004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68</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14:paraId="6E1AA880">
          <w:pPr>
            <w:pStyle w:val="19"/>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_Toc17917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二、收入决算表</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_Toc17917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68</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14:paraId="2AEC6173">
          <w:pPr>
            <w:pStyle w:val="19"/>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_Toc9841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三、支出决算表</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_Toc9841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68</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14:paraId="41747057">
          <w:pPr>
            <w:pStyle w:val="19"/>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_Toc5724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四、财政拨款收入支出决算总表</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_Toc5724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68</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14:paraId="3DF0E0C4">
          <w:pPr>
            <w:pStyle w:val="19"/>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_Toc11638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五、财政拨款支出决算明细表</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_Toc11638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68</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14:paraId="60CA39EA">
          <w:pPr>
            <w:pStyle w:val="19"/>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_Toc9095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六、一般公共预算财政拨款支出决算表</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_Toc9095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68</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14:paraId="28FCD54A">
          <w:pPr>
            <w:pStyle w:val="19"/>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_Toc32617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七、一般公共预算财政拨款支出决算明细表</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_Toc32617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68</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14:paraId="7E62940F">
          <w:pPr>
            <w:pStyle w:val="19"/>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_Toc8435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八、一般公共预算财政拨款基本支出决算表</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_Toc8435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68</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14:paraId="1D09BA17">
          <w:pPr>
            <w:pStyle w:val="19"/>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_Toc3700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九、一般公共预算财政拨款项目支出决算表</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_Toc3700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68</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14:paraId="1899F6EB">
          <w:pPr>
            <w:pStyle w:val="19"/>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_Toc14982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十、政府性基金预算财政拨款收入支出决算表</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_Toc14982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68</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14:paraId="1516DBE3">
          <w:pPr>
            <w:pStyle w:val="19"/>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_Toc22461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十一、国有资本经营预算财政拨款收入支出决算表</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_Toc22461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68</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14:paraId="316E0EA8">
          <w:pPr>
            <w:pStyle w:val="19"/>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_Toc24128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十二、国有资本经营预算财政拨款支出决算表</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_Toc24128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68</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14:paraId="674A6C34">
          <w:pPr>
            <w:pStyle w:val="19"/>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_Toc10485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十三、财政拨款“三公”经费支出决算表</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_Toc10485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68</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14:paraId="0D1B7D62">
          <w:pPr>
            <w:keepNext w:val="0"/>
            <w:keepLines w:val="0"/>
            <w:pageBreakBefore w:val="0"/>
            <w:kinsoku/>
            <w:wordWrap/>
            <w:overflowPunct/>
            <w:topLinePunct w:val="0"/>
            <w:autoSpaceDE/>
            <w:autoSpaceDN/>
            <w:bidi w:val="0"/>
            <w:adjustRightInd/>
            <w:snapToGrid/>
            <w:spacing w:before="0" w:beforeLines="0" w:after="0" w:afterLines="0" w:line="560" w:lineRule="exact"/>
            <w:ind w:left="0" w:leftChars="0" w:right="0" w:rightChars="0" w:firstLine="0" w:firstLineChars="0"/>
            <w:jc w:val="center"/>
            <w:textAlignment w:val="auto"/>
            <w:rPr>
              <w:b/>
            </w:rPr>
          </w:pPr>
          <w:r>
            <w:rPr>
              <w:rFonts w:hint="eastAsia" w:ascii="宋体" w:hAnsi="宋体" w:eastAsia="宋体" w:cs="宋体"/>
              <w:b/>
              <w:sz w:val="24"/>
              <w:szCs w:val="24"/>
            </w:rPr>
            <w:fldChar w:fldCharType="end"/>
          </w:r>
        </w:p>
      </w:sdtContent>
    </w:sdt>
    <w:p w14:paraId="36E896B3">
      <w:pPr>
        <w:rPr>
          <w:b/>
        </w:rPr>
      </w:pPr>
      <w:r>
        <w:rPr>
          <w:b/>
        </w:rPr>
        <w:br w:type="page"/>
      </w:r>
    </w:p>
    <w:p w14:paraId="4D368AE6">
      <w:pPr>
        <w:pStyle w:val="2"/>
        <w:jc w:val="center"/>
        <w:rPr>
          <w:rFonts w:hint="eastAsia" w:ascii="黑体" w:hAnsi="黑体" w:eastAsia="黑体"/>
          <w:b w:val="0"/>
        </w:rPr>
        <w:sectPr>
          <w:headerReference r:id="rId3" w:type="default"/>
          <w:pgSz w:w="11906" w:h="16838"/>
          <w:pgMar w:top="1440" w:right="1800" w:bottom="1440" w:left="1800" w:header="851" w:footer="992" w:gutter="0"/>
          <w:pgNumType w:fmt="decimal" w:start="1"/>
          <w:cols w:space="425" w:num="1"/>
          <w:titlePg/>
          <w:docGrid w:type="lines" w:linePitch="312" w:charSpace="0"/>
        </w:sectPr>
      </w:pPr>
    </w:p>
    <w:p w14:paraId="457805AE">
      <w:pPr>
        <w:pStyle w:val="2"/>
        <w:jc w:val="center"/>
        <w:rPr>
          <w:rStyle w:val="34"/>
          <w:rFonts w:ascii="黑体" w:hAnsi="黑体" w:eastAsia="黑体"/>
          <w:b/>
          <w:bCs w:val="0"/>
        </w:rPr>
      </w:pPr>
      <w:bookmarkStart w:id="18" w:name="_Toc19929"/>
      <w:r>
        <w:rPr>
          <w:rFonts w:hint="eastAsia" w:ascii="黑体" w:hAnsi="黑体" w:eastAsia="黑体"/>
          <w:b w:val="0"/>
        </w:rPr>
        <w:t xml:space="preserve">第一部分 </w:t>
      </w:r>
      <w:r>
        <w:rPr>
          <w:rFonts w:hint="eastAsia" w:ascii="黑体" w:hAnsi="黑体" w:eastAsia="黑体"/>
          <w:b w:val="0"/>
          <w:lang w:val="en-US" w:eastAsia="zh-CN"/>
        </w:rPr>
        <w:t>部门</w:t>
      </w:r>
      <w:r>
        <w:rPr>
          <w:rStyle w:val="34"/>
          <w:rFonts w:hint="eastAsia" w:ascii="黑体" w:hAnsi="黑体" w:eastAsia="黑体"/>
          <w:b w:val="0"/>
          <w:bCs w:val="0"/>
        </w:rPr>
        <w:t>概况</w:t>
      </w:r>
      <w:bookmarkEnd w:id="16"/>
      <w:bookmarkEnd w:id="17"/>
      <w:bookmarkEnd w:id="18"/>
    </w:p>
    <w:p w14:paraId="5FFC86AF">
      <w:pPr>
        <w:widowControl/>
        <w:jc w:val="left"/>
        <w:rPr>
          <w:rFonts w:ascii="黑体" w:eastAsia="黑体"/>
          <w:sz w:val="32"/>
          <w:szCs w:val="32"/>
        </w:rPr>
      </w:pPr>
    </w:p>
    <w:p w14:paraId="770D21BA">
      <w:pPr>
        <w:pStyle w:val="3"/>
        <w:keepNext/>
        <w:keepLines/>
        <w:pageBreakBefore w:val="0"/>
        <w:widowControl w:val="0"/>
        <w:numPr>
          <w:ilvl w:val="0"/>
          <w:numId w:val="1"/>
        </w:numPr>
        <w:kinsoku/>
        <w:wordWrap/>
        <w:overflowPunct/>
        <w:topLinePunct w:val="0"/>
        <w:autoSpaceDE/>
        <w:autoSpaceDN/>
        <w:bidi w:val="0"/>
        <w:adjustRightInd/>
        <w:snapToGrid/>
        <w:spacing w:line="416" w:lineRule="auto"/>
        <w:ind w:firstLine="640" w:firstLineChars="200"/>
        <w:textAlignment w:val="auto"/>
        <w:rPr>
          <w:rFonts w:hint="eastAsia" w:ascii="Times New Roman" w:hAnsi="Times New Roman" w:eastAsia="楷体_GB2312" w:cs="楷体_GB2312"/>
          <w:b/>
          <w:color w:val="auto"/>
          <w:sz w:val="32"/>
          <w:szCs w:val="32"/>
          <w:highlight w:val="none"/>
          <w:lang w:val="en-US" w:eastAsia="zh-CN"/>
        </w:rPr>
      </w:pPr>
      <w:bookmarkStart w:id="19" w:name="_Toc5669"/>
      <w:bookmarkStart w:id="20" w:name="_Toc15377197"/>
      <w:bookmarkStart w:id="21" w:name="_Toc15396600"/>
      <w:r>
        <w:rPr>
          <w:rStyle w:val="35"/>
          <w:rFonts w:hint="eastAsia" w:ascii="黑体" w:hAnsi="黑体" w:eastAsia="黑体"/>
          <w:b w:val="0"/>
          <w:bCs w:val="0"/>
          <w:lang w:val="en-US" w:eastAsia="zh-CN"/>
        </w:rPr>
        <w:t>部门</w:t>
      </w:r>
      <w:r>
        <w:rPr>
          <w:rFonts w:hint="eastAsia" w:ascii="Times New Roman" w:hAnsi="Times New Roman" w:eastAsia="黑体"/>
          <w:b w:val="0"/>
          <w:color w:val="auto"/>
          <w:highlight w:val="none"/>
          <w:lang w:eastAsia="zh-CN"/>
        </w:rPr>
        <w:t>职责</w:t>
      </w:r>
      <w:bookmarkEnd w:id="19"/>
      <w:bookmarkStart w:id="22" w:name="_Toc3450"/>
      <w:bookmarkStart w:id="23" w:name="_Toc31729"/>
    </w:p>
    <w:p w14:paraId="797BC006">
      <w:pPr>
        <w:pStyle w:val="3"/>
        <w:keepNext/>
        <w:keepLines/>
        <w:pageBreakBefore w:val="0"/>
        <w:widowControl w:val="0"/>
        <w:numPr>
          <w:ilvl w:val="0"/>
          <w:numId w:val="0"/>
        </w:numPr>
        <w:kinsoku/>
        <w:wordWrap/>
        <w:overflowPunct/>
        <w:topLinePunct w:val="0"/>
        <w:autoSpaceDE/>
        <w:autoSpaceDN/>
        <w:bidi w:val="0"/>
        <w:adjustRightInd/>
        <w:snapToGrid/>
        <w:spacing w:line="416" w:lineRule="auto"/>
        <w:ind w:firstLine="643" w:firstLineChars="200"/>
        <w:textAlignment w:val="auto"/>
        <w:rPr>
          <w:rFonts w:hint="eastAsia" w:ascii="Times New Roman" w:hAnsi="Times New Roman" w:eastAsia="楷体_GB2312" w:cs="楷体_GB2312"/>
          <w:b/>
          <w:color w:val="auto"/>
          <w:sz w:val="32"/>
          <w:szCs w:val="32"/>
          <w:highlight w:val="none"/>
          <w:lang w:val="en-US" w:eastAsia="zh-CN"/>
        </w:rPr>
      </w:pPr>
      <w:r>
        <w:rPr>
          <w:rFonts w:hint="eastAsia" w:ascii="Times New Roman" w:hAnsi="Times New Roman" w:eastAsia="楷体_GB2312" w:cs="楷体_GB2312"/>
          <w:b/>
          <w:color w:val="auto"/>
          <w:sz w:val="32"/>
          <w:szCs w:val="32"/>
          <w:highlight w:val="none"/>
          <w:lang w:val="en-US" w:eastAsia="zh-CN"/>
        </w:rPr>
        <w:t>（一）主要职能</w:t>
      </w:r>
    </w:p>
    <w:bookmarkEnd w:id="22"/>
    <w:bookmarkEnd w:id="23"/>
    <w:p w14:paraId="40D7A4FF">
      <w:pPr>
        <w:pStyle w:val="47"/>
        <w:keepNext w:val="0"/>
        <w:keepLines w:val="0"/>
        <w:pageBreakBefore w:val="0"/>
        <w:widowControl/>
        <w:suppressLineNumbers w:val="0"/>
        <w:kinsoku/>
        <w:wordWrap/>
        <w:overflowPunct/>
        <w:topLinePunct w:val="0"/>
        <w:autoSpaceDE/>
        <w:autoSpaceDN/>
        <w:bidi w:val="0"/>
        <w:adjustRightInd/>
        <w:snapToGrid/>
        <w:spacing w:before="0" w:beforeAutospacing="0" w:line="560" w:lineRule="exact"/>
        <w:ind w:firstLine="640" w:firstLineChars="200"/>
        <w:jc w:val="left"/>
        <w:textAlignment w:val="auto"/>
        <w:rPr>
          <w:rFonts w:hint="eastAsia" w:ascii="仿宋_GB2312" w:hAnsi="仿宋_GB2312" w:eastAsia="仿宋_GB2312" w:cs="仿宋_GB2312"/>
          <w:kern w:val="2"/>
          <w:sz w:val="32"/>
          <w:szCs w:val="32"/>
          <w:lang w:val="en-US" w:eastAsia="zh-CN" w:bidi="ar-SA"/>
        </w:rPr>
      </w:pPr>
      <w:bookmarkStart w:id="24" w:name="OLE_LINK4"/>
      <w:r>
        <w:rPr>
          <w:rFonts w:hint="eastAsia" w:ascii="仿宋_GB2312" w:hAnsi="仿宋_GB2312" w:eastAsia="仿宋_GB2312" w:cs="仿宋_GB2312"/>
          <w:kern w:val="2"/>
          <w:sz w:val="32"/>
          <w:szCs w:val="32"/>
          <w:lang w:val="en-US" w:eastAsia="zh-CN" w:bidi="ar-SA"/>
        </w:rPr>
        <w:t>（1）负责贯彻落实国家、省生态环境基本制度。会同有关部门拟订并组织实施我州生态环境政策、规划，起草生态环境保护地方性法规、规章草案。组织编制全州环境功能区划，会同有关部门编制并监督实施重点区域、流域、饮用水水源地生态环境规划和水功能区划，组织拟订生态环境地方标准、技术规范。参与制定与我州生态环境相关的经济、技术、资源配置和产业政策。</w:t>
      </w:r>
    </w:p>
    <w:p w14:paraId="580C40B5">
      <w:pPr>
        <w:pStyle w:val="47"/>
        <w:keepNext w:val="0"/>
        <w:keepLines w:val="0"/>
        <w:pageBreakBefore w:val="0"/>
        <w:widowControl/>
        <w:suppressLineNumbers w:val="0"/>
        <w:kinsoku/>
        <w:wordWrap/>
        <w:overflowPunct/>
        <w:topLinePunct w:val="0"/>
        <w:autoSpaceDE/>
        <w:autoSpaceDN/>
        <w:bidi w:val="0"/>
        <w:adjustRightInd/>
        <w:snapToGrid/>
        <w:spacing w:before="0" w:beforeAutospacing="0" w:line="560" w:lineRule="exact"/>
        <w:ind w:left="0" w:firstLine="640" w:firstLineChars="200"/>
        <w:jc w:val="left"/>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负责全州重大生态环境问题的统筹协调和监督管理。牵头协调全州重特大突发生态环境事件和生态破坏事件的调查处理，指导协调各县（市）对重特大突发生态环境事件的应急、预警工作，牵头指导实施生态环境损害赔偿制度。参与协调有关跨区域环境污染纠纷，协调解决有关跨县（市）环境污染纠纷，统筹协调重点区域、流域生态环境保护工作。</w:t>
      </w:r>
    </w:p>
    <w:p w14:paraId="0A4243F5">
      <w:pPr>
        <w:pStyle w:val="47"/>
        <w:keepNext w:val="0"/>
        <w:keepLines w:val="0"/>
        <w:pageBreakBefore w:val="0"/>
        <w:widowControl/>
        <w:suppressLineNumbers w:val="0"/>
        <w:kinsoku/>
        <w:wordWrap/>
        <w:overflowPunct/>
        <w:topLinePunct w:val="0"/>
        <w:autoSpaceDE/>
        <w:autoSpaceDN/>
        <w:bidi w:val="0"/>
        <w:adjustRightInd/>
        <w:snapToGrid/>
        <w:spacing w:before="0" w:beforeAutospacing="0" w:line="560" w:lineRule="exact"/>
        <w:ind w:left="0" w:firstLine="640" w:firstLineChars="200"/>
        <w:jc w:val="left"/>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3）负责监督管理全州减排目标的落实。组织制定并监督实施全州各类污染物排放总量控制和排污许可证制度，确定大气、水等环境纳污能力，组织实施中央、省总量控制的污染物名称和控制指标，监督检查各县（市）污染物减排任务完成情况，负责污染物总量减排考核，实施生态环境保护目标责任制。</w:t>
      </w:r>
    </w:p>
    <w:p w14:paraId="6F302C7A">
      <w:pPr>
        <w:pStyle w:val="47"/>
        <w:keepNext w:val="0"/>
        <w:keepLines w:val="0"/>
        <w:pageBreakBefore w:val="0"/>
        <w:widowControl/>
        <w:suppressLineNumbers w:val="0"/>
        <w:kinsoku/>
        <w:wordWrap/>
        <w:overflowPunct/>
        <w:topLinePunct w:val="0"/>
        <w:autoSpaceDE/>
        <w:autoSpaceDN/>
        <w:bidi w:val="0"/>
        <w:adjustRightInd/>
        <w:snapToGrid/>
        <w:spacing w:before="0" w:beforeAutospacing="0" w:line="560" w:lineRule="exact"/>
        <w:ind w:left="0" w:firstLine="640" w:firstLineChars="200"/>
        <w:jc w:val="left"/>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4）负责全州生态环境领域投资管理。负责提出全州生态环境领域固定资产投资规模和方向、州级财政性资金安排的意见，按规定权限审批、核准全州规划内和年度计划规模内固定资产投资项目，配合有关部门做好组织实施和监督工作。参与指导推动全州循环经济和生态环保产业发展。</w:t>
      </w:r>
    </w:p>
    <w:p w14:paraId="7059289C">
      <w:pPr>
        <w:pStyle w:val="47"/>
        <w:keepNext w:val="0"/>
        <w:keepLines w:val="0"/>
        <w:pageBreakBefore w:val="0"/>
        <w:widowControl/>
        <w:suppressLineNumbers w:val="0"/>
        <w:kinsoku/>
        <w:wordWrap/>
        <w:overflowPunct/>
        <w:topLinePunct w:val="0"/>
        <w:autoSpaceDE/>
        <w:autoSpaceDN/>
        <w:bidi w:val="0"/>
        <w:adjustRightInd/>
        <w:snapToGrid/>
        <w:spacing w:before="0" w:beforeAutospacing="0" w:line="560" w:lineRule="exact"/>
        <w:ind w:left="0" w:firstLine="640" w:firstLineChars="200"/>
        <w:jc w:val="left"/>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5）负责全州环境污染防治的监督管理。组织制定并监督实施全州大气、水、土壤、噪声、光、恶臭、固体废物、化学品、机动车等的污染防治管理制度。会同有关部门监督管理饮用水水源地生态环境保护工作，参与指导城乡生态环境综合整治工作，指导全州垃圾分类工作，监督指导农业面源污染治理工作。监督指导区域大气环境保护工作，牵头建立区域大气污染联防联控协作机制并监督实施。按职责分工组织开展全州强制性清洁生产审核工作。</w:t>
      </w:r>
    </w:p>
    <w:p w14:paraId="654A6708">
      <w:pPr>
        <w:pStyle w:val="47"/>
        <w:keepNext w:val="0"/>
        <w:keepLines w:val="0"/>
        <w:pageBreakBefore w:val="0"/>
        <w:widowControl/>
        <w:suppressLineNumbers w:val="0"/>
        <w:kinsoku/>
        <w:wordWrap/>
        <w:overflowPunct/>
        <w:topLinePunct w:val="0"/>
        <w:autoSpaceDE/>
        <w:autoSpaceDN/>
        <w:bidi w:val="0"/>
        <w:adjustRightInd/>
        <w:snapToGrid/>
        <w:spacing w:before="0" w:beforeAutospacing="0" w:line="560" w:lineRule="exact"/>
        <w:ind w:left="0" w:firstLine="640" w:firstLineChars="200"/>
        <w:jc w:val="left"/>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6）指导协调和监督全州生态保护修复工作。组织编制全州生态环境保护规划，监督对生态环境有影响的自然资源开发利用活动、重要生态环境建设和生态破坏恢复工作。组织监督检查全州各类自然保护地生态环境监管制度的执法。组织开展各类生态示范创建工作。监督野生动植物保护、湿地生态环境保护、荒漠化防治等工作。指导协调和监督全州农村生态环境保护，监督生物技术环境安全，牵头生物物种（含遗传资源）管理工作，组织协调生物多样性保护工作，参与生态保护补偿工作。</w:t>
      </w:r>
    </w:p>
    <w:p w14:paraId="30A44B75">
      <w:pPr>
        <w:pStyle w:val="47"/>
        <w:keepNext w:val="0"/>
        <w:keepLines w:val="0"/>
        <w:pageBreakBefore w:val="0"/>
        <w:widowControl/>
        <w:suppressLineNumbers w:val="0"/>
        <w:kinsoku/>
        <w:wordWrap/>
        <w:overflowPunct/>
        <w:topLinePunct w:val="0"/>
        <w:autoSpaceDE/>
        <w:autoSpaceDN/>
        <w:bidi w:val="0"/>
        <w:adjustRightInd/>
        <w:snapToGrid/>
        <w:spacing w:before="0" w:beforeAutospacing="0" w:line="560" w:lineRule="exact"/>
        <w:ind w:left="0" w:firstLine="640" w:firstLineChars="200"/>
        <w:jc w:val="left"/>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7）负责全州核与辐射安全的监督管理。监督实施国家、省核与辐射安全政策、规划、标准、法规和规章。牵头负责全州核安全工作协调机制有关工作，负责辐射环境事故应急处理工作，参与核事故应急处理。监督管理放射源与射线装置安全，监督管理全州核技术应用、电磁辐射、伴有放射性矿产资源开发利用中的污染防治，参与核设施安全监督管理相关工作。</w:t>
      </w:r>
    </w:p>
    <w:p w14:paraId="1108FFAC">
      <w:pPr>
        <w:pStyle w:val="47"/>
        <w:keepNext w:val="0"/>
        <w:keepLines w:val="0"/>
        <w:pageBreakBefore w:val="0"/>
        <w:widowControl/>
        <w:suppressLineNumbers w:val="0"/>
        <w:kinsoku/>
        <w:wordWrap/>
        <w:overflowPunct/>
        <w:topLinePunct w:val="0"/>
        <w:autoSpaceDE/>
        <w:autoSpaceDN/>
        <w:bidi w:val="0"/>
        <w:adjustRightInd/>
        <w:snapToGrid/>
        <w:spacing w:before="0" w:beforeAutospacing="0" w:line="560" w:lineRule="exact"/>
        <w:ind w:left="0" w:firstLine="640" w:firstLineChars="200"/>
        <w:jc w:val="left"/>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8）负责全州生态环境准入的监督管理。受州政府委托对重大经济和技术政策、发展规划以及重大经济开发计划进行环境影响评价。按规定审批或审查重大开发建设区域、规划、项目环境影响评价文件。拟订并组织实施全州生态环境准入清单。承担国家、省和州政府公布的有关行政审批事项。</w:t>
      </w:r>
    </w:p>
    <w:p w14:paraId="50A31C04">
      <w:pPr>
        <w:pStyle w:val="47"/>
        <w:keepNext w:val="0"/>
        <w:keepLines w:val="0"/>
        <w:pageBreakBefore w:val="0"/>
        <w:widowControl/>
        <w:suppressLineNumbers w:val="0"/>
        <w:kinsoku/>
        <w:wordWrap/>
        <w:overflowPunct/>
        <w:topLinePunct w:val="0"/>
        <w:autoSpaceDE/>
        <w:autoSpaceDN/>
        <w:bidi w:val="0"/>
        <w:adjustRightInd/>
        <w:snapToGrid/>
        <w:spacing w:before="0" w:beforeAutospacing="0" w:line="560" w:lineRule="exact"/>
        <w:ind w:left="0" w:firstLine="640" w:firstLineChars="200"/>
        <w:jc w:val="left"/>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9）负责全州生态环境监测工作。监督实施国家、省生态环境监测制度和规范，拟订全州生态环境监测地方标准并监督实施。会同有关部门统一规划全州生态环境质量监测站点设置，组织实施生态环境质量监测、污染源监督性监测、温室气体减排监测、应急监测。组织对全州生态环境质量状况进行调查评价、预警预测，组织建设和管理生态环境监测网和生态环境信息网。负责全州生态环境质量考核和生态环境统计工作。建立和实行生态环境质量公告制度，统一发布全州生态环境综合性报告和重大生态环境信息。</w:t>
      </w:r>
    </w:p>
    <w:p w14:paraId="2C456193">
      <w:pPr>
        <w:pStyle w:val="47"/>
        <w:keepNext w:val="0"/>
        <w:keepLines w:val="0"/>
        <w:pageBreakBefore w:val="0"/>
        <w:widowControl/>
        <w:suppressLineNumbers w:val="0"/>
        <w:kinsoku/>
        <w:wordWrap/>
        <w:overflowPunct/>
        <w:topLinePunct w:val="0"/>
        <w:autoSpaceDE/>
        <w:autoSpaceDN/>
        <w:bidi w:val="0"/>
        <w:adjustRightInd/>
        <w:snapToGrid/>
        <w:spacing w:before="0" w:beforeAutospacing="0" w:line="560" w:lineRule="exact"/>
        <w:ind w:left="0" w:firstLine="640" w:firstLineChars="200"/>
        <w:jc w:val="left"/>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（10）负责应对气候变化工作。组织实施国家、省应对气候变化及温室气体减排重大战略、规划和政策，组织拟订全州应对气候变化的规划和政策措施。</w:t>
      </w:r>
    </w:p>
    <w:p w14:paraId="7C36FDAD">
      <w:pPr>
        <w:pStyle w:val="47"/>
        <w:keepNext w:val="0"/>
        <w:keepLines w:val="0"/>
        <w:pageBreakBefore w:val="0"/>
        <w:widowControl/>
        <w:suppressLineNumbers w:val="0"/>
        <w:kinsoku/>
        <w:wordWrap/>
        <w:overflowPunct/>
        <w:topLinePunct w:val="0"/>
        <w:autoSpaceDE/>
        <w:autoSpaceDN/>
        <w:bidi w:val="0"/>
        <w:adjustRightInd/>
        <w:snapToGrid/>
        <w:spacing w:before="0" w:beforeAutospacing="0" w:line="560" w:lineRule="exact"/>
        <w:ind w:left="0" w:firstLine="640" w:firstLineChars="200"/>
        <w:jc w:val="left"/>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11）协调开展全州生态环境保护督察问题整改工作。组织协调迎接中央、省生态环境保护督察工作，根据授权对县（市）党委政府及各有关部门贯彻落实中央、省、州生态环境保护决策部署情况进行督察。监督指导各县（市）各有关部门整改落实中央、省生态环境保护督察反馈意见。</w:t>
      </w:r>
    </w:p>
    <w:p w14:paraId="2EC4ACD8">
      <w:pPr>
        <w:pStyle w:val="47"/>
        <w:keepNext w:val="0"/>
        <w:keepLines w:val="0"/>
        <w:pageBreakBefore w:val="0"/>
        <w:widowControl/>
        <w:suppressLineNumbers w:val="0"/>
        <w:kinsoku/>
        <w:wordWrap/>
        <w:overflowPunct/>
        <w:topLinePunct w:val="0"/>
        <w:autoSpaceDE/>
        <w:autoSpaceDN/>
        <w:bidi w:val="0"/>
        <w:adjustRightInd/>
        <w:snapToGrid/>
        <w:spacing w:before="0" w:beforeAutospacing="0" w:line="560" w:lineRule="exact"/>
        <w:ind w:left="0" w:firstLine="640" w:firstLineChars="200"/>
        <w:jc w:val="left"/>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12）统一负责全州生态环境监督执法。组织开展全州生态环境保护执法检查。监督实施全州建设项目生态环境保护设施同时设计、同时施工、同时投产使用制度。查处全州重大生态环境违法问题。指导全州生态环境保护综合执法队伍建设和业务工作。</w:t>
      </w:r>
    </w:p>
    <w:p w14:paraId="134B64DD">
      <w:pPr>
        <w:pStyle w:val="47"/>
        <w:keepNext w:val="0"/>
        <w:keepLines w:val="0"/>
        <w:pageBreakBefore w:val="0"/>
        <w:widowControl/>
        <w:suppressLineNumbers w:val="0"/>
        <w:kinsoku/>
        <w:wordWrap/>
        <w:overflowPunct/>
        <w:topLinePunct w:val="0"/>
        <w:autoSpaceDE/>
        <w:autoSpaceDN/>
        <w:bidi w:val="0"/>
        <w:adjustRightInd/>
        <w:snapToGrid/>
        <w:spacing w:before="0" w:beforeAutospacing="0" w:line="560" w:lineRule="exact"/>
        <w:ind w:left="0" w:firstLine="640" w:firstLineChars="200"/>
        <w:jc w:val="left"/>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（13）组织指导和协调全州生态环境宣传教育工作。制定并组织实施全州生态环境保护宣传</w:t>
      </w:r>
      <w:r>
        <w:rPr>
          <w:rFonts w:hint="eastAsia" w:ascii="Times New Roman" w:hAnsi="Times New Roman" w:eastAsia="仿宋_GB2312" w:cs="Times New Roman"/>
          <w:b w:val="0"/>
          <w:bCs w:val="0"/>
          <w:kern w:val="2"/>
          <w:sz w:val="32"/>
          <w:szCs w:val="32"/>
          <w:lang w:val="en-US" w:eastAsia="zh-CN" w:bidi="ar-SA"/>
        </w:rPr>
        <w:t>教育有</w:t>
      </w:r>
      <w:r>
        <w:rPr>
          <w:rFonts w:hint="eastAsia" w:ascii="仿宋_GB2312" w:hAnsi="仿宋_GB2312" w:eastAsia="仿宋_GB2312" w:cs="仿宋_GB2312"/>
          <w:kern w:val="2"/>
          <w:sz w:val="32"/>
          <w:szCs w:val="32"/>
          <w:lang w:val="en-US" w:eastAsia="zh-CN" w:bidi="ar-SA"/>
        </w:rPr>
        <w:t>关规划和计划。推动社会组织和公众参与生态环境保护。会同有关部门依法对全州保护和改善生态环境有显著成绩的单位和个人给予表彰和奖励。</w:t>
      </w:r>
    </w:p>
    <w:p w14:paraId="73A0EBF9">
      <w:pPr>
        <w:pStyle w:val="47"/>
        <w:keepNext w:val="0"/>
        <w:keepLines w:val="0"/>
        <w:pageBreakBefore w:val="0"/>
        <w:widowControl/>
        <w:suppressLineNumbers w:val="0"/>
        <w:kinsoku/>
        <w:wordWrap/>
        <w:overflowPunct/>
        <w:topLinePunct w:val="0"/>
        <w:autoSpaceDE/>
        <w:autoSpaceDN/>
        <w:bidi w:val="0"/>
        <w:adjustRightInd/>
        <w:snapToGrid/>
        <w:spacing w:before="0" w:beforeAutospacing="0" w:line="560" w:lineRule="exact"/>
        <w:ind w:left="0" w:firstLine="640" w:firstLineChars="200"/>
        <w:jc w:val="left"/>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（14）开展全州生态环境科技工作。管理全州生态环境保护科技成果并推广应用。组织开展全州生态环境重大科学研究和技术工程示范，推动生态环境技术管理体系建设。</w:t>
      </w:r>
    </w:p>
    <w:p w14:paraId="44A33EA3">
      <w:pPr>
        <w:pStyle w:val="47"/>
        <w:keepNext w:val="0"/>
        <w:keepLines w:val="0"/>
        <w:pageBreakBefore w:val="0"/>
        <w:widowControl/>
        <w:suppressLineNumbers w:val="0"/>
        <w:kinsoku/>
        <w:wordWrap/>
        <w:overflowPunct/>
        <w:topLinePunct w:val="0"/>
        <w:autoSpaceDE/>
        <w:autoSpaceDN/>
        <w:bidi w:val="0"/>
        <w:adjustRightInd/>
        <w:snapToGrid/>
        <w:spacing w:before="0" w:beforeAutospacing="0" w:line="560" w:lineRule="exact"/>
        <w:ind w:left="0" w:firstLine="640" w:firstLineChars="200"/>
        <w:jc w:val="left"/>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（15）开展生态环境对外合作交流。参与协调州内重要生态环境保护国际活动和区域合作,管理全州生态环境系统对外合作，参与处理涉外生态环境事务，负责与生态环境保护国际组织的联系工作。</w:t>
      </w:r>
    </w:p>
    <w:p w14:paraId="113E9AD1">
      <w:pPr>
        <w:pStyle w:val="47"/>
        <w:keepNext w:val="0"/>
        <w:keepLines w:val="0"/>
        <w:pageBreakBefore w:val="0"/>
        <w:widowControl/>
        <w:suppressLineNumbers w:val="0"/>
        <w:kinsoku/>
        <w:wordWrap/>
        <w:overflowPunct/>
        <w:topLinePunct w:val="0"/>
        <w:autoSpaceDE/>
        <w:autoSpaceDN/>
        <w:bidi w:val="0"/>
        <w:adjustRightInd/>
        <w:snapToGrid/>
        <w:spacing w:before="0" w:beforeAutospacing="0" w:line="560" w:lineRule="exact"/>
        <w:ind w:left="0" w:firstLine="640" w:firstLineChars="200"/>
        <w:jc w:val="left"/>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（16）负责职责范围内的安全生产和职业健康、审批服务便民化等工作。</w:t>
      </w:r>
    </w:p>
    <w:p w14:paraId="0E36404C">
      <w:pPr>
        <w:pStyle w:val="47"/>
        <w:keepNext w:val="0"/>
        <w:keepLines w:val="0"/>
        <w:pageBreakBefore w:val="0"/>
        <w:widowControl/>
        <w:suppressLineNumbers w:val="0"/>
        <w:kinsoku/>
        <w:wordWrap/>
        <w:overflowPunct/>
        <w:topLinePunct w:val="0"/>
        <w:autoSpaceDE/>
        <w:autoSpaceDN/>
        <w:bidi w:val="0"/>
        <w:adjustRightInd/>
        <w:snapToGrid/>
        <w:spacing w:before="0" w:beforeAutospacing="0" w:line="560" w:lineRule="exact"/>
        <w:ind w:left="0" w:firstLine="640" w:firstLineChars="200"/>
        <w:jc w:val="left"/>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（17）完成州委、州政府交办的其他任务。</w:t>
      </w:r>
    </w:p>
    <w:p w14:paraId="4519D209">
      <w:pPr>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textAlignment w:val="auto"/>
        <w:rPr>
          <w:rFonts w:ascii="仿宋_GB2312" w:hAnsi="Times New Roman" w:eastAsia="仿宋_GB2312" w:cs="Times New Roman"/>
          <w:color w:val="000000"/>
          <w:kern w:val="0"/>
          <w:sz w:val="32"/>
          <w:szCs w:val="32"/>
          <w:shd w:val="clear" w:color="auto" w:fill="FFFFFF"/>
          <w:lang w:val="zh-CN"/>
        </w:rPr>
      </w:pPr>
      <w:r>
        <w:rPr>
          <w:rFonts w:hint="eastAsia" w:ascii="仿宋_GB2312" w:hAnsi="仿宋_GB2312" w:eastAsia="仿宋_GB2312" w:cs="仿宋_GB2312"/>
          <w:kern w:val="2"/>
          <w:sz w:val="32"/>
          <w:szCs w:val="32"/>
          <w:lang w:val="en-US" w:eastAsia="zh-CN" w:bidi="ar-SA"/>
        </w:rPr>
        <w:t>（18）职能转变。统一行使全州生态和城乡各类污染排放监管与行政执法职责，统一负责全州生态环境质量监测、调查评价和考核，切实履行监管责任，加强事中事后监管，全面落实大气、水、土壤污染防治行动计划，强化固体废物、化学品、重金属污染防治监督管理。构建政府为主导、企业为主体、社会组织和公众共同参与的生态环境治理体系，实行最严格的生态环境保护制度，严守生态保护红线和环境质量底线，坚决打好污染防治攻坚战，筑牢长江、黄河上游生态屏障，保障国家生态安全。</w:t>
      </w:r>
    </w:p>
    <w:p w14:paraId="2B0F727E">
      <w:pPr>
        <w:rPr>
          <w:rFonts w:hint="eastAsia" w:ascii="Times New Roman" w:hAnsi="Times New Roman" w:eastAsia="仿宋_GB2312" w:cs="仿宋_GB2312"/>
          <w:color w:val="auto"/>
          <w:kern w:val="2"/>
          <w:sz w:val="32"/>
          <w:szCs w:val="32"/>
          <w:highlight w:val="none"/>
          <w:lang w:val="en-US" w:eastAsia="zh-CN" w:bidi="ar-SA"/>
        </w:rPr>
      </w:pPr>
    </w:p>
    <w:p w14:paraId="546B94EE">
      <w:pPr>
        <w:pStyle w:val="3"/>
        <w:keepNext/>
        <w:keepLines/>
        <w:pageBreakBefore w:val="0"/>
        <w:widowControl w:val="0"/>
        <w:numPr>
          <w:ilvl w:val="0"/>
          <w:numId w:val="0"/>
        </w:numPr>
        <w:kinsoku/>
        <w:wordWrap/>
        <w:overflowPunct/>
        <w:topLinePunct w:val="0"/>
        <w:autoSpaceDE/>
        <w:autoSpaceDN/>
        <w:bidi w:val="0"/>
        <w:adjustRightInd/>
        <w:snapToGrid/>
        <w:spacing w:line="416" w:lineRule="auto"/>
        <w:ind w:firstLine="643" w:firstLineChars="200"/>
        <w:textAlignment w:val="auto"/>
        <w:rPr>
          <w:rFonts w:hint="eastAsia" w:ascii="Times New Roman" w:hAnsi="Times New Roman" w:eastAsia="楷体_GB2312" w:cs="楷体_GB2312"/>
          <w:b/>
          <w:color w:val="auto"/>
          <w:sz w:val="32"/>
          <w:szCs w:val="32"/>
          <w:highlight w:val="none"/>
          <w:lang w:val="en-US" w:eastAsia="zh-CN"/>
        </w:rPr>
      </w:pPr>
      <w:r>
        <w:rPr>
          <w:rFonts w:hint="eastAsia" w:ascii="Times New Roman" w:hAnsi="Times New Roman" w:eastAsia="楷体_GB2312" w:cs="楷体_GB2312"/>
          <w:b/>
          <w:color w:val="auto"/>
          <w:sz w:val="32"/>
          <w:szCs w:val="32"/>
          <w:highlight w:val="none"/>
          <w:lang w:val="en-US" w:eastAsia="zh-CN"/>
        </w:rPr>
        <w:t>（二）当年取得的主要事业成效</w:t>
      </w:r>
    </w:p>
    <w:p w14:paraId="3306C93D">
      <w:pPr>
        <w:keepNext w:val="0"/>
        <w:keepLines w:val="0"/>
        <w:pageBreakBefore w:val="0"/>
        <w:widowControl w:val="0"/>
        <w:kinsoku/>
        <w:wordWrap/>
        <w:overflowPunct/>
        <w:topLinePunct w:val="0"/>
        <w:autoSpaceDE/>
        <w:autoSpaceDN/>
        <w:bidi w:val="0"/>
        <w:adjustRightInd/>
        <w:spacing w:before="0" w:beforeAutospacing="0" w:after="0" w:afterAutospacing="0" w:line="560" w:lineRule="exact"/>
        <w:ind w:left="0" w:right="0" w:firstLine="643" w:firstLineChars="200"/>
        <w:jc w:val="both"/>
        <w:textAlignment w:val="auto"/>
        <w:rPr>
          <w:rFonts w:hint="default" w:ascii="仿宋_GB2312" w:hAnsi="仿宋_GB2312" w:eastAsia="仿宋_GB2312" w:cs="仿宋_GB2312"/>
          <w:kern w:val="2"/>
          <w:sz w:val="32"/>
          <w:szCs w:val="32"/>
          <w:lang w:val="en-US" w:eastAsia="zh-CN" w:bidi="ar-SA"/>
        </w:rPr>
      </w:pPr>
      <w:r>
        <w:rPr>
          <w:rFonts w:hint="eastAsia" w:ascii="仿宋_GB2312" w:hAnsi="仿宋" w:eastAsia="仿宋_GB2312" w:cs="Times New Roman"/>
          <w:b/>
          <w:kern w:val="2"/>
          <w:sz w:val="32"/>
          <w:szCs w:val="32"/>
          <w:highlight w:val="none"/>
          <w:lang w:val="en-US" w:eastAsia="zh-CN" w:bidi="ar-SA"/>
        </w:rPr>
        <w:t>1、</w:t>
      </w:r>
      <w:r>
        <w:rPr>
          <w:rFonts w:hint="default" w:ascii="仿宋_GB2312" w:hAnsi="仿宋" w:eastAsia="仿宋_GB2312" w:cs="Times New Roman"/>
          <w:b/>
          <w:kern w:val="2"/>
          <w:sz w:val="32"/>
          <w:szCs w:val="32"/>
          <w:highlight w:val="none"/>
          <w:lang w:val="en-US" w:eastAsia="zh-CN" w:bidi="ar-SA"/>
        </w:rPr>
        <w:t>创先争优，铺开美丽建设。</w:t>
      </w:r>
      <w:r>
        <w:rPr>
          <w:rFonts w:hint="default" w:ascii="仿宋_GB2312" w:hAnsi="仿宋_GB2312" w:eastAsia="仿宋_GB2312" w:cs="仿宋_GB2312"/>
          <w:kern w:val="2"/>
          <w:sz w:val="32"/>
          <w:szCs w:val="32"/>
          <w:lang w:val="en-US" w:eastAsia="zh-CN" w:bidi="ar-SA"/>
        </w:rPr>
        <w:t>把建设宜居宜业的美丽阿坝作为惠民利民工程，让人民群众真切感受自然之美、生活之美。</w:t>
      </w:r>
    </w:p>
    <w:p w14:paraId="197B7539">
      <w:pPr>
        <w:keepNext w:val="0"/>
        <w:keepLines w:val="0"/>
        <w:pageBreakBefore w:val="0"/>
        <w:widowControl w:val="0"/>
        <w:kinsoku/>
        <w:wordWrap/>
        <w:overflowPunct/>
        <w:topLinePunct w:val="0"/>
        <w:autoSpaceDE/>
        <w:autoSpaceDN/>
        <w:bidi w:val="0"/>
        <w:adjustRightInd/>
        <w:spacing w:before="0" w:beforeAutospacing="0" w:after="0" w:afterAutospacing="0" w:line="560" w:lineRule="exact"/>
        <w:ind w:left="0" w:right="0" w:firstLine="640" w:firstLineChars="200"/>
        <w:jc w:val="both"/>
        <w:textAlignment w:val="auto"/>
        <w:rPr>
          <w:rFonts w:hint="default" w:ascii="仿宋_GB2312" w:hAnsi="仿宋_GB2312" w:eastAsia="仿宋_GB2312" w:cs="仿宋_GB2312"/>
          <w:kern w:val="2"/>
          <w:sz w:val="32"/>
          <w:szCs w:val="32"/>
          <w:lang w:val="en-US" w:eastAsia="zh-CN" w:bidi="ar-SA"/>
        </w:rPr>
      </w:pPr>
      <w:r>
        <w:rPr>
          <w:rFonts w:hint="default" w:ascii="仿宋_GB2312" w:hAnsi="仿宋_GB2312" w:eastAsia="仿宋_GB2312" w:cs="仿宋_GB2312"/>
          <w:kern w:val="2"/>
          <w:sz w:val="32"/>
          <w:szCs w:val="32"/>
          <w:lang w:val="en-US" w:eastAsia="zh-CN" w:bidi="ar-SA"/>
        </w:rPr>
        <w:t>一是做细制度设计。印发《“五美”建设工作方案（2025年-2027年）》等指导性文件，</w:t>
      </w:r>
      <w:r>
        <w:rPr>
          <w:rFonts w:hint="eastAsia" w:ascii="仿宋_GB2312" w:hAnsi="仿宋_GB2312" w:eastAsia="仿宋_GB2312" w:cs="仿宋_GB2312"/>
          <w:kern w:val="2"/>
          <w:sz w:val="32"/>
          <w:szCs w:val="32"/>
          <w:lang w:val="en-US" w:eastAsia="zh-CN" w:bidi="ar-SA"/>
        </w:rPr>
        <w:t>创新提出指标、任务、项目、政策和标志性成果5张清单。</w:t>
      </w:r>
      <w:r>
        <w:rPr>
          <w:rFonts w:hint="default" w:ascii="仿宋_GB2312" w:hAnsi="仿宋_GB2312" w:eastAsia="仿宋_GB2312" w:cs="仿宋_GB2312"/>
          <w:kern w:val="2"/>
          <w:sz w:val="32"/>
          <w:szCs w:val="32"/>
          <w:lang w:val="en-US" w:eastAsia="zh-CN" w:bidi="ar-SA"/>
        </w:rPr>
        <w:t>二是做优向上申报。《阿坝州美丽河湖保护与建设项目实施方案》</w:t>
      </w:r>
      <w:r>
        <w:rPr>
          <w:rFonts w:hint="eastAsia" w:ascii="仿宋_GB2312" w:hAnsi="仿宋_GB2312" w:eastAsia="仿宋_GB2312" w:cs="仿宋_GB2312"/>
          <w:kern w:val="2"/>
          <w:sz w:val="32"/>
          <w:szCs w:val="32"/>
          <w:lang w:val="en-US" w:eastAsia="zh-CN" w:bidi="ar-SA"/>
        </w:rPr>
        <w:t>等</w:t>
      </w:r>
      <w:r>
        <w:rPr>
          <w:rFonts w:hint="default" w:ascii="仿宋_GB2312" w:hAnsi="仿宋_GB2312" w:eastAsia="仿宋_GB2312" w:cs="仿宋_GB2312"/>
          <w:kern w:val="2"/>
          <w:sz w:val="32"/>
          <w:szCs w:val="32"/>
          <w:lang w:val="en-US" w:eastAsia="zh-CN" w:bidi="ar-SA"/>
        </w:rPr>
        <w:t>获得专家高度评价，白河（九寨沟）入选省级美丽河湖优秀案例，汶川获评省级美丽乡村重点县，整州被确定为省级美丽城市建设试点。三是做实美丽元素。丰富美丽城市、美丽山川、美丽河湖、美丽乡村、美丽公路等美丽细胞，通报美丽建设案例58个，建设生态文明建设示范点12个。</w:t>
      </w:r>
    </w:p>
    <w:p w14:paraId="2DEF0117">
      <w:pPr>
        <w:keepNext w:val="0"/>
        <w:keepLines w:val="0"/>
        <w:pageBreakBefore w:val="0"/>
        <w:widowControl w:val="0"/>
        <w:kinsoku/>
        <w:wordWrap/>
        <w:overflowPunct/>
        <w:topLinePunct w:val="0"/>
        <w:autoSpaceDE/>
        <w:autoSpaceDN/>
        <w:bidi w:val="0"/>
        <w:adjustRightInd/>
        <w:spacing w:before="0" w:beforeAutospacing="0" w:after="0" w:afterAutospacing="0" w:line="560" w:lineRule="exact"/>
        <w:ind w:left="0" w:right="0" w:firstLine="643" w:firstLineChars="200"/>
        <w:jc w:val="both"/>
        <w:textAlignment w:val="auto"/>
        <w:rPr>
          <w:rFonts w:hint="default" w:ascii="仿宋_GB2312" w:hAnsi="仿宋_GB2312" w:eastAsia="仿宋_GB2312" w:cs="仿宋_GB2312"/>
          <w:kern w:val="2"/>
          <w:sz w:val="32"/>
          <w:szCs w:val="32"/>
          <w:lang w:val="en-US" w:eastAsia="zh-CN" w:bidi="ar-SA"/>
        </w:rPr>
      </w:pPr>
      <w:r>
        <w:rPr>
          <w:rFonts w:hint="eastAsia" w:ascii="仿宋_GB2312" w:hAnsi="仿宋" w:eastAsia="仿宋_GB2312" w:cs="Times New Roman"/>
          <w:b/>
          <w:kern w:val="2"/>
          <w:sz w:val="32"/>
          <w:szCs w:val="32"/>
          <w:highlight w:val="none"/>
          <w:lang w:val="en-US" w:eastAsia="zh-CN" w:bidi="ar-SA"/>
        </w:rPr>
        <w:t>2、</w:t>
      </w:r>
      <w:r>
        <w:rPr>
          <w:rFonts w:hint="default" w:ascii="仿宋_GB2312" w:hAnsi="仿宋" w:eastAsia="仿宋_GB2312" w:cs="Times New Roman"/>
          <w:b/>
          <w:kern w:val="2"/>
          <w:sz w:val="32"/>
          <w:szCs w:val="32"/>
          <w:highlight w:val="none"/>
          <w:lang w:val="en-US" w:eastAsia="zh-CN" w:bidi="ar-SA"/>
        </w:rPr>
        <w:t>降排减污，深化污染防治。</w:t>
      </w:r>
      <w:r>
        <w:rPr>
          <w:rFonts w:hint="default" w:ascii="仿宋_GB2312" w:hAnsi="仿宋_GB2312" w:eastAsia="仿宋_GB2312" w:cs="仿宋_GB2312"/>
          <w:kern w:val="2"/>
          <w:sz w:val="32"/>
          <w:szCs w:val="32"/>
          <w:lang w:val="en-US" w:eastAsia="zh-CN" w:bidi="ar-SA"/>
        </w:rPr>
        <w:t>深入推进污染防治攻坚战，主要污染物总量不断降低，超额完成“十四五”减排任务。一是打好蓝天保卫战。创新治理烧烤散户、民俗煨桑等分散点位烟尘，全州环境空气质量综合指数1.87，排位全国第9、全省第2。小金、黑水、金川、理县、松潘等5县进入全省县级排位前10。二是打好碧水保卫战。全面开展入河排污口整治“回头看”专项行动，完成6个入河排污口审批，28个国省考断面全面达到Ⅱ类以上标准，水质达标率和优良率100%。108个乡镇及以上集中式饮用水水源地水质全部达到Ⅲ类及以上标准，达标率100%。三是打好净土保卫战。推进土壤污染调查评估、源头治理及安全利用，溯源汶川等10个县的农用地土壤污染，完成8家企业强制性清洁生产审核，土壤污染源头管控率100%，农用地、建设用地污染地块安全利用率100%。四是打好固废歼灭战。将1357个单位纳入“无废四川”系统管理，完成4户矿山、5座尾矿库（堆场）规范化整治，调查评估18个新污染物川渝联合调查点位，固废废物及危险废物管理水平得到显著提升。</w:t>
      </w:r>
    </w:p>
    <w:p w14:paraId="64BFF3B4">
      <w:pPr>
        <w:keepNext w:val="0"/>
        <w:keepLines w:val="0"/>
        <w:pageBreakBefore w:val="0"/>
        <w:widowControl w:val="0"/>
        <w:kinsoku/>
        <w:wordWrap/>
        <w:overflowPunct/>
        <w:topLinePunct w:val="0"/>
        <w:autoSpaceDE/>
        <w:autoSpaceDN/>
        <w:bidi w:val="0"/>
        <w:adjustRightInd/>
        <w:spacing w:before="0" w:beforeAutospacing="0" w:after="0" w:afterAutospacing="0" w:line="560" w:lineRule="exact"/>
        <w:ind w:left="0" w:right="0" w:firstLine="643" w:firstLineChars="200"/>
        <w:jc w:val="both"/>
        <w:textAlignment w:val="auto"/>
        <w:rPr>
          <w:rFonts w:hint="default" w:ascii="仿宋_GB2312" w:hAnsi="仿宋_GB2312" w:eastAsia="仿宋_GB2312" w:cs="仿宋_GB2312"/>
          <w:kern w:val="2"/>
          <w:sz w:val="32"/>
          <w:szCs w:val="32"/>
          <w:lang w:val="en-US" w:eastAsia="zh-CN" w:bidi="ar-SA"/>
        </w:rPr>
      </w:pPr>
      <w:r>
        <w:rPr>
          <w:rFonts w:hint="eastAsia" w:ascii="仿宋_GB2312" w:hAnsi="仿宋" w:eastAsia="仿宋_GB2312" w:cs="Times New Roman"/>
          <w:b/>
          <w:kern w:val="2"/>
          <w:sz w:val="32"/>
          <w:szCs w:val="32"/>
          <w:highlight w:val="none"/>
          <w:lang w:val="en-US" w:eastAsia="zh-CN" w:bidi="ar-SA"/>
        </w:rPr>
        <w:t>3、</w:t>
      </w:r>
      <w:r>
        <w:rPr>
          <w:rFonts w:hint="default" w:ascii="仿宋_GB2312" w:hAnsi="仿宋" w:eastAsia="仿宋_GB2312" w:cs="Times New Roman"/>
          <w:b/>
          <w:kern w:val="2"/>
          <w:sz w:val="32"/>
          <w:szCs w:val="32"/>
          <w:highlight w:val="none"/>
          <w:lang w:val="en-US" w:eastAsia="zh-CN" w:bidi="ar-SA"/>
        </w:rPr>
        <w:t>助力“双碳”，服务绿色发展。</w:t>
      </w:r>
      <w:r>
        <w:rPr>
          <w:rFonts w:hint="default" w:ascii="仿宋_GB2312" w:hAnsi="仿宋_GB2312" w:eastAsia="仿宋_GB2312" w:cs="仿宋_GB2312"/>
          <w:kern w:val="2"/>
          <w:sz w:val="32"/>
          <w:szCs w:val="32"/>
          <w:lang w:val="en-US" w:eastAsia="zh-CN" w:bidi="ar-SA"/>
        </w:rPr>
        <w:t>以保护生态为前提服务发展，推动两者的良性互动与相互转化。一是优质高效保障要素。为全州重大基础设施、民生工程、清洁能源开发等开通绿色通道，建立重大项目环评服务保障台账，完成2个规划环评审查，85个项目环评审批。审核143家排污单位排污执行报告，核发排污许可证7个、延续变更51个。二是主动应对气候变化。参与全州生态系统碳汇资源评估，落地草地、湿地碳汇监测与评估项目</w:t>
      </w:r>
      <w:r>
        <w:rPr>
          <w:rFonts w:hint="eastAsia" w:ascii="仿宋_GB2312" w:hAnsi="仿宋_GB2312" w:eastAsia="仿宋_GB2312" w:cs="仿宋_GB2312"/>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完成2024年温室气体清单编制，碳排放状况和目标全面达标，州碳排放总量及强度处于全省最低。三是积极谋划争取项目。组织申报入库项目15个，资金执行率</w:t>
      </w:r>
      <w:r>
        <w:rPr>
          <w:rFonts w:hint="eastAsia" w:ascii="仿宋_GB2312" w:hAnsi="仿宋_GB2312" w:eastAsia="仿宋_GB2312" w:cs="仿宋_GB2312"/>
          <w:kern w:val="2"/>
          <w:sz w:val="32"/>
          <w:szCs w:val="32"/>
          <w:lang w:val="en-US" w:eastAsia="zh-CN" w:bidi="ar-SA"/>
        </w:rPr>
        <w:t>整体</w:t>
      </w:r>
      <w:r>
        <w:rPr>
          <w:rFonts w:hint="default" w:ascii="仿宋_GB2312" w:hAnsi="仿宋_GB2312" w:eastAsia="仿宋_GB2312" w:cs="仿宋_GB2312"/>
          <w:kern w:val="2"/>
          <w:sz w:val="32"/>
          <w:szCs w:val="32"/>
          <w:lang w:val="en-US" w:eastAsia="zh-CN" w:bidi="ar-SA"/>
        </w:rPr>
        <w:t>提升至70%以上。2025年，全州生态环境行业到位中央、省级和州级预算资金共4.07亿元，达到历史同期最高值。谋划5个“十五五”规划项目，含152个子项目，总概算161.97亿元。</w:t>
      </w:r>
    </w:p>
    <w:p w14:paraId="37732AB4">
      <w:pPr>
        <w:keepNext w:val="0"/>
        <w:keepLines w:val="0"/>
        <w:pageBreakBefore w:val="0"/>
        <w:widowControl w:val="0"/>
        <w:kinsoku/>
        <w:wordWrap/>
        <w:overflowPunct/>
        <w:topLinePunct w:val="0"/>
        <w:autoSpaceDE/>
        <w:autoSpaceDN/>
        <w:bidi w:val="0"/>
        <w:adjustRightInd/>
        <w:spacing w:before="0" w:beforeAutospacing="0" w:after="0" w:afterAutospacing="0" w:line="560" w:lineRule="exact"/>
        <w:ind w:left="0" w:right="0" w:firstLine="643" w:firstLineChars="200"/>
        <w:jc w:val="both"/>
        <w:textAlignment w:val="auto"/>
        <w:rPr>
          <w:rFonts w:hint="default" w:ascii="仿宋_GB2312" w:hAnsi="仿宋_GB2312" w:eastAsia="仿宋_GB2312" w:cs="仿宋_GB2312"/>
          <w:kern w:val="2"/>
          <w:sz w:val="32"/>
          <w:szCs w:val="32"/>
          <w:lang w:val="en-US" w:eastAsia="zh-CN" w:bidi="ar-SA"/>
        </w:rPr>
      </w:pPr>
      <w:r>
        <w:rPr>
          <w:rFonts w:hint="eastAsia" w:ascii="仿宋_GB2312" w:hAnsi="仿宋" w:eastAsia="仿宋_GB2312" w:cs="Times New Roman"/>
          <w:b/>
          <w:kern w:val="2"/>
          <w:sz w:val="32"/>
          <w:szCs w:val="32"/>
          <w:highlight w:val="none"/>
          <w:lang w:val="en-US" w:eastAsia="zh-CN" w:bidi="ar-SA"/>
        </w:rPr>
        <w:t>4、</w:t>
      </w:r>
      <w:r>
        <w:rPr>
          <w:rFonts w:hint="default" w:ascii="仿宋_GB2312" w:hAnsi="仿宋" w:eastAsia="仿宋_GB2312" w:cs="Times New Roman"/>
          <w:b/>
          <w:kern w:val="2"/>
          <w:sz w:val="32"/>
          <w:szCs w:val="32"/>
          <w:highlight w:val="none"/>
          <w:lang w:val="en-US" w:eastAsia="zh-CN" w:bidi="ar-SA"/>
        </w:rPr>
        <w:t>守牢底线，筑牢安全屏障。</w:t>
      </w:r>
      <w:r>
        <w:rPr>
          <w:rFonts w:hint="default" w:ascii="仿宋_GB2312" w:hAnsi="仿宋_GB2312" w:eastAsia="仿宋_GB2312" w:cs="仿宋_GB2312"/>
          <w:kern w:val="2"/>
          <w:sz w:val="32"/>
          <w:szCs w:val="32"/>
          <w:lang w:val="en-US" w:eastAsia="zh-CN" w:bidi="ar-SA"/>
        </w:rPr>
        <w:t>坚持以问题为导向，有效防范化解各类生态环境风险，生态安全防线更加稳固。一是从严整改问题。顺利迎接第三轮省级生态环境保护督察，编制印发中央督察整改任务细化清单，开展“百日大会战”整改活动，各类上级反馈生态环境问题839项，已完成824项，完成率98%。二是维护生态环境安全。开展“大渡河”流域联防联控应急演练，组织黄河突发环境事件应急演练桌面推演</w:t>
      </w:r>
      <w:r>
        <w:rPr>
          <w:rFonts w:hint="eastAsia" w:ascii="仿宋_GB2312" w:hAnsi="仿宋_GB2312" w:eastAsia="仿宋_GB2312" w:cs="仿宋_GB2312"/>
          <w:kern w:val="2"/>
          <w:sz w:val="32"/>
          <w:szCs w:val="32"/>
          <w:lang w:val="en-US" w:eastAsia="zh-CN" w:bidi="ar-SA"/>
        </w:rPr>
        <w:t>；</w:t>
      </w:r>
      <w:r>
        <w:rPr>
          <w:rFonts w:hint="default" w:ascii="仿宋_GB2312" w:hAnsi="仿宋_GB2312" w:eastAsia="仿宋_GB2312" w:cs="仿宋_GB2312"/>
          <w:kern w:val="2"/>
          <w:sz w:val="32"/>
          <w:szCs w:val="32"/>
          <w:lang w:val="en-US" w:eastAsia="zh-CN" w:bidi="ar-SA"/>
        </w:rPr>
        <w:t>办理</w:t>
      </w:r>
      <w:r>
        <w:rPr>
          <w:rFonts w:hint="eastAsia" w:ascii="仿宋_GB2312" w:hAnsi="仿宋_GB2312" w:eastAsia="仿宋_GB2312" w:cs="仿宋_GB2312"/>
          <w:kern w:val="2"/>
          <w:sz w:val="32"/>
          <w:szCs w:val="32"/>
          <w:lang w:val="en-US" w:eastAsia="zh-CN" w:bidi="ar-SA"/>
        </w:rPr>
        <w:t>群众</w:t>
      </w:r>
      <w:r>
        <w:rPr>
          <w:rFonts w:hint="default" w:ascii="仿宋_GB2312" w:hAnsi="仿宋_GB2312" w:eastAsia="仿宋_GB2312" w:cs="仿宋_GB2312"/>
          <w:kern w:val="2"/>
          <w:sz w:val="32"/>
          <w:szCs w:val="32"/>
          <w:lang w:val="en-US" w:eastAsia="zh-CN" w:bidi="ar-SA"/>
        </w:rPr>
        <w:t>信访事项19件，整治环境隐患问题72个，全年未发生生态环境事件。三是严格核与辐射监管。严守审批权限与程序，审批辐射类项目环评13个，审批辐射安全许可19家。开展通信基站环境保护监督帮扶，10名专业技术人员取得辐射监测资质。</w:t>
      </w:r>
    </w:p>
    <w:p w14:paraId="6979DE60">
      <w:pPr>
        <w:pStyle w:val="16"/>
        <w:keepNext w:val="0"/>
        <w:keepLines w:val="0"/>
        <w:pageBreakBefore w:val="0"/>
        <w:widowControl w:val="0"/>
        <w:kinsoku/>
        <w:wordWrap/>
        <w:overflowPunct/>
        <w:topLinePunct w:val="0"/>
        <w:autoSpaceDE/>
        <w:autoSpaceDN/>
        <w:bidi w:val="0"/>
        <w:adjustRightInd/>
        <w:snapToGrid w:val="0"/>
        <w:spacing w:line="560" w:lineRule="exact"/>
        <w:ind w:firstLine="643" w:firstLineChars="200"/>
        <w:textAlignment w:val="auto"/>
        <w:rPr>
          <w:rFonts w:hint="default" w:ascii="仿宋_GB2312" w:hAnsi="仿宋_GB2312" w:eastAsia="仿宋_GB2312" w:cs="仿宋_GB2312"/>
          <w:kern w:val="2"/>
          <w:sz w:val="32"/>
          <w:szCs w:val="32"/>
          <w:lang w:val="en-US" w:eastAsia="zh-CN" w:bidi="ar-SA"/>
        </w:rPr>
      </w:pPr>
      <w:r>
        <w:rPr>
          <w:rFonts w:hint="eastAsia" w:ascii="仿宋_GB2312" w:hAnsi="仿宋" w:eastAsia="仿宋_GB2312" w:cs="Times New Roman"/>
          <w:b/>
          <w:kern w:val="2"/>
          <w:sz w:val="32"/>
          <w:szCs w:val="32"/>
          <w:highlight w:val="none"/>
          <w:lang w:val="en-US" w:eastAsia="zh-CN" w:bidi="ar-SA"/>
        </w:rPr>
        <w:t>5、</w:t>
      </w:r>
      <w:r>
        <w:rPr>
          <w:rFonts w:hint="default" w:ascii="仿宋_GB2312" w:hAnsi="仿宋" w:eastAsia="仿宋_GB2312" w:cs="Times New Roman"/>
          <w:b/>
          <w:kern w:val="2"/>
          <w:sz w:val="32"/>
          <w:szCs w:val="32"/>
          <w:highlight w:val="none"/>
          <w:lang w:val="en-US" w:eastAsia="zh-CN" w:bidi="ar-SA"/>
        </w:rPr>
        <w:t>党建引领，夯实基础支撑。</w:t>
      </w:r>
      <w:r>
        <w:rPr>
          <w:rFonts w:hint="default" w:ascii="仿宋_GB2312" w:hAnsi="仿宋_GB2312" w:eastAsia="仿宋_GB2312" w:cs="仿宋_GB2312"/>
          <w:kern w:val="2"/>
          <w:sz w:val="32"/>
          <w:szCs w:val="32"/>
          <w:lang w:val="en-US" w:eastAsia="zh-CN" w:bidi="ar-SA"/>
        </w:rPr>
        <w:t>推进党建和业务深度融合，进一步提升治理保护能力和水平。一是坚持党的领导。扎实开展深入贯彻中央八项规定精神学习教育，召开警示教育会2场次，整治突出问题9个，开办“环保大讲堂”3期，主题党日活动11次。组织完成局机关党委、直属支部和群团组织换届选举工作，组建成立局妇委会。二是坚持深化改革。全省首批片区环境监测站，阿坝州岷江、大渡河流域环境监测站挂牌运行；首批片区环境执法队正式开展跨区域执法监管，现场检查同比减少43.4%，全年立案查处环境违法案件57件，罚款740万元。三是坚持宣传引导。开展“六五环境日”“全国低碳日”等主题活动，召开新闻发布会</w:t>
      </w:r>
      <w:r>
        <w:rPr>
          <w:rFonts w:hint="eastAsia" w:ascii="仿宋_GB2312" w:hAnsi="仿宋_GB2312" w:eastAsia="仿宋_GB2312" w:cs="仿宋_GB2312"/>
          <w:kern w:val="2"/>
          <w:sz w:val="32"/>
          <w:szCs w:val="32"/>
          <w:lang w:val="en-US" w:eastAsia="zh-CN" w:bidi="ar-SA"/>
        </w:rPr>
        <w:t>4</w:t>
      </w:r>
      <w:r>
        <w:rPr>
          <w:rFonts w:hint="default" w:ascii="仿宋_GB2312" w:hAnsi="仿宋_GB2312" w:eastAsia="仿宋_GB2312" w:cs="仿宋_GB2312"/>
          <w:kern w:val="2"/>
          <w:sz w:val="32"/>
          <w:szCs w:val="32"/>
          <w:lang w:val="en-US" w:eastAsia="zh-CN" w:bidi="ar-SA"/>
        </w:rPr>
        <w:t>次，依托“马背宣讲队”“黄河护卫队”等到村进寨入企普法宣传43次，组织“阿坝环保世纪行”集中采风活动，10余家央省媒体刊发报道35条。</w:t>
      </w:r>
    </w:p>
    <w:p w14:paraId="0EB8A650">
      <w:pPr>
        <w:pStyle w:val="17"/>
        <w:rPr>
          <w:rFonts w:hint="eastAsia"/>
        </w:rPr>
      </w:pPr>
    </w:p>
    <w:bookmarkEnd w:id="24"/>
    <w:p w14:paraId="44DBFB2A">
      <w:pPr>
        <w:pStyle w:val="3"/>
        <w:pageBreakBefore w:val="0"/>
        <w:widowControl w:val="0"/>
        <w:kinsoku/>
        <w:wordWrap/>
        <w:overflowPunct/>
        <w:topLinePunct w:val="0"/>
        <w:autoSpaceDE/>
        <w:autoSpaceDN/>
        <w:bidi w:val="0"/>
        <w:adjustRightInd/>
        <w:spacing w:line="560" w:lineRule="exact"/>
        <w:ind w:firstLine="640" w:firstLineChars="200"/>
        <w:textAlignment w:val="auto"/>
        <w:rPr>
          <w:rFonts w:ascii="黑体" w:hAnsi="黑体" w:eastAsia="黑体"/>
          <w:b w:val="0"/>
        </w:rPr>
      </w:pPr>
      <w:bookmarkStart w:id="25" w:name="_Toc8515"/>
      <w:r>
        <w:rPr>
          <w:rFonts w:hint="eastAsia" w:ascii="黑体" w:hAnsi="黑体" w:eastAsia="黑体"/>
          <w:b w:val="0"/>
        </w:rPr>
        <w:t>二、机构设置</w:t>
      </w:r>
      <w:bookmarkEnd w:id="25"/>
    </w:p>
    <w:bookmarkEnd w:id="20"/>
    <w:bookmarkEnd w:id="21"/>
    <w:p w14:paraId="1BFFF931">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default"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阿坝州生态环境局部门下属二级预算单位28个，其中行政单位14个，参照公务员法管理的事业单位0个，其他事业单位14个。</w:t>
      </w:r>
    </w:p>
    <w:p w14:paraId="1A4AD0B0">
      <w:pPr>
        <w:pStyle w:val="7"/>
        <w:keepNext w:val="0"/>
        <w:keepLines w:val="0"/>
        <w:pageBreakBefore w:val="0"/>
        <w:widowControl w:val="0"/>
        <w:kinsoku/>
        <w:wordWrap/>
        <w:overflowPunct/>
        <w:topLinePunct w:val="0"/>
        <w:autoSpaceDE/>
        <w:autoSpaceDN/>
        <w:bidi w:val="0"/>
        <w:adjustRightInd w:val="0"/>
        <w:snapToGrid w:val="0"/>
        <w:spacing w:before="93" w:line="560" w:lineRule="exact"/>
        <w:ind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纳入阿坝州生态环境局2025年度部门决算编制范围的二级预算单位包括：</w:t>
      </w:r>
    </w:p>
    <w:p w14:paraId="517C1735">
      <w:pPr>
        <w:pStyle w:val="7"/>
        <w:keepNext w:val="0"/>
        <w:keepLines w:val="0"/>
        <w:pageBreakBefore w:val="0"/>
        <w:widowControl w:val="0"/>
        <w:numPr>
          <w:ilvl w:val="0"/>
          <w:numId w:val="2"/>
        </w:numPr>
        <w:kinsoku/>
        <w:wordWrap/>
        <w:overflowPunct/>
        <w:topLinePunct w:val="0"/>
        <w:autoSpaceDE/>
        <w:autoSpaceDN/>
        <w:bidi w:val="0"/>
        <w:adjustRightInd w:val="0"/>
        <w:snapToGrid/>
        <w:spacing w:before="93" w:line="560" w:lineRule="exact"/>
        <w:ind w:left="-108" w:leftChars="0" w:firstLine="640" w:firstLineChars="200"/>
        <w:textAlignment w:val="auto"/>
        <w:outlineLvl w:val="2"/>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阿坝州生态环境局</w:t>
      </w:r>
    </w:p>
    <w:p w14:paraId="6C848014">
      <w:pPr>
        <w:pStyle w:val="7"/>
        <w:keepNext w:val="0"/>
        <w:keepLines w:val="0"/>
        <w:pageBreakBefore w:val="0"/>
        <w:widowControl w:val="0"/>
        <w:numPr>
          <w:ilvl w:val="0"/>
          <w:numId w:val="2"/>
        </w:numPr>
        <w:kinsoku/>
        <w:wordWrap/>
        <w:overflowPunct/>
        <w:topLinePunct w:val="0"/>
        <w:autoSpaceDE/>
        <w:autoSpaceDN/>
        <w:bidi w:val="0"/>
        <w:adjustRightInd w:val="0"/>
        <w:snapToGrid/>
        <w:spacing w:before="93" w:line="560" w:lineRule="exact"/>
        <w:ind w:left="-108" w:leftChars="0" w:firstLine="640" w:firstLineChars="200"/>
        <w:textAlignment w:val="auto"/>
        <w:outlineLvl w:val="2"/>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阿坝州小金县生态环境局</w:t>
      </w:r>
    </w:p>
    <w:p w14:paraId="1DCB4189">
      <w:pPr>
        <w:pStyle w:val="7"/>
        <w:keepNext w:val="0"/>
        <w:keepLines w:val="0"/>
        <w:pageBreakBefore w:val="0"/>
        <w:widowControl w:val="0"/>
        <w:numPr>
          <w:ilvl w:val="0"/>
          <w:numId w:val="2"/>
        </w:numPr>
        <w:kinsoku/>
        <w:wordWrap/>
        <w:overflowPunct/>
        <w:topLinePunct w:val="0"/>
        <w:autoSpaceDE/>
        <w:autoSpaceDN/>
        <w:bidi w:val="0"/>
        <w:adjustRightInd w:val="0"/>
        <w:snapToGrid/>
        <w:spacing w:before="93" w:line="560" w:lineRule="exact"/>
        <w:ind w:left="-108" w:leftChars="0" w:firstLine="640" w:firstLineChars="200"/>
        <w:textAlignment w:val="auto"/>
        <w:outlineLvl w:val="2"/>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阿坝州小金县生态环境监测站</w:t>
      </w:r>
    </w:p>
    <w:p w14:paraId="03394289">
      <w:pPr>
        <w:pStyle w:val="7"/>
        <w:keepNext w:val="0"/>
        <w:keepLines w:val="0"/>
        <w:pageBreakBefore w:val="0"/>
        <w:widowControl w:val="0"/>
        <w:numPr>
          <w:ilvl w:val="0"/>
          <w:numId w:val="2"/>
        </w:numPr>
        <w:kinsoku/>
        <w:wordWrap/>
        <w:overflowPunct/>
        <w:topLinePunct w:val="0"/>
        <w:autoSpaceDE/>
        <w:autoSpaceDN/>
        <w:bidi w:val="0"/>
        <w:adjustRightInd w:val="0"/>
        <w:snapToGrid/>
        <w:spacing w:before="93" w:line="560" w:lineRule="exact"/>
        <w:ind w:left="-108" w:leftChars="0" w:firstLine="640" w:firstLineChars="200"/>
        <w:textAlignment w:val="auto"/>
        <w:outlineLvl w:val="2"/>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阿坝州理县生态环境局</w:t>
      </w:r>
    </w:p>
    <w:p w14:paraId="6CD0E70A">
      <w:pPr>
        <w:pStyle w:val="7"/>
        <w:keepNext w:val="0"/>
        <w:keepLines w:val="0"/>
        <w:pageBreakBefore w:val="0"/>
        <w:widowControl w:val="0"/>
        <w:numPr>
          <w:ilvl w:val="0"/>
          <w:numId w:val="2"/>
        </w:numPr>
        <w:kinsoku/>
        <w:wordWrap/>
        <w:overflowPunct/>
        <w:topLinePunct w:val="0"/>
        <w:autoSpaceDE/>
        <w:autoSpaceDN/>
        <w:bidi w:val="0"/>
        <w:adjustRightInd w:val="0"/>
        <w:snapToGrid/>
        <w:spacing w:before="93" w:line="560" w:lineRule="exact"/>
        <w:ind w:left="-108" w:leftChars="0" w:firstLine="640" w:firstLineChars="200"/>
        <w:textAlignment w:val="auto"/>
        <w:outlineLvl w:val="2"/>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阿坝州理县生态环境监测站</w:t>
      </w:r>
    </w:p>
    <w:p w14:paraId="3F635C4D">
      <w:pPr>
        <w:pStyle w:val="7"/>
        <w:keepNext w:val="0"/>
        <w:keepLines w:val="0"/>
        <w:pageBreakBefore w:val="0"/>
        <w:widowControl w:val="0"/>
        <w:numPr>
          <w:ilvl w:val="0"/>
          <w:numId w:val="2"/>
        </w:numPr>
        <w:kinsoku/>
        <w:wordWrap/>
        <w:overflowPunct/>
        <w:topLinePunct w:val="0"/>
        <w:autoSpaceDE/>
        <w:autoSpaceDN/>
        <w:bidi w:val="0"/>
        <w:adjustRightInd w:val="0"/>
        <w:snapToGrid/>
        <w:spacing w:before="93" w:line="560" w:lineRule="exact"/>
        <w:ind w:left="-108" w:leftChars="0" w:firstLine="640" w:firstLineChars="200"/>
        <w:textAlignment w:val="auto"/>
        <w:outlineLvl w:val="2"/>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阿坝州金川县生态环境局</w:t>
      </w:r>
    </w:p>
    <w:p w14:paraId="77CAE6ED">
      <w:pPr>
        <w:pStyle w:val="7"/>
        <w:keepNext w:val="0"/>
        <w:keepLines w:val="0"/>
        <w:pageBreakBefore w:val="0"/>
        <w:widowControl w:val="0"/>
        <w:numPr>
          <w:ilvl w:val="0"/>
          <w:numId w:val="2"/>
        </w:numPr>
        <w:kinsoku/>
        <w:wordWrap/>
        <w:overflowPunct/>
        <w:topLinePunct w:val="0"/>
        <w:autoSpaceDE/>
        <w:autoSpaceDN/>
        <w:bidi w:val="0"/>
        <w:adjustRightInd w:val="0"/>
        <w:snapToGrid/>
        <w:spacing w:before="93" w:line="560" w:lineRule="exact"/>
        <w:ind w:left="-108" w:leftChars="0" w:firstLine="640" w:firstLineChars="200"/>
        <w:textAlignment w:val="auto"/>
        <w:outlineLvl w:val="2"/>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阿坝州金川县生态环境监测站</w:t>
      </w:r>
    </w:p>
    <w:p w14:paraId="7A2DBEA9">
      <w:pPr>
        <w:pStyle w:val="7"/>
        <w:keepNext w:val="0"/>
        <w:keepLines w:val="0"/>
        <w:pageBreakBefore w:val="0"/>
        <w:widowControl w:val="0"/>
        <w:numPr>
          <w:ilvl w:val="0"/>
          <w:numId w:val="2"/>
        </w:numPr>
        <w:kinsoku/>
        <w:wordWrap/>
        <w:overflowPunct/>
        <w:topLinePunct w:val="0"/>
        <w:autoSpaceDE/>
        <w:autoSpaceDN/>
        <w:bidi w:val="0"/>
        <w:adjustRightInd w:val="0"/>
        <w:snapToGrid/>
        <w:spacing w:before="93" w:line="560" w:lineRule="exact"/>
        <w:ind w:left="-108" w:leftChars="0" w:firstLine="640" w:firstLineChars="200"/>
        <w:textAlignment w:val="auto"/>
        <w:outlineLvl w:val="2"/>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阿坝州黑水县生态环境局</w:t>
      </w:r>
    </w:p>
    <w:p w14:paraId="1C9EE9E1">
      <w:pPr>
        <w:pStyle w:val="7"/>
        <w:keepNext w:val="0"/>
        <w:keepLines w:val="0"/>
        <w:pageBreakBefore w:val="0"/>
        <w:widowControl w:val="0"/>
        <w:numPr>
          <w:ilvl w:val="0"/>
          <w:numId w:val="2"/>
        </w:numPr>
        <w:kinsoku/>
        <w:wordWrap/>
        <w:overflowPunct/>
        <w:topLinePunct w:val="0"/>
        <w:autoSpaceDE/>
        <w:autoSpaceDN/>
        <w:bidi w:val="0"/>
        <w:adjustRightInd w:val="0"/>
        <w:snapToGrid/>
        <w:spacing w:before="93" w:line="560" w:lineRule="exact"/>
        <w:ind w:left="-108" w:leftChars="0" w:firstLine="640" w:firstLineChars="200"/>
        <w:textAlignment w:val="auto"/>
        <w:outlineLvl w:val="2"/>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阿坝州黑水县生态环境监测站</w:t>
      </w:r>
    </w:p>
    <w:p w14:paraId="39B1EED1">
      <w:pPr>
        <w:pStyle w:val="7"/>
        <w:keepNext w:val="0"/>
        <w:keepLines w:val="0"/>
        <w:pageBreakBefore w:val="0"/>
        <w:widowControl w:val="0"/>
        <w:numPr>
          <w:ilvl w:val="0"/>
          <w:numId w:val="2"/>
        </w:numPr>
        <w:kinsoku/>
        <w:wordWrap/>
        <w:overflowPunct/>
        <w:topLinePunct w:val="0"/>
        <w:autoSpaceDE/>
        <w:autoSpaceDN/>
        <w:bidi w:val="0"/>
        <w:adjustRightInd w:val="0"/>
        <w:snapToGrid/>
        <w:spacing w:before="93" w:line="560" w:lineRule="exact"/>
        <w:ind w:left="-108" w:leftChars="0" w:firstLine="640" w:firstLineChars="200"/>
        <w:textAlignment w:val="auto"/>
        <w:outlineLvl w:val="2"/>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阿坝州红原县生态环境局</w:t>
      </w:r>
    </w:p>
    <w:p w14:paraId="392DD321">
      <w:pPr>
        <w:pStyle w:val="7"/>
        <w:keepNext w:val="0"/>
        <w:keepLines w:val="0"/>
        <w:pageBreakBefore w:val="0"/>
        <w:widowControl w:val="0"/>
        <w:numPr>
          <w:ilvl w:val="0"/>
          <w:numId w:val="2"/>
        </w:numPr>
        <w:kinsoku/>
        <w:wordWrap/>
        <w:overflowPunct/>
        <w:topLinePunct w:val="0"/>
        <w:autoSpaceDE/>
        <w:autoSpaceDN/>
        <w:bidi w:val="0"/>
        <w:adjustRightInd w:val="0"/>
        <w:snapToGrid/>
        <w:spacing w:before="93" w:line="560" w:lineRule="exact"/>
        <w:ind w:left="-108" w:leftChars="0" w:firstLine="640" w:firstLineChars="200"/>
        <w:textAlignment w:val="auto"/>
        <w:outlineLvl w:val="2"/>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阿坝州红原县生态环境监测站</w:t>
      </w:r>
    </w:p>
    <w:p w14:paraId="67897E23">
      <w:pPr>
        <w:pStyle w:val="7"/>
        <w:keepNext w:val="0"/>
        <w:keepLines w:val="0"/>
        <w:pageBreakBefore w:val="0"/>
        <w:widowControl w:val="0"/>
        <w:numPr>
          <w:ilvl w:val="0"/>
          <w:numId w:val="2"/>
        </w:numPr>
        <w:kinsoku/>
        <w:wordWrap/>
        <w:overflowPunct/>
        <w:topLinePunct w:val="0"/>
        <w:autoSpaceDE/>
        <w:autoSpaceDN/>
        <w:bidi w:val="0"/>
        <w:adjustRightInd w:val="0"/>
        <w:snapToGrid/>
        <w:spacing w:before="93" w:line="560" w:lineRule="exact"/>
        <w:ind w:left="-108" w:leftChars="0" w:firstLine="640" w:firstLineChars="200"/>
        <w:textAlignment w:val="auto"/>
        <w:outlineLvl w:val="2"/>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阿坝州九寨沟县生态环境局</w:t>
      </w:r>
    </w:p>
    <w:p w14:paraId="2B80AA08">
      <w:pPr>
        <w:pStyle w:val="7"/>
        <w:keepNext w:val="0"/>
        <w:keepLines w:val="0"/>
        <w:pageBreakBefore w:val="0"/>
        <w:widowControl w:val="0"/>
        <w:numPr>
          <w:ilvl w:val="0"/>
          <w:numId w:val="2"/>
        </w:numPr>
        <w:kinsoku/>
        <w:wordWrap/>
        <w:overflowPunct/>
        <w:topLinePunct w:val="0"/>
        <w:autoSpaceDE/>
        <w:autoSpaceDN/>
        <w:bidi w:val="0"/>
        <w:adjustRightInd w:val="0"/>
        <w:snapToGrid/>
        <w:spacing w:before="93" w:line="560" w:lineRule="exact"/>
        <w:ind w:left="-108" w:leftChars="0" w:firstLine="640" w:firstLineChars="200"/>
        <w:textAlignment w:val="auto"/>
        <w:outlineLvl w:val="2"/>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阿坝州九寨沟生态环境监测站</w:t>
      </w:r>
    </w:p>
    <w:p w14:paraId="42EBE995">
      <w:pPr>
        <w:pStyle w:val="7"/>
        <w:keepNext w:val="0"/>
        <w:keepLines w:val="0"/>
        <w:pageBreakBefore w:val="0"/>
        <w:widowControl w:val="0"/>
        <w:numPr>
          <w:ilvl w:val="0"/>
          <w:numId w:val="2"/>
        </w:numPr>
        <w:kinsoku/>
        <w:wordWrap/>
        <w:overflowPunct/>
        <w:topLinePunct w:val="0"/>
        <w:autoSpaceDE/>
        <w:autoSpaceDN/>
        <w:bidi w:val="0"/>
        <w:adjustRightInd w:val="0"/>
        <w:snapToGrid/>
        <w:spacing w:before="93" w:line="560" w:lineRule="exact"/>
        <w:ind w:left="-108" w:leftChars="0" w:firstLine="640" w:firstLineChars="200"/>
        <w:textAlignment w:val="auto"/>
        <w:outlineLvl w:val="2"/>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阿坝州茂县生态环境局</w:t>
      </w:r>
    </w:p>
    <w:p w14:paraId="6F6E91B5">
      <w:pPr>
        <w:pStyle w:val="7"/>
        <w:keepNext w:val="0"/>
        <w:keepLines w:val="0"/>
        <w:pageBreakBefore w:val="0"/>
        <w:widowControl w:val="0"/>
        <w:numPr>
          <w:ilvl w:val="0"/>
          <w:numId w:val="2"/>
        </w:numPr>
        <w:kinsoku/>
        <w:wordWrap/>
        <w:overflowPunct/>
        <w:topLinePunct w:val="0"/>
        <w:autoSpaceDE/>
        <w:autoSpaceDN/>
        <w:bidi w:val="0"/>
        <w:adjustRightInd w:val="0"/>
        <w:snapToGrid/>
        <w:spacing w:before="93" w:line="560" w:lineRule="exact"/>
        <w:ind w:left="-108" w:leftChars="0" w:firstLine="640" w:firstLineChars="200"/>
        <w:textAlignment w:val="auto"/>
        <w:outlineLvl w:val="2"/>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阿坝州茂县生态环境监测站</w:t>
      </w:r>
    </w:p>
    <w:p w14:paraId="14B8BD70">
      <w:pPr>
        <w:pStyle w:val="7"/>
        <w:keepNext w:val="0"/>
        <w:keepLines w:val="0"/>
        <w:pageBreakBefore w:val="0"/>
        <w:widowControl w:val="0"/>
        <w:numPr>
          <w:ilvl w:val="0"/>
          <w:numId w:val="2"/>
        </w:numPr>
        <w:kinsoku/>
        <w:wordWrap/>
        <w:overflowPunct/>
        <w:topLinePunct w:val="0"/>
        <w:autoSpaceDE/>
        <w:autoSpaceDN/>
        <w:bidi w:val="0"/>
        <w:adjustRightInd w:val="0"/>
        <w:snapToGrid/>
        <w:spacing w:before="93" w:line="560" w:lineRule="exact"/>
        <w:ind w:left="-108" w:leftChars="0" w:firstLine="640" w:firstLineChars="200"/>
        <w:textAlignment w:val="auto"/>
        <w:outlineLvl w:val="2"/>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阿坝州壤塘县生态环境局</w:t>
      </w:r>
    </w:p>
    <w:p w14:paraId="329EB3C9">
      <w:pPr>
        <w:pStyle w:val="7"/>
        <w:keepNext w:val="0"/>
        <w:keepLines w:val="0"/>
        <w:pageBreakBefore w:val="0"/>
        <w:widowControl w:val="0"/>
        <w:numPr>
          <w:ilvl w:val="0"/>
          <w:numId w:val="2"/>
        </w:numPr>
        <w:kinsoku/>
        <w:wordWrap/>
        <w:overflowPunct/>
        <w:topLinePunct w:val="0"/>
        <w:autoSpaceDE/>
        <w:autoSpaceDN/>
        <w:bidi w:val="0"/>
        <w:adjustRightInd w:val="0"/>
        <w:snapToGrid/>
        <w:spacing w:before="93" w:line="560" w:lineRule="exact"/>
        <w:ind w:left="-108" w:leftChars="0" w:firstLine="640" w:firstLineChars="200"/>
        <w:textAlignment w:val="auto"/>
        <w:outlineLvl w:val="2"/>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阿坝州壤塘县生态环境监测站</w:t>
      </w:r>
    </w:p>
    <w:p w14:paraId="374E7E77">
      <w:pPr>
        <w:pStyle w:val="7"/>
        <w:keepNext w:val="0"/>
        <w:keepLines w:val="0"/>
        <w:pageBreakBefore w:val="0"/>
        <w:widowControl w:val="0"/>
        <w:numPr>
          <w:ilvl w:val="0"/>
          <w:numId w:val="2"/>
        </w:numPr>
        <w:kinsoku/>
        <w:wordWrap/>
        <w:overflowPunct/>
        <w:topLinePunct w:val="0"/>
        <w:autoSpaceDE/>
        <w:autoSpaceDN/>
        <w:bidi w:val="0"/>
        <w:adjustRightInd w:val="0"/>
        <w:snapToGrid/>
        <w:spacing w:before="93" w:line="560" w:lineRule="exact"/>
        <w:ind w:left="-108" w:leftChars="0" w:firstLine="640" w:firstLineChars="200"/>
        <w:textAlignment w:val="auto"/>
        <w:outlineLvl w:val="2"/>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阿坝州若尔盖县生态环境局</w:t>
      </w:r>
    </w:p>
    <w:p w14:paraId="48739EDB">
      <w:pPr>
        <w:pStyle w:val="7"/>
        <w:keepNext w:val="0"/>
        <w:keepLines w:val="0"/>
        <w:pageBreakBefore w:val="0"/>
        <w:widowControl w:val="0"/>
        <w:numPr>
          <w:ilvl w:val="0"/>
          <w:numId w:val="2"/>
        </w:numPr>
        <w:kinsoku/>
        <w:wordWrap/>
        <w:overflowPunct/>
        <w:topLinePunct w:val="0"/>
        <w:autoSpaceDE/>
        <w:autoSpaceDN/>
        <w:bidi w:val="0"/>
        <w:adjustRightInd w:val="0"/>
        <w:snapToGrid/>
        <w:spacing w:before="93" w:line="560" w:lineRule="exact"/>
        <w:ind w:left="-108" w:leftChars="0" w:firstLine="640" w:firstLineChars="200"/>
        <w:textAlignment w:val="auto"/>
        <w:outlineLvl w:val="2"/>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阿坝州若尔盖生态环境监测站</w:t>
      </w:r>
    </w:p>
    <w:p w14:paraId="018897A3">
      <w:pPr>
        <w:pStyle w:val="7"/>
        <w:keepNext w:val="0"/>
        <w:keepLines w:val="0"/>
        <w:pageBreakBefore w:val="0"/>
        <w:widowControl w:val="0"/>
        <w:numPr>
          <w:ilvl w:val="0"/>
          <w:numId w:val="2"/>
        </w:numPr>
        <w:kinsoku/>
        <w:wordWrap/>
        <w:overflowPunct/>
        <w:topLinePunct w:val="0"/>
        <w:autoSpaceDE/>
        <w:autoSpaceDN/>
        <w:bidi w:val="0"/>
        <w:adjustRightInd w:val="0"/>
        <w:snapToGrid/>
        <w:spacing w:before="93" w:line="560" w:lineRule="exact"/>
        <w:ind w:left="-108" w:leftChars="0" w:firstLine="640" w:firstLineChars="200"/>
        <w:textAlignment w:val="auto"/>
        <w:outlineLvl w:val="2"/>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阿坝州松潘县生态环境局</w:t>
      </w:r>
    </w:p>
    <w:p w14:paraId="7FE1B292">
      <w:pPr>
        <w:pStyle w:val="7"/>
        <w:keepNext w:val="0"/>
        <w:keepLines w:val="0"/>
        <w:pageBreakBefore w:val="0"/>
        <w:widowControl w:val="0"/>
        <w:numPr>
          <w:ilvl w:val="0"/>
          <w:numId w:val="2"/>
        </w:numPr>
        <w:kinsoku/>
        <w:wordWrap/>
        <w:overflowPunct/>
        <w:topLinePunct w:val="0"/>
        <w:autoSpaceDE/>
        <w:autoSpaceDN/>
        <w:bidi w:val="0"/>
        <w:adjustRightInd w:val="0"/>
        <w:snapToGrid/>
        <w:spacing w:before="93" w:line="560" w:lineRule="exact"/>
        <w:ind w:left="-108" w:leftChars="0" w:firstLine="640" w:firstLineChars="200"/>
        <w:textAlignment w:val="auto"/>
        <w:outlineLvl w:val="2"/>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阿坝州松潘县生态环境监测站</w:t>
      </w:r>
    </w:p>
    <w:p w14:paraId="05BEDD6A">
      <w:pPr>
        <w:pStyle w:val="7"/>
        <w:keepNext w:val="0"/>
        <w:keepLines w:val="0"/>
        <w:pageBreakBefore w:val="0"/>
        <w:widowControl w:val="0"/>
        <w:numPr>
          <w:ilvl w:val="0"/>
          <w:numId w:val="2"/>
        </w:numPr>
        <w:kinsoku/>
        <w:wordWrap/>
        <w:overflowPunct/>
        <w:topLinePunct w:val="0"/>
        <w:autoSpaceDE/>
        <w:autoSpaceDN/>
        <w:bidi w:val="0"/>
        <w:adjustRightInd w:val="0"/>
        <w:snapToGrid/>
        <w:spacing w:before="93" w:line="560" w:lineRule="exact"/>
        <w:ind w:left="-108" w:leftChars="0" w:firstLine="640" w:firstLineChars="200"/>
        <w:textAlignment w:val="auto"/>
        <w:outlineLvl w:val="2"/>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阿坝州阿坝县生态环境局</w:t>
      </w:r>
    </w:p>
    <w:p w14:paraId="4C31CDF2">
      <w:pPr>
        <w:pStyle w:val="7"/>
        <w:keepNext w:val="0"/>
        <w:keepLines w:val="0"/>
        <w:pageBreakBefore w:val="0"/>
        <w:widowControl w:val="0"/>
        <w:numPr>
          <w:ilvl w:val="0"/>
          <w:numId w:val="2"/>
        </w:numPr>
        <w:kinsoku/>
        <w:wordWrap/>
        <w:overflowPunct/>
        <w:topLinePunct w:val="0"/>
        <w:autoSpaceDE/>
        <w:autoSpaceDN/>
        <w:bidi w:val="0"/>
        <w:adjustRightInd w:val="0"/>
        <w:snapToGrid/>
        <w:spacing w:before="93" w:line="560" w:lineRule="exact"/>
        <w:ind w:left="-108" w:leftChars="0" w:firstLine="640" w:firstLineChars="200"/>
        <w:textAlignment w:val="auto"/>
        <w:outlineLvl w:val="2"/>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阿坝州阿坝县生态环境监测站</w:t>
      </w:r>
    </w:p>
    <w:p w14:paraId="6CB3ED33">
      <w:pPr>
        <w:pStyle w:val="7"/>
        <w:keepNext w:val="0"/>
        <w:keepLines w:val="0"/>
        <w:pageBreakBefore w:val="0"/>
        <w:widowControl w:val="0"/>
        <w:numPr>
          <w:ilvl w:val="0"/>
          <w:numId w:val="2"/>
        </w:numPr>
        <w:kinsoku/>
        <w:wordWrap/>
        <w:overflowPunct/>
        <w:topLinePunct w:val="0"/>
        <w:autoSpaceDE/>
        <w:autoSpaceDN/>
        <w:bidi w:val="0"/>
        <w:adjustRightInd w:val="0"/>
        <w:snapToGrid/>
        <w:spacing w:before="93" w:line="560" w:lineRule="exact"/>
        <w:ind w:left="-108" w:leftChars="0" w:firstLine="640" w:firstLineChars="200"/>
        <w:textAlignment w:val="auto"/>
        <w:outlineLvl w:val="2"/>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阿坝州汶川县生态环境局</w:t>
      </w:r>
    </w:p>
    <w:p w14:paraId="79FE3F08">
      <w:pPr>
        <w:pStyle w:val="7"/>
        <w:keepNext w:val="0"/>
        <w:keepLines w:val="0"/>
        <w:pageBreakBefore w:val="0"/>
        <w:widowControl w:val="0"/>
        <w:numPr>
          <w:ilvl w:val="0"/>
          <w:numId w:val="2"/>
        </w:numPr>
        <w:kinsoku/>
        <w:wordWrap/>
        <w:overflowPunct/>
        <w:topLinePunct w:val="0"/>
        <w:autoSpaceDE/>
        <w:autoSpaceDN/>
        <w:bidi w:val="0"/>
        <w:adjustRightInd w:val="0"/>
        <w:snapToGrid/>
        <w:spacing w:before="93" w:line="560" w:lineRule="exact"/>
        <w:ind w:left="-108" w:leftChars="0" w:firstLine="640" w:firstLineChars="200"/>
        <w:textAlignment w:val="auto"/>
        <w:outlineLvl w:val="2"/>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阿坝州汶川县生态环境监测站</w:t>
      </w:r>
    </w:p>
    <w:p w14:paraId="54807C6F">
      <w:pPr>
        <w:pStyle w:val="7"/>
        <w:keepNext w:val="0"/>
        <w:keepLines w:val="0"/>
        <w:pageBreakBefore w:val="0"/>
        <w:widowControl w:val="0"/>
        <w:numPr>
          <w:ilvl w:val="0"/>
          <w:numId w:val="2"/>
        </w:numPr>
        <w:kinsoku/>
        <w:wordWrap/>
        <w:overflowPunct/>
        <w:topLinePunct w:val="0"/>
        <w:autoSpaceDE/>
        <w:autoSpaceDN/>
        <w:bidi w:val="0"/>
        <w:adjustRightInd w:val="0"/>
        <w:snapToGrid/>
        <w:spacing w:before="93" w:line="560" w:lineRule="exact"/>
        <w:ind w:left="-108" w:leftChars="0" w:firstLine="640" w:firstLineChars="200"/>
        <w:textAlignment w:val="auto"/>
        <w:outlineLvl w:val="2"/>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阿坝州马尔康县生态环境局</w:t>
      </w:r>
    </w:p>
    <w:p w14:paraId="3D095342">
      <w:pPr>
        <w:pStyle w:val="7"/>
        <w:keepNext w:val="0"/>
        <w:keepLines w:val="0"/>
        <w:pageBreakBefore w:val="0"/>
        <w:widowControl w:val="0"/>
        <w:numPr>
          <w:ilvl w:val="0"/>
          <w:numId w:val="2"/>
        </w:numPr>
        <w:kinsoku/>
        <w:wordWrap/>
        <w:overflowPunct/>
        <w:topLinePunct w:val="0"/>
        <w:autoSpaceDE/>
        <w:autoSpaceDN/>
        <w:bidi w:val="0"/>
        <w:adjustRightInd w:val="0"/>
        <w:snapToGrid/>
        <w:spacing w:before="93" w:line="560" w:lineRule="exact"/>
        <w:ind w:left="-108" w:leftChars="0" w:firstLine="640" w:firstLineChars="200"/>
        <w:textAlignment w:val="auto"/>
        <w:outlineLvl w:val="2"/>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阿坝州马尔康县生态环境监测站</w:t>
      </w:r>
    </w:p>
    <w:p w14:paraId="1233F60F">
      <w:pPr>
        <w:pStyle w:val="7"/>
        <w:keepNext w:val="0"/>
        <w:keepLines w:val="0"/>
        <w:pageBreakBefore w:val="0"/>
        <w:widowControl w:val="0"/>
        <w:numPr>
          <w:ilvl w:val="0"/>
          <w:numId w:val="2"/>
        </w:numPr>
        <w:kinsoku/>
        <w:wordWrap/>
        <w:overflowPunct/>
        <w:topLinePunct w:val="0"/>
        <w:autoSpaceDE/>
        <w:autoSpaceDN/>
        <w:bidi w:val="0"/>
        <w:adjustRightInd w:val="0"/>
        <w:snapToGrid/>
        <w:spacing w:before="93" w:line="560" w:lineRule="exact"/>
        <w:ind w:left="-108" w:leftChars="0" w:firstLine="640" w:firstLineChars="200"/>
        <w:textAlignment w:val="auto"/>
        <w:outlineLvl w:val="2"/>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阿坝州</w:t>
      </w:r>
      <w:r>
        <w:rPr>
          <w:rFonts w:hint="eastAsia" w:hAnsi="仿宋_GB2312" w:cs="仿宋_GB2312"/>
          <w:color w:val="auto"/>
          <w:sz w:val="32"/>
          <w:szCs w:val="32"/>
          <w:highlight w:val="none"/>
          <w:lang w:val="en-US" w:eastAsia="zh-CN"/>
        </w:rPr>
        <w:t>生态环境综合服务中心</w:t>
      </w:r>
    </w:p>
    <w:p w14:paraId="5F8B9A2A">
      <w:pPr>
        <w:widowControl/>
        <w:jc w:val="left"/>
        <w:rPr>
          <w:rFonts w:ascii="仿宋" w:hAnsi="仿宋" w:eastAsia="仿宋"/>
          <w:kern w:val="0"/>
          <w:sz w:val="32"/>
          <w:szCs w:val="32"/>
        </w:rPr>
      </w:pPr>
      <w:r>
        <w:rPr>
          <w:rFonts w:ascii="仿宋" w:hAnsi="仿宋" w:eastAsia="仿宋"/>
          <w:sz w:val="32"/>
          <w:szCs w:val="32"/>
        </w:rPr>
        <w:br w:type="page"/>
      </w:r>
    </w:p>
    <w:p w14:paraId="6851DCCC">
      <w:pPr>
        <w:pStyle w:val="2"/>
        <w:jc w:val="center"/>
        <w:rPr>
          <w:rFonts w:hint="eastAsia" w:ascii="Times New Roman" w:hAnsi="Times New Roman" w:eastAsia="方正小标宋简体" w:cs="方正小标宋简体"/>
          <w:b w:val="0"/>
          <w:color w:val="auto"/>
          <w:highlight w:val="none"/>
        </w:rPr>
      </w:pPr>
      <w:bookmarkStart w:id="26" w:name="_Toc31038"/>
      <w:bookmarkStart w:id="27" w:name="_Toc15396602"/>
      <w:bookmarkStart w:id="28" w:name="_Toc15377204"/>
      <w:r>
        <w:rPr>
          <w:rFonts w:hint="eastAsia" w:ascii="Times New Roman" w:hAnsi="Times New Roman" w:eastAsia="方正小标宋简体" w:cs="方正小标宋简体"/>
          <w:b w:val="0"/>
          <w:color w:val="auto"/>
          <w:highlight w:val="none"/>
        </w:rPr>
        <w:t xml:space="preserve">第二部分 </w:t>
      </w:r>
      <w:r>
        <w:rPr>
          <w:rFonts w:hint="eastAsia" w:ascii="Times New Roman" w:hAnsi="Times New Roman" w:eastAsia="方正小标宋简体" w:cs="方正小标宋简体"/>
          <w:b w:val="0"/>
          <w:color w:val="auto"/>
          <w:highlight w:val="none"/>
          <w:lang w:eastAsia="zh-CN"/>
        </w:rPr>
        <w:t>2025</w:t>
      </w:r>
      <w:r>
        <w:rPr>
          <w:rFonts w:hint="eastAsia" w:ascii="Times New Roman" w:hAnsi="Times New Roman" w:eastAsia="方正小标宋简体" w:cs="方正小标宋简体"/>
          <w:b w:val="0"/>
          <w:color w:val="auto"/>
          <w:highlight w:val="none"/>
        </w:rPr>
        <w:t>年度</w:t>
      </w:r>
      <w:r>
        <w:rPr>
          <w:rFonts w:hint="eastAsia" w:eastAsia="方正小标宋简体" w:cs="方正小标宋简体"/>
          <w:b w:val="0"/>
          <w:color w:val="auto"/>
          <w:highlight w:val="none"/>
          <w:lang w:val="en-US" w:eastAsia="zh-CN"/>
        </w:rPr>
        <w:t>部门</w:t>
      </w:r>
      <w:r>
        <w:rPr>
          <w:rFonts w:hint="eastAsia" w:ascii="Times New Roman" w:hAnsi="Times New Roman" w:eastAsia="方正小标宋简体" w:cs="方正小标宋简体"/>
          <w:b w:val="0"/>
          <w:color w:val="auto"/>
          <w:highlight w:val="none"/>
        </w:rPr>
        <w:t>决算情况说明</w:t>
      </w:r>
      <w:bookmarkEnd w:id="26"/>
      <w:bookmarkEnd w:id="27"/>
      <w:bookmarkEnd w:id="28"/>
    </w:p>
    <w:p w14:paraId="46992E66"/>
    <w:p w14:paraId="03671063">
      <w:pPr>
        <w:pStyle w:val="33"/>
        <w:numPr>
          <w:ilvl w:val="0"/>
          <w:numId w:val="3"/>
        </w:numPr>
        <w:spacing w:line="600" w:lineRule="exact"/>
        <w:ind w:firstLineChars="0"/>
        <w:outlineLvl w:val="1"/>
        <w:rPr>
          <w:rStyle w:val="35"/>
          <w:rFonts w:ascii="黑体" w:hAnsi="黑体" w:eastAsia="黑体"/>
          <w:b w:val="0"/>
        </w:rPr>
      </w:pPr>
      <w:bookmarkStart w:id="29" w:name="_Toc15396603"/>
      <w:bookmarkStart w:id="30" w:name="_Toc30007"/>
      <w:bookmarkStart w:id="31" w:name="_Toc15377205"/>
      <w:r>
        <w:rPr>
          <w:rFonts w:hint="eastAsia" w:ascii="黑体" w:hAnsi="黑体" w:eastAsia="黑体"/>
          <w:sz w:val="32"/>
          <w:szCs w:val="32"/>
        </w:rPr>
        <w:t>收</w:t>
      </w:r>
      <w:r>
        <w:rPr>
          <w:rStyle w:val="35"/>
          <w:rFonts w:hint="eastAsia" w:ascii="黑体" w:hAnsi="黑体" w:eastAsia="黑体"/>
          <w:b w:val="0"/>
        </w:rPr>
        <w:t>入支出决算总体情况说明</w:t>
      </w:r>
      <w:bookmarkEnd w:id="29"/>
      <w:bookmarkEnd w:id="30"/>
      <w:bookmarkEnd w:id="31"/>
    </w:p>
    <w:p w14:paraId="12BF3343">
      <w:pPr>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2025年度收入总计为22766.82万元。与2024年度相比，收入总计</w:t>
      </w:r>
      <w:r>
        <w:rPr>
          <w:rFonts w:hint="eastAsia" w:eastAsia="仿宋_GB2312" w:cs="仿宋_GB2312"/>
          <w:color w:val="auto"/>
          <w:kern w:val="2"/>
          <w:sz w:val="32"/>
          <w:szCs w:val="32"/>
          <w:highlight w:val="none"/>
          <w:lang w:val="en-US" w:eastAsia="zh-CN" w:bidi="ar-SA"/>
        </w:rPr>
        <w:t>减少</w:t>
      </w:r>
      <w:r>
        <w:rPr>
          <w:rFonts w:hint="eastAsia" w:ascii="Times New Roman" w:hAnsi="Times New Roman" w:eastAsia="仿宋_GB2312" w:cs="仿宋_GB2312"/>
          <w:color w:val="auto"/>
          <w:kern w:val="2"/>
          <w:sz w:val="32"/>
          <w:szCs w:val="32"/>
          <w:highlight w:val="none"/>
          <w:lang w:val="en-US" w:eastAsia="zh-CN" w:bidi="ar-SA"/>
        </w:rPr>
        <w:t>7258.42万元，</w:t>
      </w:r>
      <w:r>
        <w:rPr>
          <w:rFonts w:hint="eastAsia" w:eastAsia="仿宋_GB2312" w:cs="仿宋_GB2312"/>
          <w:color w:val="auto"/>
          <w:kern w:val="2"/>
          <w:sz w:val="32"/>
          <w:szCs w:val="32"/>
          <w:highlight w:val="none"/>
          <w:lang w:val="en-US" w:eastAsia="zh-CN" w:bidi="ar-SA"/>
        </w:rPr>
        <w:t>减少</w:t>
      </w:r>
      <w:r>
        <w:rPr>
          <w:rFonts w:hint="eastAsia" w:ascii="Times New Roman" w:hAnsi="Times New Roman" w:eastAsia="仿宋_GB2312" w:cs="仿宋_GB2312"/>
          <w:color w:val="auto"/>
          <w:kern w:val="2"/>
          <w:sz w:val="32"/>
          <w:szCs w:val="32"/>
          <w:highlight w:val="none"/>
          <w:lang w:val="en-US" w:eastAsia="zh-CN" w:bidi="ar-SA"/>
        </w:rPr>
        <w:t>24.17%。主要变动原因是本年项目</w:t>
      </w:r>
      <w:r>
        <w:rPr>
          <w:rFonts w:hint="eastAsia" w:eastAsia="仿宋_GB2312" w:cs="仿宋_GB2312"/>
          <w:color w:val="auto"/>
          <w:kern w:val="2"/>
          <w:sz w:val="32"/>
          <w:szCs w:val="32"/>
          <w:highlight w:val="none"/>
          <w:lang w:val="en-US" w:eastAsia="zh-CN" w:bidi="ar-SA"/>
        </w:rPr>
        <w:t>经费</w:t>
      </w:r>
      <w:r>
        <w:rPr>
          <w:rFonts w:hint="eastAsia" w:ascii="Times New Roman" w:hAnsi="Times New Roman" w:eastAsia="仿宋_GB2312" w:cs="仿宋_GB2312"/>
          <w:color w:val="auto"/>
          <w:kern w:val="2"/>
          <w:sz w:val="32"/>
          <w:szCs w:val="32"/>
          <w:highlight w:val="none"/>
          <w:lang w:val="en-US" w:eastAsia="zh-CN" w:bidi="ar-SA"/>
        </w:rPr>
        <w:t>减少</w:t>
      </w:r>
      <w:r>
        <w:rPr>
          <w:rFonts w:hint="eastAsia" w:eastAsia="仿宋_GB2312" w:cs="仿宋_GB2312"/>
          <w:color w:val="auto"/>
          <w:kern w:val="2"/>
          <w:sz w:val="32"/>
          <w:szCs w:val="32"/>
          <w:highlight w:val="none"/>
          <w:lang w:val="en-US" w:eastAsia="zh-CN" w:bidi="ar-SA"/>
        </w:rPr>
        <w:t>。</w:t>
      </w:r>
    </w:p>
    <w:p w14:paraId="601A059D">
      <w:pPr>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2025年度支出总计为23788.46万元。与2024年度相比，支出总计</w:t>
      </w:r>
      <w:r>
        <w:rPr>
          <w:rFonts w:hint="eastAsia" w:eastAsia="仿宋_GB2312" w:cs="仿宋_GB2312"/>
          <w:color w:val="auto"/>
          <w:kern w:val="2"/>
          <w:sz w:val="32"/>
          <w:szCs w:val="32"/>
          <w:highlight w:val="none"/>
          <w:lang w:val="en-US" w:eastAsia="zh-CN" w:bidi="ar-SA"/>
        </w:rPr>
        <w:t>减少</w:t>
      </w:r>
      <w:r>
        <w:rPr>
          <w:rFonts w:hint="eastAsia" w:ascii="Times New Roman" w:hAnsi="Times New Roman" w:eastAsia="仿宋_GB2312" w:cs="仿宋_GB2312"/>
          <w:color w:val="auto"/>
          <w:kern w:val="2"/>
          <w:sz w:val="32"/>
          <w:szCs w:val="32"/>
          <w:highlight w:val="none"/>
          <w:lang w:val="en-US" w:eastAsia="zh-CN" w:bidi="ar-SA"/>
        </w:rPr>
        <w:t>3652.71万元，</w:t>
      </w:r>
      <w:r>
        <w:rPr>
          <w:rFonts w:hint="eastAsia" w:eastAsia="仿宋_GB2312" w:cs="仿宋_GB2312"/>
          <w:color w:val="auto"/>
          <w:kern w:val="2"/>
          <w:sz w:val="32"/>
          <w:szCs w:val="32"/>
          <w:highlight w:val="none"/>
          <w:lang w:val="en-US" w:eastAsia="zh-CN" w:bidi="ar-SA"/>
        </w:rPr>
        <w:t>减少</w:t>
      </w:r>
      <w:r>
        <w:rPr>
          <w:rFonts w:hint="eastAsia" w:ascii="Times New Roman" w:hAnsi="Times New Roman" w:eastAsia="仿宋_GB2312" w:cs="仿宋_GB2312"/>
          <w:color w:val="auto"/>
          <w:kern w:val="2"/>
          <w:sz w:val="32"/>
          <w:szCs w:val="32"/>
          <w:highlight w:val="none"/>
          <w:lang w:val="en-US" w:eastAsia="zh-CN" w:bidi="ar-SA"/>
        </w:rPr>
        <w:t>13.31%。主要变动原因是本年项目</w:t>
      </w:r>
      <w:r>
        <w:rPr>
          <w:rFonts w:hint="eastAsia" w:eastAsia="仿宋_GB2312" w:cs="仿宋_GB2312"/>
          <w:color w:val="auto"/>
          <w:kern w:val="2"/>
          <w:sz w:val="32"/>
          <w:szCs w:val="32"/>
          <w:highlight w:val="none"/>
          <w:lang w:val="en-US" w:eastAsia="zh-CN" w:bidi="ar-SA"/>
        </w:rPr>
        <w:t>经费</w:t>
      </w:r>
      <w:r>
        <w:rPr>
          <w:rFonts w:hint="eastAsia" w:ascii="Times New Roman" w:hAnsi="Times New Roman" w:eastAsia="仿宋_GB2312" w:cs="仿宋_GB2312"/>
          <w:color w:val="auto"/>
          <w:kern w:val="2"/>
          <w:sz w:val="32"/>
          <w:szCs w:val="32"/>
          <w:highlight w:val="none"/>
          <w:lang w:val="en-US" w:eastAsia="zh-CN" w:bidi="ar-SA"/>
        </w:rPr>
        <w:t>减少</w:t>
      </w:r>
      <w:r>
        <w:rPr>
          <w:rFonts w:hint="eastAsia" w:eastAsia="仿宋_GB2312" w:cs="仿宋_GB2312"/>
          <w:color w:val="auto"/>
          <w:kern w:val="2"/>
          <w:sz w:val="32"/>
          <w:szCs w:val="32"/>
          <w:highlight w:val="none"/>
          <w:lang w:val="en-US" w:eastAsia="zh-CN" w:bidi="ar-SA"/>
        </w:rPr>
        <w:t>。</w:t>
      </w:r>
    </w:p>
    <w:p w14:paraId="41730F2F">
      <w:pPr>
        <w:spacing w:line="600" w:lineRule="exact"/>
        <w:jc w:val="center"/>
        <w:rPr>
          <w:rFonts w:hint="eastAsia"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drawing>
          <wp:anchor distT="0" distB="0" distL="114300" distR="114300" simplePos="0" relativeHeight="251659264" behindDoc="0" locked="0" layoutInCell="1" allowOverlap="0">
            <wp:simplePos x="0" y="0"/>
            <wp:positionH relativeFrom="page">
              <wp:posOffset>1630680</wp:posOffset>
            </wp:positionH>
            <wp:positionV relativeFrom="line">
              <wp:posOffset>144145</wp:posOffset>
            </wp:positionV>
            <wp:extent cx="4840605" cy="3275965"/>
            <wp:effectExtent l="0" t="0" r="7620" b="635"/>
            <wp:wrapTopAndBottom/>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hint="eastAsia" w:ascii="Times New Roman" w:hAnsi="Times New Roman" w:eastAsia="仿宋_GB2312" w:cs="仿宋_GB2312"/>
          <w:color w:val="auto"/>
          <w:kern w:val="2"/>
          <w:sz w:val="32"/>
          <w:szCs w:val="32"/>
          <w:highlight w:val="none"/>
          <w:lang w:val="en-US" w:eastAsia="zh-CN" w:bidi="ar-SA"/>
        </w:rPr>
        <w:t>（图1：收入、支出决算总计变动情况图）</w:t>
      </w:r>
    </w:p>
    <w:p w14:paraId="60D6BA7C">
      <w:pPr>
        <w:spacing w:line="600" w:lineRule="exact"/>
        <w:ind w:firstLine="640" w:firstLineChars="200"/>
        <w:jc w:val="left"/>
        <w:rPr>
          <w:rFonts w:ascii="方正仿宋_GB2312" w:eastAsia="方正仿宋_GB2312"/>
          <w:sz w:val="32"/>
          <w:szCs w:val="32"/>
        </w:rPr>
      </w:pPr>
    </w:p>
    <w:p w14:paraId="67C5A1F8">
      <w:pPr>
        <w:pStyle w:val="33"/>
        <w:numPr>
          <w:ilvl w:val="0"/>
          <w:numId w:val="3"/>
        </w:numPr>
        <w:spacing w:line="600" w:lineRule="exact"/>
        <w:ind w:firstLineChars="0"/>
        <w:outlineLvl w:val="1"/>
        <w:rPr>
          <w:rStyle w:val="35"/>
          <w:rFonts w:ascii="黑体" w:hAnsi="黑体" w:eastAsia="黑体"/>
          <w:b w:val="0"/>
        </w:rPr>
      </w:pPr>
      <w:bookmarkStart w:id="32" w:name="_Toc15396604"/>
      <w:bookmarkStart w:id="33" w:name="_Toc15377206"/>
      <w:bookmarkStart w:id="34" w:name="_Toc31673"/>
      <w:r>
        <w:rPr>
          <w:rFonts w:hint="eastAsia" w:ascii="黑体" w:hAnsi="黑体" w:eastAsia="黑体"/>
          <w:sz w:val="32"/>
          <w:szCs w:val="32"/>
        </w:rPr>
        <w:t>收</w:t>
      </w:r>
      <w:r>
        <w:rPr>
          <w:rStyle w:val="35"/>
          <w:rFonts w:hint="eastAsia" w:ascii="黑体" w:hAnsi="黑体" w:eastAsia="黑体"/>
          <w:b w:val="0"/>
        </w:rPr>
        <w:t>入决算情况说明</w:t>
      </w:r>
      <w:bookmarkEnd w:id="32"/>
      <w:bookmarkEnd w:id="33"/>
      <w:bookmarkEnd w:id="34"/>
    </w:p>
    <w:p w14:paraId="0B2ACB3B">
      <w:pPr>
        <w:spacing w:line="600" w:lineRule="exact"/>
        <w:ind w:firstLine="640" w:firstLineChars="200"/>
        <w:outlineLvl w:val="1"/>
        <w:rPr>
          <w:rFonts w:hint="eastAsia" w:ascii="Times New Roman" w:hAnsi="Times New Roman" w:eastAsia="仿宋_GB2312" w:cs="仿宋_GB2312"/>
          <w:color w:val="auto"/>
          <w:kern w:val="2"/>
          <w:sz w:val="32"/>
          <w:szCs w:val="32"/>
          <w:highlight w:val="none"/>
          <w:lang w:val="en-US" w:eastAsia="zh-CN" w:bidi="ar-SA"/>
        </w:rPr>
      </w:pPr>
      <w:bookmarkStart w:id="35" w:name="_Toc9823"/>
      <w:bookmarkStart w:id="36" w:name="_Toc23502"/>
      <w:r>
        <w:rPr>
          <w:rFonts w:hint="eastAsia" w:ascii="Times New Roman" w:hAnsi="Times New Roman" w:eastAsia="仿宋_GB2312" w:cs="仿宋_GB2312"/>
          <w:color w:val="auto"/>
          <w:kern w:val="2"/>
          <w:sz w:val="32"/>
          <w:szCs w:val="32"/>
          <w:highlight w:val="none"/>
          <w:lang w:val="en-US" w:eastAsia="zh-CN" w:bidi="ar-SA"/>
        </w:rPr>
        <w:t>2025年度本年收入合计22766.82万元，其中：一般公共预算财政拨款收入15987.03万元，占</w:t>
      </w:r>
      <w:r>
        <w:rPr>
          <w:rFonts w:hint="eastAsia" w:eastAsia="仿宋_GB2312" w:cs="仿宋_GB2312"/>
          <w:color w:val="auto"/>
          <w:kern w:val="2"/>
          <w:sz w:val="32"/>
          <w:szCs w:val="32"/>
          <w:highlight w:val="none"/>
          <w:lang w:val="en-US" w:eastAsia="zh-CN" w:bidi="ar-SA"/>
        </w:rPr>
        <w:t>70.2</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其他收入6779.79万元，占</w:t>
      </w:r>
      <w:r>
        <w:rPr>
          <w:rFonts w:hint="eastAsia" w:eastAsia="仿宋_GB2312" w:cs="仿宋_GB2312"/>
          <w:color w:val="auto"/>
          <w:kern w:val="2"/>
          <w:sz w:val="32"/>
          <w:szCs w:val="32"/>
          <w:highlight w:val="none"/>
          <w:lang w:val="en-US" w:eastAsia="zh-CN" w:bidi="ar-SA"/>
        </w:rPr>
        <w:t>29.8</w:t>
      </w:r>
      <w:r>
        <w:rPr>
          <w:rFonts w:hint="eastAsia" w:ascii="Times New Roman" w:hAnsi="Times New Roman" w:eastAsia="仿宋_GB2312" w:cs="仿宋_GB2312"/>
          <w:color w:val="auto"/>
          <w:kern w:val="2"/>
          <w:sz w:val="32"/>
          <w:szCs w:val="32"/>
          <w:highlight w:val="none"/>
          <w:lang w:val="en-US" w:eastAsia="zh-CN" w:bidi="ar-SA"/>
        </w:rPr>
        <w:t>%。</w:t>
      </w:r>
      <w:bookmarkEnd w:id="35"/>
      <w:bookmarkEnd w:id="36"/>
    </w:p>
    <w:p w14:paraId="6BDAB12C">
      <w:pPr>
        <w:spacing w:line="600" w:lineRule="exact"/>
        <w:jc w:val="center"/>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anchor distT="0" distB="0" distL="114300" distR="114300" simplePos="0" relativeHeight="251660288" behindDoc="0" locked="0" layoutInCell="1" allowOverlap="1">
            <wp:simplePos x="0" y="0"/>
            <wp:positionH relativeFrom="column">
              <wp:align>center</wp:align>
            </wp:positionH>
            <wp:positionV relativeFrom="line">
              <wp:align>top</wp:align>
            </wp:positionV>
            <wp:extent cx="4733290" cy="3155315"/>
            <wp:effectExtent l="0" t="0" r="635" b="6985"/>
            <wp:wrapTopAndBottom/>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r>
        <w:rPr>
          <w:rFonts w:hint="eastAsia" w:ascii="Times New Roman" w:hAnsi="Times New Roman" w:eastAsia="仿宋_GB2312" w:cs="仿宋_GB2312"/>
          <w:color w:val="auto"/>
          <w:kern w:val="2"/>
          <w:sz w:val="32"/>
          <w:szCs w:val="32"/>
          <w:highlight w:val="none"/>
          <w:lang w:val="en-US" w:eastAsia="zh-CN" w:bidi="ar-SA"/>
        </w:rPr>
        <w:t>（图2：收入决算结构图）</w:t>
      </w:r>
    </w:p>
    <w:p w14:paraId="0E50F562">
      <w:pPr>
        <w:spacing w:line="600" w:lineRule="exact"/>
        <w:ind w:firstLine="640" w:firstLineChars="200"/>
        <w:rPr>
          <w:rFonts w:ascii="方正仿宋_GB2312" w:eastAsia="方正仿宋_GB2312"/>
          <w:sz w:val="32"/>
          <w:szCs w:val="32"/>
        </w:rPr>
      </w:pPr>
    </w:p>
    <w:p w14:paraId="508D7CCB">
      <w:pPr>
        <w:pStyle w:val="33"/>
        <w:numPr>
          <w:ilvl w:val="0"/>
          <w:numId w:val="3"/>
        </w:numPr>
        <w:spacing w:line="600" w:lineRule="exact"/>
        <w:ind w:firstLineChars="0"/>
        <w:outlineLvl w:val="1"/>
        <w:rPr>
          <w:rStyle w:val="35"/>
          <w:rFonts w:ascii="黑体" w:hAnsi="黑体" w:eastAsia="黑体"/>
          <w:b w:val="0"/>
        </w:rPr>
      </w:pPr>
      <w:bookmarkStart w:id="37" w:name="_Toc9118"/>
      <w:bookmarkStart w:id="38" w:name="_Toc15396605"/>
      <w:bookmarkStart w:id="39" w:name="_Toc15377207"/>
      <w:r>
        <w:rPr>
          <w:rFonts w:hint="eastAsia" w:ascii="黑体" w:hAnsi="黑体" w:eastAsia="黑体"/>
          <w:sz w:val="32"/>
          <w:szCs w:val="32"/>
        </w:rPr>
        <w:t>支</w:t>
      </w:r>
      <w:r>
        <w:rPr>
          <w:rStyle w:val="35"/>
          <w:rFonts w:hint="eastAsia" w:ascii="黑体" w:hAnsi="黑体" w:eastAsia="黑体"/>
          <w:b w:val="0"/>
        </w:rPr>
        <w:t>出决算情况说明</w:t>
      </w:r>
      <w:bookmarkEnd w:id="37"/>
      <w:bookmarkEnd w:id="38"/>
      <w:bookmarkEnd w:id="39"/>
    </w:p>
    <w:p w14:paraId="4DE040CC">
      <w:pPr>
        <w:spacing w:line="600" w:lineRule="exact"/>
        <w:ind w:firstLine="640" w:firstLineChars="200"/>
        <w:outlineLvl w:val="1"/>
        <w:rPr>
          <w:rFonts w:hint="eastAsia" w:ascii="Times New Roman" w:hAnsi="Times New Roman" w:eastAsia="仿宋_GB2312" w:cs="仿宋_GB2312"/>
          <w:color w:val="auto"/>
          <w:kern w:val="2"/>
          <w:sz w:val="32"/>
          <w:szCs w:val="32"/>
          <w:highlight w:val="none"/>
          <w:lang w:val="en-US" w:eastAsia="zh-CN" w:bidi="ar-SA"/>
        </w:rPr>
      </w:pPr>
      <w:bookmarkStart w:id="40" w:name="_Toc22649"/>
      <w:bookmarkStart w:id="41" w:name="_Toc19773"/>
      <w:r>
        <w:rPr>
          <w:rFonts w:hint="eastAsia" w:ascii="Times New Roman" w:hAnsi="Times New Roman" w:eastAsia="仿宋_GB2312" w:cs="仿宋_GB2312"/>
          <w:color w:val="auto"/>
          <w:kern w:val="2"/>
          <w:sz w:val="32"/>
          <w:szCs w:val="32"/>
          <w:highlight w:val="none"/>
          <w:lang w:val="en-US" w:eastAsia="zh-CN" w:bidi="ar-SA"/>
        </w:rPr>
        <w:t>2025年度本年支出合计23788.46万元，其中：基本支出7899.72万元，占</w:t>
      </w:r>
      <w:r>
        <w:rPr>
          <w:rFonts w:hint="eastAsia" w:eastAsia="仿宋_GB2312" w:cs="仿宋_GB2312"/>
          <w:color w:val="auto"/>
          <w:kern w:val="2"/>
          <w:sz w:val="32"/>
          <w:szCs w:val="32"/>
          <w:highlight w:val="none"/>
          <w:lang w:val="en-US" w:eastAsia="zh-CN" w:bidi="ar-SA"/>
        </w:rPr>
        <w:t>33.2</w:t>
      </w:r>
      <w:r>
        <w:rPr>
          <w:rFonts w:hint="eastAsia" w:ascii="Times New Roman" w:hAnsi="Times New Roman" w:eastAsia="仿宋_GB2312" w:cs="仿宋_GB2312"/>
          <w:color w:val="auto"/>
          <w:kern w:val="2"/>
          <w:sz w:val="32"/>
          <w:szCs w:val="32"/>
          <w:highlight w:val="none"/>
          <w:lang w:val="en-US" w:eastAsia="zh-CN" w:bidi="ar-SA"/>
        </w:rPr>
        <w:t>%；项目支出15888.74万元，占</w:t>
      </w:r>
      <w:r>
        <w:rPr>
          <w:rFonts w:hint="eastAsia" w:eastAsia="仿宋_GB2312" w:cs="仿宋_GB2312"/>
          <w:color w:val="auto"/>
          <w:kern w:val="2"/>
          <w:sz w:val="32"/>
          <w:szCs w:val="32"/>
          <w:highlight w:val="none"/>
          <w:lang w:val="en-US" w:eastAsia="zh-CN" w:bidi="ar-SA"/>
        </w:rPr>
        <w:t>66.8</w:t>
      </w:r>
      <w:r>
        <w:rPr>
          <w:rFonts w:hint="eastAsia" w:ascii="Times New Roman" w:hAnsi="Times New Roman" w:eastAsia="仿宋_GB2312" w:cs="仿宋_GB2312"/>
          <w:color w:val="auto"/>
          <w:kern w:val="2"/>
          <w:sz w:val="32"/>
          <w:szCs w:val="32"/>
          <w:highlight w:val="none"/>
          <w:lang w:val="en-US" w:eastAsia="zh-CN" w:bidi="ar-SA"/>
        </w:rPr>
        <w:t>%。</w:t>
      </w:r>
      <w:bookmarkEnd w:id="40"/>
      <w:bookmarkEnd w:id="41"/>
    </w:p>
    <w:p w14:paraId="11B87B5F">
      <w:pPr>
        <w:spacing w:line="600" w:lineRule="exact"/>
        <w:jc w:val="center"/>
        <w:rPr>
          <w:rFonts w:ascii="方正仿宋_GB2312" w:eastAsia="方正仿宋_GB2312"/>
          <w:sz w:val="32"/>
          <w:szCs w:val="32"/>
        </w:rPr>
      </w:pPr>
      <w:r>
        <w:rPr>
          <w:rFonts w:hint="eastAsia" w:ascii="Times New Roman" w:hAnsi="Times New Roman" w:eastAsia="仿宋_GB2312" w:cs="仿宋_GB2312"/>
          <w:color w:val="auto"/>
          <w:kern w:val="2"/>
          <w:sz w:val="32"/>
          <w:szCs w:val="32"/>
          <w:highlight w:val="none"/>
          <w:lang w:val="en-US" w:eastAsia="zh-CN" w:bidi="ar-SA"/>
        </w:rPr>
        <w:drawing>
          <wp:anchor distT="0" distB="0" distL="114300" distR="114300" simplePos="0" relativeHeight="251661312" behindDoc="0" locked="0" layoutInCell="1" allowOverlap="1">
            <wp:simplePos x="0" y="0"/>
            <wp:positionH relativeFrom="column">
              <wp:align>center</wp:align>
            </wp:positionH>
            <wp:positionV relativeFrom="line">
              <wp:align>top</wp:align>
            </wp:positionV>
            <wp:extent cx="5010785" cy="3090545"/>
            <wp:effectExtent l="0" t="0" r="8890" b="5080"/>
            <wp:wrapTopAndBottom/>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r>
        <w:rPr>
          <w:rFonts w:hint="eastAsia" w:ascii="Times New Roman" w:hAnsi="Times New Roman" w:eastAsia="仿宋_GB2312" w:cs="仿宋_GB2312"/>
          <w:color w:val="auto"/>
          <w:kern w:val="2"/>
          <w:sz w:val="32"/>
          <w:szCs w:val="32"/>
          <w:highlight w:val="none"/>
          <w:lang w:val="en-US" w:eastAsia="zh-CN" w:bidi="ar-SA"/>
        </w:rPr>
        <w:t>（图3：支出决算结构图）</w:t>
      </w:r>
    </w:p>
    <w:p w14:paraId="3EC11AA4">
      <w:pPr>
        <w:spacing w:line="600" w:lineRule="exact"/>
        <w:ind w:firstLine="640" w:firstLineChars="200"/>
        <w:outlineLvl w:val="1"/>
        <w:rPr>
          <w:rStyle w:val="35"/>
          <w:rFonts w:ascii="黑体" w:hAnsi="黑体" w:eastAsia="黑体"/>
          <w:b w:val="0"/>
        </w:rPr>
      </w:pPr>
      <w:bookmarkStart w:id="42" w:name="_Toc15377208"/>
      <w:bookmarkStart w:id="43" w:name="_Toc15396606"/>
      <w:bookmarkStart w:id="44" w:name="_Toc24956"/>
      <w:r>
        <w:rPr>
          <w:rFonts w:hint="eastAsia" w:ascii="黑体" w:hAnsi="黑体" w:eastAsia="黑体"/>
          <w:sz w:val="32"/>
          <w:szCs w:val="32"/>
        </w:rPr>
        <w:t>四、财</w:t>
      </w:r>
      <w:r>
        <w:rPr>
          <w:rStyle w:val="35"/>
          <w:rFonts w:hint="eastAsia" w:ascii="黑体" w:hAnsi="黑体" w:eastAsia="黑体"/>
          <w:b w:val="0"/>
        </w:rPr>
        <w:t>政拨款收入支出决算总体情况说明</w:t>
      </w:r>
      <w:bookmarkEnd w:id="42"/>
      <w:bookmarkEnd w:id="43"/>
      <w:bookmarkEnd w:id="44"/>
    </w:p>
    <w:p w14:paraId="02A0908D">
      <w:pPr>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2025年度财政拨款收入、支出总计均为15987.03万元。与2024年度相比，财政拨款收入、支出总计各</w:t>
      </w:r>
      <w:r>
        <w:rPr>
          <w:rFonts w:hint="eastAsia" w:eastAsia="仿宋_GB2312" w:cs="仿宋_GB2312"/>
          <w:color w:val="auto"/>
          <w:kern w:val="2"/>
          <w:sz w:val="32"/>
          <w:szCs w:val="32"/>
          <w:highlight w:val="none"/>
          <w:lang w:val="en-US" w:eastAsia="zh-CN" w:bidi="ar-SA"/>
        </w:rPr>
        <w:t>减少</w:t>
      </w:r>
      <w:r>
        <w:rPr>
          <w:rFonts w:hint="eastAsia" w:ascii="Times New Roman" w:hAnsi="Times New Roman" w:eastAsia="仿宋_GB2312" w:cs="仿宋_GB2312"/>
          <w:color w:val="auto"/>
          <w:kern w:val="2"/>
          <w:sz w:val="32"/>
          <w:szCs w:val="32"/>
          <w:highlight w:val="none"/>
          <w:lang w:val="en-US" w:eastAsia="zh-CN" w:bidi="ar-SA"/>
        </w:rPr>
        <w:t>1249.95万元，</w:t>
      </w:r>
      <w:r>
        <w:rPr>
          <w:rFonts w:hint="eastAsia" w:eastAsia="仿宋_GB2312" w:cs="仿宋_GB2312"/>
          <w:color w:val="auto"/>
          <w:kern w:val="2"/>
          <w:sz w:val="32"/>
          <w:szCs w:val="32"/>
          <w:highlight w:val="none"/>
          <w:lang w:val="en-US" w:eastAsia="zh-CN" w:bidi="ar-SA"/>
        </w:rPr>
        <w:t>减少</w:t>
      </w:r>
      <w:r>
        <w:rPr>
          <w:rFonts w:hint="eastAsia" w:ascii="Times New Roman" w:hAnsi="Times New Roman" w:eastAsia="仿宋_GB2312" w:cs="仿宋_GB2312"/>
          <w:color w:val="auto"/>
          <w:kern w:val="2"/>
          <w:sz w:val="32"/>
          <w:szCs w:val="32"/>
          <w:highlight w:val="none"/>
          <w:lang w:val="en-US" w:eastAsia="zh-CN" w:bidi="ar-SA"/>
        </w:rPr>
        <w:t>7.25%。主要变动原因是本年项目</w:t>
      </w:r>
      <w:r>
        <w:rPr>
          <w:rFonts w:hint="eastAsia" w:eastAsia="仿宋_GB2312" w:cs="仿宋_GB2312"/>
          <w:color w:val="auto"/>
          <w:kern w:val="2"/>
          <w:sz w:val="32"/>
          <w:szCs w:val="32"/>
          <w:highlight w:val="none"/>
          <w:lang w:val="en-US" w:eastAsia="zh-CN" w:bidi="ar-SA"/>
        </w:rPr>
        <w:t>经费</w:t>
      </w:r>
      <w:r>
        <w:rPr>
          <w:rFonts w:hint="eastAsia" w:ascii="Times New Roman" w:hAnsi="Times New Roman" w:eastAsia="仿宋_GB2312" w:cs="仿宋_GB2312"/>
          <w:color w:val="auto"/>
          <w:kern w:val="2"/>
          <w:sz w:val="32"/>
          <w:szCs w:val="32"/>
          <w:highlight w:val="none"/>
          <w:lang w:val="en-US" w:eastAsia="zh-CN" w:bidi="ar-SA"/>
        </w:rPr>
        <w:t>减少</w:t>
      </w:r>
      <w:r>
        <w:rPr>
          <w:rFonts w:hint="eastAsia" w:eastAsia="仿宋_GB2312" w:cs="仿宋_GB2312"/>
          <w:color w:val="auto"/>
          <w:kern w:val="2"/>
          <w:sz w:val="32"/>
          <w:szCs w:val="32"/>
          <w:highlight w:val="none"/>
          <w:lang w:val="en-US" w:eastAsia="zh-CN" w:bidi="ar-SA"/>
        </w:rPr>
        <w:t>。</w:t>
      </w:r>
    </w:p>
    <w:p w14:paraId="2B25CF0E">
      <w:pPr>
        <w:spacing w:line="600" w:lineRule="exact"/>
        <w:jc w:val="center"/>
        <w:rPr>
          <w:rFonts w:ascii="仿宋" w:hAnsi="仿宋" w:eastAsia="仿宋"/>
          <w:sz w:val="32"/>
          <w:szCs w:val="32"/>
        </w:rPr>
      </w:pPr>
      <w:r>
        <w:rPr>
          <w:rFonts w:hint="default" w:ascii="Times New Roman" w:hAnsi="Times New Roman" w:eastAsia="仿宋_GB2312" w:cs="仿宋_GB2312"/>
          <w:color w:val="auto"/>
          <w:kern w:val="2"/>
          <w:sz w:val="32"/>
          <w:szCs w:val="32"/>
          <w:highlight w:val="none"/>
          <w:lang w:val="en-US" w:eastAsia="zh-CN" w:bidi="ar-SA"/>
        </w:rPr>
        <w:drawing>
          <wp:anchor distT="0" distB="0" distL="114300" distR="114300" simplePos="0" relativeHeight="251662336" behindDoc="0" locked="0" layoutInCell="1" allowOverlap="1">
            <wp:simplePos x="0" y="0"/>
            <wp:positionH relativeFrom="column">
              <wp:align>center</wp:align>
            </wp:positionH>
            <wp:positionV relativeFrom="line">
              <wp:posOffset>118745</wp:posOffset>
            </wp:positionV>
            <wp:extent cx="4658995" cy="3627120"/>
            <wp:effectExtent l="0" t="0" r="8255" b="1905"/>
            <wp:wrapTopAndBottom/>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w:t>
      </w:r>
    </w:p>
    <w:p w14:paraId="6B9C6EF5">
      <w:pPr>
        <w:spacing w:line="600" w:lineRule="exact"/>
        <w:ind w:firstLine="640"/>
        <w:rPr>
          <w:rFonts w:ascii="仿宋" w:hAnsi="仿宋" w:eastAsia="仿宋"/>
          <w:b/>
          <w:sz w:val="32"/>
          <w:szCs w:val="32"/>
        </w:rPr>
      </w:pPr>
    </w:p>
    <w:p w14:paraId="37F4F83B">
      <w:pPr>
        <w:spacing w:line="600" w:lineRule="exact"/>
        <w:ind w:firstLine="640" w:firstLineChars="200"/>
        <w:outlineLvl w:val="1"/>
        <w:rPr>
          <w:rStyle w:val="35"/>
          <w:rFonts w:ascii="黑体" w:hAnsi="黑体" w:eastAsia="黑体"/>
          <w:b w:val="0"/>
        </w:rPr>
      </w:pPr>
      <w:bookmarkStart w:id="45" w:name="_Toc20952"/>
      <w:bookmarkStart w:id="46" w:name="_Toc15377209"/>
      <w:bookmarkStart w:id="47" w:name="_Toc15396607"/>
      <w:r>
        <w:rPr>
          <w:rFonts w:hint="eastAsia" w:ascii="黑体" w:hAnsi="黑体" w:eastAsia="黑体"/>
          <w:sz w:val="32"/>
          <w:szCs w:val="32"/>
        </w:rPr>
        <w:t>五、</w:t>
      </w:r>
      <w:r>
        <w:rPr>
          <w:rFonts w:hint="eastAsia" w:ascii="黑体" w:hAnsi="黑体" w:eastAsia="黑体"/>
          <w:b/>
          <w:sz w:val="32"/>
          <w:szCs w:val="32"/>
        </w:rPr>
        <w:t>一</w:t>
      </w:r>
      <w:r>
        <w:rPr>
          <w:rStyle w:val="35"/>
          <w:rFonts w:hint="eastAsia" w:ascii="黑体" w:hAnsi="黑体" w:eastAsia="黑体"/>
          <w:b w:val="0"/>
        </w:rPr>
        <w:t>般公共预算财政拨款支出决算情况说明</w:t>
      </w:r>
      <w:bookmarkEnd w:id="45"/>
      <w:bookmarkEnd w:id="46"/>
      <w:bookmarkEnd w:id="47"/>
    </w:p>
    <w:p w14:paraId="5A07C72D">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8"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48"/>
    </w:p>
    <w:p w14:paraId="1A9530FD">
      <w:pPr>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2025年度一般公共</w:t>
      </w:r>
      <w:r>
        <w:rPr>
          <w:rFonts w:hint="eastAsia" w:ascii="Times New Roman" w:hAnsi="Times New Roman" w:eastAsia="仿宋_GB2312" w:cs="仿宋_GB2312"/>
          <w:b w:val="0"/>
          <w:bCs w:val="0"/>
          <w:color w:val="auto"/>
          <w:kern w:val="2"/>
          <w:sz w:val="32"/>
          <w:szCs w:val="32"/>
          <w:highlight w:val="none"/>
          <w:lang w:val="en-US" w:eastAsia="zh-CN" w:bidi="ar-SA"/>
        </w:rPr>
        <w:t>预算财政</w:t>
      </w:r>
      <w:r>
        <w:rPr>
          <w:rFonts w:hint="eastAsia" w:ascii="Times New Roman" w:hAnsi="Times New Roman" w:eastAsia="仿宋_GB2312" w:cs="仿宋_GB2312"/>
          <w:color w:val="auto"/>
          <w:kern w:val="2"/>
          <w:sz w:val="32"/>
          <w:szCs w:val="32"/>
          <w:highlight w:val="none"/>
          <w:lang w:val="en-US" w:eastAsia="zh-CN" w:bidi="ar-SA"/>
        </w:rPr>
        <w:t>拨款支出为15987.03万元，占本年支出合计的</w:t>
      </w:r>
      <w:r>
        <w:rPr>
          <w:rFonts w:hint="eastAsia" w:eastAsia="仿宋_GB2312" w:cs="仿宋_GB2312"/>
          <w:color w:val="auto"/>
          <w:kern w:val="2"/>
          <w:sz w:val="32"/>
          <w:szCs w:val="32"/>
          <w:highlight w:val="none"/>
          <w:lang w:val="en-US" w:eastAsia="zh-CN" w:bidi="ar-SA"/>
        </w:rPr>
        <w:t>67.2</w:t>
      </w:r>
      <w:r>
        <w:rPr>
          <w:rFonts w:hint="eastAsia" w:ascii="Times New Roman" w:hAnsi="Times New Roman" w:eastAsia="仿宋_GB2312" w:cs="仿宋_GB2312"/>
          <w:color w:val="auto"/>
          <w:kern w:val="2"/>
          <w:sz w:val="32"/>
          <w:szCs w:val="32"/>
          <w:highlight w:val="none"/>
          <w:lang w:val="en-US" w:eastAsia="zh-CN" w:bidi="ar-SA"/>
        </w:rPr>
        <w:t>%。与2024年度相比，一般公共预算财政拨款支出</w:t>
      </w:r>
      <w:r>
        <w:rPr>
          <w:rFonts w:hint="eastAsia" w:eastAsia="仿宋_GB2312" w:cs="仿宋_GB2312"/>
          <w:color w:val="auto"/>
          <w:kern w:val="2"/>
          <w:sz w:val="32"/>
          <w:szCs w:val="32"/>
          <w:highlight w:val="none"/>
          <w:lang w:val="en-US" w:eastAsia="zh-CN" w:bidi="ar-SA"/>
        </w:rPr>
        <w:t>减少</w:t>
      </w:r>
      <w:r>
        <w:rPr>
          <w:rFonts w:hint="eastAsia" w:ascii="Times New Roman" w:hAnsi="Times New Roman" w:eastAsia="仿宋_GB2312" w:cs="仿宋_GB2312"/>
          <w:color w:val="auto"/>
          <w:kern w:val="2"/>
          <w:sz w:val="32"/>
          <w:szCs w:val="32"/>
          <w:highlight w:val="none"/>
          <w:lang w:val="en-US" w:eastAsia="zh-CN" w:bidi="ar-SA"/>
        </w:rPr>
        <w:t>1249.95万元，</w:t>
      </w:r>
      <w:r>
        <w:rPr>
          <w:rFonts w:hint="eastAsia" w:eastAsia="仿宋_GB2312" w:cs="仿宋_GB2312"/>
          <w:color w:val="auto"/>
          <w:kern w:val="2"/>
          <w:sz w:val="32"/>
          <w:szCs w:val="32"/>
          <w:highlight w:val="none"/>
          <w:lang w:val="en-US" w:eastAsia="zh-CN" w:bidi="ar-SA"/>
        </w:rPr>
        <w:t>减少</w:t>
      </w:r>
      <w:r>
        <w:rPr>
          <w:rFonts w:hint="eastAsia" w:ascii="Times New Roman" w:hAnsi="Times New Roman" w:eastAsia="仿宋_GB2312" w:cs="仿宋_GB2312"/>
          <w:color w:val="auto"/>
          <w:kern w:val="2"/>
          <w:sz w:val="32"/>
          <w:szCs w:val="32"/>
          <w:highlight w:val="none"/>
          <w:lang w:val="en-US" w:eastAsia="zh-CN" w:bidi="ar-SA"/>
        </w:rPr>
        <w:t>7.25%。主要变动原因是本年项目</w:t>
      </w:r>
      <w:r>
        <w:rPr>
          <w:rFonts w:hint="eastAsia" w:eastAsia="仿宋_GB2312" w:cs="仿宋_GB2312"/>
          <w:color w:val="auto"/>
          <w:kern w:val="2"/>
          <w:sz w:val="32"/>
          <w:szCs w:val="32"/>
          <w:highlight w:val="none"/>
          <w:lang w:val="en-US" w:eastAsia="zh-CN" w:bidi="ar-SA"/>
        </w:rPr>
        <w:t>经费</w:t>
      </w:r>
      <w:r>
        <w:rPr>
          <w:rFonts w:hint="eastAsia" w:ascii="Times New Roman" w:hAnsi="Times New Roman" w:eastAsia="仿宋_GB2312" w:cs="仿宋_GB2312"/>
          <w:color w:val="auto"/>
          <w:kern w:val="2"/>
          <w:sz w:val="32"/>
          <w:szCs w:val="32"/>
          <w:highlight w:val="none"/>
          <w:lang w:val="en-US" w:eastAsia="zh-CN" w:bidi="ar-SA"/>
        </w:rPr>
        <w:t>减少</w:t>
      </w:r>
      <w:r>
        <w:rPr>
          <w:rFonts w:hint="eastAsia" w:eastAsia="仿宋_GB2312" w:cs="仿宋_GB2312"/>
          <w:color w:val="auto"/>
          <w:kern w:val="2"/>
          <w:sz w:val="32"/>
          <w:szCs w:val="32"/>
          <w:highlight w:val="none"/>
          <w:lang w:val="en-US" w:eastAsia="zh-CN" w:bidi="ar-SA"/>
        </w:rPr>
        <w:t>。</w:t>
      </w:r>
    </w:p>
    <w:p w14:paraId="2E8CBDE8">
      <w:pPr>
        <w:spacing w:line="600" w:lineRule="exact"/>
        <w:ind w:firstLine="640"/>
        <w:rPr>
          <w:rFonts w:ascii="仿宋" w:hAnsi="仿宋" w:eastAsia="仿宋"/>
          <w:sz w:val="32"/>
          <w:szCs w:val="32"/>
        </w:rPr>
      </w:pPr>
    </w:p>
    <w:p w14:paraId="19FBE3DA">
      <w:pPr>
        <w:spacing w:line="600" w:lineRule="exact"/>
        <w:jc w:val="center"/>
        <w:rPr>
          <w:rFonts w:hint="eastAsia"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drawing>
          <wp:anchor distT="0" distB="0" distL="114300" distR="114300" simplePos="0" relativeHeight="251663360" behindDoc="0" locked="0" layoutInCell="1" allowOverlap="1">
            <wp:simplePos x="0" y="0"/>
            <wp:positionH relativeFrom="column">
              <wp:align>center</wp:align>
            </wp:positionH>
            <wp:positionV relativeFrom="line">
              <wp:align>top</wp:align>
            </wp:positionV>
            <wp:extent cx="4601845" cy="3032125"/>
            <wp:effectExtent l="0" t="0" r="8255" b="6350"/>
            <wp:wrapTopAndBottom/>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w:t>
      </w:r>
    </w:p>
    <w:p w14:paraId="64056C5D">
      <w:pPr>
        <w:pStyle w:val="7"/>
      </w:pPr>
    </w:p>
    <w:p w14:paraId="0375488D">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9"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49"/>
    </w:p>
    <w:p w14:paraId="482BCF03">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2025年度一般公共预算财政拨款支出15987.03万元，主要用于以下方面:社会保障和就业支出1151.6万元，占</w:t>
      </w:r>
      <w:r>
        <w:rPr>
          <w:rFonts w:hint="eastAsia" w:eastAsia="仿宋_GB2312" w:cs="仿宋_GB2312"/>
          <w:color w:val="auto"/>
          <w:kern w:val="2"/>
          <w:sz w:val="32"/>
          <w:szCs w:val="32"/>
          <w:highlight w:val="none"/>
          <w:lang w:val="en-US" w:eastAsia="zh-CN" w:bidi="ar-SA"/>
        </w:rPr>
        <w:t>7.2</w:t>
      </w:r>
      <w:r>
        <w:rPr>
          <w:rFonts w:hint="eastAsia" w:ascii="Times New Roman" w:hAnsi="Times New Roman" w:eastAsia="仿宋_GB2312" w:cs="仿宋_GB2312"/>
          <w:color w:val="auto"/>
          <w:kern w:val="2"/>
          <w:sz w:val="32"/>
          <w:szCs w:val="32"/>
          <w:highlight w:val="none"/>
          <w:lang w:val="en-US" w:eastAsia="zh-CN" w:bidi="ar-SA"/>
        </w:rPr>
        <w:t>%；卫生健康支出411.23万元，占</w:t>
      </w:r>
      <w:r>
        <w:rPr>
          <w:rFonts w:hint="eastAsia" w:eastAsia="仿宋_GB2312" w:cs="仿宋_GB2312"/>
          <w:color w:val="auto"/>
          <w:kern w:val="2"/>
          <w:sz w:val="32"/>
          <w:szCs w:val="32"/>
          <w:highlight w:val="none"/>
          <w:lang w:val="en-US" w:eastAsia="zh-CN" w:bidi="ar-SA"/>
        </w:rPr>
        <w:t>2.6</w:t>
      </w:r>
      <w:r>
        <w:rPr>
          <w:rFonts w:hint="eastAsia" w:ascii="Times New Roman" w:hAnsi="Times New Roman" w:eastAsia="仿宋_GB2312" w:cs="仿宋_GB2312"/>
          <w:color w:val="auto"/>
          <w:kern w:val="2"/>
          <w:sz w:val="32"/>
          <w:szCs w:val="32"/>
          <w:highlight w:val="none"/>
          <w:lang w:val="en-US" w:eastAsia="zh-CN" w:bidi="ar-SA"/>
        </w:rPr>
        <w:t>%；节能环保支出13823.63万元</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占</w:t>
      </w:r>
      <w:r>
        <w:rPr>
          <w:rFonts w:hint="eastAsia" w:eastAsia="仿宋_GB2312" w:cs="仿宋_GB2312"/>
          <w:color w:val="auto"/>
          <w:kern w:val="2"/>
          <w:sz w:val="32"/>
          <w:szCs w:val="32"/>
          <w:highlight w:val="none"/>
          <w:lang w:val="en-US" w:eastAsia="zh-CN" w:bidi="ar-SA"/>
        </w:rPr>
        <w:t>86.5</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住房保障支出600.57万元，占</w:t>
      </w:r>
      <w:r>
        <w:rPr>
          <w:rFonts w:hint="eastAsia" w:eastAsia="仿宋_GB2312" w:cs="仿宋_GB2312"/>
          <w:color w:val="auto"/>
          <w:kern w:val="2"/>
          <w:sz w:val="32"/>
          <w:szCs w:val="32"/>
          <w:highlight w:val="none"/>
          <w:lang w:val="en-US" w:eastAsia="zh-CN" w:bidi="ar-SA"/>
        </w:rPr>
        <w:t>3.8</w:t>
      </w:r>
      <w:r>
        <w:rPr>
          <w:rFonts w:hint="eastAsia" w:ascii="Times New Roman" w:hAnsi="Times New Roman" w:eastAsia="仿宋_GB2312" w:cs="仿宋_GB2312"/>
          <w:color w:val="auto"/>
          <w:kern w:val="2"/>
          <w:sz w:val="32"/>
          <w:szCs w:val="32"/>
          <w:highlight w:val="none"/>
          <w:lang w:val="en-US" w:eastAsia="zh-CN" w:bidi="ar-SA"/>
        </w:rPr>
        <w:t>%。</w:t>
      </w:r>
    </w:p>
    <w:p w14:paraId="716F6663">
      <w:pPr>
        <w:spacing w:line="600" w:lineRule="exact"/>
        <w:jc w:val="center"/>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anchor distT="0" distB="0" distL="114300" distR="114300" simplePos="0" relativeHeight="251664384" behindDoc="0" locked="0" layoutInCell="1" allowOverlap="1">
            <wp:simplePos x="0" y="0"/>
            <wp:positionH relativeFrom="column">
              <wp:align>center</wp:align>
            </wp:positionH>
            <wp:positionV relativeFrom="line">
              <wp:align>top</wp:align>
            </wp:positionV>
            <wp:extent cx="4747260" cy="3637280"/>
            <wp:effectExtent l="0" t="0" r="5715" b="1270"/>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anchor>
        </w:drawing>
      </w: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w:t>
      </w:r>
    </w:p>
    <w:p w14:paraId="6F2EFB69">
      <w:pPr>
        <w:pStyle w:val="7"/>
      </w:pPr>
    </w:p>
    <w:p w14:paraId="601E4C8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50"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50"/>
    </w:p>
    <w:p w14:paraId="0782A54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Times New Roman" w:hAnsi="Times New Roman" w:eastAsia="仿宋_GB2312" w:cs="仿宋_GB2312"/>
          <w:color w:val="auto"/>
          <w:kern w:val="2"/>
          <w:sz w:val="32"/>
          <w:szCs w:val="32"/>
          <w:highlight w:val="none"/>
          <w:lang w:val="en-US" w:eastAsia="zh-CN" w:bidi="ar-SA"/>
        </w:rPr>
      </w:pPr>
      <w:bookmarkStart w:id="51" w:name="_Toc6188"/>
      <w:bookmarkStart w:id="52" w:name="_Toc15377213"/>
      <w:bookmarkStart w:id="53" w:name="_Toc15378460"/>
      <w:bookmarkStart w:id="54" w:name="_Toc15377444"/>
      <w:bookmarkStart w:id="55" w:name="_Toc27877"/>
      <w:r>
        <w:rPr>
          <w:rFonts w:hint="eastAsia" w:ascii="Times New Roman" w:hAnsi="Times New Roman" w:eastAsia="仿宋_GB2312" w:cs="仿宋_GB2312"/>
          <w:color w:val="auto"/>
          <w:kern w:val="2"/>
          <w:sz w:val="32"/>
          <w:szCs w:val="32"/>
          <w:highlight w:val="none"/>
          <w:lang w:val="en-US" w:eastAsia="zh-CN" w:bidi="ar-SA"/>
        </w:rPr>
        <w:t>2025年度一般公共预算支出决算数为15987.03万元，完成预算100%。其中：</w:t>
      </w:r>
      <w:bookmarkEnd w:id="51"/>
      <w:bookmarkEnd w:id="52"/>
      <w:bookmarkEnd w:id="53"/>
      <w:bookmarkEnd w:id="54"/>
      <w:bookmarkEnd w:id="55"/>
    </w:p>
    <w:p w14:paraId="57435B5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1.社会保障和就业（208）行政事业单位养老（05）机关事业单位基本养老保险缴费（05）:支出决算为740.6万元，完成预算100%。</w:t>
      </w:r>
    </w:p>
    <w:p w14:paraId="125A92A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2.社会保障和就业（208）行政事业单位养老（05）机关事业单位职业年金缴费（06）:支出决算为368.24万元，完成预算100%。</w:t>
      </w:r>
    </w:p>
    <w:p w14:paraId="1F09A14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lang w:val="en-US" w:eastAsia="zh-CN"/>
        </w:rPr>
      </w:pP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.社会保障和就业（208）行政事业单位养老（05）其他行政事业单位养老支出（</w:t>
      </w:r>
      <w:r>
        <w:rPr>
          <w:rFonts w:hint="eastAsia" w:eastAsia="仿宋_GB2312" w:cs="仿宋_GB2312"/>
          <w:color w:val="auto"/>
          <w:kern w:val="2"/>
          <w:sz w:val="32"/>
          <w:szCs w:val="32"/>
          <w:highlight w:val="none"/>
          <w:lang w:val="en-US" w:eastAsia="zh-CN" w:bidi="ar-SA"/>
        </w:rPr>
        <w:t>99</w:t>
      </w:r>
      <w:r>
        <w:rPr>
          <w:rFonts w:hint="eastAsia" w:ascii="Times New Roman" w:hAnsi="Times New Roman" w:eastAsia="仿宋_GB2312" w:cs="仿宋_GB2312"/>
          <w:color w:val="auto"/>
          <w:kern w:val="2"/>
          <w:sz w:val="32"/>
          <w:szCs w:val="32"/>
          <w:highlight w:val="none"/>
          <w:lang w:val="en-US" w:eastAsia="zh-CN" w:bidi="ar-SA"/>
        </w:rPr>
        <w:t>）:支出决算为42.76万元，完成预算100%。</w:t>
      </w:r>
    </w:p>
    <w:p w14:paraId="20A484B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卫生健康（210）行政事业单位医疗（11）行政单位医疗（01）:支出决算为193.72万元，完成预算100%。</w:t>
      </w:r>
    </w:p>
    <w:p w14:paraId="15A94A1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lang w:val="en-US" w:eastAsia="zh-CN"/>
        </w:rPr>
      </w:pP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.卫生健康（210）行政事业单位医疗（11）事业单位医疗（0</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）:支出决算为151.16万元，完成预算100%。</w:t>
      </w:r>
    </w:p>
    <w:p w14:paraId="16035E7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.卫生健康（210）行政事业单位医疗（11）公务员医疗补助（03）:支出决算为40.23万元，完成预算100%。</w:t>
      </w:r>
    </w:p>
    <w:p w14:paraId="169CCFD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7</w:t>
      </w:r>
      <w:r>
        <w:rPr>
          <w:rFonts w:hint="eastAsia" w:ascii="Times New Roman" w:hAnsi="Times New Roman" w:eastAsia="仿宋_GB2312" w:cs="仿宋_GB2312"/>
          <w:color w:val="auto"/>
          <w:kern w:val="2"/>
          <w:sz w:val="32"/>
          <w:szCs w:val="32"/>
          <w:highlight w:val="none"/>
          <w:lang w:val="en-US" w:eastAsia="zh-CN" w:bidi="ar-SA"/>
        </w:rPr>
        <w:t>.卫生健康（210）行政事业单位医疗（11）其他行政事业单位医疗支出（</w:t>
      </w:r>
      <w:r>
        <w:rPr>
          <w:rFonts w:hint="eastAsia" w:eastAsia="仿宋_GB2312" w:cs="仿宋_GB2312"/>
          <w:color w:val="auto"/>
          <w:kern w:val="2"/>
          <w:sz w:val="32"/>
          <w:szCs w:val="32"/>
          <w:highlight w:val="none"/>
          <w:lang w:val="en-US" w:eastAsia="zh-CN" w:bidi="ar-SA"/>
        </w:rPr>
        <w:t>99</w:t>
      </w:r>
      <w:r>
        <w:rPr>
          <w:rFonts w:hint="eastAsia" w:ascii="Times New Roman" w:hAnsi="Times New Roman" w:eastAsia="仿宋_GB2312" w:cs="仿宋_GB2312"/>
          <w:color w:val="auto"/>
          <w:kern w:val="2"/>
          <w:sz w:val="32"/>
          <w:szCs w:val="32"/>
          <w:highlight w:val="none"/>
          <w:lang w:val="en-US" w:eastAsia="zh-CN" w:bidi="ar-SA"/>
        </w:rPr>
        <w:t>）:支出决算为26.11万元，完成预算100%。</w:t>
      </w:r>
    </w:p>
    <w:p w14:paraId="271E046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8</w:t>
      </w:r>
      <w:r>
        <w:rPr>
          <w:rFonts w:hint="eastAsia" w:ascii="Times New Roman" w:hAnsi="Times New Roman" w:eastAsia="仿宋_GB2312" w:cs="仿宋_GB2312"/>
          <w:color w:val="auto"/>
          <w:kern w:val="2"/>
          <w:sz w:val="32"/>
          <w:szCs w:val="32"/>
          <w:highlight w:val="none"/>
          <w:lang w:val="en-US" w:eastAsia="zh-CN" w:bidi="ar-SA"/>
        </w:rPr>
        <w:t>.节能环保（211）环境保护管理事务（01）行政运行（01）:支出决算为3536.94万元，完成预算100%，。</w:t>
      </w:r>
    </w:p>
    <w:p w14:paraId="32E7EEF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9</w:t>
      </w:r>
      <w:r>
        <w:rPr>
          <w:rFonts w:hint="eastAsia" w:ascii="Times New Roman" w:hAnsi="Times New Roman" w:eastAsia="仿宋_GB2312" w:cs="仿宋_GB2312"/>
          <w:color w:val="auto"/>
          <w:kern w:val="2"/>
          <w:sz w:val="32"/>
          <w:szCs w:val="32"/>
          <w:highlight w:val="none"/>
          <w:lang w:val="en-US" w:eastAsia="zh-CN" w:bidi="ar-SA"/>
        </w:rPr>
        <w:t>.节能环保（211）环境保护管理事务（01）一般行政管理事务（02）:支出决算为245.02万元，完成预算100%。</w:t>
      </w:r>
    </w:p>
    <w:p w14:paraId="69852A1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10</w:t>
      </w:r>
      <w:r>
        <w:rPr>
          <w:rFonts w:hint="eastAsia" w:ascii="Times New Roman" w:hAnsi="Times New Roman" w:eastAsia="仿宋_GB2312" w:cs="仿宋_GB2312"/>
          <w:color w:val="auto"/>
          <w:kern w:val="2"/>
          <w:sz w:val="32"/>
          <w:szCs w:val="32"/>
          <w:highlight w:val="none"/>
          <w:lang w:val="en-US" w:eastAsia="zh-CN" w:bidi="ar-SA"/>
        </w:rPr>
        <w:t>.节能环保（211）环境保护管理事务（01）机关服务（0</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）:支出决算为8.15万元，完成预算100%。</w:t>
      </w:r>
    </w:p>
    <w:p w14:paraId="6926EFB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.节能环保（211）环境保护管理事务（01）生态环境保护宣传（04）:支出决算为56.73万元，完成预算100%。</w:t>
      </w:r>
    </w:p>
    <w:p w14:paraId="4129BBC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12</w:t>
      </w:r>
      <w:r>
        <w:rPr>
          <w:rFonts w:hint="eastAsia" w:ascii="Times New Roman" w:hAnsi="Times New Roman" w:eastAsia="仿宋_GB2312" w:cs="仿宋_GB2312"/>
          <w:color w:val="auto"/>
          <w:kern w:val="2"/>
          <w:sz w:val="32"/>
          <w:szCs w:val="32"/>
          <w:highlight w:val="none"/>
          <w:lang w:val="en-US" w:eastAsia="zh-CN" w:bidi="ar-SA"/>
        </w:rPr>
        <w:t>.节能环保（211）环境保护管理事务（01）环境保护法规、规划及标准（0</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）:支出决算为7.2万元，完成预算100%。</w:t>
      </w:r>
    </w:p>
    <w:p w14:paraId="0EB73B1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13</w:t>
      </w:r>
      <w:r>
        <w:rPr>
          <w:rFonts w:hint="eastAsia" w:ascii="Times New Roman" w:hAnsi="Times New Roman" w:eastAsia="仿宋_GB2312" w:cs="仿宋_GB2312"/>
          <w:color w:val="auto"/>
          <w:kern w:val="2"/>
          <w:sz w:val="32"/>
          <w:szCs w:val="32"/>
          <w:highlight w:val="none"/>
          <w:lang w:val="en-US" w:eastAsia="zh-CN" w:bidi="ar-SA"/>
        </w:rPr>
        <w:t>.节能环保（211）环境保护管理事务（01）生态环境保护行政许可（0</w:t>
      </w:r>
      <w:r>
        <w:rPr>
          <w:rFonts w:hint="eastAsia" w:eastAsia="仿宋_GB2312" w:cs="仿宋_GB2312"/>
          <w:color w:val="auto"/>
          <w:kern w:val="2"/>
          <w:sz w:val="32"/>
          <w:szCs w:val="32"/>
          <w:highlight w:val="none"/>
          <w:lang w:val="en-US" w:eastAsia="zh-CN" w:bidi="ar-SA"/>
        </w:rPr>
        <w:t>7</w:t>
      </w:r>
      <w:r>
        <w:rPr>
          <w:rFonts w:hint="eastAsia" w:ascii="Times New Roman" w:hAnsi="Times New Roman" w:eastAsia="仿宋_GB2312" w:cs="仿宋_GB2312"/>
          <w:color w:val="auto"/>
          <w:kern w:val="2"/>
          <w:sz w:val="32"/>
          <w:szCs w:val="32"/>
          <w:highlight w:val="none"/>
          <w:lang w:val="en-US" w:eastAsia="zh-CN" w:bidi="ar-SA"/>
        </w:rPr>
        <w:t>）:支出决算为4.79万元，完成预算100%。</w:t>
      </w:r>
    </w:p>
    <w:p w14:paraId="29F28DD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14.</w:t>
      </w:r>
      <w:r>
        <w:rPr>
          <w:rFonts w:hint="eastAsia" w:ascii="Times New Roman" w:hAnsi="Times New Roman" w:eastAsia="仿宋_GB2312" w:cs="仿宋_GB2312"/>
          <w:color w:val="auto"/>
          <w:kern w:val="2"/>
          <w:sz w:val="32"/>
          <w:szCs w:val="32"/>
          <w:highlight w:val="none"/>
          <w:lang w:val="en-US" w:eastAsia="zh-CN" w:bidi="ar-SA"/>
        </w:rPr>
        <w:t>节能环保（211）环境保护管理事务（01）其他环境保护管理事务（99）:支出决算为3578.3万元，完成预算100%。</w:t>
      </w:r>
    </w:p>
    <w:p w14:paraId="2EF7DB2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15.</w:t>
      </w:r>
      <w:r>
        <w:rPr>
          <w:rFonts w:hint="eastAsia" w:ascii="Times New Roman" w:hAnsi="Times New Roman" w:eastAsia="仿宋_GB2312" w:cs="仿宋_GB2312"/>
          <w:color w:val="auto"/>
          <w:kern w:val="2"/>
          <w:sz w:val="32"/>
          <w:szCs w:val="32"/>
          <w:highlight w:val="none"/>
          <w:lang w:val="en-US" w:eastAsia="zh-CN" w:bidi="ar-SA"/>
        </w:rPr>
        <w:t>节能环保（211）环境监测与监察（0</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）建设项目环评审查与监督（</w:t>
      </w:r>
      <w:r>
        <w:rPr>
          <w:rFonts w:hint="eastAsia" w:eastAsia="仿宋_GB2312" w:cs="仿宋_GB2312"/>
          <w:color w:val="auto"/>
          <w:kern w:val="2"/>
          <w:sz w:val="32"/>
          <w:szCs w:val="32"/>
          <w:highlight w:val="none"/>
          <w:lang w:val="en-US" w:eastAsia="zh-CN" w:bidi="ar-SA"/>
        </w:rPr>
        <w:t>03</w:t>
      </w:r>
      <w:r>
        <w:rPr>
          <w:rFonts w:hint="eastAsia" w:ascii="Times New Roman" w:hAnsi="Times New Roman" w:eastAsia="仿宋_GB2312" w:cs="仿宋_GB2312"/>
          <w:color w:val="auto"/>
          <w:kern w:val="2"/>
          <w:sz w:val="32"/>
          <w:szCs w:val="32"/>
          <w:highlight w:val="none"/>
          <w:lang w:val="en-US" w:eastAsia="zh-CN" w:bidi="ar-SA"/>
        </w:rPr>
        <w:t>）:支出决算为1.92万元，完成预算100%。</w:t>
      </w:r>
    </w:p>
    <w:p w14:paraId="687A0EB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16.</w:t>
      </w:r>
      <w:r>
        <w:rPr>
          <w:rFonts w:hint="eastAsia" w:ascii="Times New Roman" w:hAnsi="Times New Roman" w:eastAsia="仿宋_GB2312" w:cs="仿宋_GB2312"/>
          <w:color w:val="auto"/>
          <w:kern w:val="2"/>
          <w:sz w:val="32"/>
          <w:szCs w:val="32"/>
          <w:highlight w:val="none"/>
          <w:lang w:val="en-US" w:eastAsia="zh-CN" w:bidi="ar-SA"/>
        </w:rPr>
        <w:t>节能环保（211）环境监测与监察（0</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）其他环境监测与监察支出（</w:t>
      </w:r>
      <w:r>
        <w:rPr>
          <w:rFonts w:hint="eastAsia" w:eastAsia="仿宋_GB2312" w:cs="仿宋_GB2312"/>
          <w:color w:val="auto"/>
          <w:kern w:val="2"/>
          <w:sz w:val="32"/>
          <w:szCs w:val="32"/>
          <w:highlight w:val="none"/>
          <w:lang w:val="en-US" w:eastAsia="zh-CN" w:bidi="ar-SA"/>
        </w:rPr>
        <w:t>99</w:t>
      </w:r>
      <w:r>
        <w:rPr>
          <w:rFonts w:hint="eastAsia" w:ascii="Times New Roman" w:hAnsi="Times New Roman" w:eastAsia="仿宋_GB2312" w:cs="仿宋_GB2312"/>
          <w:color w:val="auto"/>
          <w:kern w:val="2"/>
          <w:sz w:val="32"/>
          <w:szCs w:val="32"/>
          <w:highlight w:val="none"/>
          <w:lang w:val="en-US" w:eastAsia="zh-CN" w:bidi="ar-SA"/>
        </w:rPr>
        <w:t>）:支出决算为2345.91万元，完成预算100%。</w:t>
      </w:r>
    </w:p>
    <w:p w14:paraId="689DDD2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17.</w:t>
      </w:r>
      <w:r>
        <w:rPr>
          <w:rFonts w:hint="eastAsia" w:ascii="Times New Roman" w:hAnsi="Times New Roman" w:eastAsia="仿宋_GB2312" w:cs="仿宋_GB2312"/>
          <w:color w:val="auto"/>
          <w:kern w:val="2"/>
          <w:sz w:val="32"/>
          <w:szCs w:val="32"/>
          <w:highlight w:val="none"/>
          <w:lang w:val="en-US" w:eastAsia="zh-CN" w:bidi="ar-SA"/>
        </w:rPr>
        <w:t>节能环保（211）污染防治（0</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）大气（</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）:支出决算为146.23万元，完成预算100%。</w:t>
      </w:r>
    </w:p>
    <w:p w14:paraId="7D87C7E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18.</w:t>
      </w:r>
      <w:r>
        <w:rPr>
          <w:rFonts w:hint="eastAsia" w:ascii="Times New Roman" w:hAnsi="Times New Roman" w:eastAsia="仿宋_GB2312" w:cs="仿宋_GB2312"/>
          <w:color w:val="auto"/>
          <w:kern w:val="2"/>
          <w:sz w:val="32"/>
          <w:szCs w:val="32"/>
          <w:highlight w:val="none"/>
          <w:lang w:val="en-US" w:eastAsia="zh-CN" w:bidi="ar-SA"/>
        </w:rPr>
        <w:t>节能环保（211）污染防治（0</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）水体（</w:t>
      </w:r>
      <w:r>
        <w:rPr>
          <w:rFonts w:hint="eastAsia" w:eastAsia="仿宋_GB2312" w:cs="仿宋_GB2312"/>
          <w:color w:val="auto"/>
          <w:kern w:val="2"/>
          <w:sz w:val="32"/>
          <w:szCs w:val="32"/>
          <w:highlight w:val="none"/>
          <w:lang w:val="en-US" w:eastAsia="zh-CN" w:bidi="ar-SA"/>
        </w:rPr>
        <w:t>02</w:t>
      </w:r>
      <w:r>
        <w:rPr>
          <w:rFonts w:hint="eastAsia" w:ascii="Times New Roman" w:hAnsi="Times New Roman" w:eastAsia="仿宋_GB2312" w:cs="仿宋_GB2312"/>
          <w:color w:val="auto"/>
          <w:kern w:val="2"/>
          <w:sz w:val="32"/>
          <w:szCs w:val="32"/>
          <w:highlight w:val="none"/>
          <w:lang w:val="en-US" w:eastAsia="zh-CN" w:bidi="ar-SA"/>
        </w:rPr>
        <w:t>）:支出决算为2469.97万元，完成预算100%。</w:t>
      </w:r>
    </w:p>
    <w:p w14:paraId="05697B7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19.</w:t>
      </w:r>
      <w:r>
        <w:rPr>
          <w:rFonts w:hint="eastAsia" w:ascii="Times New Roman" w:hAnsi="Times New Roman" w:eastAsia="仿宋_GB2312" w:cs="仿宋_GB2312"/>
          <w:color w:val="auto"/>
          <w:kern w:val="2"/>
          <w:sz w:val="32"/>
          <w:szCs w:val="32"/>
          <w:highlight w:val="none"/>
          <w:lang w:val="en-US" w:eastAsia="zh-CN" w:bidi="ar-SA"/>
        </w:rPr>
        <w:t>节能环保（211）自然生态保护（</w:t>
      </w:r>
      <w:r>
        <w:rPr>
          <w:rFonts w:hint="eastAsia" w:eastAsia="仿宋_GB2312" w:cs="仿宋_GB2312"/>
          <w:color w:val="auto"/>
          <w:kern w:val="2"/>
          <w:sz w:val="32"/>
          <w:szCs w:val="32"/>
          <w:highlight w:val="none"/>
          <w:lang w:val="en-US" w:eastAsia="zh-CN" w:bidi="ar-SA"/>
        </w:rPr>
        <w:t>04</w:t>
      </w:r>
      <w:r>
        <w:rPr>
          <w:rFonts w:hint="eastAsia" w:ascii="Times New Roman" w:hAnsi="Times New Roman" w:eastAsia="仿宋_GB2312" w:cs="仿宋_GB2312"/>
          <w:color w:val="auto"/>
          <w:kern w:val="2"/>
          <w:sz w:val="32"/>
          <w:szCs w:val="32"/>
          <w:highlight w:val="none"/>
          <w:lang w:val="en-US" w:eastAsia="zh-CN" w:bidi="ar-SA"/>
        </w:rPr>
        <w:t>）生态保护（</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）:支出决算为96.61万元，完成预算100%</w:t>
      </w:r>
      <w:r>
        <w:rPr>
          <w:rFonts w:hint="eastAsia" w:eastAsia="仿宋_GB2312" w:cs="仿宋_GB2312"/>
          <w:color w:val="auto"/>
          <w:kern w:val="2"/>
          <w:sz w:val="32"/>
          <w:szCs w:val="32"/>
          <w:highlight w:val="none"/>
          <w:lang w:val="en-US" w:eastAsia="zh-CN" w:bidi="ar-SA"/>
        </w:rPr>
        <w:t>。</w:t>
      </w:r>
    </w:p>
    <w:p w14:paraId="0EEE494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lang w:val="en-US" w:eastAsia="zh-CN"/>
        </w:rPr>
      </w:pPr>
      <w:r>
        <w:rPr>
          <w:rFonts w:hint="eastAsia" w:eastAsia="仿宋_GB2312" w:cs="仿宋_GB2312"/>
          <w:color w:val="auto"/>
          <w:kern w:val="2"/>
          <w:sz w:val="32"/>
          <w:szCs w:val="32"/>
          <w:highlight w:val="none"/>
          <w:lang w:val="en-US" w:eastAsia="zh-CN" w:bidi="ar-SA"/>
        </w:rPr>
        <w:t>20.</w:t>
      </w:r>
      <w:r>
        <w:rPr>
          <w:rFonts w:hint="eastAsia" w:ascii="Times New Roman" w:hAnsi="Times New Roman" w:eastAsia="仿宋_GB2312" w:cs="仿宋_GB2312"/>
          <w:color w:val="auto"/>
          <w:kern w:val="2"/>
          <w:sz w:val="32"/>
          <w:szCs w:val="32"/>
          <w:highlight w:val="none"/>
          <w:lang w:val="en-US" w:eastAsia="zh-CN" w:bidi="ar-SA"/>
        </w:rPr>
        <w:t>节能环保（211）自然生态保护（</w:t>
      </w:r>
      <w:r>
        <w:rPr>
          <w:rFonts w:hint="eastAsia" w:eastAsia="仿宋_GB2312" w:cs="仿宋_GB2312"/>
          <w:color w:val="auto"/>
          <w:kern w:val="2"/>
          <w:sz w:val="32"/>
          <w:szCs w:val="32"/>
          <w:highlight w:val="none"/>
          <w:lang w:val="en-US" w:eastAsia="zh-CN" w:bidi="ar-SA"/>
        </w:rPr>
        <w:t>04</w:t>
      </w:r>
      <w:r>
        <w:rPr>
          <w:rFonts w:hint="eastAsia" w:ascii="Times New Roman" w:hAnsi="Times New Roman" w:eastAsia="仿宋_GB2312" w:cs="仿宋_GB2312"/>
          <w:color w:val="auto"/>
          <w:kern w:val="2"/>
          <w:sz w:val="32"/>
          <w:szCs w:val="32"/>
          <w:highlight w:val="none"/>
          <w:lang w:val="en-US" w:eastAsia="zh-CN" w:bidi="ar-SA"/>
        </w:rPr>
        <w:t>）农村环境保护（</w:t>
      </w:r>
      <w:r>
        <w:rPr>
          <w:rFonts w:hint="eastAsia" w:eastAsia="仿宋_GB2312" w:cs="仿宋_GB2312"/>
          <w:color w:val="auto"/>
          <w:kern w:val="2"/>
          <w:sz w:val="32"/>
          <w:szCs w:val="32"/>
          <w:highlight w:val="none"/>
          <w:lang w:val="en-US" w:eastAsia="zh-CN" w:bidi="ar-SA"/>
        </w:rPr>
        <w:t>02</w:t>
      </w:r>
      <w:r>
        <w:rPr>
          <w:rFonts w:hint="eastAsia" w:ascii="Times New Roman" w:hAnsi="Times New Roman" w:eastAsia="仿宋_GB2312" w:cs="仿宋_GB2312"/>
          <w:color w:val="auto"/>
          <w:kern w:val="2"/>
          <w:sz w:val="32"/>
          <w:szCs w:val="32"/>
          <w:highlight w:val="none"/>
          <w:lang w:val="en-US" w:eastAsia="zh-CN" w:bidi="ar-SA"/>
        </w:rPr>
        <w:t>）:支出决算为1325.85万元，完成预算100%</w:t>
      </w:r>
    </w:p>
    <w:p w14:paraId="657A9FB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21</w:t>
      </w:r>
      <w:r>
        <w:rPr>
          <w:rFonts w:hint="eastAsia" w:ascii="Times New Roman" w:hAnsi="Times New Roman" w:eastAsia="仿宋_GB2312" w:cs="仿宋_GB2312"/>
          <w:color w:val="auto"/>
          <w:kern w:val="2"/>
          <w:sz w:val="32"/>
          <w:szCs w:val="32"/>
          <w:highlight w:val="none"/>
          <w:lang w:val="en-US" w:eastAsia="zh-CN" w:bidi="ar-SA"/>
        </w:rPr>
        <w:t>.住房保障（221）住房改革（02）住房公积金（01）: 支出决算为594.77万元，完成预算100%。</w:t>
      </w:r>
    </w:p>
    <w:p w14:paraId="397FC46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22</w:t>
      </w:r>
      <w:r>
        <w:rPr>
          <w:rFonts w:hint="eastAsia" w:ascii="Times New Roman" w:hAnsi="Times New Roman" w:eastAsia="仿宋_GB2312" w:cs="仿宋_GB2312"/>
          <w:color w:val="auto"/>
          <w:kern w:val="2"/>
          <w:sz w:val="32"/>
          <w:szCs w:val="32"/>
          <w:highlight w:val="none"/>
          <w:lang w:val="en-US" w:eastAsia="zh-CN" w:bidi="ar-SA"/>
        </w:rPr>
        <w:t>.住房保障（221）住房改革（02）购房补贴（03）: 支出决算为5.8万元，完成预算100%。</w:t>
      </w:r>
    </w:p>
    <w:p w14:paraId="2C2C97A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仿宋" w:hAnsi="仿宋" w:eastAsia="仿宋"/>
          <w:b/>
          <w:sz w:val="32"/>
          <w:szCs w:val="32"/>
        </w:rPr>
      </w:pPr>
    </w:p>
    <w:p w14:paraId="37539489">
      <w:pPr>
        <w:keepNext w:val="0"/>
        <w:keepLines w:val="0"/>
        <w:pageBreakBefore w:val="0"/>
        <w:widowControl w:val="0"/>
        <w:tabs>
          <w:tab w:val="right" w:pos="8306"/>
        </w:tabs>
        <w:kinsoku/>
        <w:wordWrap/>
        <w:overflowPunct/>
        <w:topLinePunct w:val="0"/>
        <w:autoSpaceDE/>
        <w:autoSpaceDN/>
        <w:bidi w:val="0"/>
        <w:adjustRightInd/>
        <w:snapToGrid/>
        <w:spacing w:line="560" w:lineRule="exact"/>
        <w:ind w:firstLine="640" w:firstLineChars="200"/>
        <w:textAlignment w:val="auto"/>
        <w:outlineLvl w:val="1"/>
        <w:rPr>
          <w:rStyle w:val="35"/>
        </w:rPr>
      </w:pPr>
      <w:bookmarkStart w:id="56" w:name="_Toc25318"/>
      <w:bookmarkStart w:id="57" w:name="_Toc15396608"/>
      <w:bookmarkStart w:id="58" w:name="_Toc15377214"/>
      <w:r>
        <w:rPr>
          <w:rFonts w:hint="eastAsia" w:ascii="黑体" w:eastAsia="黑体"/>
          <w:sz w:val="32"/>
          <w:szCs w:val="32"/>
        </w:rPr>
        <w:t>六</w:t>
      </w:r>
      <w:r>
        <w:rPr>
          <w:rFonts w:hint="eastAsia" w:ascii="黑体" w:eastAsia="黑体"/>
          <w:b/>
          <w:sz w:val="32"/>
          <w:szCs w:val="32"/>
        </w:rPr>
        <w:t>、</w:t>
      </w:r>
      <w:r>
        <w:rPr>
          <w:rFonts w:hint="eastAsia" w:ascii="黑体" w:hAnsi="黑体" w:eastAsia="黑体"/>
          <w:b/>
          <w:sz w:val="32"/>
          <w:szCs w:val="32"/>
        </w:rPr>
        <w:t>一</w:t>
      </w:r>
      <w:r>
        <w:rPr>
          <w:rStyle w:val="35"/>
          <w:rFonts w:hint="eastAsia" w:ascii="黑体" w:hAnsi="黑体" w:eastAsia="黑体"/>
          <w:b w:val="0"/>
        </w:rPr>
        <w:t>般公共预算财政拨款基本支出决算情况说明</w:t>
      </w:r>
      <w:bookmarkEnd w:id="56"/>
      <w:bookmarkEnd w:id="57"/>
      <w:bookmarkEnd w:id="58"/>
      <w:r>
        <w:rPr>
          <w:rStyle w:val="35"/>
          <w:rFonts w:ascii="黑体" w:hAnsi="黑体" w:eastAsia="黑体"/>
          <w:b w:val="0"/>
        </w:rPr>
        <w:tab/>
      </w:r>
    </w:p>
    <w:p w14:paraId="242AB5C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2025年度一般公共预算财政拨款基本支出7654.31万元，其中：</w:t>
      </w:r>
    </w:p>
    <w:p w14:paraId="7F1EDFA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olor w:val="auto"/>
          <w:sz w:val="32"/>
          <w:szCs w:val="32"/>
          <w:highlight w:val="none"/>
        </w:rPr>
      </w:pPr>
      <w:r>
        <w:rPr>
          <w:rFonts w:hint="eastAsia" w:ascii="Times New Roman" w:hAnsi="Times New Roman" w:eastAsia="仿宋_GB2312" w:cs="仿宋_GB2312"/>
          <w:color w:val="auto"/>
          <w:kern w:val="2"/>
          <w:sz w:val="32"/>
          <w:szCs w:val="32"/>
          <w:highlight w:val="none"/>
          <w:lang w:val="en-US" w:eastAsia="zh-CN" w:bidi="ar-SA"/>
        </w:rPr>
        <w:t>人员经费6244.61万元，主要包括：</w:t>
      </w:r>
      <w:r>
        <w:rPr>
          <w:rFonts w:hint="eastAsia" w:ascii="仿宋" w:hAnsi="仿宋" w:eastAsia="仿宋"/>
          <w:color w:val="auto"/>
          <w:sz w:val="32"/>
          <w:szCs w:val="32"/>
          <w:highlight w:val="none"/>
        </w:rPr>
        <w:t>基本工资、津贴补贴、</w:t>
      </w:r>
      <w:r>
        <w:rPr>
          <w:rFonts w:hint="eastAsia" w:ascii="仿宋" w:hAnsi="仿宋" w:eastAsia="仿宋"/>
          <w:color w:val="auto"/>
          <w:sz w:val="32"/>
          <w:szCs w:val="32"/>
          <w:highlight w:val="none"/>
          <w:lang w:val="en-US" w:eastAsia="zh-CN"/>
        </w:rPr>
        <w:t>奖金</w:t>
      </w:r>
      <w:r>
        <w:rPr>
          <w:rFonts w:hint="eastAsia" w:ascii="仿宋" w:hAnsi="仿宋" w:eastAsia="仿宋"/>
          <w:color w:val="auto"/>
          <w:sz w:val="32"/>
          <w:szCs w:val="32"/>
          <w:highlight w:val="none"/>
        </w:rPr>
        <w:t>、伙食补助费</w:t>
      </w:r>
      <w:r>
        <w:rPr>
          <w:rFonts w:hint="eastAsia" w:ascii="仿宋" w:hAnsi="仿宋" w:eastAsia="仿宋"/>
          <w:color w:val="auto"/>
          <w:sz w:val="32"/>
          <w:szCs w:val="32"/>
          <w:highlight w:val="none"/>
          <w:lang w:eastAsia="zh-CN"/>
        </w:rPr>
        <w:t>、绩效工资、</w:t>
      </w:r>
      <w:r>
        <w:rPr>
          <w:rFonts w:hint="eastAsia" w:ascii="仿宋" w:hAnsi="仿宋" w:eastAsia="仿宋"/>
          <w:color w:val="auto"/>
          <w:sz w:val="32"/>
          <w:szCs w:val="32"/>
          <w:highlight w:val="none"/>
        </w:rPr>
        <w:t>机关事业单位基本养老保险缴费、职业年金缴费、职工基本医疗保险缴费</w:t>
      </w:r>
      <w:r>
        <w:rPr>
          <w:rFonts w:hint="eastAsia" w:ascii="仿宋" w:hAnsi="仿宋" w:eastAsia="仿宋"/>
          <w:color w:val="auto"/>
          <w:sz w:val="32"/>
          <w:szCs w:val="32"/>
          <w:highlight w:val="none"/>
          <w:lang w:eastAsia="zh-CN"/>
        </w:rPr>
        <w:t>、</w:t>
      </w:r>
      <w:r>
        <w:rPr>
          <w:rFonts w:hint="eastAsia" w:ascii="仿宋_GB2312" w:hAnsi="仿宋" w:eastAsia="仿宋_GB2312"/>
          <w:sz w:val="32"/>
          <w:szCs w:val="32"/>
          <w:highlight w:val="none"/>
          <w:lang w:val="en-US" w:eastAsia="zh-CN"/>
        </w:rPr>
        <w:t>公务员医疗补助缴费、其他社会保障缴费</w:t>
      </w:r>
      <w:r>
        <w:rPr>
          <w:rFonts w:hint="eastAsia" w:ascii="仿宋" w:hAnsi="仿宋" w:eastAsia="仿宋"/>
          <w:color w:val="auto"/>
          <w:sz w:val="32"/>
          <w:szCs w:val="32"/>
          <w:highlight w:val="none"/>
        </w:rPr>
        <w:t>、住房公积金</w:t>
      </w:r>
      <w:r>
        <w:rPr>
          <w:rFonts w:hint="eastAsia" w:ascii="仿宋" w:hAnsi="仿宋" w:eastAsia="仿宋"/>
          <w:color w:val="auto"/>
          <w:sz w:val="32"/>
          <w:szCs w:val="32"/>
          <w:highlight w:val="none"/>
          <w:lang w:eastAsia="zh-CN"/>
        </w:rPr>
        <w:t>、</w:t>
      </w:r>
      <w:r>
        <w:rPr>
          <w:rFonts w:hint="eastAsia" w:ascii="仿宋" w:hAnsi="仿宋" w:eastAsia="仿宋"/>
          <w:color w:val="auto"/>
          <w:sz w:val="32"/>
          <w:szCs w:val="32"/>
          <w:highlight w:val="none"/>
        </w:rPr>
        <w:t>其他工资福利支出</w:t>
      </w:r>
      <w:r>
        <w:rPr>
          <w:rFonts w:hint="eastAsia" w:ascii="仿宋" w:hAnsi="仿宋" w:eastAsia="仿宋"/>
          <w:color w:val="auto"/>
          <w:sz w:val="32"/>
          <w:szCs w:val="32"/>
          <w:highlight w:val="none"/>
          <w:lang w:eastAsia="zh-CN"/>
        </w:rPr>
        <w:t>、抚恤金、</w:t>
      </w:r>
      <w:r>
        <w:rPr>
          <w:rFonts w:hint="eastAsia" w:ascii="仿宋" w:hAnsi="仿宋" w:eastAsia="仿宋"/>
          <w:color w:val="auto"/>
          <w:sz w:val="32"/>
          <w:szCs w:val="32"/>
          <w:highlight w:val="none"/>
        </w:rPr>
        <w:t>生活补助</w:t>
      </w:r>
      <w:r>
        <w:rPr>
          <w:rFonts w:hint="eastAsia" w:ascii="仿宋" w:hAnsi="仿宋" w:eastAsia="仿宋"/>
          <w:color w:val="auto"/>
          <w:sz w:val="32"/>
          <w:szCs w:val="32"/>
          <w:highlight w:val="none"/>
          <w:lang w:eastAsia="zh-CN"/>
        </w:rPr>
        <w:t>、</w:t>
      </w:r>
      <w:r>
        <w:rPr>
          <w:rFonts w:hint="eastAsia" w:ascii="仿宋" w:hAnsi="仿宋" w:eastAsia="仿宋"/>
          <w:color w:val="auto"/>
          <w:sz w:val="32"/>
          <w:szCs w:val="32"/>
          <w:highlight w:val="none"/>
        </w:rPr>
        <w:t>奖励金。</w:t>
      </w:r>
    </w:p>
    <w:p w14:paraId="3B67684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公用经费1409.7万元，主要包括：</w:t>
      </w:r>
      <w:r>
        <w:rPr>
          <w:rFonts w:hint="eastAsia" w:ascii="仿宋" w:hAnsi="仿宋" w:eastAsia="仿宋"/>
          <w:color w:val="auto"/>
          <w:sz w:val="32"/>
          <w:szCs w:val="32"/>
          <w:highlight w:val="none"/>
        </w:rPr>
        <w:t>办公费、印刷费</w:t>
      </w:r>
      <w:r>
        <w:rPr>
          <w:rFonts w:hint="eastAsia" w:ascii="仿宋" w:hAnsi="仿宋" w:eastAsia="仿宋"/>
          <w:color w:val="auto"/>
          <w:sz w:val="32"/>
          <w:szCs w:val="32"/>
          <w:highlight w:val="none"/>
          <w:lang w:eastAsia="zh-CN"/>
        </w:rPr>
        <w:t>、</w:t>
      </w:r>
      <w:r>
        <w:rPr>
          <w:rFonts w:hint="eastAsia" w:ascii="仿宋" w:hAnsi="仿宋" w:eastAsia="仿宋"/>
          <w:color w:val="auto"/>
          <w:sz w:val="32"/>
          <w:szCs w:val="32"/>
          <w:highlight w:val="none"/>
        </w:rPr>
        <w:t>水费、电费</w:t>
      </w:r>
      <w:r>
        <w:rPr>
          <w:rFonts w:hint="eastAsia" w:ascii="仿宋" w:hAnsi="仿宋" w:eastAsia="仿宋"/>
          <w:color w:val="auto"/>
          <w:sz w:val="32"/>
          <w:szCs w:val="32"/>
          <w:highlight w:val="none"/>
          <w:lang w:eastAsia="zh-CN"/>
        </w:rPr>
        <w:t>、</w:t>
      </w:r>
      <w:r>
        <w:rPr>
          <w:rFonts w:hint="eastAsia" w:ascii="仿宋" w:hAnsi="仿宋" w:eastAsia="仿宋"/>
          <w:color w:val="auto"/>
          <w:sz w:val="32"/>
          <w:szCs w:val="32"/>
          <w:highlight w:val="none"/>
        </w:rPr>
        <w:t>邮电费、物业管理费</w:t>
      </w:r>
      <w:r>
        <w:rPr>
          <w:rFonts w:hint="eastAsia" w:ascii="仿宋" w:hAnsi="仿宋" w:eastAsia="仿宋"/>
          <w:color w:val="auto"/>
          <w:sz w:val="32"/>
          <w:szCs w:val="32"/>
          <w:highlight w:val="none"/>
          <w:lang w:eastAsia="zh-CN"/>
        </w:rPr>
        <w:t>、</w:t>
      </w:r>
      <w:r>
        <w:rPr>
          <w:rFonts w:hint="eastAsia" w:ascii="仿宋" w:hAnsi="仿宋" w:eastAsia="仿宋"/>
          <w:color w:val="auto"/>
          <w:sz w:val="32"/>
          <w:szCs w:val="32"/>
          <w:highlight w:val="none"/>
        </w:rPr>
        <w:t>差旅费、维修（护）费、租赁费</w:t>
      </w:r>
      <w:r>
        <w:rPr>
          <w:rFonts w:hint="eastAsia" w:ascii="仿宋" w:hAnsi="仿宋" w:eastAsia="仿宋"/>
          <w:color w:val="auto"/>
          <w:sz w:val="32"/>
          <w:szCs w:val="32"/>
          <w:highlight w:val="none"/>
          <w:lang w:eastAsia="zh-CN"/>
        </w:rPr>
        <w:t>、会议费、</w:t>
      </w:r>
      <w:r>
        <w:rPr>
          <w:rFonts w:hint="eastAsia" w:ascii="仿宋" w:hAnsi="仿宋" w:eastAsia="仿宋"/>
          <w:color w:val="auto"/>
          <w:sz w:val="32"/>
          <w:szCs w:val="32"/>
          <w:highlight w:val="none"/>
        </w:rPr>
        <w:t>培训费、公务接待费、劳务费</w:t>
      </w:r>
      <w:r>
        <w:rPr>
          <w:rFonts w:hint="eastAsia" w:ascii="仿宋" w:hAnsi="仿宋" w:eastAsia="仿宋"/>
          <w:color w:val="auto"/>
          <w:sz w:val="32"/>
          <w:szCs w:val="32"/>
          <w:highlight w:val="none"/>
          <w:lang w:eastAsia="zh-CN"/>
        </w:rPr>
        <w:t>、委托业务费、工会经费、</w:t>
      </w:r>
      <w:r>
        <w:rPr>
          <w:rFonts w:hint="eastAsia" w:ascii="仿宋" w:hAnsi="仿宋" w:eastAsia="仿宋"/>
          <w:color w:val="auto"/>
          <w:sz w:val="32"/>
          <w:szCs w:val="32"/>
          <w:highlight w:val="none"/>
        </w:rPr>
        <w:t>福利费、公务用车运行维护费、其他交通费用</w:t>
      </w:r>
      <w:r>
        <w:rPr>
          <w:rFonts w:hint="eastAsia" w:ascii="仿宋" w:hAnsi="仿宋" w:eastAsia="仿宋"/>
          <w:color w:val="auto"/>
          <w:sz w:val="32"/>
          <w:szCs w:val="32"/>
          <w:highlight w:val="none"/>
          <w:lang w:eastAsia="zh-CN"/>
        </w:rPr>
        <w:t>、</w:t>
      </w:r>
      <w:r>
        <w:rPr>
          <w:rFonts w:hint="eastAsia" w:ascii="仿宋" w:hAnsi="仿宋" w:eastAsia="仿宋"/>
          <w:color w:val="auto"/>
          <w:sz w:val="32"/>
          <w:szCs w:val="32"/>
          <w:highlight w:val="none"/>
        </w:rPr>
        <w:t>其他商品和服务支出。</w:t>
      </w:r>
    </w:p>
    <w:p w14:paraId="4326F6F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p>
    <w:p w14:paraId="0AE95A5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Style w:val="35"/>
          <w:rFonts w:ascii="黑体" w:hAnsi="黑体" w:eastAsia="黑体"/>
          <w:b w:val="0"/>
        </w:rPr>
      </w:pPr>
      <w:bookmarkStart w:id="59" w:name="_Toc15377215"/>
      <w:bookmarkStart w:id="60" w:name="_Toc15811"/>
      <w:bookmarkStart w:id="61" w:name="_Toc15396609"/>
      <w:r>
        <w:rPr>
          <w:rFonts w:hint="eastAsia" w:ascii="黑体" w:eastAsia="黑体"/>
          <w:sz w:val="32"/>
          <w:szCs w:val="32"/>
        </w:rPr>
        <w:t>七、</w:t>
      </w:r>
      <w:r>
        <w:rPr>
          <w:rStyle w:val="35"/>
          <w:rFonts w:hint="eastAsia" w:ascii="黑体" w:hAnsi="黑体" w:eastAsia="黑体"/>
          <w:b w:val="0"/>
        </w:rPr>
        <w:t>财政拨款</w:t>
      </w:r>
      <w:r>
        <w:rPr>
          <w:rStyle w:val="35"/>
          <w:rFonts w:hint="eastAsia" w:ascii="黑体" w:hAnsi="黑体" w:eastAsia="黑体"/>
        </w:rPr>
        <w:t>“</w:t>
      </w:r>
      <w:r>
        <w:rPr>
          <w:rStyle w:val="35"/>
          <w:rFonts w:hint="eastAsia" w:ascii="黑体" w:hAnsi="黑体" w:eastAsia="黑体"/>
          <w:b w:val="0"/>
        </w:rPr>
        <w:t>三公”经费支出决算情况说明</w:t>
      </w:r>
      <w:bookmarkEnd w:id="59"/>
      <w:bookmarkEnd w:id="60"/>
      <w:bookmarkEnd w:id="61"/>
    </w:p>
    <w:p w14:paraId="6F9D4DE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62" w:name="_Toc15377216"/>
      <w:r>
        <w:rPr>
          <w:rFonts w:hint="eastAsia" w:ascii="Times New Roman" w:hAnsi="Times New Roman" w:eastAsia="楷体_GB2312" w:cs="楷体_GB2312"/>
          <w:b/>
          <w:color w:val="auto"/>
          <w:sz w:val="32"/>
          <w:szCs w:val="32"/>
          <w:highlight w:val="none"/>
        </w:rPr>
        <w:t>（一）“三公”经费财政拨款支出决算总体情况说明</w:t>
      </w:r>
      <w:bookmarkEnd w:id="62"/>
    </w:p>
    <w:p w14:paraId="5027A85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2025年度“三公”经费财政拨款支出决算为316.29万元，完成预算</w:t>
      </w:r>
      <w:r>
        <w:rPr>
          <w:rFonts w:hint="eastAsia" w:eastAsia="仿宋_GB2312" w:cs="仿宋_GB2312"/>
          <w:color w:val="auto"/>
          <w:kern w:val="2"/>
          <w:sz w:val="32"/>
          <w:szCs w:val="32"/>
          <w:highlight w:val="none"/>
          <w:lang w:val="en-US" w:eastAsia="zh-CN" w:bidi="ar-SA"/>
        </w:rPr>
        <w:t>99.86</w:t>
      </w:r>
      <w:r>
        <w:rPr>
          <w:rFonts w:hint="eastAsia" w:ascii="Times New Roman" w:hAnsi="Times New Roman" w:eastAsia="仿宋_GB2312" w:cs="仿宋_GB2312"/>
          <w:color w:val="auto"/>
          <w:kern w:val="2"/>
          <w:sz w:val="32"/>
          <w:szCs w:val="32"/>
          <w:highlight w:val="none"/>
          <w:lang w:val="en-US" w:eastAsia="zh-CN" w:bidi="ar-SA"/>
        </w:rPr>
        <w:t>%，较上年度</w:t>
      </w:r>
      <w:r>
        <w:rPr>
          <w:rFonts w:hint="eastAsia" w:eastAsia="仿宋_GB2312" w:cs="仿宋_GB2312"/>
          <w:color w:val="auto"/>
          <w:kern w:val="2"/>
          <w:sz w:val="32"/>
          <w:szCs w:val="32"/>
          <w:highlight w:val="none"/>
          <w:lang w:val="en-US" w:eastAsia="zh-CN" w:bidi="ar-SA"/>
        </w:rPr>
        <w:t>增加</w:t>
      </w:r>
      <w:r>
        <w:rPr>
          <w:rFonts w:hint="eastAsia" w:ascii="Times New Roman" w:hAnsi="Times New Roman" w:eastAsia="仿宋_GB2312" w:cs="仿宋_GB2312"/>
          <w:color w:val="auto"/>
          <w:kern w:val="2"/>
          <w:sz w:val="32"/>
          <w:szCs w:val="32"/>
          <w:highlight w:val="none"/>
          <w:lang w:val="en-US" w:eastAsia="zh-CN" w:bidi="ar-SA"/>
        </w:rPr>
        <w:t>16.67万元，</w:t>
      </w:r>
      <w:r>
        <w:rPr>
          <w:rFonts w:hint="eastAsia" w:eastAsia="仿宋_GB2312" w:cs="仿宋_GB2312"/>
          <w:color w:val="auto"/>
          <w:kern w:val="2"/>
          <w:sz w:val="32"/>
          <w:szCs w:val="32"/>
          <w:highlight w:val="none"/>
          <w:lang w:val="en-US" w:eastAsia="zh-CN" w:bidi="ar-SA"/>
        </w:rPr>
        <w:t>增加</w:t>
      </w:r>
      <w:r>
        <w:rPr>
          <w:rFonts w:hint="eastAsia" w:ascii="Times New Roman" w:hAnsi="Times New Roman" w:eastAsia="仿宋_GB2312" w:cs="仿宋_GB2312"/>
          <w:color w:val="auto"/>
          <w:kern w:val="2"/>
          <w:sz w:val="32"/>
          <w:szCs w:val="32"/>
          <w:highlight w:val="none"/>
          <w:lang w:val="en-US" w:eastAsia="zh-CN" w:bidi="ar-SA"/>
        </w:rPr>
        <w:t>5.56%。决算数</w:t>
      </w:r>
      <w:r>
        <w:rPr>
          <w:rFonts w:hint="eastAsia" w:eastAsia="仿宋_GB2312" w:cs="仿宋_GB2312"/>
          <w:color w:val="auto"/>
          <w:kern w:val="2"/>
          <w:sz w:val="32"/>
          <w:szCs w:val="32"/>
          <w:highlight w:val="none"/>
          <w:lang w:val="en-US" w:eastAsia="zh-CN" w:bidi="ar-SA"/>
        </w:rPr>
        <w:t>小于</w:t>
      </w:r>
      <w:r>
        <w:rPr>
          <w:rFonts w:hint="eastAsia" w:ascii="Times New Roman" w:hAnsi="Times New Roman" w:eastAsia="仿宋_GB2312" w:cs="仿宋_GB2312"/>
          <w:color w:val="auto"/>
          <w:kern w:val="2"/>
          <w:sz w:val="32"/>
          <w:szCs w:val="32"/>
          <w:highlight w:val="none"/>
          <w:lang w:val="en-US" w:eastAsia="zh-CN" w:bidi="ar-SA"/>
        </w:rPr>
        <w:t>预算数的主要原因是严格按预算支出执行</w:t>
      </w:r>
      <w:r>
        <w:rPr>
          <w:rFonts w:hint="eastAsia" w:eastAsia="仿宋_GB2312" w:cs="仿宋_GB2312"/>
          <w:color w:val="auto"/>
          <w:kern w:val="2"/>
          <w:sz w:val="32"/>
          <w:szCs w:val="32"/>
          <w:highlight w:val="none"/>
          <w:lang w:val="en-US" w:eastAsia="zh-CN" w:bidi="ar-SA"/>
        </w:rPr>
        <w:t>，“三公”经费压减</w:t>
      </w:r>
      <w:r>
        <w:rPr>
          <w:rFonts w:hint="eastAsia" w:ascii="Times New Roman" w:hAnsi="Times New Roman" w:eastAsia="仿宋_GB2312" w:cs="仿宋_GB2312"/>
          <w:color w:val="auto"/>
          <w:kern w:val="2"/>
          <w:sz w:val="32"/>
          <w:szCs w:val="32"/>
          <w:highlight w:val="none"/>
          <w:lang w:val="en-US" w:eastAsia="zh-CN" w:bidi="ar-SA"/>
        </w:rPr>
        <w:t>。</w:t>
      </w:r>
    </w:p>
    <w:p w14:paraId="0277C7D2">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2"/>
        <w:rPr>
          <w:rFonts w:ascii="仿宋" w:hAnsi="仿宋" w:eastAsia="仿宋"/>
          <w:b/>
          <w:sz w:val="32"/>
          <w:szCs w:val="32"/>
        </w:rPr>
      </w:pPr>
      <w:bookmarkStart w:id="63" w:name="_Toc15377217"/>
      <w:r>
        <w:rPr>
          <w:rFonts w:hint="eastAsia" w:ascii="仿宋" w:hAnsi="仿宋" w:eastAsia="仿宋"/>
          <w:b/>
          <w:sz w:val="32"/>
          <w:szCs w:val="32"/>
        </w:rPr>
        <w:t>（二）“三公”经费财政拨款支出决算具体情况说明</w:t>
      </w:r>
      <w:bookmarkEnd w:id="63"/>
    </w:p>
    <w:p w14:paraId="6773BA35">
      <w:pPr>
        <w:pStyle w:val="18"/>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2025年度“三公”经费财政拨款支出决算中，因公出国（境）费支出决算0万元，占0%；公务用车购置及运行维护费支出决算314.13万元，占9</w:t>
      </w:r>
      <w:r>
        <w:rPr>
          <w:rFonts w:hint="eastAsia" w:eastAsia="仿宋_GB2312" w:cs="仿宋_GB2312"/>
          <w:color w:val="auto"/>
          <w:kern w:val="2"/>
          <w:sz w:val="32"/>
          <w:szCs w:val="32"/>
          <w:highlight w:val="none"/>
          <w:lang w:val="en-US" w:eastAsia="zh-CN" w:bidi="ar-SA"/>
        </w:rPr>
        <w:t>9.3</w:t>
      </w:r>
      <w:r>
        <w:rPr>
          <w:rFonts w:hint="eastAsia" w:ascii="Times New Roman" w:hAnsi="Times New Roman" w:eastAsia="仿宋_GB2312" w:cs="仿宋_GB2312"/>
          <w:color w:val="auto"/>
          <w:kern w:val="2"/>
          <w:sz w:val="32"/>
          <w:szCs w:val="32"/>
          <w:highlight w:val="none"/>
          <w:lang w:val="en-US" w:eastAsia="zh-CN" w:bidi="ar-SA"/>
        </w:rPr>
        <w:t>%；公务接待费支出决算2.16</w:t>
      </w:r>
      <w:r>
        <w:rPr>
          <w:rFonts w:hint="eastAsia" w:ascii="Times New Roman" w:hAnsi="Times New Roman" w:eastAsia="仿宋_GB2312" w:cs="仿宋_GB2312"/>
          <w:color w:val="auto"/>
          <w:kern w:val="2"/>
          <w:sz w:val="32"/>
          <w:szCs w:val="32"/>
          <w:highlight w:val="none"/>
          <w:lang w:val="en-US" w:eastAsia="zh-CN" w:bidi="ar-SA"/>
        </w:rPr>
        <w:drawing>
          <wp:anchor distT="0" distB="0" distL="114300" distR="114300" simplePos="0" relativeHeight="251665408" behindDoc="0" locked="0" layoutInCell="1" allowOverlap="1">
            <wp:simplePos x="0" y="0"/>
            <wp:positionH relativeFrom="column">
              <wp:align>center</wp:align>
            </wp:positionH>
            <wp:positionV relativeFrom="line">
              <wp:posOffset>428625</wp:posOffset>
            </wp:positionV>
            <wp:extent cx="4188460" cy="3237230"/>
            <wp:effectExtent l="0" t="0" r="2540" b="1270"/>
            <wp:wrapTopAndBottom/>
            <wp:docPr id="1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anchor>
        </w:drawing>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0.7</w:t>
      </w:r>
      <w:r>
        <w:rPr>
          <w:rFonts w:hint="eastAsia" w:ascii="Times New Roman" w:hAnsi="Times New Roman" w:eastAsia="仿宋_GB2312" w:cs="仿宋_GB2312"/>
          <w:color w:val="auto"/>
          <w:kern w:val="2"/>
          <w:sz w:val="32"/>
          <w:szCs w:val="32"/>
          <w:highlight w:val="none"/>
          <w:lang w:val="en-US" w:eastAsia="zh-CN" w:bidi="ar-SA"/>
        </w:rPr>
        <w:t>%。具体情况如下：</w:t>
      </w:r>
    </w:p>
    <w:p w14:paraId="4CC0D00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hint="eastAsia" w:ascii="Times New Roman" w:hAnsi="Times New Roman" w:eastAsia="仿宋_GB2312" w:cs="仿宋_GB2312"/>
          <w:color w:val="auto"/>
          <w:kern w:val="2"/>
          <w:sz w:val="36"/>
          <w:szCs w:val="36"/>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（图7：“三公”经费财政拨款支出结构）</w:t>
      </w:r>
      <w:bookmarkStart w:id="64" w:name="_Toc15377218"/>
      <w:bookmarkStart w:id="65" w:name="_Toc15396610"/>
    </w:p>
    <w:p w14:paraId="63429DC2">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1.因公出国（境）经费支出0万元，与预算数保持一致。</w:t>
      </w:r>
      <w:r>
        <w:rPr>
          <w:rFonts w:hint="eastAsia" w:ascii="Times New Roman" w:hAnsi="Times New Roman" w:eastAsia="仿宋_GB2312" w:cs="仿宋_GB2312"/>
          <w:color w:val="auto"/>
          <w:kern w:val="2"/>
          <w:sz w:val="32"/>
          <w:szCs w:val="32"/>
          <w:highlight w:val="none"/>
          <w:lang w:val="en-US" w:eastAsia="zh-CN" w:bidi="ar-SA"/>
        </w:rPr>
        <w:t>全年安排因公出国（境）团组0次，出国（境）0人。因公出国（境）支出决算与2024年度决算数持平。主要原因是本单位2024年度和2025年度无因公出国（境）经费支出。</w:t>
      </w:r>
    </w:p>
    <w:p w14:paraId="3135D0F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方正仿宋_GB2312" w:eastAsia="方正仿宋_GB2312"/>
          <w:b/>
          <w:sz w:val="32"/>
          <w:szCs w:val="32"/>
          <w:lang w:val="en-US" w:eastAsia="zh-CN"/>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Times New Roman" w:hAnsi="Times New Roman" w:eastAsia="仿宋_GB2312" w:cs="仿宋_GB2312"/>
          <w:color w:val="auto"/>
          <w:kern w:val="2"/>
          <w:sz w:val="32"/>
          <w:szCs w:val="32"/>
          <w:highlight w:val="none"/>
          <w:lang w:val="en-US" w:eastAsia="zh-CN" w:bidi="ar-SA"/>
        </w:rPr>
        <w:t>314.13</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99.98</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公务用车购置及运行维护费支出决算比2024年度</w:t>
      </w:r>
      <w:r>
        <w:rPr>
          <w:rFonts w:hint="eastAsia" w:eastAsia="仿宋_GB2312" w:cs="仿宋_GB2312"/>
          <w:color w:val="auto"/>
          <w:kern w:val="2"/>
          <w:sz w:val="32"/>
          <w:szCs w:val="32"/>
          <w:highlight w:val="none"/>
          <w:lang w:val="en-US" w:eastAsia="zh-CN" w:bidi="ar-SA"/>
        </w:rPr>
        <w:t>增加</w:t>
      </w:r>
      <w:r>
        <w:rPr>
          <w:rFonts w:hint="eastAsia" w:ascii="Times New Roman" w:hAnsi="Times New Roman" w:eastAsia="仿宋_GB2312" w:cs="仿宋_GB2312"/>
          <w:color w:val="auto"/>
          <w:kern w:val="2"/>
          <w:sz w:val="32"/>
          <w:szCs w:val="32"/>
          <w:highlight w:val="none"/>
          <w:lang w:val="en-US" w:eastAsia="zh-CN" w:bidi="ar-SA"/>
        </w:rPr>
        <w:t>22.25万元，</w:t>
      </w:r>
      <w:r>
        <w:rPr>
          <w:rFonts w:hint="eastAsia" w:eastAsia="仿宋_GB2312" w:cs="仿宋_GB2312"/>
          <w:color w:val="auto"/>
          <w:kern w:val="2"/>
          <w:sz w:val="32"/>
          <w:szCs w:val="32"/>
          <w:highlight w:val="none"/>
          <w:lang w:val="en-US" w:eastAsia="zh-CN" w:bidi="ar-SA"/>
        </w:rPr>
        <w:t>增加</w:t>
      </w:r>
      <w:r>
        <w:rPr>
          <w:rFonts w:hint="eastAsia" w:ascii="Times New Roman" w:hAnsi="Times New Roman" w:eastAsia="仿宋_GB2312" w:cs="仿宋_GB2312"/>
          <w:color w:val="auto"/>
          <w:kern w:val="2"/>
          <w:sz w:val="32"/>
          <w:szCs w:val="32"/>
          <w:highlight w:val="none"/>
          <w:lang w:val="en-US" w:eastAsia="zh-CN" w:bidi="ar-SA"/>
        </w:rPr>
        <w:t>7.62%。主要原因是</w:t>
      </w:r>
      <w:r>
        <w:rPr>
          <w:rFonts w:hint="eastAsia" w:eastAsia="仿宋_GB2312" w:cs="仿宋_GB2312"/>
          <w:color w:val="auto"/>
          <w:kern w:val="2"/>
          <w:sz w:val="32"/>
          <w:szCs w:val="32"/>
          <w:highlight w:val="none"/>
          <w:lang w:val="en-US" w:eastAsia="zh-CN" w:bidi="ar-SA"/>
        </w:rPr>
        <w:t>本年新购置公务用车金额较大</w:t>
      </w:r>
      <w:r>
        <w:rPr>
          <w:rFonts w:hint="eastAsia" w:ascii="Times New Roman" w:hAnsi="Times New Roman" w:eastAsia="仿宋_GB2312" w:cs="仿宋_GB2312"/>
          <w:color w:val="auto"/>
          <w:kern w:val="2"/>
          <w:sz w:val="32"/>
          <w:szCs w:val="32"/>
          <w:highlight w:val="none"/>
          <w:lang w:val="en-US" w:eastAsia="zh-CN" w:bidi="ar-SA"/>
        </w:rPr>
        <w:t>。</w:t>
      </w:r>
    </w:p>
    <w:p w14:paraId="51C721F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highlight w:val="none"/>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eastAsia="仿宋_GB2312" w:cs="仿宋_GB2312"/>
          <w:color w:val="auto"/>
          <w:kern w:val="2"/>
          <w:sz w:val="32"/>
          <w:szCs w:val="32"/>
          <w:highlight w:val="none"/>
          <w:lang w:val="en-US" w:eastAsia="zh-CN" w:bidi="ar-SA"/>
        </w:rPr>
        <w:t>57.86</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辆。截至2025年12月31日，</w:t>
      </w:r>
      <w:r>
        <w:rPr>
          <w:rFonts w:hint="eastAsia" w:eastAsia="仿宋_GB2312" w:cs="仿宋_GB2312"/>
          <w:color w:val="auto"/>
          <w:kern w:val="2"/>
          <w:sz w:val="32"/>
          <w:szCs w:val="32"/>
          <w:highlight w:val="none"/>
          <w:lang w:val="en-US" w:eastAsia="zh-CN" w:bidi="ar-SA"/>
        </w:rPr>
        <w:t>部门</w:t>
      </w:r>
      <w:r>
        <w:rPr>
          <w:rFonts w:hint="eastAsia" w:ascii="仿宋_GB2312" w:eastAsia="仿宋_GB2312"/>
          <w:sz w:val="32"/>
          <w:szCs w:val="32"/>
        </w:rPr>
        <w:t>共有公务用车</w:t>
      </w:r>
      <w:r>
        <w:rPr>
          <w:rFonts w:hint="eastAsia" w:ascii="仿宋_GB2312" w:eastAsia="仿宋_GB2312"/>
          <w:sz w:val="32"/>
          <w:szCs w:val="32"/>
          <w:lang w:val="en-US" w:eastAsia="zh-CN"/>
        </w:rPr>
        <w:t>65</w:t>
      </w:r>
      <w:r>
        <w:rPr>
          <w:rFonts w:hint="eastAsia" w:ascii="仿宋_GB2312" w:eastAsia="仿宋_GB2312"/>
          <w:sz w:val="32"/>
          <w:szCs w:val="32"/>
        </w:rPr>
        <w:t>辆，其</w:t>
      </w:r>
      <w:r>
        <w:rPr>
          <w:rFonts w:hint="eastAsia" w:ascii="仿宋_GB2312" w:eastAsia="仿宋_GB2312"/>
          <w:sz w:val="32"/>
          <w:szCs w:val="32"/>
          <w:highlight w:val="none"/>
        </w:rPr>
        <w:t>中：轿车</w:t>
      </w:r>
      <w:r>
        <w:rPr>
          <w:rFonts w:hint="eastAsia" w:ascii="仿宋_GB2312" w:eastAsia="仿宋_GB2312"/>
          <w:sz w:val="32"/>
          <w:szCs w:val="32"/>
          <w:highlight w:val="none"/>
          <w:lang w:val="en-US" w:eastAsia="zh-CN"/>
        </w:rPr>
        <w:t>9</w:t>
      </w:r>
      <w:r>
        <w:rPr>
          <w:rFonts w:hint="eastAsia" w:ascii="仿宋_GB2312" w:eastAsia="仿宋_GB2312"/>
          <w:sz w:val="32"/>
          <w:szCs w:val="32"/>
          <w:highlight w:val="none"/>
        </w:rPr>
        <w:t>辆、越野车</w:t>
      </w:r>
      <w:r>
        <w:rPr>
          <w:rFonts w:hint="eastAsia" w:ascii="仿宋_GB2312" w:eastAsia="仿宋_GB2312"/>
          <w:sz w:val="32"/>
          <w:szCs w:val="32"/>
          <w:highlight w:val="none"/>
          <w:lang w:val="en-US" w:eastAsia="zh-CN"/>
        </w:rPr>
        <w:t>57</w:t>
      </w:r>
      <w:r>
        <w:rPr>
          <w:rFonts w:hint="eastAsia" w:ascii="仿宋_GB2312" w:eastAsia="仿宋_GB2312"/>
          <w:sz w:val="32"/>
          <w:szCs w:val="32"/>
          <w:highlight w:val="none"/>
        </w:rPr>
        <w:t>辆、载客汽车</w:t>
      </w:r>
      <w:r>
        <w:rPr>
          <w:rFonts w:hint="eastAsia" w:ascii="仿宋_GB2312" w:eastAsia="仿宋_GB2312"/>
          <w:sz w:val="32"/>
          <w:szCs w:val="32"/>
          <w:highlight w:val="none"/>
          <w:lang w:val="en-US" w:eastAsia="zh-CN"/>
        </w:rPr>
        <w:t>1</w:t>
      </w:r>
      <w:r>
        <w:rPr>
          <w:rFonts w:hint="eastAsia" w:ascii="仿宋_GB2312" w:eastAsia="仿宋_GB2312"/>
          <w:sz w:val="32"/>
          <w:szCs w:val="32"/>
          <w:highlight w:val="none"/>
        </w:rPr>
        <w:t>辆</w:t>
      </w:r>
      <w:r>
        <w:rPr>
          <w:rFonts w:hint="eastAsia" w:ascii="仿宋_GB2312" w:eastAsia="仿宋_GB2312"/>
          <w:sz w:val="32"/>
          <w:szCs w:val="32"/>
          <w:highlight w:val="none"/>
          <w:lang w:eastAsia="zh-CN"/>
        </w:rPr>
        <w:t>、</w:t>
      </w:r>
      <w:r>
        <w:rPr>
          <w:rFonts w:hint="eastAsia" w:ascii="仿宋_GB2312" w:eastAsia="仿宋_GB2312"/>
          <w:sz w:val="32"/>
          <w:szCs w:val="32"/>
          <w:highlight w:val="none"/>
        </w:rPr>
        <w:t>其他车型</w:t>
      </w:r>
      <w:r>
        <w:rPr>
          <w:rFonts w:hint="eastAsia" w:ascii="仿宋_GB2312" w:eastAsia="仿宋_GB2312"/>
          <w:sz w:val="32"/>
          <w:szCs w:val="32"/>
          <w:highlight w:val="none"/>
          <w:lang w:val="en-US" w:eastAsia="zh-CN"/>
        </w:rPr>
        <w:t>1</w:t>
      </w:r>
      <w:r>
        <w:rPr>
          <w:rFonts w:hint="eastAsia" w:ascii="仿宋_GB2312" w:eastAsia="仿宋_GB2312"/>
          <w:sz w:val="32"/>
          <w:szCs w:val="32"/>
          <w:highlight w:val="none"/>
        </w:rPr>
        <w:t>辆。</w:t>
      </w:r>
    </w:p>
    <w:p w14:paraId="76C8E1C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公务用车运行维护费支出256.28万元。主要用于</w:t>
      </w:r>
      <w:r>
        <w:rPr>
          <w:rFonts w:hint="eastAsia" w:ascii="仿宋_GB2312" w:eastAsia="仿宋_GB2312"/>
          <w:sz w:val="32"/>
          <w:szCs w:val="32"/>
          <w:highlight w:val="none"/>
        </w:rPr>
        <w:t>开展监测、污染防治、执法检查等</w:t>
      </w:r>
      <w:r>
        <w:rPr>
          <w:rFonts w:hint="eastAsia" w:ascii="Times New Roman" w:hAnsi="Times New Roman" w:eastAsia="仿宋_GB2312" w:cs="仿宋_GB2312"/>
          <w:color w:val="auto"/>
          <w:kern w:val="2"/>
          <w:sz w:val="32"/>
          <w:szCs w:val="32"/>
          <w:highlight w:val="none"/>
          <w:lang w:val="en-US" w:eastAsia="zh-CN" w:bidi="ar-SA"/>
        </w:rPr>
        <w:t>所需的公务用车燃料费、维修费、过路过桥费、保险费等支出。</w:t>
      </w:r>
    </w:p>
    <w:p w14:paraId="5395FCA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3.公务接待费支出2.16万元，完成预算</w:t>
      </w:r>
      <w:r>
        <w:rPr>
          <w:rFonts w:hint="eastAsia" w:eastAsia="仿宋_GB2312" w:cs="仿宋_GB2312"/>
          <w:b/>
          <w:bCs/>
          <w:color w:val="auto"/>
          <w:kern w:val="2"/>
          <w:sz w:val="32"/>
          <w:szCs w:val="32"/>
          <w:highlight w:val="none"/>
          <w:lang w:val="en-US" w:eastAsia="zh-CN" w:bidi="ar-SA"/>
        </w:rPr>
        <w:t>85.04</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公务接待费支出决算比2024年度减少5.58万元，减少72.09%。主要原因是本年度公务接待的批次、人次减少。其中：</w:t>
      </w:r>
    </w:p>
    <w:p w14:paraId="6B6FBA5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国内公务接待支出2.16万元，主要用于</w:t>
      </w:r>
      <w:r>
        <w:rPr>
          <w:rFonts w:hint="eastAsia" w:ascii="仿宋_GB2312" w:eastAsia="仿宋_GB2312"/>
          <w:sz w:val="32"/>
          <w:szCs w:val="32"/>
          <w:highlight w:val="none"/>
        </w:rPr>
        <w:t>执行公务、开展业务活动开支的用餐费。</w:t>
      </w:r>
      <w:r>
        <w:rPr>
          <w:rFonts w:hint="eastAsia" w:ascii="Times New Roman" w:hAnsi="Times New Roman" w:eastAsia="仿宋_GB2312" w:cs="仿宋_GB2312"/>
          <w:color w:val="auto"/>
          <w:kern w:val="2"/>
          <w:sz w:val="32"/>
          <w:szCs w:val="32"/>
          <w:highlight w:val="none"/>
          <w:lang w:val="en-US" w:eastAsia="zh-CN" w:bidi="ar-SA"/>
        </w:rPr>
        <w:t>国内公务接待</w:t>
      </w:r>
      <w:r>
        <w:rPr>
          <w:rFonts w:hint="eastAsia" w:eastAsia="仿宋_GB2312" w:cs="仿宋_GB2312"/>
          <w:color w:val="auto"/>
          <w:kern w:val="2"/>
          <w:sz w:val="32"/>
          <w:szCs w:val="32"/>
          <w:highlight w:val="none"/>
          <w:lang w:val="en-US" w:eastAsia="zh-CN" w:bidi="ar-SA"/>
        </w:rPr>
        <w:t>41</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eastAsia="仿宋_GB2312" w:cs="仿宋_GB2312"/>
          <w:color w:val="auto"/>
          <w:kern w:val="2"/>
          <w:sz w:val="32"/>
          <w:szCs w:val="32"/>
          <w:highlight w:val="none"/>
          <w:lang w:val="en-US" w:eastAsia="zh-CN" w:bidi="ar-SA"/>
        </w:rPr>
        <w:t>190</w:t>
      </w:r>
      <w:r>
        <w:rPr>
          <w:rFonts w:hint="eastAsia" w:ascii="Times New Roman" w:hAnsi="Times New Roman" w:eastAsia="仿宋_GB2312" w:cs="仿宋_GB2312"/>
          <w:color w:val="auto"/>
          <w:kern w:val="2"/>
          <w:sz w:val="32"/>
          <w:szCs w:val="32"/>
          <w:highlight w:val="none"/>
          <w:lang w:val="en-US" w:eastAsia="zh-CN" w:bidi="ar-SA"/>
        </w:rPr>
        <w:t>人次（不包括陪同人员），共计支出0.99万元，</w:t>
      </w:r>
      <w:r>
        <w:rPr>
          <w:rFonts w:hint="eastAsia" w:ascii="仿宋_GB2312" w:eastAsia="仿宋_GB2312"/>
          <w:sz w:val="32"/>
          <w:szCs w:val="32"/>
          <w:highlight w:val="none"/>
        </w:rPr>
        <w:t>具体内容包括：</w:t>
      </w:r>
      <w:r>
        <w:rPr>
          <w:rFonts w:hint="eastAsia" w:ascii="仿宋_GB2312" w:eastAsia="仿宋_GB2312"/>
          <w:sz w:val="32"/>
          <w:szCs w:val="32"/>
          <w:highlight w:val="none"/>
          <w:lang w:val="en-US" w:eastAsia="zh-CN"/>
        </w:rPr>
        <w:t>四川省大气污染防治保障中心</w:t>
      </w:r>
      <w:r>
        <w:rPr>
          <w:rFonts w:hint="eastAsia" w:ascii="仿宋_GB2312" w:eastAsia="仿宋_GB2312"/>
          <w:sz w:val="32"/>
          <w:szCs w:val="32"/>
          <w:highlight w:val="none"/>
        </w:rPr>
        <w:t>开展非道路移动机械技术核查和帮扶工作公务接待费（1批次，5人次）共</w:t>
      </w:r>
      <w:r>
        <w:rPr>
          <w:rFonts w:hint="eastAsia" w:ascii="仿宋_GB2312" w:eastAsia="仿宋_GB2312"/>
          <w:sz w:val="32"/>
          <w:szCs w:val="32"/>
          <w:highlight w:val="none"/>
          <w:lang w:val="en-US" w:eastAsia="zh-CN"/>
        </w:rPr>
        <w:t>0.07万</w:t>
      </w:r>
      <w:r>
        <w:rPr>
          <w:rFonts w:hint="eastAsia" w:ascii="仿宋_GB2312" w:eastAsia="仿宋_GB2312"/>
          <w:sz w:val="32"/>
          <w:szCs w:val="32"/>
          <w:highlight w:val="none"/>
        </w:rPr>
        <w:t>元餐费；</w:t>
      </w:r>
      <w:r>
        <w:rPr>
          <w:rFonts w:hint="eastAsia" w:ascii="仿宋_GB2312" w:eastAsia="仿宋_GB2312"/>
          <w:sz w:val="32"/>
          <w:szCs w:val="32"/>
          <w:highlight w:val="none"/>
          <w:lang w:val="en-US" w:eastAsia="zh-CN"/>
        </w:rPr>
        <w:t>四川绵美环保服务有限公司人工智能导师讲授AIGC在生态环境领域的应用公务接待费</w:t>
      </w:r>
      <w:r>
        <w:rPr>
          <w:rFonts w:hint="eastAsia" w:ascii="仿宋_GB2312" w:eastAsia="仿宋_GB2312"/>
          <w:sz w:val="32"/>
          <w:szCs w:val="32"/>
          <w:highlight w:val="none"/>
        </w:rPr>
        <w:t>（1批次，</w:t>
      </w:r>
      <w:r>
        <w:rPr>
          <w:rFonts w:hint="eastAsia" w:ascii="仿宋_GB2312" w:eastAsia="仿宋_GB2312"/>
          <w:sz w:val="32"/>
          <w:szCs w:val="32"/>
          <w:highlight w:val="none"/>
          <w:lang w:val="en-US" w:eastAsia="zh-CN"/>
        </w:rPr>
        <w:t>4</w:t>
      </w:r>
      <w:r>
        <w:rPr>
          <w:rFonts w:hint="eastAsia" w:ascii="仿宋_GB2312" w:eastAsia="仿宋_GB2312"/>
          <w:sz w:val="32"/>
          <w:szCs w:val="32"/>
          <w:highlight w:val="none"/>
        </w:rPr>
        <w:t>人次）共</w:t>
      </w:r>
      <w:r>
        <w:rPr>
          <w:rFonts w:hint="eastAsia" w:ascii="仿宋_GB2312" w:eastAsia="仿宋_GB2312"/>
          <w:sz w:val="32"/>
          <w:szCs w:val="32"/>
          <w:highlight w:val="none"/>
          <w:lang w:val="en-US" w:eastAsia="zh-CN"/>
        </w:rPr>
        <w:t>0.07万</w:t>
      </w:r>
      <w:r>
        <w:rPr>
          <w:rFonts w:hint="eastAsia" w:ascii="仿宋_GB2312" w:eastAsia="仿宋_GB2312"/>
          <w:sz w:val="32"/>
          <w:szCs w:val="32"/>
          <w:highlight w:val="none"/>
        </w:rPr>
        <w:t>元餐费；省厅</w:t>
      </w:r>
      <w:r>
        <w:rPr>
          <w:rFonts w:hint="eastAsia" w:ascii="仿宋_GB2312" w:eastAsia="仿宋_GB2312"/>
          <w:sz w:val="32"/>
          <w:szCs w:val="32"/>
          <w:highlight w:val="none"/>
          <w:lang w:val="en-US" w:eastAsia="zh-CN"/>
        </w:rPr>
        <w:t>第四监察专员办来州检查</w:t>
      </w:r>
      <w:r>
        <w:rPr>
          <w:rFonts w:hint="eastAsia" w:ascii="仿宋_GB2312" w:eastAsia="仿宋_GB2312"/>
          <w:sz w:val="32"/>
          <w:szCs w:val="32"/>
          <w:highlight w:val="none"/>
        </w:rPr>
        <w:t>（1批次，</w:t>
      </w:r>
      <w:r>
        <w:rPr>
          <w:rFonts w:hint="eastAsia" w:ascii="仿宋_GB2312" w:eastAsia="仿宋_GB2312"/>
          <w:sz w:val="32"/>
          <w:szCs w:val="32"/>
          <w:highlight w:val="none"/>
          <w:lang w:val="en-US" w:eastAsia="zh-CN"/>
        </w:rPr>
        <w:t>5</w:t>
      </w:r>
      <w:r>
        <w:rPr>
          <w:rFonts w:hint="eastAsia" w:ascii="仿宋_GB2312" w:eastAsia="仿宋_GB2312"/>
          <w:sz w:val="32"/>
          <w:szCs w:val="32"/>
          <w:highlight w:val="none"/>
        </w:rPr>
        <w:t>人次）共</w:t>
      </w:r>
      <w:r>
        <w:rPr>
          <w:rFonts w:hint="eastAsia" w:ascii="仿宋_GB2312" w:eastAsia="仿宋_GB2312"/>
          <w:sz w:val="32"/>
          <w:szCs w:val="32"/>
          <w:highlight w:val="none"/>
          <w:lang w:val="en-US" w:eastAsia="zh-CN"/>
        </w:rPr>
        <w:t>0.09万</w:t>
      </w:r>
      <w:r>
        <w:rPr>
          <w:rFonts w:hint="eastAsia" w:ascii="仿宋_GB2312" w:eastAsia="仿宋_GB2312"/>
          <w:sz w:val="32"/>
          <w:szCs w:val="32"/>
          <w:highlight w:val="none"/>
        </w:rPr>
        <w:t>元餐费；</w:t>
      </w:r>
      <w:r>
        <w:rPr>
          <w:rFonts w:hint="eastAsia" w:ascii="仿宋_GB2312" w:eastAsia="仿宋_GB2312"/>
          <w:sz w:val="32"/>
          <w:szCs w:val="32"/>
          <w:highlight w:val="none"/>
          <w:lang w:val="en-US" w:eastAsia="zh-CN"/>
        </w:rPr>
        <w:t>省生态环境投资评估与绩效评价中心赴州开展2025年度中央和省级生态环境保护专项资金项目现场绩效评价暨常态化检查</w:t>
      </w:r>
      <w:r>
        <w:rPr>
          <w:rFonts w:hint="eastAsia" w:ascii="仿宋_GB2312" w:eastAsia="仿宋_GB2312"/>
          <w:sz w:val="32"/>
          <w:szCs w:val="32"/>
          <w:highlight w:val="none"/>
        </w:rPr>
        <w:t>（1批次，</w:t>
      </w:r>
      <w:r>
        <w:rPr>
          <w:rFonts w:hint="eastAsia" w:ascii="仿宋_GB2312" w:eastAsia="仿宋_GB2312"/>
          <w:sz w:val="32"/>
          <w:szCs w:val="32"/>
          <w:highlight w:val="none"/>
          <w:lang w:val="en-US" w:eastAsia="zh-CN"/>
        </w:rPr>
        <w:t>10</w:t>
      </w:r>
      <w:r>
        <w:rPr>
          <w:rFonts w:hint="eastAsia" w:ascii="仿宋_GB2312" w:eastAsia="仿宋_GB2312"/>
          <w:sz w:val="32"/>
          <w:szCs w:val="32"/>
          <w:highlight w:val="none"/>
        </w:rPr>
        <w:t>人次）共</w:t>
      </w:r>
      <w:r>
        <w:rPr>
          <w:rFonts w:hint="eastAsia" w:ascii="仿宋_GB2312" w:eastAsia="仿宋_GB2312"/>
          <w:sz w:val="32"/>
          <w:szCs w:val="32"/>
          <w:highlight w:val="none"/>
          <w:lang w:val="en-US" w:eastAsia="zh-CN"/>
        </w:rPr>
        <w:t>0.14万</w:t>
      </w:r>
      <w:r>
        <w:rPr>
          <w:rFonts w:hint="eastAsia" w:ascii="仿宋_GB2312" w:eastAsia="仿宋_GB2312"/>
          <w:sz w:val="32"/>
          <w:szCs w:val="32"/>
          <w:highlight w:val="none"/>
        </w:rPr>
        <w:t>元餐费；</w:t>
      </w:r>
      <w:r>
        <w:rPr>
          <w:rFonts w:hint="eastAsia" w:ascii="仿宋_GB2312" w:eastAsia="仿宋_GB2312"/>
          <w:sz w:val="32"/>
          <w:szCs w:val="32"/>
          <w:highlight w:val="none"/>
          <w:lang w:val="en-US" w:eastAsia="zh-CN"/>
        </w:rPr>
        <w:t>四川省生态环境科学研究院讲授生物多样性课程</w:t>
      </w:r>
      <w:r>
        <w:rPr>
          <w:rFonts w:hint="eastAsia" w:ascii="仿宋_GB2312" w:eastAsia="仿宋_GB2312"/>
          <w:sz w:val="32"/>
          <w:szCs w:val="32"/>
          <w:highlight w:val="none"/>
        </w:rPr>
        <w:t>（1批次，</w:t>
      </w:r>
      <w:r>
        <w:rPr>
          <w:rFonts w:hint="eastAsia" w:ascii="仿宋_GB2312" w:eastAsia="仿宋_GB2312"/>
          <w:sz w:val="32"/>
          <w:szCs w:val="32"/>
          <w:highlight w:val="none"/>
          <w:lang w:val="en-US" w:eastAsia="zh-CN"/>
        </w:rPr>
        <w:t>7</w:t>
      </w:r>
      <w:r>
        <w:rPr>
          <w:rFonts w:hint="eastAsia" w:ascii="仿宋_GB2312" w:eastAsia="仿宋_GB2312"/>
          <w:sz w:val="32"/>
          <w:szCs w:val="32"/>
          <w:highlight w:val="none"/>
        </w:rPr>
        <w:t>人次）</w:t>
      </w:r>
      <w:r>
        <w:rPr>
          <w:rFonts w:hint="eastAsia" w:ascii="仿宋_GB2312" w:eastAsia="仿宋_GB2312"/>
          <w:sz w:val="32"/>
          <w:szCs w:val="32"/>
          <w:highlight w:val="none"/>
          <w:lang w:val="en-US" w:eastAsia="zh-CN"/>
        </w:rPr>
        <w:t>共0.11万</w:t>
      </w:r>
      <w:r>
        <w:rPr>
          <w:rFonts w:hint="eastAsia" w:ascii="仿宋_GB2312" w:eastAsia="仿宋_GB2312"/>
          <w:sz w:val="32"/>
          <w:szCs w:val="32"/>
          <w:highlight w:val="none"/>
        </w:rPr>
        <w:t>元餐费；</w:t>
      </w:r>
      <w:r>
        <w:rPr>
          <w:rFonts w:hint="eastAsia" w:ascii="仿宋_GB2312" w:eastAsia="仿宋_GB2312"/>
          <w:sz w:val="32"/>
          <w:szCs w:val="32"/>
          <w:highlight w:val="none"/>
          <w:lang w:val="en-US" w:eastAsia="zh-CN"/>
        </w:rPr>
        <w:t>生态环境厅开展水泥砖瓦企业错峰生产及产能治理帮扶工作</w:t>
      </w:r>
      <w:r>
        <w:rPr>
          <w:rFonts w:hint="eastAsia" w:ascii="仿宋_GB2312" w:eastAsia="仿宋_GB2312"/>
          <w:sz w:val="32"/>
          <w:szCs w:val="32"/>
          <w:highlight w:val="none"/>
        </w:rPr>
        <w:t>（1批次，</w:t>
      </w:r>
      <w:r>
        <w:rPr>
          <w:rFonts w:hint="eastAsia" w:ascii="仿宋_GB2312" w:eastAsia="仿宋_GB2312"/>
          <w:sz w:val="32"/>
          <w:szCs w:val="32"/>
          <w:highlight w:val="none"/>
          <w:lang w:val="en-US" w:eastAsia="zh-CN"/>
        </w:rPr>
        <w:t>5</w:t>
      </w:r>
      <w:r>
        <w:rPr>
          <w:rFonts w:hint="eastAsia" w:ascii="仿宋_GB2312" w:eastAsia="仿宋_GB2312"/>
          <w:sz w:val="32"/>
          <w:szCs w:val="32"/>
          <w:highlight w:val="none"/>
        </w:rPr>
        <w:t>人次）</w:t>
      </w:r>
      <w:r>
        <w:rPr>
          <w:rFonts w:hint="eastAsia" w:ascii="仿宋_GB2312" w:eastAsia="仿宋_GB2312"/>
          <w:sz w:val="32"/>
          <w:szCs w:val="32"/>
          <w:highlight w:val="none"/>
          <w:lang w:val="en-US" w:eastAsia="zh-CN"/>
        </w:rPr>
        <w:t>共0.08万</w:t>
      </w:r>
      <w:r>
        <w:rPr>
          <w:rFonts w:hint="eastAsia" w:ascii="仿宋_GB2312" w:eastAsia="仿宋_GB2312"/>
          <w:sz w:val="32"/>
          <w:szCs w:val="32"/>
          <w:highlight w:val="none"/>
        </w:rPr>
        <w:t>元餐费；</w:t>
      </w:r>
      <w:r>
        <w:rPr>
          <w:rFonts w:hint="eastAsia" w:ascii="仿宋_GB2312" w:eastAsia="仿宋_GB2312"/>
          <w:sz w:val="32"/>
          <w:szCs w:val="32"/>
          <w:highlight w:val="none"/>
          <w:lang w:val="en-US" w:eastAsia="zh-CN"/>
        </w:rPr>
        <w:t>成都市石油化学工业园区环境监测站开展干部考察工作</w:t>
      </w:r>
      <w:r>
        <w:rPr>
          <w:rFonts w:hint="eastAsia" w:ascii="仿宋_GB2312" w:eastAsia="仿宋_GB2312"/>
          <w:sz w:val="32"/>
          <w:szCs w:val="32"/>
          <w:highlight w:val="none"/>
        </w:rPr>
        <w:t>（1批次，</w:t>
      </w:r>
      <w:r>
        <w:rPr>
          <w:rFonts w:hint="eastAsia" w:ascii="仿宋_GB2312" w:eastAsia="仿宋_GB2312"/>
          <w:sz w:val="32"/>
          <w:szCs w:val="32"/>
          <w:highlight w:val="none"/>
          <w:lang w:val="en-US" w:eastAsia="zh-CN"/>
        </w:rPr>
        <w:t>6</w:t>
      </w:r>
      <w:r>
        <w:rPr>
          <w:rFonts w:hint="eastAsia" w:ascii="仿宋_GB2312" w:eastAsia="仿宋_GB2312"/>
          <w:sz w:val="32"/>
          <w:szCs w:val="32"/>
          <w:highlight w:val="none"/>
        </w:rPr>
        <w:t>人次）</w:t>
      </w:r>
      <w:r>
        <w:rPr>
          <w:rFonts w:hint="eastAsia" w:ascii="仿宋_GB2312" w:eastAsia="仿宋_GB2312"/>
          <w:sz w:val="32"/>
          <w:szCs w:val="32"/>
          <w:highlight w:val="none"/>
          <w:lang w:val="en-US" w:eastAsia="zh-CN"/>
        </w:rPr>
        <w:t>共0.11万</w:t>
      </w:r>
      <w:r>
        <w:rPr>
          <w:rFonts w:hint="eastAsia" w:ascii="仿宋_GB2312" w:eastAsia="仿宋_GB2312"/>
          <w:sz w:val="32"/>
          <w:szCs w:val="32"/>
          <w:highlight w:val="none"/>
        </w:rPr>
        <w:t>元餐费；</w:t>
      </w:r>
      <w:r>
        <w:rPr>
          <w:rFonts w:hint="eastAsia" w:ascii="仿宋_GB2312" w:eastAsia="仿宋_GB2312"/>
          <w:sz w:val="32"/>
          <w:szCs w:val="32"/>
          <w:highlight w:val="none"/>
          <w:lang w:val="en-US" w:eastAsia="zh-CN"/>
        </w:rPr>
        <w:t>四川省生态环境保护督察组开展四川省生态环境保护督察阿坝州情况反馈会工作</w:t>
      </w:r>
      <w:r>
        <w:rPr>
          <w:rFonts w:hint="eastAsia" w:ascii="仿宋_GB2312" w:eastAsia="仿宋_GB2312"/>
          <w:sz w:val="32"/>
          <w:szCs w:val="32"/>
          <w:highlight w:val="none"/>
        </w:rPr>
        <w:t>（1批次，</w:t>
      </w:r>
      <w:r>
        <w:rPr>
          <w:rFonts w:hint="eastAsia" w:ascii="仿宋_GB2312" w:eastAsia="仿宋_GB2312"/>
          <w:sz w:val="32"/>
          <w:szCs w:val="32"/>
          <w:highlight w:val="none"/>
          <w:lang w:val="en-US" w:eastAsia="zh-CN"/>
        </w:rPr>
        <w:t>5</w:t>
      </w:r>
      <w:r>
        <w:rPr>
          <w:rFonts w:hint="eastAsia" w:ascii="仿宋_GB2312" w:eastAsia="仿宋_GB2312"/>
          <w:sz w:val="32"/>
          <w:szCs w:val="32"/>
          <w:highlight w:val="none"/>
        </w:rPr>
        <w:t>人次）</w:t>
      </w:r>
      <w:r>
        <w:rPr>
          <w:rFonts w:hint="eastAsia" w:ascii="仿宋_GB2312" w:eastAsia="仿宋_GB2312"/>
          <w:sz w:val="32"/>
          <w:szCs w:val="32"/>
          <w:highlight w:val="none"/>
          <w:lang w:val="en-US" w:eastAsia="zh-CN"/>
        </w:rPr>
        <w:t>共0.08万</w:t>
      </w:r>
      <w:r>
        <w:rPr>
          <w:rFonts w:hint="eastAsia" w:ascii="仿宋_GB2312" w:eastAsia="仿宋_GB2312"/>
          <w:sz w:val="32"/>
          <w:szCs w:val="32"/>
          <w:highlight w:val="none"/>
        </w:rPr>
        <w:t>元餐费；省</w:t>
      </w:r>
      <w:r>
        <w:rPr>
          <w:rFonts w:hint="eastAsia" w:ascii="仿宋_GB2312" w:eastAsia="仿宋_GB2312"/>
          <w:sz w:val="32"/>
          <w:szCs w:val="32"/>
          <w:highlight w:val="none"/>
          <w:lang w:val="en-US" w:eastAsia="zh-CN"/>
        </w:rPr>
        <w:t>厅执法总队</w:t>
      </w:r>
      <w:r>
        <w:rPr>
          <w:rFonts w:hint="eastAsia" w:ascii="仿宋_GB2312" w:eastAsia="仿宋_GB2312"/>
          <w:sz w:val="32"/>
          <w:szCs w:val="32"/>
          <w:highlight w:val="none"/>
        </w:rPr>
        <w:t>来州</w:t>
      </w:r>
      <w:r>
        <w:rPr>
          <w:rFonts w:hint="eastAsia" w:ascii="仿宋_GB2312" w:eastAsia="仿宋_GB2312"/>
          <w:sz w:val="32"/>
          <w:szCs w:val="32"/>
          <w:highlight w:val="none"/>
          <w:lang w:val="en-US" w:eastAsia="zh-CN"/>
        </w:rPr>
        <w:t>开展生态环境行政执法稽查</w:t>
      </w:r>
      <w:r>
        <w:rPr>
          <w:rFonts w:hint="eastAsia" w:ascii="仿宋_GB2312" w:eastAsia="仿宋_GB2312"/>
          <w:sz w:val="32"/>
          <w:szCs w:val="32"/>
          <w:highlight w:val="none"/>
        </w:rPr>
        <w:t>（1批次，</w:t>
      </w:r>
      <w:r>
        <w:rPr>
          <w:rFonts w:hint="eastAsia" w:ascii="仿宋_GB2312" w:eastAsia="仿宋_GB2312"/>
          <w:sz w:val="32"/>
          <w:szCs w:val="32"/>
          <w:highlight w:val="none"/>
          <w:lang w:val="en-US" w:eastAsia="zh-CN"/>
        </w:rPr>
        <w:t>9</w:t>
      </w:r>
      <w:r>
        <w:rPr>
          <w:rFonts w:hint="eastAsia" w:ascii="仿宋_GB2312" w:eastAsia="仿宋_GB2312"/>
          <w:sz w:val="32"/>
          <w:szCs w:val="32"/>
          <w:highlight w:val="none"/>
        </w:rPr>
        <w:t>人次）</w:t>
      </w:r>
      <w:r>
        <w:rPr>
          <w:rFonts w:hint="eastAsia" w:ascii="仿宋_GB2312" w:eastAsia="仿宋_GB2312"/>
          <w:sz w:val="32"/>
          <w:szCs w:val="32"/>
          <w:highlight w:val="none"/>
          <w:lang w:val="en-US" w:eastAsia="zh-CN"/>
        </w:rPr>
        <w:t>共0.13万</w:t>
      </w:r>
      <w:r>
        <w:rPr>
          <w:rFonts w:hint="eastAsia" w:ascii="仿宋_GB2312" w:eastAsia="仿宋_GB2312"/>
          <w:sz w:val="32"/>
          <w:szCs w:val="32"/>
          <w:highlight w:val="none"/>
        </w:rPr>
        <w:t>元餐费；</w:t>
      </w:r>
      <w:r>
        <w:rPr>
          <w:rFonts w:hint="eastAsia" w:ascii="仿宋_GB2312" w:eastAsia="仿宋_GB2312"/>
          <w:sz w:val="32"/>
          <w:szCs w:val="32"/>
          <w:highlight w:val="none"/>
          <w:lang w:val="en-US" w:eastAsia="zh-CN"/>
        </w:rPr>
        <w:t>生态环境部西南督察局中央第三生态环境保护督察组检查网络舆情工作</w:t>
      </w:r>
      <w:r>
        <w:rPr>
          <w:rFonts w:hint="eastAsia" w:ascii="仿宋_GB2312" w:eastAsia="仿宋_GB2312"/>
          <w:sz w:val="32"/>
          <w:szCs w:val="32"/>
          <w:highlight w:val="none"/>
        </w:rPr>
        <w:t>（1批次，</w:t>
      </w:r>
      <w:r>
        <w:rPr>
          <w:rFonts w:hint="eastAsia" w:ascii="仿宋_GB2312" w:eastAsia="仿宋_GB2312"/>
          <w:sz w:val="32"/>
          <w:szCs w:val="32"/>
          <w:highlight w:val="none"/>
          <w:lang w:val="en-US" w:eastAsia="zh-CN"/>
        </w:rPr>
        <w:t>7</w:t>
      </w:r>
      <w:r>
        <w:rPr>
          <w:rFonts w:hint="eastAsia" w:ascii="仿宋_GB2312" w:eastAsia="仿宋_GB2312"/>
          <w:sz w:val="32"/>
          <w:szCs w:val="32"/>
          <w:highlight w:val="none"/>
        </w:rPr>
        <w:t>人次）</w:t>
      </w:r>
      <w:r>
        <w:rPr>
          <w:rFonts w:hint="eastAsia" w:ascii="仿宋_GB2312" w:eastAsia="仿宋_GB2312"/>
          <w:sz w:val="32"/>
          <w:szCs w:val="32"/>
          <w:highlight w:val="none"/>
          <w:lang w:val="en-US" w:eastAsia="zh-CN"/>
        </w:rPr>
        <w:t>共0.</w:t>
      </w:r>
      <w:r>
        <w:rPr>
          <w:rFonts w:hint="eastAsia" w:ascii="仿宋_GB2312" w:eastAsia="仿宋_GB2312"/>
          <w:sz w:val="32"/>
          <w:szCs w:val="32"/>
          <w:highlight w:val="none"/>
        </w:rPr>
        <w:t>1</w:t>
      </w:r>
      <w:r>
        <w:rPr>
          <w:rFonts w:hint="eastAsia" w:ascii="仿宋_GB2312" w:eastAsia="仿宋_GB2312"/>
          <w:sz w:val="32"/>
          <w:szCs w:val="32"/>
          <w:highlight w:val="none"/>
          <w:lang w:val="en-US" w:eastAsia="zh-CN"/>
        </w:rPr>
        <w:t>1万</w:t>
      </w:r>
      <w:r>
        <w:rPr>
          <w:rFonts w:hint="eastAsia" w:ascii="仿宋_GB2312" w:eastAsia="仿宋_GB2312"/>
          <w:sz w:val="32"/>
          <w:szCs w:val="32"/>
          <w:highlight w:val="none"/>
        </w:rPr>
        <w:t>元餐费</w:t>
      </w:r>
      <w:r>
        <w:rPr>
          <w:rFonts w:hint="eastAsia" w:ascii="仿宋_GB2312" w:eastAsia="仿宋_GB2312"/>
          <w:sz w:val="32"/>
          <w:szCs w:val="32"/>
          <w:highlight w:val="none"/>
          <w:lang w:val="en-US" w:eastAsia="zh-CN"/>
        </w:rPr>
        <w:t>等</w:t>
      </w:r>
      <w:r>
        <w:rPr>
          <w:rFonts w:hint="eastAsia" w:ascii="仿宋_GB2312" w:eastAsia="仿宋_GB2312"/>
          <w:sz w:val="32"/>
          <w:szCs w:val="32"/>
          <w:highlight w:val="none"/>
        </w:rPr>
        <w:t>。</w:t>
      </w:r>
    </w:p>
    <w:p w14:paraId="752DFDD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外事接待支出0万元。外事接待0批次，0人次（不包括陪同人员），共计支出0万元。</w:t>
      </w:r>
    </w:p>
    <w:p w14:paraId="0A603AB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ascii="黑体" w:eastAsia="黑体"/>
          <w:sz w:val="32"/>
          <w:szCs w:val="32"/>
        </w:rPr>
      </w:pPr>
    </w:p>
    <w:p w14:paraId="141B220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Style w:val="35"/>
          <w:rFonts w:ascii="黑体" w:hAnsi="黑体" w:eastAsia="黑体"/>
        </w:rPr>
      </w:pPr>
      <w:bookmarkStart w:id="66" w:name="_Toc32637"/>
      <w:r>
        <w:rPr>
          <w:rFonts w:hint="eastAsia" w:ascii="黑体" w:eastAsia="黑体"/>
          <w:sz w:val="32"/>
          <w:szCs w:val="32"/>
        </w:rPr>
        <w:t>八、</w:t>
      </w:r>
      <w:r>
        <w:rPr>
          <w:rStyle w:val="35"/>
          <w:rFonts w:hint="eastAsia" w:ascii="黑体" w:hAnsi="黑体" w:eastAsia="黑体"/>
          <w:b w:val="0"/>
        </w:rPr>
        <w:t>政府性基金预算支出决算情况说明</w:t>
      </w:r>
      <w:bookmarkEnd w:id="64"/>
      <w:bookmarkEnd w:id="65"/>
      <w:bookmarkEnd w:id="66"/>
    </w:p>
    <w:p w14:paraId="1B5509F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本</w:t>
      </w:r>
      <w:r>
        <w:rPr>
          <w:rFonts w:hint="eastAsia" w:eastAsia="仿宋_GB2312" w:cs="仿宋_GB2312"/>
          <w:color w:val="auto"/>
          <w:kern w:val="2"/>
          <w:sz w:val="32"/>
          <w:szCs w:val="32"/>
          <w:highlight w:val="none"/>
          <w:lang w:val="en-US" w:eastAsia="zh-CN" w:bidi="ar-SA"/>
        </w:rPr>
        <w:t>部门</w:t>
      </w:r>
      <w:r>
        <w:rPr>
          <w:rFonts w:hint="eastAsia" w:ascii="Times New Roman" w:hAnsi="Times New Roman" w:eastAsia="仿宋_GB2312" w:cs="仿宋_GB2312"/>
          <w:color w:val="auto"/>
          <w:kern w:val="2"/>
          <w:sz w:val="32"/>
          <w:szCs w:val="32"/>
          <w:highlight w:val="none"/>
          <w:lang w:val="en-US" w:eastAsia="zh-CN" w:bidi="ar-SA"/>
        </w:rPr>
        <w:t>2025年度政府性基金预算财政拨款支出0万元。</w:t>
      </w:r>
    </w:p>
    <w:p w14:paraId="3581521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方正仿宋_GB2312" w:eastAsia="方正仿宋_GB2312"/>
          <w:sz w:val="32"/>
          <w:szCs w:val="32"/>
        </w:rPr>
      </w:pPr>
    </w:p>
    <w:p w14:paraId="33240E46">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firstLine="640" w:firstLineChars="200"/>
        <w:textAlignment w:val="auto"/>
        <w:outlineLvl w:val="1"/>
        <w:rPr>
          <w:rStyle w:val="35"/>
          <w:rFonts w:ascii="黑体" w:hAnsi="黑体" w:eastAsia="黑体"/>
          <w:b w:val="0"/>
        </w:rPr>
      </w:pPr>
      <w:bookmarkStart w:id="67" w:name="_Toc15377219"/>
      <w:bookmarkStart w:id="68" w:name="_Toc15396611"/>
      <w:bookmarkStart w:id="69" w:name="_Toc30986"/>
      <w:r>
        <w:rPr>
          <w:rStyle w:val="35"/>
          <w:rFonts w:hint="eastAsia" w:ascii="黑体" w:hAnsi="黑体" w:eastAsia="黑体"/>
          <w:b w:val="0"/>
        </w:rPr>
        <w:t>国有资本经营预算支出决算情况说明</w:t>
      </w:r>
      <w:bookmarkEnd w:id="67"/>
      <w:bookmarkEnd w:id="68"/>
      <w:bookmarkEnd w:id="69"/>
    </w:p>
    <w:p w14:paraId="2EFDCEA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本</w:t>
      </w:r>
      <w:r>
        <w:rPr>
          <w:rFonts w:hint="eastAsia" w:eastAsia="仿宋_GB2312" w:cs="仿宋_GB2312"/>
          <w:color w:val="auto"/>
          <w:kern w:val="2"/>
          <w:sz w:val="32"/>
          <w:szCs w:val="32"/>
          <w:highlight w:val="none"/>
          <w:lang w:val="en-US" w:eastAsia="zh-CN" w:bidi="ar-SA"/>
        </w:rPr>
        <w:t>部门</w:t>
      </w:r>
      <w:r>
        <w:rPr>
          <w:rFonts w:hint="eastAsia" w:ascii="Times New Roman" w:hAnsi="Times New Roman" w:eastAsia="仿宋_GB2312" w:cs="仿宋_GB2312"/>
          <w:color w:val="auto"/>
          <w:kern w:val="2"/>
          <w:sz w:val="32"/>
          <w:szCs w:val="32"/>
          <w:highlight w:val="none"/>
          <w:lang w:val="en-US" w:eastAsia="zh-CN" w:bidi="ar-SA"/>
        </w:rPr>
        <w:t>2025年度国有资本经营预算财政拨款支出0万元。</w:t>
      </w:r>
    </w:p>
    <w:p w14:paraId="62A1DEE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p>
    <w:p w14:paraId="2D88A349">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firstLine="640" w:firstLineChars="200"/>
        <w:textAlignment w:val="auto"/>
        <w:outlineLvl w:val="1"/>
        <w:rPr>
          <w:rStyle w:val="35"/>
          <w:rFonts w:ascii="黑体" w:hAnsi="黑体" w:eastAsia="黑体"/>
          <w:b w:val="0"/>
        </w:rPr>
      </w:pPr>
      <w:bookmarkStart w:id="70" w:name="_Toc15377221"/>
      <w:bookmarkStart w:id="71" w:name="_Toc28451"/>
      <w:bookmarkStart w:id="72" w:name="_Toc15396612"/>
      <w:r>
        <w:rPr>
          <w:rStyle w:val="35"/>
          <w:rFonts w:hint="eastAsia" w:ascii="黑体" w:hAnsi="黑体" w:eastAsia="黑体"/>
          <w:b w:val="0"/>
        </w:rPr>
        <w:t>其他重要事项的情况说明</w:t>
      </w:r>
      <w:bookmarkEnd w:id="70"/>
      <w:bookmarkEnd w:id="71"/>
      <w:bookmarkEnd w:id="72"/>
    </w:p>
    <w:p w14:paraId="77B639F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73" w:name="_Toc15377222"/>
      <w:r>
        <w:rPr>
          <w:rFonts w:hint="eastAsia" w:ascii="Times New Roman" w:hAnsi="Times New Roman" w:eastAsia="楷体_GB2312" w:cs="楷体_GB2312"/>
          <w:b/>
          <w:color w:val="auto"/>
          <w:sz w:val="32"/>
          <w:szCs w:val="32"/>
          <w:highlight w:val="none"/>
        </w:rPr>
        <w:t>（一）机关运行经费支出情况</w:t>
      </w:r>
      <w:bookmarkEnd w:id="73"/>
    </w:p>
    <w:p w14:paraId="426A8F7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2025年度，</w:t>
      </w:r>
      <w:r>
        <w:rPr>
          <w:rFonts w:hint="eastAsia" w:eastAsia="仿宋_GB2312" w:cs="仿宋_GB2312"/>
          <w:color w:val="auto"/>
          <w:kern w:val="2"/>
          <w:sz w:val="32"/>
          <w:szCs w:val="32"/>
          <w:highlight w:val="none"/>
          <w:lang w:val="en-US" w:eastAsia="zh-CN" w:bidi="ar-SA"/>
        </w:rPr>
        <w:t>阿坝州生态环境局部门</w:t>
      </w:r>
      <w:r>
        <w:rPr>
          <w:rFonts w:hint="eastAsia" w:ascii="Times New Roman" w:hAnsi="Times New Roman" w:eastAsia="仿宋_GB2312" w:cs="仿宋_GB2312"/>
          <w:color w:val="auto"/>
          <w:kern w:val="2"/>
          <w:sz w:val="32"/>
          <w:szCs w:val="32"/>
          <w:highlight w:val="none"/>
          <w:lang w:val="en-US" w:eastAsia="zh-CN" w:bidi="ar-SA"/>
        </w:rPr>
        <w:t>机关运行经费支出1090.35万元，比2024年度</w:t>
      </w:r>
      <w:r>
        <w:rPr>
          <w:rFonts w:hint="eastAsia" w:eastAsia="仿宋_GB2312" w:cs="仿宋_GB2312"/>
          <w:color w:val="auto"/>
          <w:kern w:val="2"/>
          <w:sz w:val="32"/>
          <w:szCs w:val="32"/>
          <w:highlight w:val="none"/>
          <w:lang w:val="en-US" w:eastAsia="zh-CN" w:bidi="ar-SA"/>
        </w:rPr>
        <w:t>增加</w:t>
      </w:r>
      <w:r>
        <w:rPr>
          <w:rFonts w:hint="eastAsia" w:ascii="Times New Roman" w:hAnsi="Times New Roman" w:eastAsia="仿宋_GB2312" w:cs="仿宋_GB2312"/>
          <w:color w:val="auto"/>
          <w:kern w:val="2"/>
          <w:sz w:val="32"/>
          <w:szCs w:val="32"/>
          <w:highlight w:val="none"/>
          <w:lang w:val="en-US" w:eastAsia="zh-CN" w:bidi="ar-SA"/>
        </w:rPr>
        <w:t>186.87万元，</w:t>
      </w:r>
      <w:r>
        <w:rPr>
          <w:rFonts w:hint="eastAsia" w:eastAsia="仿宋_GB2312" w:cs="仿宋_GB2312"/>
          <w:color w:val="auto"/>
          <w:kern w:val="2"/>
          <w:sz w:val="32"/>
          <w:szCs w:val="32"/>
          <w:highlight w:val="none"/>
          <w:lang w:val="en-US" w:eastAsia="zh-CN" w:bidi="ar-SA"/>
        </w:rPr>
        <w:t>增加</w:t>
      </w:r>
      <w:r>
        <w:rPr>
          <w:rFonts w:hint="eastAsia" w:ascii="Times New Roman" w:hAnsi="Times New Roman" w:eastAsia="仿宋_GB2312" w:cs="仿宋_GB2312"/>
          <w:color w:val="auto"/>
          <w:kern w:val="2"/>
          <w:sz w:val="32"/>
          <w:szCs w:val="32"/>
          <w:highlight w:val="none"/>
          <w:lang w:val="en-US" w:eastAsia="zh-CN" w:bidi="ar-SA"/>
        </w:rPr>
        <w:t>20.68%。主要变动原因是</w:t>
      </w:r>
      <w:r>
        <w:rPr>
          <w:rFonts w:hint="eastAsia" w:eastAsia="仿宋_GB2312" w:cs="仿宋_GB2312"/>
          <w:color w:val="auto"/>
          <w:kern w:val="2"/>
          <w:sz w:val="32"/>
          <w:szCs w:val="32"/>
          <w:highlight w:val="none"/>
          <w:lang w:val="en-US" w:eastAsia="zh-CN" w:bidi="ar-SA"/>
        </w:rPr>
        <w:t>本年人员增加，相关机关运行经费增加</w:t>
      </w:r>
      <w:r>
        <w:rPr>
          <w:rFonts w:hint="eastAsia" w:ascii="Times New Roman" w:hAnsi="Times New Roman" w:eastAsia="仿宋_GB2312" w:cs="仿宋_GB2312"/>
          <w:color w:val="auto"/>
          <w:kern w:val="2"/>
          <w:sz w:val="32"/>
          <w:szCs w:val="32"/>
          <w:highlight w:val="none"/>
          <w:lang w:val="en-US" w:eastAsia="zh-CN" w:bidi="ar-SA"/>
        </w:rPr>
        <w:t>。</w:t>
      </w:r>
    </w:p>
    <w:p w14:paraId="303D43D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74" w:name="_Toc15377223"/>
      <w:r>
        <w:rPr>
          <w:rFonts w:hint="eastAsia" w:ascii="Times New Roman" w:hAnsi="Times New Roman" w:eastAsia="楷体_GB2312" w:cs="楷体_GB2312"/>
          <w:b/>
          <w:color w:val="auto"/>
          <w:sz w:val="32"/>
          <w:szCs w:val="32"/>
          <w:highlight w:val="none"/>
        </w:rPr>
        <w:t>（二）政府采购支出情况</w:t>
      </w:r>
      <w:bookmarkEnd w:id="74"/>
    </w:p>
    <w:p w14:paraId="6B9F277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2025年度，</w:t>
      </w:r>
      <w:r>
        <w:rPr>
          <w:rFonts w:hint="eastAsia" w:eastAsia="仿宋_GB2312" w:cs="仿宋_GB2312"/>
          <w:color w:val="auto"/>
          <w:kern w:val="2"/>
          <w:sz w:val="32"/>
          <w:szCs w:val="32"/>
          <w:highlight w:val="none"/>
          <w:lang w:val="en-US" w:eastAsia="zh-CN" w:bidi="ar-SA"/>
        </w:rPr>
        <w:t>阿坝州生态环境局部门</w:t>
      </w:r>
      <w:r>
        <w:rPr>
          <w:rFonts w:hint="eastAsia" w:ascii="Times New Roman" w:hAnsi="Times New Roman" w:eastAsia="仿宋_GB2312" w:cs="仿宋_GB2312"/>
          <w:color w:val="auto"/>
          <w:kern w:val="2"/>
          <w:sz w:val="32"/>
          <w:szCs w:val="32"/>
          <w:highlight w:val="none"/>
          <w:lang w:val="en-US" w:eastAsia="zh-CN" w:bidi="ar-SA"/>
        </w:rPr>
        <w:t>政府采购支出总额4672.37万元，其中：政府采购货物支出</w:t>
      </w:r>
      <w:r>
        <w:rPr>
          <w:rFonts w:hint="eastAsia" w:eastAsia="仿宋_GB2312" w:cs="仿宋_GB2312"/>
          <w:color w:val="auto"/>
          <w:kern w:val="2"/>
          <w:sz w:val="32"/>
          <w:szCs w:val="32"/>
          <w:highlight w:val="none"/>
          <w:lang w:val="en-US" w:eastAsia="zh-CN" w:bidi="ar-SA"/>
        </w:rPr>
        <w:t>1412.14</w:t>
      </w:r>
      <w:r>
        <w:rPr>
          <w:rFonts w:hint="eastAsia" w:ascii="Times New Roman" w:hAnsi="Times New Roman" w:eastAsia="仿宋_GB2312" w:cs="仿宋_GB2312"/>
          <w:color w:val="auto"/>
          <w:kern w:val="2"/>
          <w:sz w:val="32"/>
          <w:szCs w:val="32"/>
          <w:highlight w:val="none"/>
          <w:lang w:val="en-US" w:eastAsia="zh-CN" w:bidi="ar-SA"/>
        </w:rPr>
        <w:t>万元、政府采购工程支出542.84万元、政府采购服务支出2717.万元。主要用于阿坝州全流域水环境综合监管能力建设项目专项经费</w:t>
      </w:r>
      <w:r>
        <w:rPr>
          <w:rFonts w:hint="eastAsia" w:eastAsia="仿宋_GB2312" w:cs="仿宋_GB2312"/>
          <w:color w:val="auto"/>
          <w:kern w:val="2"/>
          <w:sz w:val="32"/>
          <w:szCs w:val="32"/>
          <w:highlight w:val="none"/>
          <w:lang w:val="en-US" w:eastAsia="zh-CN" w:bidi="ar-SA"/>
        </w:rPr>
        <w:t>、阿坝州大气环境智慧监测监控系统项目、阿坝州美丽河湖保护与创建试点示范实施方案项目、阿坝州资源植物多样性评价与可持续利用项目等</w:t>
      </w:r>
      <w:r>
        <w:rPr>
          <w:rFonts w:hint="eastAsia" w:ascii="Times New Roman" w:hAnsi="Times New Roman" w:eastAsia="仿宋_GB2312" w:cs="仿宋_GB2312"/>
          <w:color w:val="auto"/>
          <w:kern w:val="2"/>
          <w:sz w:val="32"/>
          <w:szCs w:val="32"/>
          <w:highlight w:val="none"/>
          <w:lang w:val="en-US" w:eastAsia="zh-CN" w:bidi="ar-SA"/>
        </w:rPr>
        <w:t>。授予中小企业合同金额3338.99万元，占政府采购支出总额的</w:t>
      </w:r>
      <w:r>
        <w:rPr>
          <w:rFonts w:hint="eastAsia" w:eastAsia="仿宋_GB2312" w:cs="仿宋_GB2312"/>
          <w:color w:val="auto"/>
          <w:kern w:val="2"/>
          <w:sz w:val="32"/>
          <w:szCs w:val="32"/>
          <w:highlight w:val="none"/>
          <w:lang w:val="en-US" w:eastAsia="zh-CN" w:bidi="ar-SA"/>
        </w:rPr>
        <w:t>71.46</w:t>
      </w:r>
      <w:r>
        <w:rPr>
          <w:rFonts w:hint="eastAsia" w:ascii="Times New Roman" w:hAnsi="Times New Roman" w:eastAsia="仿宋_GB2312" w:cs="仿宋_GB2312"/>
          <w:color w:val="auto"/>
          <w:kern w:val="2"/>
          <w:sz w:val="32"/>
          <w:szCs w:val="32"/>
          <w:highlight w:val="none"/>
          <w:lang w:val="en-US" w:eastAsia="zh-CN" w:bidi="ar-SA"/>
        </w:rPr>
        <w:t>%，其中：授予小微企业合同金额1350.29万元，占政府采购支出总额的</w:t>
      </w:r>
      <w:r>
        <w:rPr>
          <w:rFonts w:hint="eastAsia" w:eastAsia="仿宋_GB2312" w:cs="仿宋_GB2312"/>
          <w:color w:val="auto"/>
          <w:kern w:val="2"/>
          <w:sz w:val="32"/>
          <w:szCs w:val="32"/>
          <w:highlight w:val="none"/>
          <w:lang w:val="en-US" w:eastAsia="zh-CN" w:bidi="ar-SA"/>
        </w:rPr>
        <w:t>28.9</w:t>
      </w:r>
      <w:r>
        <w:rPr>
          <w:rFonts w:hint="eastAsia" w:ascii="Times New Roman" w:hAnsi="Times New Roman" w:eastAsia="仿宋_GB2312" w:cs="仿宋_GB2312"/>
          <w:color w:val="auto"/>
          <w:kern w:val="2"/>
          <w:sz w:val="32"/>
          <w:szCs w:val="32"/>
          <w:highlight w:val="none"/>
          <w:lang w:val="en-US" w:eastAsia="zh-CN" w:bidi="ar-SA"/>
        </w:rPr>
        <w:t>%。</w:t>
      </w:r>
    </w:p>
    <w:p w14:paraId="7BF7AED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75" w:name="_Toc15377224"/>
      <w:r>
        <w:rPr>
          <w:rFonts w:hint="eastAsia" w:ascii="Times New Roman" w:hAnsi="Times New Roman" w:eastAsia="楷体_GB2312" w:cs="楷体_GB2312"/>
          <w:b/>
          <w:color w:val="auto"/>
          <w:sz w:val="32"/>
          <w:szCs w:val="32"/>
          <w:highlight w:val="none"/>
        </w:rPr>
        <w:t>（三）国有资产占有使用情况</w:t>
      </w:r>
      <w:bookmarkEnd w:id="75"/>
    </w:p>
    <w:p w14:paraId="7BB02BE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截至2025年12月31日，</w:t>
      </w:r>
      <w:r>
        <w:rPr>
          <w:rFonts w:hint="eastAsia" w:eastAsia="仿宋_GB2312" w:cs="仿宋_GB2312"/>
          <w:color w:val="auto"/>
          <w:kern w:val="2"/>
          <w:sz w:val="32"/>
          <w:szCs w:val="32"/>
          <w:highlight w:val="none"/>
          <w:lang w:val="en-US" w:eastAsia="zh-CN" w:bidi="ar-SA"/>
        </w:rPr>
        <w:t>阿坝州生态环境局部门</w:t>
      </w:r>
      <w:r>
        <w:rPr>
          <w:rFonts w:hint="eastAsia" w:ascii="仿宋" w:hAnsi="仿宋" w:eastAsia="仿宋" w:cs="仿宋"/>
          <w:sz w:val="32"/>
          <w:szCs w:val="32"/>
        </w:rPr>
        <w:t>共有车</w:t>
      </w:r>
      <w:r>
        <w:rPr>
          <w:rFonts w:hint="eastAsia" w:ascii="仿宋_GB2312" w:eastAsia="仿宋_GB2312"/>
          <w:sz w:val="32"/>
          <w:szCs w:val="32"/>
        </w:rPr>
        <w:t>辆</w:t>
      </w:r>
      <w:r>
        <w:rPr>
          <w:rFonts w:hint="eastAsia" w:ascii="仿宋_GB2312" w:eastAsia="仿宋_GB2312"/>
          <w:sz w:val="32"/>
          <w:szCs w:val="32"/>
          <w:lang w:val="en-US" w:eastAsia="zh-CN"/>
        </w:rPr>
        <w:t>65</w:t>
      </w:r>
      <w:r>
        <w:rPr>
          <w:rFonts w:hint="eastAsia" w:ascii="仿宋_GB2312" w:eastAsia="仿宋_GB2312"/>
          <w:sz w:val="32"/>
          <w:szCs w:val="32"/>
        </w:rPr>
        <w:t>辆，其中：主要机要通信用车</w:t>
      </w:r>
      <w:r>
        <w:rPr>
          <w:rFonts w:hint="eastAsia" w:ascii="仿宋_GB2312" w:eastAsia="仿宋_GB2312"/>
          <w:sz w:val="32"/>
          <w:szCs w:val="32"/>
          <w:lang w:val="en-US" w:eastAsia="zh-CN"/>
        </w:rPr>
        <w:t>4</w:t>
      </w:r>
      <w:r>
        <w:rPr>
          <w:rFonts w:hint="eastAsia" w:ascii="仿宋_GB2312" w:eastAsia="仿宋_GB2312"/>
          <w:sz w:val="32"/>
          <w:szCs w:val="32"/>
        </w:rPr>
        <w:t>辆、应急保障用车</w:t>
      </w:r>
      <w:r>
        <w:rPr>
          <w:rFonts w:hint="eastAsia" w:ascii="仿宋_GB2312" w:eastAsia="仿宋_GB2312"/>
          <w:sz w:val="32"/>
          <w:szCs w:val="32"/>
          <w:lang w:val="en-US" w:eastAsia="zh-CN"/>
        </w:rPr>
        <w:t>7</w:t>
      </w:r>
      <w:r>
        <w:rPr>
          <w:rFonts w:hint="eastAsia" w:ascii="仿宋_GB2312" w:eastAsia="仿宋_GB2312"/>
          <w:sz w:val="32"/>
          <w:szCs w:val="32"/>
        </w:rPr>
        <w:t>辆、执法执勤用车</w:t>
      </w:r>
      <w:r>
        <w:rPr>
          <w:rFonts w:hint="eastAsia" w:ascii="仿宋_GB2312" w:eastAsia="仿宋_GB2312"/>
          <w:sz w:val="32"/>
          <w:szCs w:val="32"/>
          <w:lang w:val="en-US" w:eastAsia="zh-CN"/>
        </w:rPr>
        <w:t>11辆、特种专业技术用车2辆</w:t>
      </w:r>
      <w:r>
        <w:rPr>
          <w:rFonts w:hint="eastAsia" w:ascii="仿宋_GB2312" w:eastAsia="仿宋_GB2312"/>
          <w:sz w:val="32"/>
          <w:szCs w:val="32"/>
          <w:highlight w:val="none"/>
          <w:lang w:val="en-US" w:eastAsia="zh-CN"/>
        </w:rPr>
        <w:t>、</w:t>
      </w:r>
      <w:r>
        <w:rPr>
          <w:rFonts w:hint="eastAsia" w:ascii="仿宋_GB2312" w:eastAsia="仿宋_GB2312"/>
          <w:sz w:val="32"/>
          <w:szCs w:val="32"/>
          <w:highlight w:val="none"/>
        </w:rPr>
        <w:t>其他用车</w:t>
      </w:r>
      <w:r>
        <w:rPr>
          <w:rFonts w:hint="eastAsia" w:ascii="仿宋_GB2312" w:eastAsia="仿宋_GB2312"/>
          <w:sz w:val="32"/>
          <w:szCs w:val="32"/>
          <w:highlight w:val="none"/>
          <w:lang w:val="en-US" w:eastAsia="zh-CN"/>
        </w:rPr>
        <w:t>41</w:t>
      </w:r>
      <w:r>
        <w:rPr>
          <w:rFonts w:hint="eastAsia" w:ascii="仿宋_GB2312" w:eastAsia="仿宋_GB2312"/>
          <w:sz w:val="32"/>
          <w:szCs w:val="32"/>
          <w:highlight w:val="none"/>
        </w:rPr>
        <w:t>辆，其他用车主要是用于</w:t>
      </w:r>
      <w:r>
        <w:rPr>
          <w:rFonts w:hint="eastAsia" w:ascii="仿宋_GB2312" w:eastAsia="仿宋_GB2312"/>
          <w:sz w:val="32"/>
          <w:szCs w:val="32"/>
          <w:highlight w:val="none"/>
          <w:lang w:val="en-US" w:eastAsia="zh-CN"/>
        </w:rPr>
        <w:t>监测、污染防治、执法检查等</w:t>
      </w:r>
      <w:r>
        <w:rPr>
          <w:rFonts w:hint="eastAsia" w:ascii="仿宋_GB2312" w:eastAsia="仿宋_GB2312"/>
          <w:sz w:val="32"/>
          <w:szCs w:val="32"/>
          <w:highlight w:val="none"/>
        </w:rPr>
        <w:t>。单价</w:t>
      </w:r>
      <w:r>
        <w:rPr>
          <w:rFonts w:ascii="仿宋_GB2312" w:eastAsia="仿宋_GB2312"/>
          <w:sz w:val="32"/>
          <w:szCs w:val="32"/>
          <w:highlight w:val="none"/>
        </w:rPr>
        <w:t>1</w:t>
      </w:r>
      <w:r>
        <w:rPr>
          <w:rFonts w:ascii="仿宋_GB2312" w:eastAsia="仿宋_GB2312"/>
          <w:sz w:val="32"/>
          <w:szCs w:val="32"/>
        </w:rPr>
        <w:t>00</w:t>
      </w:r>
      <w:r>
        <w:rPr>
          <w:rFonts w:hint="eastAsia" w:ascii="仿宋_GB2312" w:eastAsia="仿宋_GB2312"/>
          <w:sz w:val="32"/>
          <w:szCs w:val="32"/>
        </w:rPr>
        <w:t>万元以上设备（不含车辆）</w:t>
      </w:r>
      <w:r>
        <w:rPr>
          <w:sz w:val="32"/>
          <w:szCs w:val="32"/>
        </w:rPr>
        <w:t>2</w:t>
      </w:r>
      <w:r>
        <w:rPr>
          <w:rFonts w:hint="eastAsia" w:ascii="仿宋_GB2312" w:eastAsia="仿宋_GB2312"/>
          <w:sz w:val="32"/>
          <w:szCs w:val="32"/>
        </w:rPr>
        <w:t>台（套）。</w:t>
      </w:r>
    </w:p>
    <w:p w14:paraId="51E3BA62">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2558E5B2">
      <w:pPr>
        <w:spacing w:line="580" w:lineRule="exact"/>
        <w:ind w:firstLine="640" w:firstLineChars="200"/>
        <w:rPr>
          <w:rFonts w:ascii="仿宋_GB2312" w:hAnsi="仿宋_GB2312" w:eastAsia="仿宋_GB2312" w:cs="仿宋_GB2312"/>
          <w:sz w:val="32"/>
          <w:szCs w:val="32"/>
          <w:highlight w:val="yellow"/>
        </w:rPr>
      </w:pPr>
      <w:r>
        <w:rPr>
          <w:rFonts w:hint="eastAsia" w:ascii="仿宋_GB2312" w:hAnsi="仿宋_GB2312" w:eastAsia="仿宋_GB2312" w:cs="仿宋_GB2312"/>
          <w:sz w:val="32"/>
          <w:szCs w:val="32"/>
          <w:highlight w:val="none"/>
        </w:rPr>
        <w:t>根据预算绩效管理要求，本部门在</w:t>
      </w:r>
      <w:r>
        <w:rPr>
          <w:rFonts w:hint="eastAsia" w:ascii="仿宋_GB2312" w:hAnsi="仿宋_GB2312" w:eastAsia="仿宋_GB2312" w:cs="仿宋_GB2312"/>
          <w:sz w:val="32"/>
          <w:szCs w:val="32"/>
          <w:highlight w:val="none"/>
          <w:lang w:eastAsia="zh-CN"/>
        </w:rPr>
        <w:t>2025</w:t>
      </w:r>
      <w:r>
        <w:rPr>
          <w:rFonts w:hint="eastAsia" w:ascii="仿宋_GB2312" w:hAnsi="仿宋_GB2312" w:eastAsia="仿宋_GB2312" w:cs="仿宋_GB2312"/>
          <w:sz w:val="32"/>
          <w:szCs w:val="32"/>
          <w:highlight w:val="none"/>
        </w:rPr>
        <w:t>年度预算编制阶段，组织对</w:t>
      </w:r>
      <w:r>
        <w:rPr>
          <w:rFonts w:hint="eastAsia" w:ascii="Times New Roman" w:hAnsi="Times New Roman" w:eastAsia="仿宋_GB2312" w:cs="仿宋_GB2312"/>
          <w:color w:val="auto"/>
          <w:kern w:val="2"/>
          <w:sz w:val="32"/>
          <w:szCs w:val="32"/>
          <w:highlight w:val="none"/>
          <w:lang w:val="en-US" w:eastAsia="zh-CN" w:bidi="ar-SA"/>
        </w:rPr>
        <w:t>四川省阿坝藏族羌族自治州农用地土壤重金属污染溯源项目、阿坝州大气环境智慧监测监控系统项目等</w:t>
      </w:r>
      <w:r>
        <w:rPr>
          <w:rFonts w:hint="eastAsia" w:ascii="仿宋_GB2312" w:hAnsi="仿宋_GB2312" w:eastAsia="仿宋_GB2312" w:cs="仿宋_GB2312"/>
          <w:sz w:val="32"/>
          <w:szCs w:val="32"/>
          <w:highlight w:val="none"/>
          <w:lang w:val="en-US" w:eastAsia="zh-CN"/>
        </w:rPr>
        <w:t>417</w:t>
      </w:r>
      <w:r>
        <w:rPr>
          <w:rFonts w:hint="eastAsia" w:ascii="仿宋_GB2312" w:hAnsi="仿宋_GB2312" w:eastAsia="仿宋_GB2312" w:cs="仿宋_GB2312"/>
          <w:sz w:val="32"/>
          <w:szCs w:val="32"/>
          <w:highlight w:val="none"/>
        </w:rPr>
        <w:t>个项目开展了预算事前绩效评估，对</w:t>
      </w:r>
      <w:r>
        <w:rPr>
          <w:rFonts w:hint="eastAsia" w:ascii="仿宋_GB2312" w:hAnsi="仿宋_GB2312" w:eastAsia="仿宋_GB2312" w:cs="仿宋_GB2312"/>
          <w:sz w:val="32"/>
          <w:szCs w:val="32"/>
          <w:highlight w:val="none"/>
          <w:lang w:val="en-US" w:eastAsia="zh-CN"/>
        </w:rPr>
        <w:t>417</w:t>
      </w:r>
      <w:r>
        <w:rPr>
          <w:rFonts w:hint="eastAsia" w:ascii="仿宋_GB2312" w:hAnsi="仿宋_GB2312" w:eastAsia="仿宋_GB2312" w:cs="仿宋_GB2312"/>
          <w:sz w:val="32"/>
          <w:szCs w:val="32"/>
          <w:highlight w:val="none"/>
        </w:rPr>
        <w:t>个项目编制了绩效目标，预算执行过程中，选取</w:t>
      </w:r>
      <w:r>
        <w:rPr>
          <w:rFonts w:hint="eastAsia" w:ascii="仿宋_GB2312" w:hAnsi="仿宋_GB2312" w:eastAsia="仿宋_GB2312" w:cs="仿宋_GB2312"/>
          <w:sz w:val="32"/>
          <w:szCs w:val="32"/>
          <w:highlight w:val="none"/>
          <w:lang w:val="en-US" w:eastAsia="zh-CN"/>
        </w:rPr>
        <w:t>417</w:t>
      </w:r>
      <w:r>
        <w:rPr>
          <w:rFonts w:hint="eastAsia" w:ascii="仿宋_GB2312" w:hAnsi="仿宋_GB2312" w:eastAsia="仿宋_GB2312" w:cs="仿宋_GB2312"/>
          <w:sz w:val="32"/>
          <w:szCs w:val="32"/>
          <w:highlight w:val="none"/>
        </w:rPr>
        <w:t>个项目开展绩效监控。</w:t>
      </w:r>
    </w:p>
    <w:p w14:paraId="2FBC1BC4">
      <w:pPr>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0" w:firstLineChars="200"/>
        <w:jc w:val="left"/>
        <w:textAlignment w:val="auto"/>
        <w:rPr>
          <w:rFonts w:hint="eastAsia" w:ascii="仿宋" w:hAnsi="仿宋" w:eastAsia="仿宋" w:cs="仿宋"/>
          <w:sz w:val="32"/>
          <w:szCs w:val="32"/>
          <w:highlight w:val="yellow"/>
          <w:lang w:val="en-US"/>
        </w:rPr>
      </w:pPr>
      <w:r>
        <w:rPr>
          <w:rFonts w:hint="eastAsia" w:ascii="仿宋_GB2312" w:hAnsi="仿宋_GB2312" w:eastAsia="仿宋_GB2312" w:cs="仿宋_GB2312"/>
          <w:sz w:val="32"/>
          <w:szCs w:val="32"/>
          <w:highlight w:val="none"/>
        </w:rPr>
        <w:t>组织对</w:t>
      </w:r>
      <w:r>
        <w:rPr>
          <w:rFonts w:hint="eastAsia" w:hAnsi="仿宋_GB2312" w:cs="仿宋_GB2312"/>
          <w:sz w:val="32"/>
          <w:szCs w:val="32"/>
          <w:highlight w:val="none"/>
          <w:lang w:eastAsia="zh-CN"/>
        </w:rPr>
        <w:t>2025</w:t>
      </w:r>
      <w:r>
        <w:rPr>
          <w:rFonts w:hint="eastAsia" w:ascii="仿宋_GB2312" w:hAnsi="仿宋_GB2312" w:eastAsia="仿宋_GB2312" w:cs="仿宋_GB2312"/>
          <w:sz w:val="32"/>
          <w:szCs w:val="32"/>
          <w:highlight w:val="none"/>
        </w:rPr>
        <w:t>年度一般公共预算全面开展绩效自评，形成</w:t>
      </w:r>
      <w:r>
        <w:rPr>
          <w:rFonts w:hint="eastAsia" w:hAnsi="仿宋_GB2312" w:cs="仿宋_GB2312"/>
          <w:sz w:val="32"/>
          <w:szCs w:val="32"/>
          <w:highlight w:val="none"/>
          <w:lang w:val="en-US" w:eastAsia="zh-CN"/>
        </w:rPr>
        <w:t>2025</w:t>
      </w:r>
      <w:r>
        <w:rPr>
          <w:rFonts w:hint="eastAsia" w:ascii="仿宋_GB2312" w:hAnsi="仿宋_GB2312" w:eastAsia="仿宋_GB2312" w:cs="仿宋_GB2312"/>
          <w:sz w:val="32"/>
          <w:szCs w:val="32"/>
          <w:highlight w:val="none"/>
          <w:lang w:val="en-US" w:eastAsia="zh-CN"/>
        </w:rPr>
        <w:t>年度阿坝州生态环境局</w:t>
      </w:r>
      <w:r>
        <w:rPr>
          <w:rFonts w:hint="eastAsia" w:ascii="仿宋_GB2312" w:hAnsi="仿宋_GB2312" w:eastAsia="仿宋_GB2312" w:cs="仿宋_GB2312"/>
          <w:sz w:val="32"/>
          <w:szCs w:val="32"/>
          <w:highlight w:val="none"/>
        </w:rPr>
        <w:t>部门整体（含部门预算项目）绩效自评报告，其中，</w:t>
      </w:r>
      <w:r>
        <w:rPr>
          <w:rFonts w:hint="eastAsia" w:hAnsi="仿宋_GB2312" w:cs="仿宋_GB2312"/>
          <w:sz w:val="32"/>
          <w:szCs w:val="32"/>
          <w:highlight w:val="none"/>
          <w:lang w:val="en-US" w:eastAsia="zh-CN"/>
        </w:rPr>
        <w:t>2025</w:t>
      </w:r>
      <w:r>
        <w:rPr>
          <w:rFonts w:hint="eastAsia" w:ascii="仿宋_GB2312" w:hAnsi="仿宋_GB2312" w:eastAsia="仿宋_GB2312" w:cs="仿宋_GB2312"/>
          <w:sz w:val="32"/>
          <w:szCs w:val="32"/>
          <w:highlight w:val="none"/>
          <w:lang w:val="en-US" w:eastAsia="zh-CN"/>
        </w:rPr>
        <w:t>年度阿坝州生态环境局</w:t>
      </w:r>
      <w:r>
        <w:rPr>
          <w:rFonts w:hint="eastAsia" w:ascii="仿宋_GB2312" w:hAnsi="仿宋_GB2312" w:eastAsia="仿宋_GB2312" w:cs="仿宋_GB2312"/>
          <w:sz w:val="32"/>
          <w:szCs w:val="32"/>
          <w:highlight w:val="none"/>
        </w:rPr>
        <w:t>部门整体（含部门预算项目）绩效自评得分为</w:t>
      </w:r>
      <w:r>
        <w:rPr>
          <w:rFonts w:hint="eastAsia" w:ascii="仿宋_GB2312" w:hAnsi="仿宋_GB2312" w:eastAsia="仿宋_GB2312" w:cs="仿宋_GB2312"/>
          <w:sz w:val="32"/>
          <w:szCs w:val="32"/>
          <w:highlight w:val="none"/>
          <w:lang w:val="en-US" w:eastAsia="zh-CN"/>
        </w:rPr>
        <w:t>93</w:t>
      </w:r>
      <w:r>
        <w:rPr>
          <w:rFonts w:hint="eastAsia" w:ascii="仿宋_GB2312" w:hAnsi="仿宋_GB2312" w:eastAsia="仿宋_GB2312" w:cs="仿宋_GB2312"/>
          <w:sz w:val="32"/>
          <w:szCs w:val="32"/>
          <w:highlight w:val="none"/>
        </w:rPr>
        <w:t>分，绩效自评综述：</w:t>
      </w:r>
      <w:r>
        <w:rPr>
          <w:rFonts w:hint="eastAsia" w:ascii="仿宋_GB2312" w:hAnsi="Calibri" w:eastAsia="仿宋_GB2312" w:cs="仿宋"/>
          <w:color w:val="auto"/>
          <w:sz w:val="32"/>
          <w:szCs w:val="32"/>
          <w:highlight w:val="none"/>
          <w:lang w:val="en-US" w:eastAsia="en-US" w:bidi="ar-SA"/>
        </w:rPr>
        <w:t>一是本年度，我单位严格按照预算绩效管理要求，全面开展绩效</w:t>
      </w:r>
      <w:r>
        <w:rPr>
          <w:rFonts w:hint="eastAsia" w:ascii="仿宋_GB2312" w:hAnsi="Calibri" w:eastAsia="仿宋_GB2312" w:cs="仿宋"/>
          <w:color w:val="auto"/>
          <w:sz w:val="32"/>
          <w:szCs w:val="32"/>
          <w:lang w:val="en-US" w:eastAsia="en-US" w:bidi="ar-SA"/>
        </w:rPr>
        <w:t>自评工作。预算执行总体规范，资金拨付及时使用合规，严格遵守财经纪律，未发生截留、挤占、挪用等违规问  题，重点工作和履职支出得到有效保障。二是年度绩效目标基本完成，产出、质量、时效、成本等核心指标均达到预期，重点任务稳步推进，项目实施成效良好。三是自评过程中，进一步完善工作机制，风险防控到位。</w:t>
      </w:r>
    </w:p>
    <w:p w14:paraId="3C0F5141">
      <w:pPr>
        <w:pStyle w:val="50"/>
        <w:keepNext w:val="0"/>
        <w:keepLines w:val="0"/>
        <w:pageBreakBefore w:val="0"/>
        <w:widowControl w:val="0"/>
        <w:kinsoku/>
        <w:wordWrap/>
        <w:overflowPunct/>
        <w:topLinePunct w:val="0"/>
        <w:autoSpaceDE/>
        <w:autoSpaceDN/>
        <w:bidi w:val="0"/>
        <w:spacing w:line="578" w:lineRule="exact"/>
        <w:ind w:left="0"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绩效自评报告详见附件。</w:t>
      </w:r>
    </w:p>
    <w:p w14:paraId="35A58C2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eastAsia="方正仿宋_GB2312"/>
          <w:sz w:val="32"/>
          <w:szCs w:val="32"/>
          <w:lang w:val="en-US" w:eastAsia="zh-CN"/>
        </w:rPr>
      </w:pPr>
      <w:r>
        <w:rPr>
          <w:rFonts w:hint="eastAsia" w:ascii="方正仿宋_GB2312" w:eastAsia="方正仿宋_GB2312"/>
          <w:sz w:val="32"/>
          <w:szCs w:val="32"/>
        </w:rPr>
        <w:br w:type="page"/>
      </w:r>
    </w:p>
    <w:p w14:paraId="1668B1F0">
      <w:pPr>
        <w:numPr>
          <w:ilvl w:val="0"/>
          <w:numId w:val="5"/>
        </w:numPr>
        <w:spacing w:line="600" w:lineRule="exact"/>
        <w:ind w:firstLine="660" w:firstLineChars="150"/>
        <w:jc w:val="center"/>
        <w:outlineLvl w:val="0"/>
        <w:rPr>
          <w:rStyle w:val="34"/>
          <w:rFonts w:ascii="黑体" w:hAnsi="黑体" w:eastAsia="黑体"/>
          <w:b w:val="0"/>
        </w:rPr>
      </w:pPr>
      <w:bookmarkStart w:id="76" w:name="_Toc15377225"/>
      <w:bookmarkStart w:id="77" w:name="_Toc15396613"/>
      <w:bookmarkStart w:id="78" w:name="_Toc18379"/>
      <w:r>
        <w:rPr>
          <w:rFonts w:hint="eastAsia" w:ascii="黑体" w:hAnsi="黑体" w:eastAsia="黑体"/>
          <w:sz w:val="44"/>
          <w:szCs w:val="44"/>
        </w:rPr>
        <w:t>名</w:t>
      </w:r>
      <w:r>
        <w:rPr>
          <w:rStyle w:val="34"/>
          <w:rFonts w:hint="eastAsia" w:ascii="黑体" w:hAnsi="黑体" w:eastAsia="黑体"/>
          <w:b w:val="0"/>
        </w:rPr>
        <w:t>词解释</w:t>
      </w:r>
      <w:bookmarkEnd w:id="76"/>
      <w:bookmarkEnd w:id="77"/>
      <w:bookmarkEnd w:id="78"/>
    </w:p>
    <w:p w14:paraId="28DE5774">
      <w:pPr>
        <w:spacing w:line="600" w:lineRule="exact"/>
        <w:jc w:val="left"/>
        <w:rPr>
          <w:rFonts w:ascii="宋体"/>
          <w:b/>
          <w:sz w:val="44"/>
          <w:szCs w:val="44"/>
        </w:rPr>
      </w:pPr>
    </w:p>
    <w:p w14:paraId="710D13C1">
      <w:pPr>
        <w:pStyle w:val="32"/>
        <w:spacing w:line="560" w:lineRule="exact"/>
        <w:ind w:firstLine="640" w:firstLineChars="200"/>
        <w:outlineLvl w:val="1"/>
        <w:rPr>
          <w:rFonts w:ascii="仿宋_GB2312" w:eastAsia="仿宋_GB2312"/>
          <w:color w:val="auto"/>
          <w:sz w:val="32"/>
          <w:szCs w:val="32"/>
        </w:rPr>
      </w:pPr>
      <w:bookmarkStart w:id="79" w:name="_Toc6690"/>
      <w:bookmarkStart w:id="80" w:name="_Toc15377226"/>
      <w:r>
        <w:rPr>
          <w:rFonts w:ascii="仿宋_GB2312" w:eastAsia="仿宋_GB2312"/>
          <w:color w:val="auto"/>
          <w:sz w:val="32"/>
          <w:szCs w:val="32"/>
        </w:rPr>
        <w:t>1.</w:t>
      </w:r>
      <w:r>
        <w:rPr>
          <w:rFonts w:hint="eastAsia" w:ascii="仿宋_GB2312" w:eastAsia="仿宋_GB2312"/>
          <w:color w:val="auto"/>
          <w:sz w:val="32"/>
          <w:szCs w:val="32"/>
        </w:rPr>
        <w:t>财政拨款收入：指单位从同级财政部门取得的财政预算资金。</w:t>
      </w:r>
      <w:bookmarkEnd w:id="79"/>
    </w:p>
    <w:p w14:paraId="543B6638">
      <w:pPr>
        <w:pStyle w:val="32"/>
        <w:spacing w:line="560" w:lineRule="exact"/>
        <w:ind w:firstLine="640" w:firstLineChars="200"/>
        <w:outlineLvl w:val="1"/>
        <w:rPr>
          <w:rFonts w:ascii="仿宋_GB2312" w:eastAsia="仿宋_GB2312"/>
          <w:color w:val="auto"/>
          <w:sz w:val="32"/>
          <w:szCs w:val="32"/>
        </w:rPr>
      </w:pPr>
      <w:bookmarkStart w:id="81" w:name="_Toc30423"/>
      <w:r>
        <w:rPr>
          <w:rFonts w:hint="eastAsia" w:ascii="仿宋_GB2312" w:eastAsia="仿宋_GB2312"/>
          <w:color w:val="auto"/>
          <w:sz w:val="32"/>
          <w:szCs w:val="32"/>
          <w:lang w:val="en-US" w:eastAsia="zh-CN"/>
        </w:rPr>
        <w:t>2</w:t>
      </w:r>
      <w:r>
        <w:rPr>
          <w:rFonts w:ascii="仿宋_GB2312" w:eastAsia="仿宋_GB2312"/>
          <w:color w:val="auto"/>
          <w:sz w:val="32"/>
          <w:szCs w:val="32"/>
        </w:rPr>
        <w:t>.</w:t>
      </w:r>
      <w:r>
        <w:rPr>
          <w:rFonts w:hint="eastAsia" w:ascii="仿宋_GB2312" w:eastAsia="仿宋_GB2312"/>
          <w:color w:val="auto"/>
          <w:sz w:val="32"/>
          <w:szCs w:val="32"/>
        </w:rPr>
        <w:t>其他收入：指单位取得的除上述收入以外的各项收入。</w:t>
      </w:r>
      <w:bookmarkEnd w:id="81"/>
    </w:p>
    <w:p w14:paraId="297D9F65">
      <w:pPr>
        <w:pStyle w:val="32"/>
        <w:spacing w:line="560" w:lineRule="exact"/>
        <w:ind w:firstLine="640" w:firstLineChars="200"/>
        <w:rPr>
          <w:rFonts w:ascii="仿宋_GB2312" w:eastAsia="仿宋_GB2312"/>
          <w:color w:val="auto"/>
          <w:sz w:val="32"/>
          <w:szCs w:val="32"/>
        </w:rPr>
      </w:pPr>
      <w:r>
        <w:rPr>
          <w:rFonts w:hint="eastAsia" w:ascii="仿宋_GB2312" w:eastAsia="仿宋_GB2312"/>
          <w:color w:val="auto"/>
          <w:sz w:val="32"/>
          <w:szCs w:val="32"/>
          <w:lang w:val="en-US" w:eastAsia="zh-CN"/>
        </w:rPr>
        <w:t>3</w:t>
      </w:r>
      <w:r>
        <w:rPr>
          <w:rFonts w:ascii="仿宋_GB2312" w:eastAsia="仿宋_GB2312"/>
          <w:color w:val="auto"/>
          <w:sz w:val="32"/>
          <w:szCs w:val="32"/>
        </w:rPr>
        <w:t>.</w:t>
      </w:r>
      <w:r>
        <w:rPr>
          <w:rFonts w:hint="eastAsia" w:ascii="仿宋_GB2312" w:eastAsia="仿宋_GB2312"/>
          <w:color w:val="auto"/>
          <w:sz w:val="32"/>
          <w:szCs w:val="32"/>
        </w:rPr>
        <w:t>年初结转和结余：指以前年度尚未完成、结转到本年按有关规定继续使用的资金。</w:t>
      </w:r>
      <w:r>
        <w:rPr>
          <w:rFonts w:ascii="仿宋_GB2312" w:eastAsia="仿宋_GB2312"/>
          <w:color w:val="auto"/>
          <w:sz w:val="32"/>
          <w:szCs w:val="32"/>
        </w:rPr>
        <w:t xml:space="preserve"> </w:t>
      </w:r>
    </w:p>
    <w:p w14:paraId="3CE386A1">
      <w:pPr>
        <w:pStyle w:val="32"/>
        <w:spacing w:line="560" w:lineRule="exact"/>
        <w:ind w:firstLine="640" w:firstLineChars="200"/>
        <w:rPr>
          <w:rFonts w:ascii="仿宋_GB2312" w:eastAsia="仿宋_GB2312"/>
          <w:color w:val="auto"/>
          <w:sz w:val="32"/>
          <w:szCs w:val="32"/>
        </w:rPr>
      </w:pPr>
      <w:r>
        <w:rPr>
          <w:rFonts w:hint="eastAsia" w:ascii="仿宋_GB2312" w:eastAsia="仿宋_GB2312"/>
          <w:color w:val="auto"/>
          <w:sz w:val="32"/>
          <w:szCs w:val="32"/>
          <w:lang w:val="en-US" w:eastAsia="zh-CN"/>
        </w:rPr>
        <w:t>4</w:t>
      </w:r>
      <w:r>
        <w:rPr>
          <w:rFonts w:ascii="仿宋_GB2312" w:eastAsia="仿宋_GB2312"/>
          <w:color w:val="auto"/>
          <w:sz w:val="32"/>
          <w:szCs w:val="32"/>
        </w:rPr>
        <w:t>.</w:t>
      </w:r>
      <w:r>
        <w:rPr>
          <w:rFonts w:hint="eastAsia" w:ascii="仿宋_GB2312" w:eastAsia="仿宋_GB2312"/>
          <w:color w:val="auto"/>
          <w:sz w:val="32"/>
          <w:szCs w:val="32"/>
        </w:rPr>
        <w:t>结余分配：指事业单位按照会计制度规定缴纳的所得税、提取的专用结余以及转入非财政拨款结余的金额等。</w:t>
      </w:r>
    </w:p>
    <w:p w14:paraId="6353C5E2">
      <w:pPr>
        <w:pStyle w:val="32"/>
        <w:spacing w:line="560" w:lineRule="exact"/>
        <w:ind w:firstLine="640" w:firstLineChars="200"/>
        <w:rPr>
          <w:rFonts w:hint="eastAsia" w:ascii="仿宋_GB2312" w:eastAsia="仿宋_GB2312"/>
          <w:color w:val="auto"/>
          <w:sz w:val="32"/>
          <w:szCs w:val="32"/>
        </w:rPr>
      </w:pPr>
      <w:r>
        <w:rPr>
          <w:rFonts w:hint="eastAsia" w:ascii="仿宋_GB2312" w:eastAsia="仿宋_GB2312"/>
          <w:color w:val="auto"/>
          <w:sz w:val="32"/>
          <w:szCs w:val="32"/>
          <w:lang w:val="en-US" w:eastAsia="zh-CN"/>
        </w:rPr>
        <w:t>5</w:t>
      </w:r>
      <w:r>
        <w:rPr>
          <w:rFonts w:hint="eastAsia" w:ascii="仿宋_GB2312" w:eastAsia="仿宋_GB2312"/>
          <w:color w:val="auto"/>
          <w:sz w:val="32"/>
          <w:szCs w:val="32"/>
        </w:rPr>
        <w:t>.年末结转和结余：指单位按有关规定结转到下年或以后年度继续使用的资金。</w:t>
      </w:r>
    </w:p>
    <w:p w14:paraId="439B2D0D">
      <w:pPr>
        <w:keepNext w:val="0"/>
        <w:keepLines w:val="0"/>
        <w:pageBreakBefore w:val="0"/>
        <w:widowControl w:val="0"/>
        <w:kinsoku/>
        <w:wordWrap/>
        <w:overflowPunct/>
        <w:topLinePunct w:val="0"/>
        <w:bidi w:val="0"/>
        <w:snapToGrid/>
        <w:spacing w:line="560" w:lineRule="exact"/>
        <w:ind w:firstLine="640" w:firstLineChars="200"/>
        <w:textAlignment w:val="auto"/>
        <w:rPr>
          <w:rFonts w:hint="eastAsia" w:ascii="仿宋_GB2312" w:hAnsi="Calibri" w:eastAsia="仿宋_GB2312" w:cs="仿宋"/>
          <w:color w:val="auto"/>
          <w:kern w:val="0"/>
          <w:sz w:val="32"/>
          <w:szCs w:val="32"/>
          <w:highlight w:val="none"/>
          <w:lang w:val="en-US" w:eastAsia="zh-CN" w:bidi="ar-SA"/>
        </w:rPr>
      </w:pPr>
      <w:r>
        <w:rPr>
          <w:rFonts w:hint="eastAsia" w:ascii="仿宋_GB2312" w:hAnsi="Calibri" w:eastAsia="仿宋_GB2312" w:cs="仿宋"/>
          <w:color w:val="auto"/>
          <w:kern w:val="0"/>
          <w:sz w:val="32"/>
          <w:szCs w:val="32"/>
          <w:highlight w:val="none"/>
          <w:lang w:val="en-US" w:eastAsia="zh-CN" w:bidi="ar-SA"/>
        </w:rPr>
        <w:t>6.社会保障和就业（208）行政事业单位养老（05）机关事业单位基本养老保险缴费（05）：反映机关事业单位实施养老保险制度由单位缴纳的基本养老保险费支出。</w:t>
      </w:r>
    </w:p>
    <w:p w14:paraId="6849FE4C">
      <w:pPr>
        <w:keepNext w:val="0"/>
        <w:keepLines w:val="0"/>
        <w:pageBreakBefore w:val="0"/>
        <w:widowControl w:val="0"/>
        <w:kinsoku/>
        <w:wordWrap/>
        <w:overflowPunct/>
        <w:topLinePunct w:val="0"/>
        <w:bidi w:val="0"/>
        <w:snapToGrid/>
        <w:spacing w:line="560" w:lineRule="exact"/>
        <w:ind w:firstLine="640" w:firstLineChars="200"/>
        <w:textAlignment w:val="auto"/>
        <w:rPr>
          <w:rFonts w:hint="eastAsia" w:ascii="仿宋_GB2312" w:hAnsi="Calibri" w:eastAsia="仿宋_GB2312" w:cs="仿宋"/>
          <w:color w:val="auto"/>
          <w:kern w:val="0"/>
          <w:sz w:val="32"/>
          <w:szCs w:val="32"/>
          <w:highlight w:val="none"/>
          <w:lang w:val="en-US" w:eastAsia="zh-CN" w:bidi="ar-SA"/>
        </w:rPr>
      </w:pPr>
      <w:r>
        <w:rPr>
          <w:rFonts w:hint="eastAsia" w:ascii="仿宋_GB2312" w:hAnsi="Calibri" w:eastAsia="仿宋_GB2312" w:cs="仿宋"/>
          <w:color w:val="auto"/>
          <w:kern w:val="0"/>
          <w:sz w:val="32"/>
          <w:szCs w:val="32"/>
          <w:highlight w:val="none"/>
          <w:lang w:val="en-US" w:eastAsia="zh-CN" w:bidi="ar-SA"/>
        </w:rPr>
        <w:t>7.社会保障和就业（208）行政事业单位养老（05）机关事业单位职业年金缴费（06）：反映机关事业单位实施养老保险制度由单位实际缴纳的职业年金支出（含职业年金补记支出）。</w:t>
      </w:r>
    </w:p>
    <w:p w14:paraId="326C2299">
      <w:pPr>
        <w:keepNext w:val="0"/>
        <w:keepLines w:val="0"/>
        <w:pageBreakBefore w:val="0"/>
        <w:widowControl w:val="0"/>
        <w:kinsoku/>
        <w:wordWrap/>
        <w:overflowPunct/>
        <w:topLinePunct w:val="0"/>
        <w:bidi w:val="0"/>
        <w:snapToGrid/>
        <w:spacing w:line="560" w:lineRule="exact"/>
        <w:ind w:firstLine="640" w:firstLineChars="200"/>
        <w:textAlignment w:val="auto"/>
        <w:rPr>
          <w:rFonts w:hint="eastAsia" w:ascii="仿宋_GB2312" w:hAnsi="Calibri" w:eastAsia="仿宋_GB2312" w:cs="仿宋"/>
          <w:color w:val="auto"/>
          <w:kern w:val="0"/>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8</w:t>
      </w:r>
      <w:r>
        <w:rPr>
          <w:rFonts w:hint="eastAsia" w:ascii="Times New Roman" w:hAnsi="Times New Roman" w:eastAsia="仿宋_GB2312" w:cs="仿宋_GB2312"/>
          <w:color w:val="auto"/>
          <w:kern w:val="2"/>
          <w:sz w:val="32"/>
          <w:szCs w:val="32"/>
          <w:highlight w:val="none"/>
          <w:lang w:val="en-US" w:eastAsia="zh-CN" w:bidi="ar-SA"/>
        </w:rPr>
        <w:t>.社会保障和就业（208）行政事业单位养老（05）其他行政事业单位养老支出（</w:t>
      </w:r>
      <w:r>
        <w:rPr>
          <w:rFonts w:hint="eastAsia" w:eastAsia="仿宋_GB2312" w:cs="仿宋_GB2312"/>
          <w:color w:val="auto"/>
          <w:kern w:val="2"/>
          <w:sz w:val="32"/>
          <w:szCs w:val="32"/>
          <w:highlight w:val="none"/>
          <w:lang w:val="en-US" w:eastAsia="zh-CN" w:bidi="ar-SA"/>
        </w:rPr>
        <w:t>99</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反映除上述项目外其他用于行政事业单位养老方面的支出。</w:t>
      </w:r>
    </w:p>
    <w:p w14:paraId="1D30A365">
      <w:pPr>
        <w:keepNext w:val="0"/>
        <w:keepLines w:val="0"/>
        <w:pageBreakBefore w:val="0"/>
        <w:widowControl w:val="0"/>
        <w:kinsoku/>
        <w:wordWrap/>
        <w:overflowPunct/>
        <w:topLinePunct w:val="0"/>
        <w:bidi w:val="0"/>
        <w:snapToGrid/>
        <w:spacing w:line="560" w:lineRule="exact"/>
        <w:ind w:firstLine="640" w:firstLineChars="200"/>
        <w:rPr>
          <w:rFonts w:hint="eastAsia" w:ascii="仿宋_GB2312" w:hAnsi="Calibri" w:eastAsia="仿宋_GB2312" w:cs="仿宋"/>
          <w:color w:val="auto"/>
          <w:kern w:val="0"/>
          <w:sz w:val="32"/>
          <w:szCs w:val="32"/>
          <w:highlight w:val="none"/>
          <w:lang w:val="en-US" w:eastAsia="zh-CN" w:bidi="ar-SA"/>
        </w:rPr>
      </w:pPr>
      <w:r>
        <w:rPr>
          <w:rFonts w:hint="eastAsia" w:ascii="仿宋_GB2312" w:hAnsi="Calibri" w:eastAsia="仿宋_GB2312" w:cs="仿宋"/>
          <w:color w:val="auto"/>
          <w:kern w:val="0"/>
          <w:sz w:val="32"/>
          <w:szCs w:val="32"/>
          <w:highlight w:val="none"/>
          <w:lang w:val="en-US" w:eastAsia="zh-CN" w:bidi="ar-SA"/>
        </w:rPr>
        <w:t>9.卫生健康（210）行政事业单位医疗（11）行政单位医疗（01）：反映财政部门安排的行政单位（包括实行公务员管理的事业单位）基本医疗保险缴费经费，未参加医疗保险的行政单位的公费医疗经费，按国家规定享受离休、红军老战士待遇人员的医疗经费。</w:t>
      </w:r>
    </w:p>
    <w:p w14:paraId="23D8B9FB">
      <w:pPr>
        <w:pageBreakBefore w:val="0"/>
        <w:kinsoku/>
        <w:wordWrap/>
        <w:overflowPunct/>
        <w:topLinePunct w:val="0"/>
        <w:bidi w:val="0"/>
        <w:snapToGrid/>
        <w:spacing w:line="560" w:lineRule="exact"/>
        <w:ind w:firstLine="640" w:firstLineChars="200"/>
        <w:textAlignment w:val="auto"/>
        <w:rPr>
          <w:rFonts w:hint="default" w:eastAsia="仿宋"/>
          <w:b w:val="0"/>
          <w:bCs w:val="0"/>
          <w:highlight w:val="none"/>
          <w:lang w:val="en-US" w:eastAsia="zh-CN"/>
        </w:rPr>
      </w:pPr>
      <w:r>
        <w:rPr>
          <w:rStyle w:val="23"/>
          <w:rFonts w:hint="eastAsia" w:ascii="仿宋" w:hAnsi="仿宋" w:eastAsia="仿宋"/>
          <w:b w:val="0"/>
          <w:bCs w:val="0"/>
          <w:color w:val="auto"/>
          <w:sz w:val="32"/>
          <w:szCs w:val="32"/>
          <w:highlight w:val="none"/>
          <w:lang w:val="en-US" w:eastAsia="zh-CN"/>
        </w:rPr>
        <w:t>10</w:t>
      </w:r>
      <w:r>
        <w:rPr>
          <w:rStyle w:val="23"/>
          <w:rFonts w:ascii="仿宋" w:hAnsi="仿宋" w:eastAsia="仿宋"/>
          <w:b w:val="0"/>
          <w:bCs w:val="0"/>
          <w:color w:val="auto"/>
          <w:sz w:val="32"/>
          <w:szCs w:val="32"/>
          <w:highlight w:val="none"/>
        </w:rPr>
        <w:t>.</w:t>
      </w:r>
      <w:r>
        <w:rPr>
          <w:rStyle w:val="23"/>
          <w:rFonts w:hint="eastAsia" w:ascii="仿宋" w:hAnsi="仿宋" w:eastAsia="仿宋"/>
          <w:b w:val="0"/>
          <w:bCs w:val="0"/>
          <w:color w:val="auto"/>
          <w:sz w:val="32"/>
          <w:szCs w:val="32"/>
          <w:highlight w:val="none"/>
        </w:rPr>
        <w:t>卫生健康（</w:t>
      </w:r>
      <w:r>
        <w:rPr>
          <w:rStyle w:val="23"/>
          <w:rFonts w:hint="eastAsia" w:ascii="仿宋" w:hAnsi="仿宋" w:eastAsia="仿宋"/>
          <w:b w:val="0"/>
          <w:bCs w:val="0"/>
          <w:color w:val="auto"/>
          <w:sz w:val="32"/>
          <w:szCs w:val="32"/>
          <w:highlight w:val="none"/>
          <w:lang w:val="en-US" w:eastAsia="zh-CN"/>
        </w:rPr>
        <w:t>210</w:t>
      </w:r>
      <w:r>
        <w:rPr>
          <w:rStyle w:val="23"/>
          <w:rFonts w:hint="eastAsia" w:ascii="仿宋" w:hAnsi="仿宋" w:eastAsia="仿宋"/>
          <w:b w:val="0"/>
          <w:bCs w:val="0"/>
          <w:color w:val="auto"/>
          <w:sz w:val="32"/>
          <w:szCs w:val="32"/>
          <w:highlight w:val="none"/>
        </w:rPr>
        <w:t>）行政事业单位医疗（</w:t>
      </w:r>
      <w:r>
        <w:rPr>
          <w:rStyle w:val="23"/>
          <w:rFonts w:hint="eastAsia" w:ascii="仿宋" w:hAnsi="仿宋" w:eastAsia="仿宋"/>
          <w:b w:val="0"/>
          <w:bCs w:val="0"/>
          <w:color w:val="auto"/>
          <w:sz w:val="32"/>
          <w:szCs w:val="32"/>
          <w:highlight w:val="none"/>
          <w:lang w:val="en-US" w:eastAsia="zh-CN"/>
        </w:rPr>
        <w:t>11</w:t>
      </w:r>
      <w:r>
        <w:rPr>
          <w:rStyle w:val="23"/>
          <w:rFonts w:hint="eastAsia" w:ascii="仿宋" w:hAnsi="仿宋" w:eastAsia="仿宋"/>
          <w:b w:val="0"/>
          <w:bCs w:val="0"/>
          <w:color w:val="auto"/>
          <w:sz w:val="32"/>
          <w:szCs w:val="32"/>
          <w:highlight w:val="none"/>
        </w:rPr>
        <w:t>）事业单位医疗（</w:t>
      </w:r>
      <w:r>
        <w:rPr>
          <w:rStyle w:val="23"/>
          <w:rFonts w:hint="eastAsia" w:ascii="仿宋" w:hAnsi="仿宋" w:eastAsia="仿宋"/>
          <w:b w:val="0"/>
          <w:bCs w:val="0"/>
          <w:color w:val="auto"/>
          <w:sz w:val="32"/>
          <w:szCs w:val="32"/>
          <w:highlight w:val="none"/>
          <w:lang w:val="en-US" w:eastAsia="zh-CN"/>
        </w:rPr>
        <w:t>02</w:t>
      </w:r>
      <w:r>
        <w:rPr>
          <w:rStyle w:val="23"/>
          <w:rFonts w:hint="eastAsia" w:ascii="仿宋" w:hAnsi="仿宋" w:eastAsia="仿宋"/>
          <w:b w:val="0"/>
          <w:bCs w:val="0"/>
          <w:color w:val="auto"/>
          <w:sz w:val="32"/>
          <w:szCs w:val="32"/>
          <w:highlight w:val="none"/>
        </w:rPr>
        <w:t>）</w:t>
      </w:r>
      <w:r>
        <w:rPr>
          <w:rStyle w:val="23"/>
          <w:rFonts w:ascii="仿宋" w:hAnsi="仿宋" w:eastAsia="仿宋"/>
          <w:b w:val="0"/>
          <w:bCs w:val="0"/>
          <w:color w:val="auto"/>
          <w:sz w:val="32"/>
          <w:szCs w:val="32"/>
          <w:highlight w:val="none"/>
        </w:rPr>
        <w:t>:</w:t>
      </w:r>
      <w:r>
        <w:rPr>
          <w:rStyle w:val="23"/>
          <w:rFonts w:hint="eastAsia" w:ascii="仿宋" w:hAnsi="仿宋" w:eastAsia="仿宋"/>
          <w:b w:val="0"/>
          <w:bCs w:val="0"/>
          <w:color w:val="auto"/>
          <w:sz w:val="32"/>
          <w:szCs w:val="32"/>
          <w:highlight w:val="none"/>
          <w:lang w:val="en-US" w:eastAsia="zh-CN"/>
        </w:rPr>
        <w:t>反映财政部门安排的事业单位基本医疗保险缴费经费，未参加医疗保险的事业单位的公费医疗经费，按国家规定享受离休人员待遇的医疗经费。</w:t>
      </w:r>
    </w:p>
    <w:p w14:paraId="1228D7A1">
      <w:pPr>
        <w:keepNext w:val="0"/>
        <w:keepLines w:val="0"/>
        <w:pageBreakBefore w:val="0"/>
        <w:widowControl w:val="0"/>
        <w:kinsoku/>
        <w:wordWrap/>
        <w:overflowPunct/>
        <w:topLinePunct w:val="0"/>
        <w:bidi w:val="0"/>
        <w:snapToGrid/>
        <w:spacing w:line="560" w:lineRule="exact"/>
        <w:ind w:firstLine="640" w:firstLineChars="200"/>
        <w:rPr>
          <w:rFonts w:hint="eastAsia" w:ascii="仿宋_GB2312" w:hAnsi="Calibri" w:eastAsia="仿宋_GB2312" w:cs="仿宋"/>
          <w:b w:val="0"/>
          <w:bCs w:val="0"/>
          <w:color w:val="auto"/>
          <w:kern w:val="0"/>
          <w:sz w:val="32"/>
          <w:szCs w:val="32"/>
          <w:highlight w:val="none"/>
          <w:lang w:val="en-US" w:eastAsia="zh-CN" w:bidi="ar-SA"/>
        </w:rPr>
      </w:pPr>
      <w:r>
        <w:rPr>
          <w:rFonts w:hint="eastAsia" w:ascii="仿宋_GB2312" w:hAnsi="Calibri" w:eastAsia="仿宋_GB2312" w:cs="仿宋"/>
          <w:b w:val="0"/>
          <w:bCs w:val="0"/>
          <w:color w:val="auto"/>
          <w:kern w:val="0"/>
          <w:sz w:val="32"/>
          <w:szCs w:val="32"/>
          <w:highlight w:val="none"/>
          <w:lang w:val="en-US" w:eastAsia="zh-CN" w:bidi="ar-SA"/>
        </w:rPr>
        <w:t>11.卫生健康（210）行政事业单位医疗（11）公务员医疗补助（03）：反映财政部门安排的公务员医疗补助经费。</w:t>
      </w:r>
    </w:p>
    <w:p w14:paraId="6F3EB27F">
      <w:pPr>
        <w:pageBreakBefore w:val="0"/>
        <w:kinsoku/>
        <w:wordWrap/>
        <w:overflowPunct/>
        <w:topLinePunct w:val="0"/>
        <w:bidi w:val="0"/>
        <w:snapToGrid/>
        <w:spacing w:line="560" w:lineRule="exact"/>
        <w:ind w:firstLine="640" w:firstLineChars="200"/>
        <w:textAlignment w:val="auto"/>
        <w:rPr>
          <w:rFonts w:hint="default" w:eastAsia="仿宋"/>
          <w:b w:val="0"/>
          <w:bCs w:val="0"/>
          <w:highlight w:val="none"/>
          <w:lang w:val="en-US" w:eastAsia="zh-CN"/>
        </w:rPr>
      </w:pPr>
      <w:r>
        <w:rPr>
          <w:rStyle w:val="23"/>
          <w:rFonts w:hint="eastAsia" w:ascii="仿宋" w:hAnsi="仿宋" w:eastAsia="仿宋"/>
          <w:b w:val="0"/>
          <w:bCs w:val="0"/>
          <w:color w:val="auto"/>
          <w:sz w:val="32"/>
          <w:szCs w:val="32"/>
          <w:highlight w:val="none"/>
          <w:lang w:val="en-US" w:eastAsia="zh-CN"/>
        </w:rPr>
        <w:t>12</w:t>
      </w:r>
      <w:r>
        <w:rPr>
          <w:rStyle w:val="23"/>
          <w:rFonts w:ascii="仿宋" w:hAnsi="仿宋" w:eastAsia="仿宋"/>
          <w:b w:val="0"/>
          <w:bCs w:val="0"/>
          <w:color w:val="auto"/>
          <w:sz w:val="32"/>
          <w:szCs w:val="32"/>
          <w:highlight w:val="none"/>
        </w:rPr>
        <w:t>.</w:t>
      </w:r>
      <w:r>
        <w:rPr>
          <w:rStyle w:val="23"/>
          <w:rFonts w:hint="eastAsia" w:ascii="仿宋" w:hAnsi="仿宋" w:eastAsia="仿宋"/>
          <w:b w:val="0"/>
          <w:bCs w:val="0"/>
          <w:color w:val="auto"/>
          <w:sz w:val="32"/>
          <w:szCs w:val="32"/>
          <w:highlight w:val="none"/>
        </w:rPr>
        <w:t>卫生健康（</w:t>
      </w:r>
      <w:r>
        <w:rPr>
          <w:rStyle w:val="23"/>
          <w:rFonts w:hint="eastAsia" w:ascii="仿宋" w:hAnsi="仿宋" w:eastAsia="仿宋"/>
          <w:b w:val="0"/>
          <w:bCs w:val="0"/>
          <w:color w:val="auto"/>
          <w:sz w:val="32"/>
          <w:szCs w:val="32"/>
          <w:highlight w:val="none"/>
          <w:lang w:val="en-US" w:eastAsia="zh-CN"/>
        </w:rPr>
        <w:t>210</w:t>
      </w:r>
      <w:r>
        <w:rPr>
          <w:rStyle w:val="23"/>
          <w:rFonts w:hint="eastAsia" w:ascii="仿宋" w:hAnsi="仿宋" w:eastAsia="仿宋"/>
          <w:b w:val="0"/>
          <w:bCs w:val="0"/>
          <w:color w:val="auto"/>
          <w:sz w:val="32"/>
          <w:szCs w:val="32"/>
          <w:highlight w:val="none"/>
        </w:rPr>
        <w:t>）行政事业单位医疗（</w:t>
      </w:r>
      <w:r>
        <w:rPr>
          <w:rStyle w:val="23"/>
          <w:rFonts w:hint="eastAsia" w:ascii="仿宋" w:hAnsi="仿宋" w:eastAsia="仿宋"/>
          <w:b w:val="0"/>
          <w:bCs w:val="0"/>
          <w:color w:val="auto"/>
          <w:sz w:val="32"/>
          <w:szCs w:val="32"/>
          <w:highlight w:val="none"/>
          <w:lang w:val="en-US" w:eastAsia="zh-CN"/>
        </w:rPr>
        <w:t>11</w:t>
      </w:r>
      <w:r>
        <w:rPr>
          <w:rStyle w:val="23"/>
          <w:rFonts w:hint="eastAsia" w:ascii="仿宋" w:hAnsi="仿宋" w:eastAsia="仿宋"/>
          <w:b w:val="0"/>
          <w:bCs w:val="0"/>
          <w:color w:val="auto"/>
          <w:sz w:val="32"/>
          <w:szCs w:val="32"/>
          <w:highlight w:val="none"/>
        </w:rPr>
        <w:t>）其他行政事业单位医疗（</w:t>
      </w:r>
      <w:r>
        <w:rPr>
          <w:rStyle w:val="23"/>
          <w:rFonts w:hint="eastAsia" w:ascii="仿宋" w:hAnsi="仿宋" w:eastAsia="仿宋"/>
          <w:b w:val="0"/>
          <w:bCs w:val="0"/>
          <w:color w:val="auto"/>
          <w:sz w:val="32"/>
          <w:szCs w:val="32"/>
          <w:highlight w:val="none"/>
          <w:lang w:val="en-US" w:eastAsia="zh-CN"/>
        </w:rPr>
        <w:t>99</w:t>
      </w:r>
      <w:r>
        <w:rPr>
          <w:rStyle w:val="23"/>
          <w:rFonts w:hint="eastAsia" w:ascii="仿宋" w:hAnsi="仿宋" w:eastAsia="仿宋"/>
          <w:b w:val="0"/>
          <w:bCs w:val="0"/>
          <w:color w:val="auto"/>
          <w:sz w:val="32"/>
          <w:szCs w:val="32"/>
          <w:highlight w:val="none"/>
        </w:rPr>
        <w:t>）</w:t>
      </w:r>
      <w:r>
        <w:rPr>
          <w:rStyle w:val="23"/>
          <w:rFonts w:ascii="仿宋" w:hAnsi="仿宋" w:eastAsia="仿宋"/>
          <w:b w:val="0"/>
          <w:bCs w:val="0"/>
          <w:color w:val="auto"/>
          <w:sz w:val="32"/>
          <w:szCs w:val="32"/>
          <w:highlight w:val="none"/>
        </w:rPr>
        <w:t>:</w:t>
      </w:r>
      <w:r>
        <w:rPr>
          <w:rStyle w:val="23"/>
          <w:rFonts w:hint="eastAsia" w:ascii="仿宋" w:hAnsi="仿宋" w:eastAsia="仿宋"/>
          <w:b w:val="0"/>
          <w:bCs w:val="0"/>
          <w:color w:val="auto"/>
          <w:sz w:val="32"/>
          <w:szCs w:val="32"/>
          <w:highlight w:val="none"/>
          <w:lang w:val="en-US" w:eastAsia="zh-CN"/>
        </w:rPr>
        <w:t>反映其他用于行政事业单位医疗方面的支出。</w:t>
      </w:r>
    </w:p>
    <w:p w14:paraId="1E7FE8A3">
      <w:pPr>
        <w:keepNext w:val="0"/>
        <w:keepLines w:val="0"/>
        <w:pageBreakBefore w:val="0"/>
        <w:widowControl w:val="0"/>
        <w:kinsoku/>
        <w:wordWrap/>
        <w:overflowPunct/>
        <w:topLinePunct w:val="0"/>
        <w:bidi w:val="0"/>
        <w:snapToGrid/>
        <w:spacing w:line="560" w:lineRule="exact"/>
        <w:ind w:firstLine="640" w:firstLineChars="200"/>
        <w:rPr>
          <w:rFonts w:hint="eastAsia" w:ascii="仿宋_GB2312" w:hAnsi="Calibri" w:eastAsia="仿宋_GB2312" w:cs="仿宋"/>
          <w:b w:val="0"/>
          <w:bCs w:val="0"/>
          <w:color w:val="auto"/>
          <w:kern w:val="0"/>
          <w:sz w:val="32"/>
          <w:szCs w:val="32"/>
          <w:highlight w:val="none"/>
          <w:lang w:val="en-US" w:eastAsia="zh-CN" w:bidi="ar-SA"/>
        </w:rPr>
      </w:pPr>
      <w:r>
        <w:rPr>
          <w:rFonts w:hint="eastAsia" w:ascii="仿宋_GB2312" w:hAnsi="Calibri" w:eastAsia="仿宋_GB2312" w:cs="仿宋"/>
          <w:b w:val="0"/>
          <w:bCs w:val="0"/>
          <w:color w:val="auto"/>
          <w:kern w:val="0"/>
          <w:sz w:val="32"/>
          <w:szCs w:val="32"/>
          <w:highlight w:val="none"/>
          <w:lang w:val="en-US" w:eastAsia="zh-CN" w:bidi="ar-SA"/>
        </w:rPr>
        <w:t>13.节能环保（211）环境保护管理事务（01）行政运行（01）:反映行政单位（包括实行公务员管理的事业单位）其的基本支出。</w:t>
      </w:r>
    </w:p>
    <w:p w14:paraId="281C9F27">
      <w:pPr>
        <w:keepNext w:val="0"/>
        <w:keepLines w:val="0"/>
        <w:pageBreakBefore w:val="0"/>
        <w:widowControl w:val="0"/>
        <w:kinsoku/>
        <w:wordWrap/>
        <w:overflowPunct/>
        <w:topLinePunct w:val="0"/>
        <w:bidi w:val="0"/>
        <w:snapToGrid/>
        <w:spacing w:line="560" w:lineRule="exact"/>
        <w:ind w:firstLine="640" w:firstLineChars="200"/>
        <w:rPr>
          <w:rFonts w:hint="eastAsia" w:ascii="仿宋_GB2312" w:hAnsi="Calibri" w:eastAsia="仿宋_GB2312" w:cs="仿宋"/>
          <w:b w:val="0"/>
          <w:bCs w:val="0"/>
          <w:color w:val="auto"/>
          <w:kern w:val="0"/>
          <w:sz w:val="32"/>
          <w:szCs w:val="32"/>
          <w:highlight w:val="none"/>
          <w:lang w:val="en-US" w:eastAsia="zh-CN" w:bidi="ar-SA"/>
        </w:rPr>
      </w:pPr>
      <w:r>
        <w:rPr>
          <w:rFonts w:hint="eastAsia" w:ascii="仿宋_GB2312" w:hAnsi="Calibri" w:eastAsia="仿宋_GB2312" w:cs="仿宋"/>
          <w:b w:val="0"/>
          <w:bCs w:val="0"/>
          <w:color w:val="auto"/>
          <w:kern w:val="0"/>
          <w:sz w:val="32"/>
          <w:szCs w:val="32"/>
          <w:highlight w:val="none"/>
          <w:lang w:val="en-US" w:eastAsia="zh-CN" w:bidi="ar-SA"/>
        </w:rPr>
        <w:t>14.节能环保（211）环境保护管理事务（01）一般行政管理事务（02）:反映行政单位（包括实行公务员管理的事业单位）未单独设置项级科目的其他项目支出。</w:t>
      </w:r>
    </w:p>
    <w:p w14:paraId="5278F375">
      <w:pPr>
        <w:keepNext w:val="0"/>
        <w:keepLines w:val="0"/>
        <w:pageBreakBefore w:val="0"/>
        <w:widowControl w:val="0"/>
        <w:kinsoku/>
        <w:wordWrap/>
        <w:overflowPunct/>
        <w:topLinePunct w:val="0"/>
        <w:bidi w:val="0"/>
        <w:snapToGrid/>
        <w:spacing w:line="560" w:lineRule="exact"/>
        <w:ind w:firstLine="640" w:firstLineChars="200"/>
        <w:rPr>
          <w:rFonts w:hint="default" w:ascii="仿宋_GB2312" w:hAnsi="Calibri" w:eastAsia="仿宋_GB2312" w:cs="仿宋"/>
          <w:b w:val="0"/>
          <w:bCs w:val="0"/>
          <w:color w:val="auto"/>
          <w:kern w:val="0"/>
          <w:sz w:val="32"/>
          <w:szCs w:val="32"/>
          <w:highlight w:val="none"/>
          <w:lang w:val="en-US" w:eastAsia="zh-CN" w:bidi="ar-SA"/>
        </w:rPr>
      </w:pPr>
      <w:r>
        <w:rPr>
          <w:rFonts w:hint="eastAsia" w:ascii="仿宋_GB2312" w:hAnsi="Calibri" w:eastAsia="仿宋_GB2312" w:cs="仿宋"/>
          <w:b w:val="0"/>
          <w:bCs w:val="0"/>
          <w:color w:val="auto"/>
          <w:kern w:val="0"/>
          <w:sz w:val="32"/>
          <w:szCs w:val="32"/>
          <w:highlight w:val="none"/>
          <w:lang w:val="en-US" w:eastAsia="zh-CN" w:bidi="ar-SA"/>
        </w:rPr>
        <w:t>15.节能环保（211）环境保护管理事务（01）机关服务（03）:</w:t>
      </w:r>
      <w:r>
        <w:rPr>
          <w:rFonts w:hint="eastAsia" w:ascii="仿宋_GB2312" w:hAnsi="Calibri" w:eastAsia="仿宋_GB2312" w:cs="仿宋"/>
          <w:color w:val="auto"/>
          <w:kern w:val="0"/>
          <w:sz w:val="32"/>
          <w:szCs w:val="32"/>
          <w:highlight w:val="none"/>
          <w:lang w:val="en-US" w:eastAsia="zh-CN" w:bidi="ar-SA"/>
        </w:rPr>
        <w:t>反映为行政单位（包括实行公务员管理的事业单位）提供后勤服务的各类后勤服务中心、医务室等附属事业单位的支出。</w:t>
      </w:r>
    </w:p>
    <w:p w14:paraId="009D55A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Style w:val="23"/>
          <w:rFonts w:hint="eastAsia" w:ascii="仿宋" w:hAnsi="仿宋" w:eastAsia="仿宋" w:cstheme="minorBidi"/>
          <w:b w:val="0"/>
          <w:bCs w:val="0"/>
          <w:color w:val="auto"/>
          <w:sz w:val="32"/>
          <w:szCs w:val="32"/>
          <w:highlight w:val="none"/>
          <w:lang w:val="en-US" w:eastAsia="zh-CN"/>
        </w:rPr>
      </w:pPr>
      <w:r>
        <w:rPr>
          <w:rFonts w:hint="eastAsia" w:ascii="仿宋_GB2312" w:hAnsi="Calibri" w:eastAsia="仿宋_GB2312" w:cs="仿宋"/>
          <w:b w:val="0"/>
          <w:bCs w:val="0"/>
          <w:color w:val="auto"/>
          <w:kern w:val="0"/>
          <w:sz w:val="32"/>
          <w:szCs w:val="32"/>
          <w:highlight w:val="none"/>
          <w:lang w:val="en-US" w:eastAsia="zh-CN" w:bidi="ar-SA"/>
        </w:rPr>
        <w:t>16.节能环保（211）环境保护管理事务（01）生态环境保护宣传准（04）:</w:t>
      </w:r>
      <w:r>
        <w:rPr>
          <w:rStyle w:val="23"/>
          <w:rFonts w:hint="eastAsia" w:ascii="仿宋" w:hAnsi="仿宋" w:eastAsia="仿宋"/>
          <w:b w:val="0"/>
          <w:bCs w:val="0"/>
          <w:color w:val="auto"/>
          <w:sz w:val="32"/>
          <w:szCs w:val="32"/>
          <w:highlight w:val="none"/>
          <w:lang w:val="en-US" w:eastAsia="zh-CN"/>
        </w:rPr>
        <w:t>反映生态环境部门环境保护宣传教育方面的支出</w:t>
      </w:r>
      <w:r>
        <w:rPr>
          <w:rStyle w:val="23"/>
          <w:rFonts w:hint="eastAsia" w:ascii="仿宋" w:hAnsi="仿宋" w:eastAsia="仿宋" w:cstheme="minorBidi"/>
          <w:b w:val="0"/>
          <w:bCs w:val="0"/>
          <w:color w:val="auto"/>
          <w:sz w:val="32"/>
          <w:szCs w:val="32"/>
          <w:highlight w:val="none"/>
          <w:lang w:val="en-US" w:eastAsia="zh-CN"/>
        </w:rPr>
        <w:t>。</w:t>
      </w:r>
    </w:p>
    <w:p w14:paraId="1C84751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Style w:val="23"/>
          <w:rFonts w:hint="default" w:ascii="仿宋" w:hAnsi="仿宋" w:eastAsia="仿宋" w:cstheme="minorBidi"/>
          <w:b w:val="0"/>
          <w:bCs w:val="0"/>
          <w:color w:val="auto"/>
          <w:sz w:val="32"/>
          <w:szCs w:val="32"/>
          <w:highlight w:val="none"/>
          <w:lang w:val="en-US" w:eastAsia="zh-CN"/>
        </w:rPr>
      </w:pPr>
      <w:r>
        <w:rPr>
          <w:rFonts w:hint="eastAsia" w:ascii="仿宋_GB2312" w:hAnsi="Calibri" w:eastAsia="仿宋_GB2312" w:cs="仿宋"/>
          <w:b w:val="0"/>
          <w:bCs w:val="0"/>
          <w:color w:val="auto"/>
          <w:kern w:val="0"/>
          <w:sz w:val="32"/>
          <w:szCs w:val="32"/>
          <w:highlight w:val="none"/>
          <w:lang w:val="en-US" w:eastAsia="zh-CN" w:bidi="ar-SA"/>
        </w:rPr>
        <w:t>17.节能环保（211）环境保护管理事务（01）环境保护法规、规划及标准（05）:</w:t>
      </w:r>
      <w:r>
        <w:rPr>
          <w:rStyle w:val="23"/>
          <w:rFonts w:hint="eastAsia" w:ascii="仿宋" w:hAnsi="仿宋" w:eastAsia="仿宋"/>
          <w:b w:val="0"/>
          <w:bCs w:val="0"/>
          <w:color w:val="auto"/>
          <w:sz w:val="32"/>
          <w:szCs w:val="32"/>
          <w:highlight w:val="none"/>
          <w:lang w:val="en-US" w:eastAsia="zh-CN"/>
        </w:rPr>
        <w:t>反映环境保护法规政策的前期研究、制定，规划的前期研究、制定及实施评估，环境标准试验、研究和制定等方面的支出。</w:t>
      </w:r>
    </w:p>
    <w:p w14:paraId="2FB1516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Calibri" w:eastAsia="仿宋_GB2312" w:cs="仿宋"/>
          <w:b w:val="0"/>
          <w:bCs w:val="0"/>
          <w:color w:val="auto"/>
          <w:kern w:val="0"/>
          <w:sz w:val="32"/>
          <w:szCs w:val="32"/>
          <w:highlight w:val="none"/>
          <w:lang w:val="en-US" w:eastAsia="zh-CN" w:bidi="ar-SA"/>
        </w:rPr>
      </w:pPr>
      <w:r>
        <w:rPr>
          <w:rFonts w:hint="eastAsia" w:ascii="仿宋_GB2312" w:hAnsi="Calibri" w:eastAsia="仿宋_GB2312" w:cs="仿宋"/>
          <w:b w:val="0"/>
          <w:bCs w:val="0"/>
          <w:color w:val="auto"/>
          <w:kern w:val="0"/>
          <w:sz w:val="32"/>
          <w:szCs w:val="32"/>
          <w:highlight w:val="none"/>
          <w:lang w:val="en-US" w:eastAsia="zh-CN" w:bidi="ar-SA"/>
        </w:rPr>
        <w:t>18.节能环保（211）环境保护管理事务（01）生态环境保护行政许可（07）:</w:t>
      </w:r>
      <w:r>
        <w:rPr>
          <w:rStyle w:val="23"/>
          <w:rFonts w:hint="eastAsia" w:ascii="仿宋" w:hAnsi="仿宋" w:eastAsia="仿宋"/>
          <w:b w:val="0"/>
          <w:bCs w:val="0"/>
          <w:color w:val="auto"/>
          <w:sz w:val="32"/>
          <w:szCs w:val="32"/>
          <w:highlight w:val="none"/>
          <w:lang w:val="en-US" w:eastAsia="zh-CN"/>
        </w:rPr>
        <w:t>反映生态环境部门经法律法规设定和经国务院批准的行政许可管理支出，如建设项目环境影响评价审批、排污许可、危险废物经营许可等行政许可管理及相关技术支出等方面的支出</w:t>
      </w:r>
      <w:r>
        <w:rPr>
          <w:rStyle w:val="23"/>
          <w:rFonts w:hint="eastAsia" w:ascii="仿宋" w:hAnsi="仿宋" w:eastAsia="仿宋" w:cstheme="minorBidi"/>
          <w:b w:val="0"/>
          <w:bCs w:val="0"/>
          <w:color w:val="auto"/>
          <w:sz w:val="32"/>
          <w:szCs w:val="32"/>
          <w:highlight w:val="none"/>
          <w:lang w:val="en-US" w:eastAsia="zh-CN"/>
        </w:rPr>
        <w:t>。</w:t>
      </w:r>
    </w:p>
    <w:p w14:paraId="101FA3D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Calibri" w:eastAsia="仿宋_GB2312" w:cs="仿宋"/>
          <w:b w:val="0"/>
          <w:bCs w:val="0"/>
          <w:color w:val="auto"/>
          <w:kern w:val="0"/>
          <w:sz w:val="32"/>
          <w:szCs w:val="32"/>
          <w:highlight w:val="none"/>
          <w:lang w:val="en-US" w:eastAsia="zh-CN" w:bidi="ar-SA"/>
        </w:rPr>
      </w:pPr>
      <w:r>
        <w:rPr>
          <w:rFonts w:hint="eastAsia" w:ascii="仿宋_GB2312" w:hAnsi="Calibri" w:eastAsia="仿宋_GB2312" w:cs="仿宋"/>
          <w:b w:val="0"/>
          <w:bCs w:val="0"/>
          <w:color w:val="auto"/>
          <w:kern w:val="0"/>
          <w:sz w:val="32"/>
          <w:szCs w:val="32"/>
          <w:lang w:val="en-US" w:eastAsia="zh-CN" w:bidi="ar-SA"/>
        </w:rPr>
        <w:t>19.</w:t>
      </w:r>
      <w:r>
        <w:rPr>
          <w:rFonts w:hint="eastAsia" w:ascii="仿宋_GB2312" w:hAnsi="Calibri" w:eastAsia="仿宋_GB2312" w:cs="仿宋"/>
          <w:b w:val="0"/>
          <w:bCs w:val="0"/>
          <w:color w:val="auto"/>
          <w:kern w:val="0"/>
          <w:sz w:val="32"/>
          <w:szCs w:val="32"/>
          <w:highlight w:val="none"/>
          <w:lang w:val="en-US" w:eastAsia="zh-CN" w:bidi="ar-SA"/>
        </w:rPr>
        <w:t>节能环保（211）环境保护管理事务（01）其他环境保护管理事务（99）:反映其他用于环境保护管理事务方面的支出。</w:t>
      </w:r>
    </w:p>
    <w:p w14:paraId="4836821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hAnsi="Calibri" w:eastAsia="仿宋" w:cs="仿宋"/>
          <w:b w:val="0"/>
          <w:bCs w:val="0"/>
          <w:color w:val="auto"/>
          <w:kern w:val="0"/>
          <w:sz w:val="32"/>
          <w:szCs w:val="32"/>
          <w:highlight w:val="none"/>
          <w:lang w:val="en-US" w:eastAsia="zh-CN" w:bidi="ar-SA"/>
        </w:rPr>
      </w:pPr>
      <w:r>
        <w:rPr>
          <w:rStyle w:val="23"/>
          <w:rFonts w:hint="eastAsia" w:ascii="仿宋" w:hAnsi="仿宋" w:eastAsia="仿宋"/>
          <w:b w:val="0"/>
          <w:bCs w:val="0"/>
          <w:color w:val="auto"/>
          <w:sz w:val="32"/>
          <w:szCs w:val="32"/>
          <w:highlight w:val="none"/>
          <w:lang w:val="en-US" w:eastAsia="zh-CN"/>
        </w:rPr>
        <w:t>20.</w:t>
      </w:r>
      <w:r>
        <w:rPr>
          <w:rStyle w:val="23"/>
          <w:rFonts w:hint="eastAsia" w:ascii="仿宋" w:hAnsi="仿宋" w:eastAsia="仿宋"/>
          <w:b w:val="0"/>
          <w:bCs w:val="0"/>
          <w:color w:val="auto"/>
          <w:sz w:val="32"/>
          <w:szCs w:val="32"/>
          <w:highlight w:val="none"/>
        </w:rPr>
        <w:t>节能环保（</w:t>
      </w:r>
      <w:r>
        <w:rPr>
          <w:rStyle w:val="23"/>
          <w:rFonts w:hint="eastAsia" w:ascii="仿宋" w:hAnsi="仿宋" w:eastAsia="仿宋"/>
          <w:b w:val="0"/>
          <w:bCs w:val="0"/>
          <w:color w:val="auto"/>
          <w:sz w:val="32"/>
          <w:szCs w:val="32"/>
          <w:highlight w:val="none"/>
          <w:lang w:val="en-US" w:eastAsia="zh-CN"/>
        </w:rPr>
        <w:t>211</w:t>
      </w:r>
      <w:r>
        <w:rPr>
          <w:rStyle w:val="23"/>
          <w:rFonts w:hint="eastAsia" w:ascii="仿宋" w:hAnsi="仿宋" w:eastAsia="仿宋"/>
          <w:b w:val="0"/>
          <w:bCs w:val="0"/>
          <w:color w:val="auto"/>
          <w:sz w:val="32"/>
          <w:szCs w:val="32"/>
          <w:highlight w:val="none"/>
        </w:rPr>
        <w:t>）环境监测与监察（</w:t>
      </w:r>
      <w:r>
        <w:rPr>
          <w:rStyle w:val="23"/>
          <w:rFonts w:hint="eastAsia" w:ascii="仿宋" w:hAnsi="仿宋" w:eastAsia="仿宋"/>
          <w:b w:val="0"/>
          <w:bCs w:val="0"/>
          <w:color w:val="auto"/>
          <w:sz w:val="32"/>
          <w:szCs w:val="32"/>
          <w:highlight w:val="none"/>
          <w:lang w:val="en-US" w:eastAsia="zh-CN"/>
        </w:rPr>
        <w:t>02</w:t>
      </w:r>
      <w:r>
        <w:rPr>
          <w:rStyle w:val="23"/>
          <w:rFonts w:hint="eastAsia" w:ascii="仿宋" w:hAnsi="仿宋" w:eastAsia="仿宋"/>
          <w:b w:val="0"/>
          <w:bCs w:val="0"/>
          <w:color w:val="auto"/>
          <w:sz w:val="32"/>
          <w:szCs w:val="32"/>
          <w:highlight w:val="none"/>
        </w:rPr>
        <w:t>）建设项目环评审查与监督（</w:t>
      </w:r>
      <w:r>
        <w:rPr>
          <w:rStyle w:val="23"/>
          <w:rFonts w:hint="eastAsia" w:ascii="仿宋" w:hAnsi="仿宋" w:eastAsia="仿宋"/>
          <w:b w:val="0"/>
          <w:bCs w:val="0"/>
          <w:color w:val="auto"/>
          <w:sz w:val="32"/>
          <w:szCs w:val="32"/>
          <w:highlight w:val="none"/>
          <w:lang w:val="en-US" w:eastAsia="zh-CN"/>
        </w:rPr>
        <w:t>03</w:t>
      </w:r>
      <w:r>
        <w:rPr>
          <w:rStyle w:val="23"/>
          <w:rFonts w:hint="eastAsia" w:ascii="仿宋" w:hAnsi="仿宋" w:eastAsia="仿宋"/>
          <w:b w:val="0"/>
          <w:bCs w:val="0"/>
          <w:color w:val="auto"/>
          <w:sz w:val="32"/>
          <w:szCs w:val="32"/>
          <w:highlight w:val="none"/>
        </w:rPr>
        <w:t>）</w:t>
      </w:r>
      <w:r>
        <w:rPr>
          <w:rStyle w:val="23"/>
          <w:rFonts w:ascii="仿宋" w:hAnsi="仿宋" w:eastAsia="仿宋"/>
          <w:b w:val="0"/>
          <w:bCs w:val="0"/>
          <w:color w:val="auto"/>
          <w:sz w:val="32"/>
          <w:szCs w:val="32"/>
          <w:highlight w:val="none"/>
        </w:rPr>
        <w:t>:</w:t>
      </w:r>
      <w:r>
        <w:rPr>
          <w:rStyle w:val="23"/>
          <w:rFonts w:hint="eastAsia" w:ascii="仿宋" w:hAnsi="仿宋" w:eastAsia="仿宋"/>
          <w:b w:val="0"/>
          <w:bCs w:val="0"/>
          <w:color w:val="auto"/>
          <w:sz w:val="32"/>
          <w:szCs w:val="32"/>
          <w:highlight w:val="none"/>
          <w:lang w:val="en-US" w:eastAsia="zh-CN"/>
        </w:rPr>
        <w:t>反映生态环境部门对建设类规划、建设项目的环境影响评价、评审，建设项目“三同时”监理、验收等方面的支出。</w:t>
      </w:r>
    </w:p>
    <w:p w14:paraId="3AE2AA8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Style w:val="23"/>
          <w:rFonts w:ascii="仿宋" w:hAnsi="仿宋" w:eastAsia="仿宋"/>
          <w:b w:val="0"/>
          <w:bCs w:val="0"/>
          <w:color w:val="auto"/>
          <w:sz w:val="32"/>
          <w:szCs w:val="32"/>
          <w:highlight w:val="none"/>
        </w:rPr>
      </w:pPr>
      <w:r>
        <w:rPr>
          <w:rStyle w:val="23"/>
          <w:rFonts w:hint="eastAsia" w:ascii="仿宋" w:hAnsi="仿宋" w:eastAsia="仿宋"/>
          <w:b w:val="0"/>
          <w:bCs w:val="0"/>
          <w:color w:val="auto"/>
          <w:sz w:val="32"/>
          <w:szCs w:val="32"/>
          <w:highlight w:val="none"/>
          <w:lang w:val="en-US" w:eastAsia="zh-CN"/>
        </w:rPr>
        <w:t>21.</w:t>
      </w:r>
      <w:r>
        <w:rPr>
          <w:rStyle w:val="23"/>
          <w:rFonts w:hint="eastAsia" w:ascii="仿宋" w:hAnsi="仿宋" w:eastAsia="仿宋"/>
          <w:b w:val="0"/>
          <w:bCs w:val="0"/>
          <w:color w:val="auto"/>
          <w:sz w:val="32"/>
          <w:szCs w:val="32"/>
          <w:highlight w:val="none"/>
        </w:rPr>
        <w:t>节能环保（</w:t>
      </w:r>
      <w:r>
        <w:rPr>
          <w:rStyle w:val="23"/>
          <w:rFonts w:hint="eastAsia" w:ascii="仿宋" w:hAnsi="仿宋" w:eastAsia="仿宋"/>
          <w:b w:val="0"/>
          <w:bCs w:val="0"/>
          <w:color w:val="auto"/>
          <w:sz w:val="32"/>
          <w:szCs w:val="32"/>
          <w:highlight w:val="none"/>
          <w:lang w:val="en-US" w:eastAsia="zh-CN"/>
        </w:rPr>
        <w:t>211</w:t>
      </w:r>
      <w:r>
        <w:rPr>
          <w:rStyle w:val="23"/>
          <w:rFonts w:hint="eastAsia" w:ascii="仿宋" w:hAnsi="仿宋" w:eastAsia="仿宋"/>
          <w:b w:val="0"/>
          <w:bCs w:val="0"/>
          <w:color w:val="auto"/>
          <w:sz w:val="32"/>
          <w:szCs w:val="32"/>
          <w:highlight w:val="none"/>
        </w:rPr>
        <w:t>）环境监测与监察（</w:t>
      </w:r>
      <w:r>
        <w:rPr>
          <w:rStyle w:val="23"/>
          <w:rFonts w:hint="eastAsia" w:ascii="仿宋" w:hAnsi="仿宋" w:eastAsia="仿宋"/>
          <w:b w:val="0"/>
          <w:bCs w:val="0"/>
          <w:color w:val="auto"/>
          <w:sz w:val="32"/>
          <w:szCs w:val="32"/>
          <w:highlight w:val="none"/>
          <w:lang w:val="en-US" w:eastAsia="zh-CN"/>
        </w:rPr>
        <w:t>02</w:t>
      </w:r>
      <w:r>
        <w:rPr>
          <w:rStyle w:val="23"/>
          <w:rFonts w:hint="eastAsia" w:ascii="仿宋" w:hAnsi="仿宋" w:eastAsia="仿宋"/>
          <w:b w:val="0"/>
          <w:bCs w:val="0"/>
          <w:color w:val="auto"/>
          <w:sz w:val="32"/>
          <w:szCs w:val="32"/>
          <w:highlight w:val="none"/>
        </w:rPr>
        <w:t>）其他环境监测与监察（</w:t>
      </w:r>
      <w:r>
        <w:rPr>
          <w:rStyle w:val="23"/>
          <w:rFonts w:hint="eastAsia" w:ascii="仿宋" w:hAnsi="仿宋" w:eastAsia="仿宋"/>
          <w:b w:val="0"/>
          <w:bCs w:val="0"/>
          <w:color w:val="auto"/>
          <w:sz w:val="32"/>
          <w:szCs w:val="32"/>
          <w:highlight w:val="none"/>
          <w:lang w:val="en-US" w:eastAsia="zh-CN"/>
        </w:rPr>
        <w:t>99</w:t>
      </w:r>
      <w:r>
        <w:rPr>
          <w:rStyle w:val="23"/>
          <w:rFonts w:hint="eastAsia" w:ascii="仿宋" w:hAnsi="仿宋" w:eastAsia="仿宋"/>
          <w:b w:val="0"/>
          <w:bCs w:val="0"/>
          <w:color w:val="auto"/>
          <w:sz w:val="32"/>
          <w:szCs w:val="32"/>
          <w:highlight w:val="none"/>
        </w:rPr>
        <w:t>）</w:t>
      </w:r>
      <w:r>
        <w:rPr>
          <w:rStyle w:val="23"/>
          <w:rFonts w:ascii="仿宋" w:hAnsi="仿宋" w:eastAsia="仿宋"/>
          <w:b w:val="0"/>
          <w:bCs w:val="0"/>
          <w:color w:val="auto"/>
          <w:sz w:val="32"/>
          <w:szCs w:val="32"/>
          <w:highlight w:val="none"/>
        </w:rPr>
        <w:t>:</w:t>
      </w:r>
      <w:r>
        <w:rPr>
          <w:rStyle w:val="23"/>
          <w:rFonts w:hint="eastAsia" w:ascii="仿宋" w:hAnsi="仿宋" w:eastAsia="仿宋"/>
          <w:b w:val="0"/>
          <w:bCs w:val="0"/>
          <w:color w:val="auto"/>
          <w:sz w:val="32"/>
          <w:szCs w:val="32"/>
          <w:highlight w:val="none"/>
          <w:lang w:val="en-US" w:eastAsia="zh-CN"/>
        </w:rPr>
        <w:t>反映其他用于环境监测与监察方面的支出。</w:t>
      </w:r>
    </w:p>
    <w:p w14:paraId="4EAC382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Style w:val="23"/>
          <w:rFonts w:hint="eastAsia" w:ascii="仿宋" w:hAnsi="仿宋" w:eastAsia="仿宋"/>
          <w:b w:val="0"/>
          <w:bCs w:val="0"/>
          <w:color w:val="auto"/>
          <w:sz w:val="32"/>
          <w:szCs w:val="32"/>
          <w:highlight w:val="none"/>
          <w:lang w:val="en-US" w:eastAsia="zh-CN"/>
        </w:rPr>
      </w:pPr>
      <w:r>
        <w:rPr>
          <w:rFonts w:hint="eastAsia" w:ascii="仿宋" w:hAnsi="仿宋" w:eastAsia="仿宋" w:cs="Times New Roman"/>
          <w:b w:val="0"/>
          <w:bCs w:val="0"/>
          <w:color w:val="auto"/>
          <w:kern w:val="2"/>
          <w:sz w:val="32"/>
          <w:szCs w:val="32"/>
          <w:lang w:val="en-US" w:eastAsia="zh-CN" w:bidi="ar-SA"/>
        </w:rPr>
        <w:t>22.</w:t>
      </w:r>
      <w:r>
        <w:rPr>
          <w:rStyle w:val="23"/>
          <w:rFonts w:hint="eastAsia" w:ascii="仿宋" w:hAnsi="仿宋" w:eastAsia="仿宋"/>
          <w:b w:val="0"/>
          <w:bCs w:val="0"/>
          <w:color w:val="auto"/>
          <w:sz w:val="32"/>
          <w:szCs w:val="32"/>
          <w:highlight w:val="none"/>
        </w:rPr>
        <w:t>节能环保（</w:t>
      </w:r>
      <w:r>
        <w:rPr>
          <w:rStyle w:val="23"/>
          <w:rFonts w:hint="eastAsia" w:ascii="仿宋" w:hAnsi="仿宋" w:eastAsia="仿宋"/>
          <w:b w:val="0"/>
          <w:bCs w:val="0"/>
          <w:color w:val="auto"/>
          <w:sz w:val="32"/>
          <w:szCs w:val="32"/>
          <w:highlight w:val="none"/>
          <w:lang w:val="en-US" w:eastAsia="zh-CN"/>
        </w:rPr>
        <w:t>211</w:t>
      </w:r>
      <w:r>
        <w:rPr>
          <w:rStyle w:val="23"/>
          <w:rFonts w:hint="eastAsia" w:ascii="仿宋" w:hAnsi="仿宋" w:eastAsia="仿宋"/>
          <w:b w:val="0"/>
          <w:bCs w:val="0"/>
          <w:color w:val="auto"/>
          <w:sz w:val="32"/>
          <w:szCs w:val="32"/>
          <w:highlight w:val="none"/>
        </w:rPr>
        <w:t>）污染防治（</w:t>
      </w:r>
      <w:r>
        <w:rPr>
          <w:rStyle w:val="23"/>
          <w:rFonts w:hint="eastAsia" w:ascii="仿宋" w:hAnsi="仿宋" w:eastAsia="仿宋"/>
          <w:b w:val="0"/>
          <w:bCs w:val="0"/>
          <w:color w:val="auto"/>
          <w:sz w:val="32"/>
          <w:szCs w:val="32"/>
          <w:highlight w:val="none"/>
          <w:lang w:val="en-US" w:eastAsia="zh-CN"/>
        </w:rPr>
        <w:t>03</w:t>
      </w:r>
      <w:r>
        <w:rPr>
          <w:rStyle w:val="23"/>
          <w:rFonts w:hint="eastAsia" w:ascii="仿宋" w:hAnsi="仿宋" w:eastAsia="仿宋"/>
          <w:b w:val="0"/>
          <w:bCs w:val="0"/>
          <w:color w:val="auto"/>
          <w:sz w:val="32"/>
          <w:szCs w:val="32"/>
          <w:highlight w:val="none"/>
        </w:rPr>
        <w:t>）</w:t>
      </w:r>
      <w:r>
        <w:rPr>
          <w:rStyle w:val="23"/>
          <w:rFonts w:hint="eastAsia" w:ascii="仿宋" w:hAnsi="仿宋" w:eastAsia="仿宋"/>
          <w:b w:val="0"/>
          <w:bCs w:val="0"/>
          <w:color w:val="auto"/>
          <w:sz w:val="32"/>
          <w:szCs w:val="32"/>
          <w:highlight w:val="none"/>
          <w:lang w:val="en-US" w:eastAsia="zh-CN"/>
        </w:rPr>
        <w:t>大气</w:t>
      </w:r>
      <w:r>
        <w:rPr>
          <w:rStyle w:val="23"/>
          <w:rFonts w:hint="eastAsia" w:ascii="仿宋" w:hAnsi="仿宋" w:eastAsia="仿宋"/>
          <w:b w:val="0"/>
          <w:bCs w:val="0"/>
          <w:color w:val="auto"/>
          <w:sz w:val="32"/>
          <w:szCs w:val="32"/>
          <w:highlight w:val="none"/>
        </w:rPr>
        <w:t>（</w:t>
      </w:r>
      <w:r>
        <w:rPr>
          <w:rStyle w:val="23"/>
          <w:rFonts w:hint="eastAsia" w:ascii="仿宋" w:hAnsi="仿宋" w:eastAsia="仿宋"/>
          <w:b w:val="0"/>
          <w:bCs w:val="0"/>
          <w:color w:val="auto"/>
          <w:sz w:val="32"/>
          <w:szCs w:val="32"/>
          <w:highlight w:val="none"/>
          <w:lang w:val="en-US" w:eastAsia="zh-CN"/>
        </w:rPr>
        <w:t>01</w:t>
      </w:r>
      <w:r>
        <w:rPr>
          <w:rStyle w:val="23"/>
          <w:rFonts w:hint="eastAsia" w:ascii="仿宋" w:hAnsi="仿宋" w:eastAsia="仿宋"/>
          <w:b w:val="0"/>
          <w:bCs w:val="0"/>
          <w:color w:val="auto"/>
          <w:sz w:val="32"/>
          <w:szCs w:val="32"/>
          <w:highlight w:val="none"/>
        </w:rPr>
        <w:t>）</w:t>
      </w:r>
      <w:r>
        <w:rPr>
          <w:rStyle w:val="23"/>
          <w:rFonts w:ascii="仿宋" w:hAnsi="仿宋" w:eastAsia="仿宋"/>
          <w:b w:val="0"/>
          <w:bCs w:val="0"/>
          <w:color w:val="auto"/>
          <w:sz w:val="32"/>
          <w:szCs w:val="32"/>
          <w:highlight w:val="none"/>
        </w:rPr>
        <w:t>:</w:t>
      </w:r>
      <w:r>
        <w:rPr>
          <w:rStyle w:val="23"/>
          <w:rFonts w:hint="eastAsia" w:ascii="仿宋" w:hAnsi="仿宋" w:eastAsia="仿宋"/>
          <w:b w:val="0"/>
          <w:bCs w:val="0"/>
          <w:color w:val="auto"/>
          <w:sz w:val="32"/>
          <w:szCs w:val="32"/>
          <w:highlight w:val="none"/>
          <w:lang w:val="en-US" w:eastAsia="zh-CN"/>
        </w:rPr>
        <w:t>反映政府在治理空气污染、汽车尾气、酸雨、二氧化硫、沙尘暴等方面的支出。</w:t>
      </w:r>
    </w:p>
    <w:p w14:paraId="0E7DA8C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Style w:val="23"/>
          <w:rFonts w:hint="eastAsia" w:ascii="仿宋" w:hAnsi="仿宋" w:eastAsia="仿宋"/>
          <w:b w:val="0"/>
          <w:bCs w:val="0"/>
          <w:color w:val="auto"/>
          <w:sz w:val="32"/>
          <w:szCs w:val="32"/>
          <w:highlight w:val="none"/>
          <w:lang w:val="en-US" w:eastAsia="zh-CN"/>
        </w:rPr>
      </w:pPr>
      <w:r>
        <w:rPr>
          <w:rFonts w:hint="eastAsia" w:ascii="仿宋" w:hAnsi="仿宋" w:eastAsia="仿宋" w:cs="Times New Roman"/>
          <w:b w:val="0"/>
          <w:bCs w:val="0"/>
          <w:color w:val="auto"/>
          <w:kern w:val="2"/>
          <w:sz w:val="32"/>
          <w:szCs w:val="32"/>
          <w:lang w:val="en-US" w:eastAsia="zh-CN" w:bidi="ar-SA"/>
        </w:rPr>
        <w:t>23.</w:t>
      </w:r>
      <w:r>
        <w:rPr>
          <w:rStyle w:val="23"/>
          <w:rFonts w:hint="eastAsia" w:ascii="仿宋" w:hAnsi="仿宋" w:eastAsia="仿宋"/>
          <w:b w:val="0"/>
          <w:bCs w:val="0"/>
          <w:color w:val="auto"/>
          <w:sz w:val="32"/>
          <w:szCs w:val="32"/>
          <w:highlight w:val="none"/>
        </w:rPr>
        <w:t>节能环保（</w:t>
      </w:r>
      <w:r>
        <w:rPr>
          <w:rStyle w:val="23"/>
          <w:rFonts w:hint="eastAsia" w:ascii="仿宋" w:hAnsi="仿宋" w:eastAsia="仿宋"/>
          <w:b w:val="0"/>
          <w:bCs w:val="0"/>
          <w:color w:val="auto"/>
          <w:sz w:val="32"/>
          <w:szCs w:val="32"/>
          <w:highlight w:val="none"/>
          <w:lang w:val="en-US" w:eastAsia="zh-CN"/>
        </w:rPr>
        <w:t>211</w:t>
      </w:r>
      <w:r>
        <w:rPr>
          <w:rStyle w:val="23"/>
          <w:rFonts w:hint="eastAsia" w:ascii="仿宋" w:hAnsi="仿宋" w:eastAsia="仿宋"/>
          <w:b w:val="0"/>
          <w:bCs w:val="0"/>
          <w:color w:val="auto"/>
          <w:sz w:val="32"/>
          <w:szCs w:val="32"/>
          <w:highlight w:val="none"/>
        </w:rPr>
        <w:t>）污染防治（</w:t>
      </w:r>
      <w:r>
        <w:rPr>
          <w:rStyle w:val="23"/>
          <w:rFonts w:hint="eastAsia" w:ascii="仿宋" w:hAnsi="仿宋" w:eastAsia="仿宋"/>
          <w:b w:val="0"/>
          <w:bCs w:val="0"/>
          <w:color w:val="auto"/>
          <w:sz w:val="32"/>
          <w:szCs w:val="32"/>
          <w:highlight w:val="none"/>
          <w:lang w:val="en-US" w:eastAsia="zh-CN"/>
        </w:rPr>
        <w:t>03</w:t>
      </w:r>
      <w:r>
        <w:rPr>
          <w:rStyle w:val="23"/>
          <w:rFonts w:hint="eastAsia" w:ascii="仿宋" w:hAnsi="仿宋" w:eastAsia="仿宋"/>
          <w:b w:val="0"/>
          <w:bCs w:val="0"/>
          <w:color w:val="auto"/>
          <w:sz w:val="32"/>
          <w:szCs w:val="32"/>
          <w:highlight w:val="none"/>
        </w:rPr>
        <w:t>）</w:t>
      </w:r>
      <w:r>
        <w:rPr>
          <w:rStyle w:val="23"/>
          <w:rFonts w:hint="eastAsia" w:ascii="仿宋" w:hAnsi="仿宋" w:eastAsia="仿宋"/>
          <w:b w:val="0"/>
          <w:bCs w:val="0"/>
          <w:color w:val="auto"/>
          <w:sz w:val="32"/>
          <w:szCs w:val="32"/>
          <w:highlight w:val="none"/>
          <w:lang w:val="en-US" w:eastAsia="zh-CN"/>
        </w:rPr>
        <w:t>水体</w:t>
      </w:r>
      <w:r>
        <w:rPr>
          <w:rStyle w:val="23"/>
          <w:rFonts w:hint="eastAsia" w:ascii="仿宋" w:hAnsi="仿宋" w:eastAsia="仿宋"/>
          <w:b w:val="0"/>
          <w:bCs w:val="0"/>
          <w:color w:val="auto"/>
          <w:sz w:val="32"/>
          <w:szCs w:val="32"/>
          <w:highlight w:val="none"/>
        </w:rPr>
        <w:t>（</w:t>
      </w:r>
      <w:r>
        <w:rPr>
          <w:rStyle w:val="23"/>
          <w:rFonts w:hint="eastAsia" w:ascii="仿宋" w:hAnsi="仿宋" w:eastAsia="仿宋"/>
          <w:b w:val="0"/>
          <w:bCs w:val="0"/>
          <w:color w:val="auto"/>
          <w:sz w:val="32"/>
          <w:szCs w:val="32"/>
          <w:highlight w:val="none"/>
          <w:lang w:val="en-US" w:eastAsia="zh-CN"/>
        </w:rPr>
        <w:t>02</w:t>
      </w:r>
      <w:r>
        <w:rPr>
          <w:rStyle w:val="23"/>
          <w:rFonts w:hint="eastAsia" w:ascii="仿宋" w:hAnsi="仿宋" w:eastAsia="仿宋"/>
          <w:b w:val="0"/>
          <w:bCs w:val="0"/>
          <w:color w:val="auto"/>
          <w:sz w:val="32"/>
          <w:szCs w:val="32"/>
          <w:highlight w:val="none"/>
        </w:rPr>
        <w:t>）</w:t>
      </w:r>
      <w:r>
        <w:rPr>
          <w:rStyle w:val="23"/>
          <w:rFonts w:ascii="仿宋" w:hAnsi="仿宋" w:eastAsia="仿宋"/>
          <w:b w:val="0"/>
          <w:bCs w:val="0"/>
          <w:color w:val="auto"/>
          <w:sz w:val="32"/>
          <w:szCs w:val="32"/>
          <w:highlight w:val="none"/>
        </w:rPr>
        <w:t>:</w:t>
      </w:r>
      <w:r>
        <w:rPr>
          <w:rStyle w:val="23"/>
          <w:rFonts w:hint="eastAsia" w:ascii="仿宋" w:hAnsi="仿宋" w:eastAsia="仿宋"/>
          <w:b w:val="0"/>
          <w:bCs w:val="0"/>
          <w:color w:val="auto"/>
          <w:sz w:val="32"/>
          <w:szCs w:val="32"/>
          <w:highlight w:val="none"/>
          <w:lang w:val="en-US" w:eastAsia="zh-CN"/>
        </w:rPr>
        <w:t>反映政府在排水、污水处理、水污染防治、湖库生态环境保护、水源地保护、国土江河综合整治、河流治理和保护、地下水修复与保护等方面的支出</w:t>
      </w:r>
    </w:p>
    <w:p w14:paraId="042A77B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Style w:val="23"/>
          <w:rFonts w:hint="eastAsia" w:ascii="仿宋" w:hAnsi="仿宋" w:eastAsia="仿宋"/>
          <w:b w:val="0"/>
          <w:bCs w:val="0"/>
          <w:color w:val="auto"/>
          <w:sz w:val="32"/>
          <w:szCs w:val="32"/>
          <w:highlight w:val="none"/>
          <w:lang w:val="en-US" w:eastAsia="zh-CN"/>
        </w:rPr>
      </w:pPr>
      <w:r>
        <w:rPr>
          <w:rFonts w:hint="eastAsia" w:ascii="仿宋" w:hAnsi="仿宋" w:eastAsia="仿宋" w:cs="Times New Roman"/>
          <w:b w:val="0"/>
          <w:bCs w:val="0"/>
          <w:color w:val="auto"/>
          <w:kern w:val="2"/>
          <w:sz w:val="32"/>
          <w:szCs w:val="32"/>
          <w:lang w:val="en-US" w:eastAsia="zh-CN" w:bidi="ar-SA"/>
        </w:rPr>
        <w:t>24.</w:t>
      </w:r>
      <w:r>
        <w:rPr>
          <w:rStyle w:val="23"/>
          <w:rFonts w:hint="eastAsia" w:ascii="仿宋" w:hAnsi="仿宋" w:eastAsia="仿宋"/>
          <w:b w:val="0"/>
          <w:bCs w:val="0"/>
          <w:color w:val="auto"/>
          <w:sz w:val="32"/>
          <w:szCs w:val="32"/>
          <w:highlight w:val="none"/>
        </w:rPr>
        <w:t>节能环保（</w:t>
      </w:r>
      <w:r>
        <w:rPr>
          <w:rStyle w:val="23"/>
          <w:rFonts w:hint="eastAsia" w:ascii="仿宋" w:hAnsi="仿宋" w:eastAsia="仿宋"/>
          <w:b w:val="0"/>
          <w:bCs w:val="0"/>
          <w:color w:val="auto"/>
          <w:sz w:val="32"/>
          <w:szCs w:val="32"/>
          <w:highlight w:val="none"/>
          <w:lang w:val="en-US" w:eastAsia="zh-CN"/>
        </w:rPr>
        <w:t>211</w:t>
      </w:r>
      <w:r>
        <w:rPr>
          <w:rStyle w:val="23"/>
          <w:rFonts w:hint="eastAsia" w:ascii="仿宋" w:hAnsi="仿宋" w:eastAsia="仿宋"/>
          <w:b w:val="0"/>
          <w:bCs w:val="0"/>
          <w:color w:val="auto"/>
          <w:sz w:val="32"/>
          <w:szCs w:val="32"/>
          <w:highlight w:val="none"/>
        </w:rPr>
        <w:t>）自然生态保护（</w:t>
      </w:r>
      <w:r>
        <w:rPr>
          <w:rStyle w:val="23"/>
          <w:rFonts w:hint="eastAsia" w:ascii="仿宋" w:hAnsi="仿宋" w:eastAsia="仿宋"/>
          <w:b w:val="0"/>
          <w:bCs w:val="0"/>
          <w:color w:val="auto"/>
          <w:sz w:val="32"/>
          <w:szCs w:val="32"/>
          <w:highlight w:val="none"/>
          <w:lang w:val="en-US" w:eastAsia="zh-CN"/>
        </w:rPr>
        <w:t>04</w:t>
      </w:r>
      <w:r>
        <w:rPr>
          <w:rStyle w:val="23"/>
          <w:rFonts w:hint="eastAsia" w:ascii="仿宋" w:hAnsi="仿宋" w:eastAsia="仿宋"/>
          <w:b w:val="0"/>
          <w:bCs w:val="0"/>
          <w:color w:val="auto"/>
          <w:sz w:val="32"/>
          <w:szCs w:val="32"/>
          <w:highlight w:val="none"/>
        </w:rPr>
        <w:t>）生态保护（</w:t>
      </w:r>
      <w:r>
        <w:rPr>
          <w:rStyle w:val="23"/>
          <w:rFonts w:hint="eastAsia" w:ascii="仿宋" w:hAnsi="仿宋" w:eastAsia="仿宋"/>
          <w:b w:val="0"/>
          <w:bCs w:val="0"/>
          <w:color w:val="auto"/>
          <w:sz w:val="32"/>
          <w:szCs w:val="32"/>
          <w:highlight w:val="none"/>
          <w:lang w:val="en-US" w:eastAsia="zh-CN"/>
        </w:rPr>
        <w:t>01</w:t>
      </w:r>
      <w:r>
        <w:rPr>
          <w:rStyle w:val="23"/>
          <w:rFonts w:hint="eastAsia" w:ascii="仿宋" w:hAnsi="仿宋" w:eastAsia="仿宋"/>
          <w:b w:val="0"/>
          <w:bCs w:val="0"/>
          <w:color w:val="auto"/>
          <w:sz w:val="32"/>
          <w:szCs w:val="32"/>
          <w:highlight w:val="none"/>
        </w:rPr>
        <w:t>）</w:t>
      </w:r>
      <w:r>
        <w:rPr>
          <w:rStyle w:val="23"/>
          <w:rFonts w:ascii="仿宋" w:hAnsi="仿宋" w:eastAsia="仿宋"/>
          <w:b w:val="0"/>
          <w:bCs w:val="0"/>
          <w:color w:val="auto"/>
          <w:sz w:val="32"/>
          <w:szCs w:val="32"/>
          <w:highlight w:val="none"/>
        </w:rPr>
        <w:t>:</w:t>
      </w:r>
      <w:r>
        <w:rPr>
          <w:rStyle w:val="23"/>
          <w:rFonts w:hint="eastAsia" w:ascii="仿宋" w:hAnsi="仿宋" w:eastAsia="仿宋"/>
          <w:b w:val="0"/>
          <w:bCs w:val="0"/>
          <w:color w:val="auto"/>
          <w:sz w:val="32"/>
          <w:szCs w:val="32"/>
          <w:highlight w:val="none"/>
          <w:lang w:val="en-US" w:eastAsia="zh-CN"/>
        </w:rPr>
        <w:t>反映用于生态功能区、生态示范区、生态省（市、县）管理及能力建设、日常管护、宣教、试点示范等支出，生态修复支出，资源开发生态监管支出，生态护林员的劳务报酬等支出。</w:t>
      </w:r>
    </w:p>
    <w:p w14:paraId="12D60B6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Style w:val="23"/>
          <w:rFonts w:hint="default" w:ascii="仿宋" w:hAnsi="仿宋" w:eastAsia="仿宋" w:cstheme="minorBidi"/>
          <w:b w:val="0"/>
          <w:bCs w:val="0"/>
          <w:color w:val="auto"/>
          <w:sz w:val="32"/>
          <w:szCs w:val="32"/>
          <w:highlight w:val="none"/>
          <w:lang w:val="en-US" w:eastAsia="zh-CN"/>
        </w:rPr>
      </w:pPr>
      <w:r>
        <w:rPr>
          <w:rFonts w:hint="eastAsia" w:ascii="仿宋" w:hAnsi="仿宋" w:eastAsia="仿宋" w:cstheme="minorBidi"/>
          <w:b w:val="0"/>
          <w:bCs w:val="0"/>
          <w:color w:val="auto"/>
          <w:kern w:val="2"/>
          <w:sz w:val="32"/>
          <w:szCs w:val="32"/>
          <w:lang w:val="en-US" w:eastAsia="zh-CN" w:bidi="ar-SA"/>
        </w:rPr>
        <w:t>25</w:t>
      </w:r>
      <w:r>
        <w:rPr>
          <w:rFonts w:hint="default" w:ascii="仿宋" w:hAnsi="仿宋" w:eastAsia="仿宋" w:cstheme="minorBidi"/>
          <w:b w:val="0"/>
          <w:bCs w:val="0"/>
          <w:color w:val="auto"/>
          <w:kern w:val="2"/>
          <w:sz w:val="32"/>
          <w:szCs w:val="32"/>
          <w:lang w:val="en-US" w:eastAsia="zh-CN" w:bidi="ar-SA"/>
        </w:rPr>
        <w:t>.</w:t>
      </w:r>
      <w:r>
        <w:rPr>
          <w:rStyle w:val="23"/>
          <w:rFonts w:hint="eastAsia" w:ascii="仿宋" w:hAnsi="仿宋" w:eastAsia="仿宋" w:cstheme="minorBidi"/>
          <w:b w:val="0"/>
          <w:bCs w:val="0"/>
          <w:color w:val="auto"/>
          <w:sz w:val="32"/>
          <w:szCs w:val="32"/>
          <w:highlight w:val="none"/>
        </w:rPr>
        <w:t>节能环保（</w:t>
      </w:r>
      <w:r>
        <w:rPr>
          <w:rStyle w:val="23"/>
          <w:rFonts w:hint="eastAsia" w:ascii="仿宋" w:hAnsi="仿宋" w:eastAsia="仿宋" w:cstheme="minorBidi"/>
          <w:b w:val="0"/>
          <w:bCs w:val="0"/>
          <w:color w:val="auto"/>
          <w:sz w:val="32"/>
          <w:szCs w:val="32"/>
          <w:highlight w:val="none"/>
          <w:lang w:val="en-US" w:eastAsia="zh-CN"/>
        </w:rPr>
        <w:t>211</w:t>
      </w:r>
      <w:r>
        <w:rPr>
          <w:rStyle w:val="23"/>
          <w:rFonts w:hint="eastAsia" w:ascii="仿宋" w:hAnsi="仿宋" w:eastAsia="仿宋" w:cstheme="minorBidi"/>
          <w:b w:val="0"/>
          <w:bCs w:val="0"/>
          <w:color w:val="auto"/>
          <w:sz w:val="32"/>
          <w:szCs w:val="32"/>
          <w:highlight w:val="none"/>
        </w:rPr>
        <w:t>）自然生态保护（</w:t>
      </w:r>
      <w:r>
        <w:rPr>
          <w:rStyle w:val="23"/>
          <w:rFonts w:hint="eastAsia" w:ascii="仿宋" w:hAnsi="仿宋" w:eastAsia="仿宋" w:cstheme="minorBidi"/>
          <w:b w:val="0"/>
          <w:bCs w:val="0"/>
          <w:color w:val="auto"/>
          <w:sz w:val="32"/>
          <w:szCs w:val="32"/>
          <w:highlight w:val="none"/>
          <w:lang w:val="en-US" w:eastAsia="zh-CN"/>
        </w:rPr>
        <w:t>04</w:t>
      </w:r>
      <w:r>
        <w:rPr>
          <w:rStyle w:val="23"/>
          <w:rFonts w:hint="eastAsia" w:ascii="仿宋" w:hAnsi="仿宋" w:eastAsia="仿宋" w:cstheme="minorBidi"/>
          <w:b w:val="0"/>
          <w:bCs w:val="0"/>
          <w:color w:val="auto"/>
          <w:sz w:val="32"/>
          <w:szCs w:val="32"/>
          <w:highlight w:val="none"/>
        </w:rPr>
        <w:t>）</w:t>
      </w:r>
      <w:r>
        <w:rPr>
          <w:rStyle w:val="23"/>
          <w:rFonts w:hint="eastAsia" w:ascii="仿宋" w:hAnsi="仿宋" w:eastAsia="仿宋" w:cstheme="minorBidi"/>
          <w:b w:val="0"/>
          <w:bCs w:val="0"/>
          <w:color w:val="auto"/>
          <w:sz w:val="32"/>
          <w:szCs w:val="32"/>
          <w:highlight w:val="none"/>
          <w:lang w:val="en-US" w:eastAsia="zh-CN"/>
        </w:rPr>
        <w:t>农村环境</w:t>
      </w:r>
      <w:r>
        <w:rPr>
          <w:rStyle w:val="23"/>
          <w:rFonts w:hint="eastAsia" w:ascii="仿宋" w:hAnsi="仿宋" w:eastAsia="仿宋" w:cstheme="minorBidi"/>
          <w:b w:val="0"/>
          <w:bCs w:val="0"/>
          <w:color w:val="auto"/>
          <w:sz w:val="32"/>
          <w:szCs w:val="32"/>
          <w:highlight w:val="none"/>
        </w:rPr>
        <w:t>保护（</w:t>
      </w:r>
      <w:r>
        <w:rPr>
          <w:rStyle w:val="23"/>
          <w:rFonts w:hint="eastAsia" w:ascii="仿宋" w:hAnsi="仿宋" w:eastAsia="仿宋" w:cstheme="minorBidi"/>
          <w:b w:val="0"/>
          <w:bCs w:val="0"/>
          <w:color w:val="auto"/>
          <w:sz w:val="32"/>
          <w:szCs w:val="32"/>
          <w:highlight w:val="none"/>
          <w:lang w:val="en-US" w:eastAsia="zh-CN"/>
        </w:rPr>
        <w:t>02</w:t>
      </w:r>
      <w:r>
        <w:rPr>
          <w:rStyle w:val="23"/>
          <w:rFonts w:hint="eastAsia" w:ascii="仿宋" w:hAnsi="仿宋" w:eastAsia="仿宋" w:cstheme="minorBidi"/>
          <w:b w:val="0"/>
          <w:bCs w:val="0"/>
          <w:color w:val="auto"/>
          <w:sz w:val="32"/>
          <w:szCs w:val="32"/>
          <w:highlight w:val="none"/>
        </w:rPr>
        <w:t>）:</w:t>
      </w:r>
      <w:r>
        <w:rPr>
          <w:rStyle w:val="23"/>
          <w:rFonts w:hint="eastAsia" w:ascii="仿宋" w:hAnsi="仿宋" w:eastAsia="仿宋" w:cstheme="minorBidi"/>
          <w:b w:val="0"/>
          <w:bCs w:val="0"/>
          <w:color w:val="auto"/>
          <w:sz w:val="32"/>
          <w:szCs w:val="32"/>
          <w:highlight w:val="none"/>
          <w:lang w:val="en-US" w:eastAsia="zh-CN"/>
        </w:rPr>
        <w:t>反映用于农村环境保护方面的支出。有关事项包括：农村环境综合整治，如生活垃圾、污水处理，农村饮用水源地监测与保护等；小城镇环境保护，如小城镇环境保护能力建设及环境基础设施建设，环境优美乡镇及生态及生态村创建等；农用化学品（化肥、农药、农膜等）污染防治、畜禽养殖污染防治、土壤污染防治；农产品产地环境监测与监管，有机食品基地建设与管理。秸秆等农业废弃物综合利用；农村环境保护能力建设、宣教、试点示范等。</w:t>
      </w:r>
    </w:p>
    <w:p w14:paraId="53063977">
      <w:pPr>
        <w:keepNext w:val="0"/>
        <w:keepLines w:val="0"/>
        <w:pageBreakBefore w:val="0"/>
        <w:widowControl w:val="0"/>
        <w:kinsoku/>
        <w:wordWrap/>
        <w:overflowPunct/>
        <w:topLinePunct w:val="0"/>
        <w:bidi w:val="0"/>
        <w:snapToGrid/>
        <w:spacing w:line="560" w:lineRule="exact"/>
        <w:ind w:firstLine="640" w:firstLineChars="200"/>
        <w:rPr>
          <w:rFonts w:hint="eastAsia" w:ascii="仿宋_GB2312" w:hAnsi="Calibri" w:eastAsia="仿宋_GB2312" w:cs="仿宋"/>
          <w:color w:val="auto"/>
          <w:kern w:val="0"/>
          <w:sz w:val="32"/>
          <w:szCs w:val="32"/>
          <w:highlight w:val="none"/>
          <w:lang w:val="en-US" w:eastAsia="zh-CN" w:bidi="ar-SA"/>
        </w:rPr>
      </w:pPr>
      <w:r>
        <w:rPr>
          <w:rFonts w:hint="eastAsia" w:ascii="仿宋_GB2312" w:hAnsi="Calibri" w:eastAsia="仿宋_GB2312" w:cs="仿宋"/>
          <w:color w:val="auto"/>
          <w:kern w:val="0"/>
          <w:sz w:val="32"/>
          <w:szCs w:val="32"/>
          <w:highlight w:val="none"/>
          <w:lang w:val="en-US" w:eastAsia="zh-CN" w:bidi="ar-SA"/>
        </w:rPr>
        <w:t>26.住房保障（221）住房改革（02）住房公积金（01）：反映行政事业单位按人力资源和社会保障部、财政部规定的基本工资和津贴补贴以及规定比例为职工缴纳的住房公积金。</w:t>
      </w:r>
    </w:p>
    <w:p w14:paraId="505FF697">
      <w:pPr>
        <w:keepNext w:val="0"/>
        <w:keepLines w:val="0"/>
        <w:pageBreakBefore w:val="0"/>
        <w:widowControl w:val="0"/>
        <w:kinsoku/>
        <w:wordWrap/>
        <w:overflowPunct/>
        <w:topLinePunct w:val="0"/>
        <w:bidi w:val="0"/>
        <w:snapToGrid/>
        <w:spacing w:line="560" w:lineRule="exact"/>
        <w:ind w:firstLine="640" w:firstLineChars="200"/>
        <w:rPr>
          <w:rFonts w:hint="default" w:ascii="仿宋_GB2312" w:hAnsi="Calibri" w:eastAsia="仿宋_GB2312" w:cs="仿宋"/>
          <w:color w:val="auto"/>
          <w:kern w:val="0"/>
          <w:sz w:val="32"/>
          <w:szCs w:val="32"/>
          <w:highlight w:val="none"/>
          <w:lang w:val="en-US" w:eastAsia="zh-CN" w:bidi="ar-SA"/>
        </w:rPr>
      </w:pPr>
      <w:r>
        <w:rPr>
          <w:rFonts w:hint="eastAsia" w:ascii="仿宋_GB2312" w:hAnsi="Calibri" w:eastAsia="仿宋_GB2312" w:cs="仿宋"/>
          <w:color w:val="auto"/>
          <w:kern w:val="0"/>
          <w:sz w:val="32"/>
          <w:szCs w:val="32"/>
          <w:highlight w:val="none"/>
          <w:lang w:val="en-US" w:eastAsia="zh-CN" w:bidi="ar-SA"/>
        </w:rPr>
        <w:t>27.住房保障（221）住房改革（02）购房补贴（03）：指反映按房改政策规定，行政事业单位向符合条件职工（含离退休人员）、军队（含武警）向转役复员离退休人员发放的用于购买住房的补贴。</w:t>
      </w:r>
    </w:p>
    <w:p w14:paraId="093A7747">
      <w:pPr>
        <w:keepNext w:val="0"/>
        <w:keepLines w:val="0"/>
        <w:pageBreakBefore w:val="0"/>
        <w:widowControl w:val="0"/>
        <w:kinsoku/>
        <w:wordWrap/>
        <w:overflowPunct/>
        <w:topLinePunct w:val="0"/>
        <w:bidi w:val="0"/>
        <w:snapToGrid/>
        <w:spacing w:line="560" w:lineRule="exact"/>
        <w:ind w:firstLine="640" w:firstLineChars="200"/>
        <w:rPr>
          <w:rFonts w:hint="eastAsia" w:ascii="仿宋_GB2312" w:hAnsi="Calibri" w:eastAsia="仿宋_GB2312" w:cs="仿宋"/>
          <w:color w:val="auto"/>
          <w:kern w:val="0"/>
          <w:sz w:val="32"/>
          <w:szCs w:val="32"/>
          <w:lang w:val="en-US" w:eastAsia="zh-CN" w:bidi="ar-SA"/>
        </w:rPr>
      </w:pPr>
      <w:r>
        <w:rPr>
          <w:rFonts w:hint="eastAsia" w:ascii="仿宋_GB2312" w:hAnsi="Calibri" w:eastAsia="仿宋_GB2312" w:cs="仿宋"/>
          <w:color w:val="auto"/>
          <w:kern w:val="0"/>
          <w:sz w:val="32"/>
          <w:szCs w:val="32"/>
          <w:lang w:val="en-US" w:eastAsia="zh-CN" w:bidi="ar-SA"/>
        </w:rPr>
        <w:t>28.基本支出：指为保障机构正常运转、完成日常工作任务而发生的人员支出和公用支出。</w:t>
      </w:r>
    </w:p>
    <w:p w14:paraId="7022DC0F">
      <w:pPr>
        <w:keepNext w:val="0"/>
        <w:keepLines w:val="0"/>
        <w:pageBreakBefore w:val="0"/>
        <w:widowControl w:val="0"/>
        <w:kinsoku/>
        <w:wordWrap/>
        <w:overflowPunct/>
        <w:topLinePunct w:val="0"/>
        <w:bidi w:val="0"/>
        <w:snapToGrid/>
        <w:spacing w:line="560" w:lineRule="exact"/>
        <w:ind w:firstLine="640" w:firstLineChars="200"/>
        <w:rPr>
          <w:rFonts w:ascii="仿宋_GB2312" w:eastAsia="仿宋_GB2312"/>
          <w:sz w:val="32"/>
          <w:szCs w:val="32"/>
        </w:rPr>
      </w:pPr>
      <w:r>
        <w:rPr>
          <w:rFonts w:hint="eastAsia" w:ascii="仿宋_GB2312" w:eastAsia="仿宋_GB2312"/>
          <w:sz w:val="32"/>
          <w:szCs w:val="32"/>
          <w:lang w:val="en-US" w:eastAsia="zh-CN"/>
        </w:rPr>
        <w:t>29</w:t>
      </w:r>
      <w:r>
        <w:rPr>
          <w:rFonts w:ascii="仿宋_GB2312" w:eastAsia="仿宋_GB2312"/>
          <w:sz w:val="32"/>
          <w:szCs w:val="32"/>
        </w:rPr>
        <w:t>.</w:t>
      </w:r>
      <w:r>
        <w:rPr>
          <w:rFonts w:hint="eastAsia" w:ascii="仿宋_GB2312" w:eastAsia="仿宋_GB2312"/>
          <w:sz w:val="32"/>
          <w:szCs w:val="32"/>
        </w:rPr>
        <w:t>项目支出：指在基本支出之外为完成特定行政任务和事业发展目标所发生的支出。</w:t>
      </w:r>
      <w:r>
        <w:rPr>
          <w:rFonts w:ascii="仿宋_GB2312" w:eastAsia="仿宋_GB2312"/>
          <w:sz w:val="32"/>
          <w:szCs w:val="32"/>
        </w:rPr>
        <w:t xml:space="preserve"> </w:t>
      </w:r>
    </w:p>
    <w:p w14:paraId="692E151B">
      <w:pPr>
        <w:pStyle w:val="32"/>
        <w:keepNext w:val="0"/>
        <w:keepLines w:val="0"/>
        <w:pageBreakBefore w:val="0"/>
        <w:widowControl w:val="0"/>
        <w:kinsoku/>
        <w:wordWrap/>
        <w:overflowPunct/>
        <w:topLinePunct w:val="0"/>
        <w:bidi w:val="0"/>
        <w:snapToGrid/>
        <w:spacing w:line="560" w:lineRule="exact"/>
        <w:ind w:firstLine="640" w:firstLineChars="200"/>
        <w:rPr>
          <w:rFonts w:ascii="仿宋_GB2312" w:eastAsia="仿宋_GB2312"/>
          <w:color w:val="auto"/>
          <w:sz w:val="32"/>
          <w:szCs w:val="32"/>
        </w:rPr>
      </w:pPr>
      <w:r>
        <w:rPr>
          <w:rFonts w:hint="eastAsia" w:ascii="仿宋_GB2312" w:eastAsia="仿宋_GB2312"/>
          <w:color w:val="auto"/>
          <w:sz w:val="32"/>
          <w:szCs w:val="32"/>
          <w:lang w:val="en-US" w:eastAsia="zh-CN"/>
        </w:rPr>
        <w:t>30.</w:t>
      </w:r>
      <w:r>
        <w:rPr>
          <w:rFonts w:hint="eastAsia" w:ascii="仿宋_GB2312" w:eastAsia="仿宋_GB2312"/>
          <w:color w:val="auto"/>
          <w:sz w:val="32"/>
          <w:szCs w:val="32"/>
        </w:rPr>
        <w:t>“三公”经费：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51EBFF66">
      <w:pPr>
        <w:pStyle w:val="32"/>
        <w:keepNext w:val="0"/>
        <w:keepLines w:val="0"/>
        <w:pageBreakBefore w:val="0"/>
        <w:widowControl w:val="0"/>
        <w:kinsoku/>
        <w:wordWrap/>
        <w:overflowPunct/>
        <w:topLinePunct w:val="0"/>
        <w:autoSpaceDE w:val="0"/>
        <w:autoSpaceDN w:val="0"/>
        <w:bidi w:val="0"/>
        <w:adjustRightInd w:val="0"/>
        <w:snapToGrid/>
        <w:spacing w:line="240" w:lineRule="auto"/>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sectPr>
          <w:footerReference r:id="rId6" w:type="first"/>
          <w:headerReference r:id="rId4" w:type="default"/>
          <w:footerReference r:id="rId5" w:type="default"/>
          <w:pgSz w:w="11906" w:h="16838"/>
          <w:pgMar w:top="1440" w:right="1800" w:bottom="1440" w:left="1800" w:header="851" w:footer="992" w:gutter="0"/>
          <w:pgNumType w:fmt="decimal" w:start="1"/>
          <w:cols w:space="425" w:num="1"/>
          <w:docGrid w:type="lines" w:linePitch="312" w:charSpace="0"/>
        </w:sectPr>
      </w:pPr>
      <w:r>
        <w:rPr>
          <w:rFonts w:hint="eastAsia" w:ascii="仿宋_GB2312" w:eastAsia="仿宋_GB2312"/>
          <w:color w:val="auto"/>
          <w:sz w:val="32"/>
          <w:szCs w:val="32"/>
          <w:lang w:val="en-US" w:eastAsia="zh-CN"/>
        </w:rPr>
        <w:t>31</w:t>
      </w:r>
      <w:r>
        <w:rPr>
          <w:rFonts w:ascii="仿宋_GB2312" w:eastAsia="仿宋_GB2312"/>
          <w:color w:val="auto"/>
          <w:sz w:val="32"/>
          <w:szCs w:val="32"/>
        </w:rPr>
        <w:t>.</w:t>
      </w:r>
      <w:r>
        <w:rPr>
          <w:rFonts w:hint="eastAsia" w:ascii="仿宋_GB2312" w:eastAsia="仿宋_GB2312"/>
          <w:color w:val="auto"/>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hint="eastAsia" w:ascii="Times New Roman" w:hAnsi="Times New Roman" w:eastAsia="仿宋_GB2312" w:cs="仿宋_GB2312"/>
          <w:color w:val="auto"/>
          <w:kern w:val="2"/>
          <w:sz w:val="32"/>
          <w:szCs w:val="32"/>
          <w:highlight w:val="none"/>
          <w:lang w:val="en-US" w:eastAsia="zh-CN" w:bidi="ar-SA"/>
        </w:rPr>
        <w:t>。</w:t>
      </w:r>
    </w:p>
    <w:p w14:paraId="6B6B486D">
      <w:pPr>
        <w:pStyle w:val="32"/>
        <w:keepNext w:val="0"/>
        <w:keepLines w:val="0"/>
        <w:pageBreakBefore w:val="0"/>
        <w:widowControl w:val="0"/>
        <w:kinsoku/>
        <w:wordWrap/>
        <w:overflowPunct/>
        <w:topLinePunct w:val="0"/>
        <w:autoSpaceDE w:val="0"/>
        <w:autoSpaceDN w:val="0"/>
        <w:bidi w:val="0"/>
        <w:adjustRightInd w:val="0"/>
        <w:snapToGrid/>
        <w:spacing w:line="240" w:lineRule="auto"/>
        <w:ind w:firstLine="880" w:firstLineChars="200"/>
        <w:jc w:val="center"/>
        <w:textAlignment w:val="auto"/>
        <w:rPr>
          <w:rFonts w:hint="eastAsia" w:ascii="Times New Roman" w:hAnsi="Times New Roman" w:eastAsia="黑体"/>
          <w:color w:val="auto"/>
          <w:sz w:val="44"/>
          <w:szCs w:val="44"/>
          <w:highlight w:val="none"/>
        </w:rPr>
      </w:pPr>
      <w:bookmarkStart w:id="82"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82"/>
    </w:p>
    <w:p w14:paraId="27BC8882">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14:paraId="4D008AC4">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14:paraId="4E8420BC">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lang w:val="en-US" w:eastAsia="en-US"/>
        </w:rPr>
      </w:pPr>
      <w:r>
        <w:rPr>
          <w:rFonts w:hint="default" w:ascii="Times New Roman" w:hAnsi="Times New Roman" w:eastAsia="方正小标宋简体" w:cs="Times New Roman"/>
          <w:b w:val="0"/>
          <w:bCs/>
          <w:sz w:val="44"/>
          <w:szCs w:val="44"/>
          <w:highlight w:val="none"/>
          <w:shd w:val="clear" w:color="auto" w:fill="FFFFFF"/>
          <w:lang w:val="en-US" w:eastAsia="en-US"/>
        </w:rPr>
        <w:t>阿坝州生态环境局</w:t>
      </w:r>
    </w:p>
    <w:p w14:paraId="43078891">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r>
        <w:rPr>
          <w:rFonts w:hint="default" w:ascii="Times New Roman" w:hAnsi="Times New Roman" w:eastAsia="方正小标宋简体" w:cs="Times New Roman"/>
          <w:b w:val="0"/>
          <w:bCs/>
          <w:sz w:val="44"/>
          <w:szCs w:val="44"/>
          <w:highlight w:val="none"/>
          <w:shd w:val="clear" w:color="auto" w:fill="FFFFFF"/>
          <w:lang w:eastAsia="en-US"/>
        </w:rPr>
        <w:t>2025年</w:t>
      </w:r>
      <w:r>
        <w:rPr>
          <w:rFonts w:hint="default" w:ascii="Times New Roman" w:hAnsi="Times New Roman" w:eastAsia="方正小标宋简体" w:cs="Times New Roman"/>
          <w:b w:val="0"/>
          <w:bCs/>
          <w:sz w:val="44"/>
          <w:szCs w:val="44"/>
          <w:highlight w:val="none"/>
          <w:shd w:val="clear" w:color="auto" w:fill="FFFFFF"/>
        </w:rPr>
        <w:t>部门</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w:t>
      </w:r>
    </w:p>
    <w:p w14:paraId="50C7192E">
      <w:pPr>
        <w:widowControl w:val="0"/>
        <w:autoSpaceDE w:val="0"/>
        <w:autoSpaceDN w:val="0"/>
        <w:spacing w:before="10" w:after="0" w:line="240" w:lineRule="auto"/>
        <w:ind w:left="0" w:right="0"/>
        <w:jc w:val="left"/>
        <w:rPr>
          <w:rFonts w:hint="eastAsia" w:ascii="仿宋_GB2312" w:hAnsi="Calibri" w:eastAsia="仿宋_GB2312" w:cs="仿宋"/>
          <w:color w:val="auto"/>
          <w:sz w:val="32"/>
          <w:szCs w:val="32"/>
          <w:lang w:val="en-US" w:eastAsia="en-US" w:bidi="ar-SA"/>
        </w:rPr>
      </w:pPr>
    </w:p>
    <w:p w14:paraId="31FA42BE">
      <w:pPr>
        <w:pageBreakBefore w:val="0"/>
        <w:widowControl/>
        <w:numPr>
          <w:ilvl w:val="0"/>
          <w:numId w:val="0"/>
        </w:numPr>
        <w:kinsoku/>
        <w:wordWrap/>
        <w:overflowPunct/>
        <w:topLinePunct w:val="0"/>
        <w:autoSpaceDE/>
        <w:autoSpaceDN/>
        <w:bidi w:val="0"/>
        <w:adjustRightInd/>
        <w:spacing w:line="600" w:lineRule="exact"/>
        <w:ind w:firstLine="640" w:firstLineChars="200"/>
        <w:jc w:val="left"/>
        <w:textAlignment w:val="auto"/>
        <w:rPr>
          <w:rFonts w:hint="eastAsia" w:ascii="黑体" w:hAnsi="黑体" w:eastAsia="黑体" w:cs="黑体"/>
          <w:kern w:val="0"/>
          <w:position w:val="3"/>
          <w:sz w:val="32"/>
          <w:szCs w:val="32"/>
          <w:highlight w:val="none"/>
          <w:lang w:val="en-US" w:eastAsia="en-US" w:bidi="ar-SA"/>
        </w:rPr>
      </w:pPr>
      <w:r>
        <w:rPr>
          <w:rFonts w:hint="eastAsia" w:ascii="黑体" w:hAnsi="黑体" w:eastAsia="黑体" w:cs="黑体"/>
          <w:kern w:val="0"/>
          <w:position w:val="3"/>
          <w:sz w:val="32"/>
          <w:szCs w:val="32"/>
          <w:highlight w:val="none"/>
          <w:lang w:val="en-US" w:eastAsia="en-US" w:bidi="ar-SA"/>
        </w:rPr>
        <w:t>一、部门（单位）基本情况</w:t>
      </w:r>
    </w:p>
    <w:p w14:paraId="3C2B2BF2">
      <w:pPr>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3" w:firstLineChars="200"/>
        <w:jc w:val="left"/>
        <w:textAlignment w:val="auto"/>
        <w:rPr>
          <w:rFonts w:hint="eastAsia" w:ascii="仿宋_GB2312" w:hAnsi="Calibri" w:eastAsia="仿宋_GB2312" w:cs="仿宋"/>
          <w:color w:val="auto"/>
          <w:sz w:val="32"/>
          <w:szCs w:val="32"/>
          <w:lang w:val="en-US" w:eastAsia="en-US" w:bidi="ar-SA"/>
        </w:rPr>
      </w:pPr>
      <w:r>
        <w:rPr>
          <w:rFonts w:hint="eastAsia" w:ascii="楷体_GB2312" w:hAnsi="楷体_GB2312" w:eastAsia="楷体_GB2312" w:cs="楷体_GB2312"/>
          <w:b/>
          <w:bCs/>
          <w:kern w:val="0"/>
          <w:position w:val="3"/>
          <w:sz w:val="32"/>
          <w:szCs w:val="32"/>
          <w:highlight w:val="none"/>
          <w:lang w:val="en-US" w:eastAsia="en-US" w:bidi="ar-SA"/>
        </w:rPr>
        <w:t>（一）机构组成。</w:t>
      </w:r>
      <w:r>
        <w:rPr>
          <w:rFonts w:hint="eastAsia" w:ascii="仿宋_GB2312" w:hAnsi="Calibri" w:eastAsia="仿宋_GB2312" w:cs="仿宋"/>
          <w:color w:val="auto"/>
          <w:sz w:val="32"/>
          <w:szCs w:val="32"/>
          <w:lang w:val="en-US" w:eastAsia="en-US" w:bidi="ar-SA"/>
        </w:rPr>
        <w:t>阿坝州生态环境局是阿坝州人民政府工作部门，为正县级。我局设置 10 个科室（办公室、法规与执法监督科、综合规划与督察整改科、水与土壤生态环境科、大气生态环境与固体废物管理科、生态保护与农村环境科、监测应急与核辐射安全管理科、行政审批与环境影响评价科、科技人事与项目管理科、党的建设与宣传教育科），直属事业单位 1 个（生态环境综合服务中心）。</w:t>
      </w:r>
    </w:p>
    <w:p w14:paraId="23C6FE65">
      <w:pPr>
        <w:keepNext w:val="0"/>
        <w:keepLines w:val="0"/>
        <w:pageBreakBefore w:val="0"/>
        <w:widowControl w:val="0"/>
        <w:kinsoku/>
        <w:wordWrap/>
        <w:overflowPunct/>
        <w:topLinePunct w:val="0"/>
        <w:autoSpaceDE w:val="0"/>
        <w:autoSpaceDN w:val="0"/>
        <w:bidi w:val="0"/>
        <w:adjustRightInd/>
        <w:snapToGrid/>
        <w:spacing w:after="0" w:line="560" w:lineRule="exact"/>
        <w:ind w:left="0" w:right="0" w:firstLine="643" w:firstLineChars="200"/>
        <w:jc w:val="left"/>
        <w:textAlignment w:val="auto"/>
        <w:rPr>
          <w:rFonts w:hint="eastAsia" w:ascii="仿宋_GB2312" w:hAnsi="Calibri" w:eastAsia="仿宋_GB2312" w:cs="仿宋"/>
          <w:color w:val="auto"/>
          <w:sz w:val="32"/>
          <w:szCs w:val="32"/>
          <w:lang w:val="en-US" w:eastAsia="en-US" w:bidi="ar-SA"/>
        </w:rPr>
      </w:pPr>
      <w:r>
        <w:rPr>
          <w:rFonts w:hint="eastAsia" w:ascii="楷体_GB2312" w:hAnsi="楷体_GB2312" w:eastAsia="楷体_GB2312" w:cs="楷体_GB2312"/>
          <w:b/>
          <w:bCs/>
          <w:kern w:val="0"/>
          <w:position w:val="3"/>
          <w:sz w:val="32"/>
          <w:szCs w:val="32"/>
          <w:highlight w:val="none"/>
          <w:lang w:val="en-US" w:eastAsia="en-US" w:bidi="ar-SA"/>
        </w:rPr>
        <w:t>（二）机构职能。</w:t>
      </w:r>
      <w:r>
        <w:rPr>
          <w:rFonts w:hint="eastAsia" w:ascii="仿宋_GB2312" w:hAnsi="Calibri" w:eastAsia="仿宋_GB2312" w:cs="仿宋"/>
          <w:color w:val="auto"/>
          <w:sz w:val="32"/>
          <w:szCs w:val="32"/>
          <w:lang w:val="en-US" w:eastAsia="en-US" w:bidi="ar-SA"/>
        </w:rPr>
        <w:t>阿坝州生态环境局主要负责贯彻落实党中</w:t>
      </w:r>
      <w:r>
        <w:rPr>
          <w:rFonts w:hint="eastAsia" w:ascii="仿宋_GB2312" w:hAnsi="Calibri" w:eastAsia="仿宋_GB2312" w:cs="仿宋"/>
          <w:color w:val="auto"/>
          <w:sz w:val="32"/>
          <w:szCs w:val="32"/>
          <w:lang w:val="en-US" w:eastAsia="zh-CN" w:bidi="ar-SA"/>
        </w:rPr>
        <w:t>央</w:t>
      </w:r>
      <w:r>
        <w:rPr>
          <w:rFonts w:hint="eastAsia" w:ascii="仿宋_GB2312" w:hAnsi="Calibri" w:eastAsia="仿宋_GB2312" w:cs="仿宋"/>
          <w:color w:val="auto"/>
          <w:sz w:val="32"/>
          <w:szCs w:val="32"/>
          <w:lang w:val="en-US" w:eastAsia="en-US" w:bidi="ar-SA"/>
        </w:rPr>
        <w:t>关于生态环境保护工作的方针政策和省委、州委的决策部署， 在履行职责过程中坚持和加强党对生态环境保护工作的集中统一领导。主要职责是</w:t>
      </w:r>
    </w:p>
    <w:p w14:paraId="72DBDC31">
      <w:pPr>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3" w:firstLineChars="200"/>
        <w:jc w:val="both"/>
        <w:textAlignment w:val="auto"/>
        <w:rPr>
          <w:rFonts w:hint="eastAsia" w:ascii="仿宋_GB2312" w:hAnsi="Calibri" w:eastAsia="仿宋_GB2312" w:cs="仿宋"/>
          <w:color w:val="auto"/>
          <w:sz w:val="32"/>
          <w:szCs w:val="32"/>
          <w:lang w:val="en-US" w:eastAsia="en-US" w:bidi="ar-SA"/>
        </w:rPr>
      </w:pPr>
      <w:r>
        <w:rPr>
          <w:rFonts w:hint="eastAsia" w:ascii="仿宋_GB2312" w:hAnsi="仿宋_GB2312" w:eastAsia="仿宋_GB2312" w:cs="仿宋_GB2312"/>
          <w:b/>
          <w:bCs/>
          <w:kern w:val="0"/>
          <w:position w:val="3"/>
          <w:sz w:val="32"/>
          <w:szCs w:val="32"/>
          <w:highlight w:val="none"/>
          <w:lang w:val="en-US" w:eastAsia="en-US" w:bidi="ar-SA"/>
        </w:rPr>
        <w:t>1 负责贯彻落实国家、省生态环境基本制度。</w:t>
      </w:r>
      <w:r>
        <w:rPr>
          <w:rFonts w:hint="eastAsia" w:ascii="仿宋_GB2312" w:hAnsi="Calibri" w:eastAsia="仿宋_GB2312" w:cs="仿宋"/>
          <w:color w:val="auto"/>
          <w:sz w:val="32"/>
          <w:szCs w:val="32"/>
          <w:lang w:val="en-US" w:eastAsia="en-US" w:bidi="ar-SA"/>
        </w:rPr>
        <w:t>会同有关部门拟订并组织实施我州生态环境政策、规划，起草生态环境保护地方性法规、规章草案。组织编制全州环境功能区划，会同有关部门编制并监督实施重点区域、流域、饮用水水源地生态环境规划和水功能区划，组织拟订生态环境地方标准、技术规范。参与制 定与我州生态环境相关的经济、技术、资源配置和产业政策。</w:t>
      </w:r>
    </w:p>
    <w:p w14:paraId="018338F3">
      <w:pPr>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3" w:firstLineChars="200"/>
        <w:jc w:val="left"/>
        <w:textAlignment w:val="auto"/>
        <w:rPr>
          <w:rFonts w:hint="eastAsia" w:ascii="仿宋_GB2312" w:hAnsi="Calibri" w:eastAsia="仿宋_GB2312" w:cs="仿宋"/>
          <w:color w:val="auto"/>
          <w:sz w:val="32"/>
          <w:szCs w:val="32"/>
          <w:lang w:val="en-US" w:eastAsia="en-US" w:bidi="ar-SA"/>
        </w:rPr>
      </w:pPr>
      <w:r>
        <w:rPr>
          <w:rFonts w:hint="eastAsia" w:ascii="仿宋_GB2312" w:hAnsi="Calibri" w:eastAsia="仿宋_GB2312" w:cs="仿宋"/>
          <w:b/>
          <w:bCs/>
          <w:color w:val="auto"/>
          <w:sz w:val="32"/>
          <w:szCs w:val="32"/>
          <w:lang w:val="en-US" w:eastAsia="en-US" w:bidi="ar-SA"/>
        </w:rPr>
        <w:t>2 负责全州重大生态环境问题的统筹协调和监督管理。</w:t>
      </w:r>
      <w:r>
        <w:rPr>
          <w:rFonts w:hint="eastAsia" w:ascii="仿宋_GB2312" w:hAnsi="Calibri" w:eastAsia="仿宋_GB2312" w:cs="仿宋"/>
          <w:color w:val="auto"/>
          <w:sz w:val="32"/>
          <w:szCs w:val="32"/>
          <w:lang w:val="en-US" w:eastAsia="en-US" w:bidi="ar-SA"/>
        </w:rPr>
        <w:t>牵头协调全州重特大突发生态环境事件和生态破坏事件的调查处理， 指导协调各县（市）对重特大突发生态环境事件的应急、预警工作，牵头指导实施生态环境损害赔偿制度。参与协调有关跨区域环境污染纠纷，协调解决有关跨县（市）环境污染纠纷，统筹协调重点区域、流域生态环境保护工作。</w:t>
      </w:r>
    </w:p>
    <w:p w14:paraId="25B0A0A7">
      <w:pPr>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3" w:firstLineChars="200"/>
        <w:jc w:val="both"/>
        <w:textAlignment w:val="auto"/>
        <w:rPr>
          <w:rFonts w:hint="eastAsia" w:ascii="仿宋_GB2312" w:hAnsi="Calibri" w:eastAsia="仿宋_GB2312" w:cs="仿宋"/>
          <w:color w:val="auto"/>
          <w:sz w:val="32"/>
          <w:szCs w:val="32"/>
          <w:lang w:val="en-US" w:eastAsia="en-US" w:bidi="ar-SA"/>
        </w:rPr>
      </w:pPr>
      <w:r>
        <w:rPr>
          <w:rFonts w:hint="eastAsia" w:ascii="仿宋_GB2312" w:hAnsi="Calibri" w:eastAsia="仿宋_GB2312" w:cs="仿宋"/>
          <w:b/>
          <w:bCs/>
          <w:color w:val="auto"/>
          <w:kern w:val="2"/>
          <w:sz w:val="32"/>
          <w:szCs w:val="32"/>
          <w:lang w:val="en-US" w:eastAsia="en-US" w:bidi="ar-SA"/>
        </w:rPr>
        <w:t>3 负责监督管理全州减排目标的落实。</w:t>
      </w:r>
      <w:r>
        <w:rPr>
          <w:rFonts w:hint="eastAsia" w:ascii="仿宋_GB2312" w:hAnsi="Calibri" w:eastAsia="仿宋_GB2312" w:cs="仿宋"/>
          <w:color w:val="auto"/>
          <w:sz w:val="32"/>
          <w:szCs w:val="32"/>
          <w:lang w:val="en-US" w:eastAsia="en-US" w:bidi="ar-SA"/>
        </w:rPr>
        <w:t>组织制定并监督实施全州各类污染物排放总量控制和排污许可证制度，确定大气、水等环境纳污能力，组织实施中夹、省总量控制的污染物名称和控制指标，监督检查各县（市）污染物减排任务完成情况，负责污 染物总量减排考核，实施生态环境保护目标责任制。</w:t>
      </w:r>
    </w:p>
    <w:p w14:paraId="2624068E">
      <w:pPr>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3" w:firstLineChars="200"/>
        <w:jc w:val="both"/>
        <w:textAlignment w:val="auto"/>
        <w:rPr>
          <w:rFonts w:hint="eastAsia" w:ascii="仿宋_GB2312" w:hAnsi="Calibri" w:eastAsia="仿宋_GB2312" w:cs="仿宋"/>
          <w:color w:val="auto"/>
          <w:sz w:val="32"/>
          <w:szCs w:val="32"/>
          <w:lang w:val="en-US" w:eastAsia="en-US" w:bidi="ar-SA"/>
        </w:rPr>
      </w:pPr>
      <w:r>
        <w:rPr>
          <w:rFonts w:hint="eastAsia" w:ascii="仿宋_GB2312" w:hAnsi="Calibri" w:eastAsia="仿宋_GB2312" w:cs="仿宋"/>
          <w:b/>
          <w:bCs/>
          <w:color w:val="auto"/>
          <w:kern w:val="2"/>
          <w:sz w:val="32"/>
          <w:szCs w:val="32"/>
          <w:lang w:val="en-US" w:eastAsia="en-US" w:bidi="ar-SA"/>
        </w:rPr>
        <w:t>4 负责全州生态环境领域投资管理。</w:t>
      </w:r>
      <w:r>
        <w:rPr>
          <w:rFonts w:hint="eastAsia" w:ascii="仿宋_GB2312" w:hAnsi="Calibri" w:eastAsia="仿宋_GB2312" w:cs="仿宋"/>
          <w:color w:val="auto"/>
          <w:sz w:val="32"/>
          <w:szCs w:val="32"/>
          <w:lang w:val="en-US" w:eastAsia="en-US" w:bidi="ar-SA"/>
        </w:rPr>
        <w:t>负责提出全州生态环境领域固定资产投资规模和方向、州级财政性资金安排的意见，按规定权限审批、核准全州规划内和年度计划规模内固定资产投资项目，配合有关部门做好组织实施和监督工作。参与指导推动全州循环经济和生态环保产业发展。</w:t>
      </w:r>
    </w:p>
    <w:p w14:paraId="5BAEC151">
      <w:pPr>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3" w:firstLineChars="200"/>
        <w:jc w:val="both"/>
        <w:textAlignment w:val="auto"/>
        <w:rPr>
          <w:rFonts w:hint="eastAsia" w:ascii="仿宋_GB2312" w:hAnsi="Calibri" w:eastAsia="仿宋_GB2312" w:cs="仿宋"/>
          <w:color w:val="auto"/>
          <w:sz w:val="32"/>
          <w:szCs w:val="32"/>
          <w:lang w:val="en-US" w:eastAsia="en-US" w:bidi="ar-SA"/>
        </w:rPr>
      </w:pPr>
      <w:r>
        <w:rPr>
          <w:rFonts w:hint="eastAsia" w:ascii="仿宋_GB2312" w:hAnsi="Calibri" w:eastAsia="仿宋_GB2312" w:cs="仿宋"/>
          <w:b/>
          <w:bCs/>
          <w:color w:val="auto"/>
          <w:kern w:val="2"/>
          <w:sz w:val="32"/>
          <w:szCs w:val="32"/>
          <w:lang w:val="en-US" w:eastAsia="en-US" w:bidi="ar-SA"/>
        </w:rPr>
        <w:t>5 负责全州环境污染防治的监督管理。</w:t>
      </w:r>
      <w:r>
        <w:rPr>
          <w:rFonts w:hint="eastAsia" w:ascii="仿宋_GB2312" w:hAnsi="Calibri" w:eastAsia="仿宋_GB2312" w:cs="仿宋"/>
          <w:color w:val="auto"/>
          <w:sz w:val="32"/>
          <w:szCs w:val="32"/>
          <w:lang w:val="en-US" w:eastAsia="en-US" w:bidi="ar-SA"/>
        </w:rPr>
        <w:t>组织制定并监督实施全州大气、水、土壤、噪声、光、恶臭、固体废物、化学品、机动车等的污染防治管理制度。会同有关部门监督管理饮用水水源地生态环境保护工作，参与指导城乡生态环境综合整治工作，指导全州垃圾分类工作，监督指导农业面源污染治理工作。监督指导区域大气环境保护工作，牵头建立区域大气污染联防联控协作机制并监督实施。按职责分工组织开展全州强制性清洁生产审核工作。</w:t>
      </w:r>
    </w:p>
    <w:p w14:paraId="33ED8866">
      <w:pPr>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3" w:firstLineChars="200"/>
        <w:jc w:val="left"/>
        <w:textAlignment w:val="auto"/>
        <w:rPr>
          <w:rFonts w:hint="eastAsia" w:ascii="仿宋_GB2312" w:hAnsi="Calibri" w:eastAsia="仿宋_GB2312" w:cs="仿宋"/>
          <w:color w:val="auto"/>
          <w:sz w:val="32"/>
          <w:szCs w:val="32"/>
          <w:lang w:val="en-US" w:eastAsia="en-US" w:bidi="ar-SA"/>
        </w:rPr>
      </w:pPr>
      <w:r>
        <w:rPr>
          <w:rFonts w:hint="eastAsia" w:ascii="仿宋_GB2312" w:hAnsi="Calibri" w:eastAsia="仿宋_GB2312" w:cs="仿宋"/>
          <w:b/>
          <w:bCs/>
          <w:color w:val="auto"/>
          <w:kern w:val="2"/>
          <w:sz w:val="32"/>
          <w:szCs w:val="32"/>
          <w:lang w:val="en-US" w:eastAsia="en-US" w:bidi="ar-SA"/>
        </w:rPr>
        <w:t>6 指导协调和监督全州生态保护修复工作。</w:t>
      </w:r>
      <w:r>
        <w:rPr>
          <w:rFonts w:hint="eastAsia" w:ascii="仿宋_GB2312" w:hAnsi="Calibri" w:eastAsia="仿宋_GB2312" w:cs="仿宋"/>
          <w:color w:val="auto"/>
          <w:sz w:val="32"/>
          <w:szCs w:val="32"/>
          <w:lang w:val="en-US" w:eastAsia="en-US" w:bidi="ar-SA"/>
        </w:rPr>
        <w:t>组织编制全州生态环境保护规划，监督对生态环境有影响的自然资源开发利用活动、重要生态环境建设和生态破坏恢复工作。组织监督检查全州各类自然保护地生态环境监管制度的执法。组织开展各类生态示范创建工作。监督野生动植物保护、湿地生态环境保护、荒漠化防治等工作。指导协调和监督全州农村生态环境保护，监督生物技术环境安全，牵头生物物种（含遗传资源）管理工作，组织协 调生物多样性保护工作，参与生态保护补偿工作。</w:t>
      </w:r>
    </w:p>
    <w:p w14:paraId="5B7231A2">
      <w:pPr>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3" w:firstLineChars="200"/>
        <w:jc w:val="both"/>
        <w:textAlignment w:val="auto"/>
        <w:rPr>
          <w:rFonts w:hint="eastAsia" w:ascii="仿宋_GB2312" w:hAnsi="Calibri" w:eastAsia="仿宋_GB2312" w:cs="仿宋"/>
          <w:color w:val="auto"/>
          <w:sz w:val="32"/>
          <w:szCs w:val="32"/>
          <w:lang w:val="en-US" w:eastAsia="en-US" w:bidi="ar-SA"/>
        </w:rPr>
      </w:pPr>
      <w:r>
        <w:rPr>
          <w:rFonts w:hint="eastAsia" w:ascii="仿宋_GB2312" w:hAnsi="Calibri" w:eastAsia="仿宋_GB2312" w:cs="仿宋"/>
          <w:b/>
          <w:bCs/>
          <w:color w:val="auto"/>
          <w:kern w:val="2"/>
          <w:sz w:val="32"/>
          <w:szCs w:val="32"/>
          <w:lang w:val="en-US" w:eastAsia="en-US" w:bidi="ar-SA"/>
        </w:rPr>
        <w:t>7 负责全州核与辐射安全的监督管理。</w:t>
      </w:r>
      <w:r>
        <w:rPr>
          <w:rFonts w:hint="eastAsia" w:ascii="仿宋_GB2312" w:hAnsi="Calibri" w:eastAsia="仿宋_GB2312" w:cs="仿宋"/>
          <w:color w:val="auto"/>
          <w:sz w:val="32"/>
          <w:szCs w:val="32"/>
          <w:lang w:val="en-US" w:eastAsia="en-US" w:bidi="ar-SA"/>
        </w:rPr>
        <w:t>监督实施国家、省核与辐射安全政策、规划、标准、法规和规章。牵头负责全州核安 全工作协调机制有关工作，负责辐射环境事故应急处理工作，参与核事故应急处理。监督管理放射源与射线装置安全，监督管理全州核技术应用、电磁辐射、伴有放射性矿产资源开发利用中的污染防治，参与核设施安全监督管理相关工作。</w:t>
      </w:r>
    </w:p>
    <w:p w14:paraId="78E2F612">
      <w:pPr>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3" w:firstLineChars="200"/>
        <w:jc w:val="left"/>
        <w:textAlignment w:val="auto"/>
        <w:rPr>
          <w:rFonts w:hint="eastAsia" w:ascii="仿宋_GB2312" w:hAnsi="Calibri" w:eastAsia="仿宋_GB2312" w:cs="仿宋"/>
          <w:color w:val="auto"/>
          <w:sz w:val="32"/>
          <w:szCs w:val="32"/>
          <w:lang w:val="en-US" w:eastAsia="en-US" w:bidi="ar-SA"/>
        </w:rPr>
      </w:pPr>
      <w:r>
        <w:rPr>
          <w:rFonts w:hint="eastAsia" w:ascii="仿宋_GB2312" w:hAnsi="Calibri" w:eastAsia="仿宋_GB2312" w:cs="仿宋"/>
          <w:b/>
          <w:bCs/>
          <w:color w:val="auto"/>
          <w:kern w:val="2"/>
          <w:sz w:val="32"/>
          <w:szCs w:val="32"/>
          <w:lang w:val="en-US" w:eastAsia="en-US" w:bidi="ar-SA"/>
        </w:rPr>
        <w:t>8 负责全州生态环境准入的监督管理。</w:t>
      </w:r>
      <w:r>
        <w:rPr>
          <w:rFonts w:hint="eastAsia" w:ascii="仿宋_GB2312" w:hAnsi="Calibri" w:eastAsia="仿宋_GB2312" w:cs="仿宋"/>
          <w:color w:val="auto"/>
          <w:sz w:val="32"/>
          <w:szCs w:val="32"/>
          <w:lang w:val="en-US" w:eastAsia="en-US" w:bidi="ar-SA"/>
        </w:rPr>
        <w:t>受州政府委托对重大经济和技术政策、发展规划以及重大经济开发计划进行环境影响评价。按规定审批或审查重大开发建设区域、规划、项目环境影响评价文件。拟订并组织实施全州生态环境准入清单。承担国家、 省和州政府公布的有关行政审批事项。</w:t>
      </w:r>
    </w:p>
    <w:p w14:paraId="1D2E5B12">
      <w:pPr>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3" w:firstLineChars="200"/>
        <w:jc w:val="left"/>
        <w:textAlignment w:val="auto"/>
        <w:rPr>
          <w:rFonts w:hint="eastAsia" w:ascii="仿宋_GB2312" w:hAnsi="Calibri" w:eastAsia="仿宋_GB2312" w:cs="仿宋"/>
          <w:color w:val="auto"/>
          <w:sz w:val="32"/>
          <w:szCs w:val="32"/>
          <w:lang w:val="en-US" w:eastAsia="en-US" w:bidi="ar-SA"/>
        </w:rPr>
      </w:pPr>
      <w:r>
        <w:rPr>
          <w:rFonts w:hint="eastAsia" w:ascii="仿宋_GB2312" w:hAnsi="Calibri" w:eastAsia="仿宋_GB2312" w:cs="仿宋"/>
          <w:b/>
          <w:bCs/>
          <w:color w:val="auto"/>
          <w:kern w:val="2"/>
          <w:sz w:val="32"/>
          <w:szCs w:val="32"/>
          <w:lang w:val="en-US" w:eastAsia="en-US" w:bidi="ar-SA"/>
        </w:rPr>
        <w:t>9 负责全州生态环境监测工作。</w:t>
      </w:r>
      <w:r>
        <w:rPr>
          <w:rFonts w:hint="eastAsia" w:ascii="仿宋_GB2312" w:hAnsi="Calibri" w:eastAsia="仿宋_GB2312" w:cs="仿宋"/>
          <w:color w:val="auto"/>
          <w:sz w:val="32"/>
          <w:szCs w:val="32"/>
          <w:lang w:val="en-US" w:eastAsia="en-US" w:bidi="ar-SA"/>
        </w:rPr>
        <w:t>监督实施国家、省生态环境监测制度和规范，拟订全州生态环境监测地方标准并监督实施。会同有关部门统一规划全州生态环境质量监测站点设置，组织实施生态环境质量监测、污染源监督性监测、温室气体减排监测、应急监测。组织对全州生态环境质量状况进行调查评价、预警预测，组织建设和管理生态环境监测网和生态环境信息网。负责全州生态环境质量考核和生态环境统计工作。建立和实行生态环境质量公告制度，统一发布全州生态环境综合性报告和重大生态环境信息。</w:t>
      </w:r>
    </w:p>
    <w:p w14:paraId="731BDC8F">
      <w:pPr>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3" w:firstLineChars="200"/>
        <w:jc w:val="left"/>
        <w:textAlignment w:val="auto"/>
        <w:rPr>
          <w:rFonts w:hint="eastAsia" w:ascii="仿宋_GB2312" w:hAnsi="Calibri" w:eastAsia="仿宋_GB2312" w:cs="仿宋"/>
          <w:color w:val="auto"/>
          <w:sz w:val="32"/>
          <w:szCs w:val="32"/>
          <w:lang w:val="en-US" w:eastAsia="en-US" w:bidi="ar-SA"/>
        </w:rPr>
      </w:pPr>
      <w:r>
        <w:rPr>
          <w:rFonts w:hint="eastAsia" w:ascii="仿宋_GB2312" w:hAnsi="Calibri" w:eastAsia="仿宋_GB2312" w:cs="仿宋"/>
          <w:b/>
          <w:bCs/>
          <w:color w:val="auto"/>
          <w:kern w:val="2"/>
          <w:sz w:val="32"/>
          <w:szCs w:val="32"/>
          <w:lang w:val="en-US" w:eastAsia="en-US" w:bidi="ar-SA"/>
        </w:rPr>
        <w:t>10 负责应对气候变化工作。</w:t>
      </w:r>
      <w:r>
        <w:rPr>
          <w:rFonts w:hint="eastAsia" w:ascii="仿宋_GB2312" w:hAnsi="Calibri" w:eastAsia="仿宋_GB2312" w:cs="仿宋"/>
          <w:color w:val="auto"/>
          <w:sz w:val="32"/>
          <w:szCs w:val="32"/>
          <w:lang w:val="en-US" w:eastAsia="en-US" w:bidi="ar-SA"/>
        </w:rPr>
        <w:t>组织实施国家、省应对气候变化及温室气体减排重大战略、规划和政策，组织拟订全州应对气候变化的规划和政策措施。</w:t>
      </w:r>
    </w:p>
    <w:p w14:paraId="2C2DD443">
      <w:pPr>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3" w:firstLineChars="200"/>
        <w:jc w:val="left"/>
        <w:textAlignment w:val="auto"/>
        <w:rPr>
          <w:rFonts w:hint="eastAsia" w:ascii="仿宋_GB2312" w:hAnsi="Calibri" w:eastAsia="仿宋_GB2312" w:cs="仿宋"/>
          <w:color w:val="auto"/>
          <w:sz w:val="32"/>
          <w:szCs w:val="32"/>
          <w:lang w:val="en-US" w:eastAsia="en-US" w:bidi="ar-SA"/>
        </w:rPr>
      </w:pPr>
      <w:r>
        <w:rPr>
          <w:rFonts w:hint="eastAsia" w:ascii="仿宋_GB2312" w:hAnsi="Calibri" w:eastAsia="仿宋_GB2312" w:cs="仿宋"/>
          <w:b/>
          <w:bCs/>
          <w:color w:val="auto"/>
          <w:kern w:val="2"/>
          <w:sz w:val="32"/>
          <w:szCs w:val="32"/>
          <w:lang w:val="en-US" w:eastAsia="en-US" w:bidi="ar-SA"/>
        </w:rPr>
        <w:t>11 协调开展全州生态环境保护督察问题整改工作。</w:t>
      </w:r>
      <w:r>
        <w:rPr>
          <w:rFonts w:hint="eastAsia" w:ascii="仿宋_GB2312" w:hAnsi="Calibri" w:eastAsia="仿宋_GB2312" w:cs="仿宋"/>
          <w:color w:val="auto"/>
          <w:sz w:val="32"/>
          <w:szCs w:val="32"/>
          <w:lang w:val="en-US" w:eastAsia="en-US" w:bidi="ar-SA"/>
        </w:rPr>
        <w:t>组织协调迎接中夹、省生态环境保护督察工作，根据授权对县（市）党委政府及各有关部门贯彻落实中夹、省、州生态环境保护决策部署情况进行督察。监督指导各县（市）各有关部门整改落实中夹、省生态环境保护督察反馈意见。</w:t>
      </w:r>
    </w:p>
    <w:p w14:paraId="2DF922E8">
      <w:pPr>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3" w:firstLineChars="200"/>
        <w:jc w:val="both"/>
        <w:textAlignment w:val="auto"/>
        <w:rPr>
          <w:rFonts w:hint="eastAsia" w:ascii="仿宋_GB2312" w:hAnsi="Calibri" w:eastAsia="仿宋_GB2312" w:cs="仿宋"/>
          <w:color w:val="auto"/>
          <w:sz w:val="32"/>
          <w:szCs w:val="32"/>
          <w:lang w:val="en-US" w:eastAsia="en-US" w:bidi="ar-SA"/>
        </w:rPr>
      </w:pPr>
      <w:r>
        <w:rPr>
          <w:rFonts w:hint="eastAsia" w:ascii="仿宋_GB2312" w:hAnsi="Calibri" w:eastAsia="仿宋_GB2312" w:cs="仿宋"/>
          <w:b/>
          <w:bCs/>
          <w:color w:val="auto"/>
          <w:kern w:val="2"/>
          <w:sz w:val="32"/>
          <w:szCs w:val="32"/>
          <w:lang w:val="en-US" w:eastAsia="en-US" w:bidi="ar-SA"/>
        </w:rPr>
        <w:t>12 统一负责全州生态环境监督执法。</w:t>
      </w:r>
      <w:r>
        <w:rPr>
          <w:rFonts w:hint="eastAsia" w:ascii="仿宋_GB2312" w:hAnsi="Calibri" w:eastAsia="仿宋_GB2312" w:cs="仿宋"/>
          <w:color w:val="auto"/>
          <w:sz w:val="32"/>
          <w:szCs w:val="32"/>
          <w:lang w:val="en-US" w:eastAsia="en-US" w:bidi="ar-SA"/>
        </w:rPr>
        <w:t>组织开展全州生态环境保护执法检查。监督实施全州建设项目生态环境保护设施同时设计、同时施工、同时投产使用制度。查处全州重大生态环境违法问题。指导全州生态环境保护综合执法队伍建设和业务工作。</w:t>
      </w:r>
    </w:p>
    <w:p w14:paraId="437CA423">
      <w:pPr>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3" w:firstLineChars="200"/>
        <w:jc w:val="both"/>
        <w:textAlignment w:val="auto"/>
        <w:rPr>
          <w:rFonts w:hint="eastAsia" w:ascii="仿宋_GB2312" w:hAnsi="Calibri" w:eastAsia="仿宋_GB2312" w:cs="仿宋"/>
          <w:color w:val="auto"/>
          <w:sz w:val="32"/>
          <w:szCs w:val="32"/>
          <w:lang w:val="en-US" w:eastAsia="en-US" w:bidi="ar-SA"/>
        </w:rPr>
      </w:pPr>
      <w:r>
        <w:rPr>
          <w:rFonts w:hint="eastAsia" w:ascii="仿宋_GB2312" w:hAnsi="Calibri" w:eastAsia="仿宋_GB2312" w:cs="仿宋"/>
          <w:b/>
          <w:bCs/>
          <w:color w:val="auto"/>
          <w:kern w:val="2"/>
          <w:sz w:val="32"/>
          <w:szCs w:val="32"/>
          <w:lang w:val="en-US" w:eastAsia="en-US" w:bidi="ar-SA"/>
        </w:rPr>
        <w:t>13 组织指导和协调全州生态环境宣传教育工作。</w:t>
      </w:r>
      <w:r>
        <w:rPr>
          <w:rFonts w:hint="eastAsia" w:ascii="仿宋_GB2312" w:hAnsi="Calibri" w:eastAsia="仿宋_GB2312" w:cs="仿宋"/>
          <w:color w:val="auto"/>
          <w:sz w:val="32"/>
          <w:szCs w:val="32"/>
          <w:lang w:val="en-US" w:eastAsia="en-US" w:bidi="ar-SA"/>
        </w:rPr>
        <w:t>制定并组织实施全州生态环境保护宣传教育有关规划和计划。推动社会组织和公众参与生态环境保护。会同有关部门依法对全州保护和改善生态环境有显著成绩的单位和个人给予表彰和奖励。</w:t>
      </w:r>
    </w:p>
    <w:p w14:paraId="567B0D5C">
      <w:pPr>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3" w:firstLineChars="200"/>
        <w:jc w:val="both"/>
        <w:textAlignment w:val="auto"/>
        <w:rPr>
          <w:rFonts w:hint="eastAsia" w:ascii="仿宋_GB2312" w:hAnsi="Calibri" w:eastAsia="仿宋_GB2312" w:cs="仿宋"/>
          <w:color w:val="auto"/>
          <w:sz w:val="32"/>
          <w:szCs w:val="32"/>
          <w:lang w:val="en-US" w:eastAsia="en-US" w:bidi="ar-SA"/>
        </w:rPr>
      </w:pPr>
      <w:r>
        <w:rPr>
          <w:rFonts w:hint="eastAsia" w:ascii="仿宋_GB2312" w:hAnsi="Calibri" w:eastAsia="仿宋_GB2312" w:cs="仿宋"/>
          <w:b/>
          <w:bCs/>
          <w:color w:val="auto"/>
          <w:kern w:val="2"/>
          <w:sz w:val="32"/>
          <w:szCs w:val="32"/>
          <w:lang w:val="en-US" w:eastAsia="en-US" w:bidi="ar-SA"/>
        </w:rPr>
        <w:t>14 开展全州生态环境科技工作。</w:t>
      </w:r>
      <w:r>
        <w:rPr>
          <w:rFonts w:hint="eastAsia" w:ascii="仿宋_GB2312" w:hAnsi="Calibri" w:eastAsia="仿宋_GB2312" w:cs="仿宋"/>
          <w:color w:val="auto"/>
          <w:sz w:val="32"/>
          <w:szCs w:val="32"/>
          <w:lang w:val="en-US" w:eastAsia="en-US" w:bidi="ar-SA"/>
        </w:rPr>
        <w:t>管理全州生态环境保护科技成果并推广应用。组织开展全州生态环境重大科学研究和技术工程示范，推动生态环境技术管理体系建设。</w:t>
      </w:r>
    </w:p>
    <w:p w14:paraId="30ACDC42">
      <w:pPr>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3" w:firstLineChars="200"/>
        <w:jc w:val="left"/>
        <w:textAlignment w:val="auto"/>
        <w:rPr>
          <w:rFonts w:hint="eastAsia" w:ascii="仿宋_GB2312" w:hAnsi="Calibri" w:eastAsia="仿宋_GB2312" w:cs="仿宋"/>
          <w:color w:val="auto"/>
          <w:sz w:val="32"/>
          <w:szCs w:val="32"/>
          <w:lang w:val="en-US" w:eastAsia="en-US" w:bidi="ar-SA"/>
        </w:rPr>
      </w:pPr>
      <w:r>
        <w:rPr>
          <w:rFonts w:hint="eastAsia" w:ascii="仿宋_GB2312" w:hAnsi="Calibri" w:eastAsia="仿宋_GB2312" w:cs="仿宋"/>
          <w:b/>
          <w:bCs/>
          <w:color w:val="auto"/>
          <w:kern w:val="2"/>
          <w:sz w:val="32"/>
          <w:szCs w:val="32"/>
          <w:lang w:val="en-US" w:eastAsia="en-US" w:bidi="ar-SA"/>
        </w:rPr>
        <w:t>15 开展生态环境对外合作交流。</w:t>
      </w:r>
      <w:r>
        <w:rPr>
          <w:rFonts w:hint="eastAsia" w:ascii="仿宋_GB2312" w:hAnsi="Calibri" w:eastAsia="仿宋_GB2312" w:cs="仿宋"/>
          <w:color w:val="auto"/>
          <w:sz w:val="32"/>
          <w:szCs w:val="32"/>
          <w:lang w:val="en-US" w:eastAsia="en-US" w:bidi="ar-SA"/>
        </w:rPr>
        <w:t>参与协调州内重要生态环境保护国际活动和区域合作，管理全州生态环境系统对外合作， 参与处理涉外生态环境事务，负责与生态环境保护国际组织的联系工作。</w:t>
      </w:r>
    </w:p>
    <w:p w14:paraId="3442D9B6">
      <w:pPr>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3" w:firstLineChars="200"/>
        <w:jc w:val="left"/>
        <w:textAlignment w:val="auto"/>
        <w:rPr>
          <w:rFonts w:hint="eastAsia" w:ascii="仿宋_GB2312" w:hAnsi="Calibri" w:eastAsia="仿宋_GB2312" w:cs="仿宋"/>
          <w:b/>
          <w:bCs/>
          <w:color w:val="auto"/>
          <w:kern w:val="2"/>
          <w:sz w:val="32"/>
          <w:szCs w:val="32"/>
          <w:lang w:val="en-US" w:eastAsia="en-US" w:bidi="ar-SA"/>
        </w:rPr>
      </w:pPr>
      <w:r>
        <w:rPr>
          <w:rFonts w:hint="eastAsia" w:ascii="仿宋_GB2312" w:hAnsi="Calibri" w:eastAsia="仿宋_GB2312" w:cs="仿宋"/>
          <w:b/>
          <w:bCs/>
          <w:color w:val="auto"/>
          <w:kern w:val="2"/>
          <w:sz w:val="32"/>
          <w:szCs w:val="32"/>
          <w:lang w:val="en-US" w:eastAsia="en-US" w:bidi="ar-SA"/>
        </w:rPr>
        <w:t>16 负责职责范围内的安全生产和职业健康、审批服务便民化等工作。</w:t>
      </w:r>
    </w:p>
    <w:p w14:paraId="53FA277F">
      <w:pPr>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3" w:firstLineChars="200"/>
        <w:jc w:val="left"/>
        <w:textAlignment w:val="auto"/>
        <w:rPr>
          <w:rFonts w:hint="eastAsia" w:ascii="仿宋_GB2312" w:hAnsi="Calibri" w:eastAsia="仿宋_GB2312" w:cs="仿宋"/>
          <w:b/>
          <w:bCs/>
          <w:color w:val="auto"/>
          <w:kern w:val="2"/>
          <w:sz w:val="32"/>
          <w:szCs w:val="32"/>
          <w:lang w:val="en-US" w:eastAsia="en-US" w:bidi="ar-SA"/>
        </w:rPr>
      </w:pPr>
      <w:r>
        <w:rPr>
          <w:rFonts w:hint="eastAsia" w:ascii="仿宋_GB2312" w:hAnsi="Calibri" w:eastAsia="仿宋_GB2312" w:cs="仿宋"/>
          <w:b/>
          <w:bCs/>
          <w:color w:val="auto"/>
          <w:kern w:val="2"/>
          <w:sz w:val="32"/>
          <w:szCs w:val="32"/>
          <w:lang w:val="en-US" w:eastAsia="en-US" w:bidi="ar-SA"/>
        </w:rPr>
        <w:t>17 完成州委、州政府交办的其他任务。</w:t>
      </w:r>
    </w:p>
    <w:p w14:paraId="5AB57E88">
      <w:pPr>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3" w:firstLineChars="200"/>
        <w:jc w:val="left"/>
        <w:textAlignment w:val="auto"/>
        <w:rPr>
          <w:rFonts w:hint="eastAsia" w:ascii="仿宋_GB2312" w:hAnsi="Calibri" w:eastAsia="仿宋_GB2312" w:cs="仿宋"/>
          <w:color w:val="auto"/>
          <w:sz w:val="32"/>
          <w:szCs w:val="32"/>
          <w:lang w:val="en-US" w:eastAsia="en-US" w:bidi="ar-SA"/>
        </w:rPr>
      </w:pPr>
      <w:r>
        <w:rPr>
          <w:rFonts w:hint="eastAsia" w:ascii="仿宋_GB2312" w:hAnsi="Calibri" w:eastAsia="仿宋_GB2312" w:cs="仿宋"/>
          <w:b/>
          <w:bCs/>
          <w:color w:val="auto"/>
          <w:kern w:val="2"/>
          <w:sz w:val="32"/>
          <w:szCs w:val="32"/>
          <w:lang w:val="en-US" w:eastAsia="en-US" w:bidi="ar-SA"/>
        </w:rPr>
        <w:t>18 职能转变。</w:t>
      </w:r>
      <w:r>
        <w:rPr>
          <w:rFonts w:hint="eastAsia" w:ascii="仿宋_GB2312" w:hAnsi="Calibri" w:eastAsia="仿宋_GB2312" w:cs="仿宋"/>
          <w:color w:val="auto"/>
          <w:sz w:val="32"/>
          <w:szCs w:val="32"/>
          <w:lang w:val="en-US" w:eastAsia="en-US" w:bidi="ar-SA"/>
        </w:rPr>
        <w:t>统一行使全州生态和城乡各类污染排放监管与行政执法职责，统一负责全州生态环境质量监测、调查评价和考核，切实履行监管责任，加强事中事后监管，全面落实大气、水、土壤污染防治行动计划，强化固体废物、化学品、重金属污染防治监督管理。构建政府主导、企业主体、社会组织和公众共同参与的生态环境治理体系，实行最严格的生态环境保护制度， 严守生态保护红线和环境质量底线，坚决打好污染防治攻坚战， 筑牢长江、黄河上游生态屏障，保障国家生态安全。</w:t>
      </w:r>
    </w:p>
    <w:p w14:paraId="2861DE94">
      <w:pPr>
        <w:keepNext w:val="0"/>
        <w:keepLines w:val="0"/>
        <w:pageBreakBefore w:val="0"/>
        <w:widowControl w:val="0"/>
        <w:kinsoku/>
        <w:wordWrap/>
        <w:overflowPunct/>
        <w:topLinePunct w:val="0"/>
        <w:autoSpaceDE w:val="0"/>
        <w:autoSpaceDN w:val="0"/>
        <w:bidi w:val="0"/>
        <w:adjustRightInd/>
        <w:snapToGrid/>
        <w:spacing w:after="0" w:line="560" w:lineRule="exact"/>
        <w:ind w:left="0" w:right="0" w:firstLine="643" w:firstLineChars="200"/>
        <w:jc w:val="left"/>
        <w:textAlignment w:val="auto"/>
        <w:rPr>
          <w:rFonts w:hint="eastAsia" w:ascii="仿宋_GB2312" w:hAnsi="Calibri" w:eastAsia="仿宋_GB2312" w:cs="仿宋"/>
          <w:color w:val="auto"/>
          <w:sz w:val="32"/>
          <w:szCs w:val="32"/>
          <w:lang w:val="en-US" w:eastAsia="en-US" w:bidi="ar-SA"/>
        </w:rPr>
      </w:pPr>
      <w:r>
        <w:rPr>
          <w:rFonts w:hint="eastAsia" w:ascii="楷体_GB2312" w:hAnsi="楷体_GB2312" w:eastAsia="楷体_GB2312" w:cs="楷体_GB2312"/>
          <w:b/>
          <w:bCs/>
          <w:kern w:val="0"/>
          <w:position w:val="3"/>
          <w:sz w:val="32"/>
          <w:szCs w:val="32"/>
          <w:highlight w:val="none"/>
          <w:lang w:val="en-US" w:eastAsia="en-US" w:bidi="ar-SA"/>
        </w:rPr>
        <w:t>（三）人员概况。</w:t>
      </w:r>
      <w:r>
        <w:rPr>
          <w:rFonts w:hint="eastAsia" w:ascii="仿宋_GB2312" w:hAnsi="Calibri" w:eastAsia="仿宋_GB2312" w:cs="仿宋"/>
          <w:color w:val="auto"/>
          <w:sz w:val="32"/>
          <w:szCs w:val="32"/>
          <w:lang w:val="en-US" w:eastAsia="en-US" w:bidi="ar-SA"/>
        </w:rPr>
        <w:t>截至 2025 年末，阿坝州生态环境局内设编制 28 名（行政 25 名、工勤 3 名），实有 26 名（行政 23 名、工勤 3 名）；生态环境综合服务中心内设编制 15 名（事业 15 名），实有 12 名。</w:t>
      </w:r>
    </w:p>
    <w:p w14:paraId="56015B15">
      <w:pPr>
        <w:pageBreakBefore w:val="0"/>
        <w:widowControl/>
        <w:numPr>
          <w:ilvl w:val="0"/>
          <w:numId w:val="0"/>
        </w:numPr>
        <w:kinsoku/>
        <w:wordWrap/>
        <w:overflowPunct/>
        <w:topLinePunct w:val="0"/>
        <w:autoSpaceDE/>
        <w:autoSpaceDN/>
        <w:bidi w:val="0"/>
        <w:adjustRightInd/>
        <w:spacing w:line="600" w:lineRule="exact"/>
        <w:ind w:firstLine="640" w:firstLineChars="200"/>
        <w:jc w:val="left"/>
        <w:textAlignment w:val="auto"/>
        <w:rPr>
          <w:rFonts w:hint="eastAsia" w:ascii="黑体" w:hAnsi="黑体" w:eastAsia="黑体" w:cs="黑体"/>
          <w:kern w:val="0"/>
          <w:position w:val="3"/>
          <w:sz w:val="32"/>
          <w:szCs w:val="32"/>
          <w:highlight w:val="none"/>
          <w:lang w:val="en-US" w:eastAsia="en-US" w:bidi="ar-SA"/>
        </w:rPr>
      </w:pPr>
      <w:r>
        <w:rPr>
          <w:rFonts w:hint="eastAsia" w:ascii="黑体" w:hAnsi="黑体" w:eastAsia="黑体" w:cs="黑体"/>
          <w:kern w:val="0"/>
          <w:position w:val="3"/>
          <w:sz w:val="32"/>
          <w:szCs w:val="32"/>
          <w:highlight w:val="none"/>
          <w:lang w:val="en-US" w:eastAsia="en-US" w:bidi="ar-SA"/>
        </w:rPr>
        <w:t>二、部门资金收支情况</w:t>
      </w:r>
    </w:p>
    <w:p w14:paraId="6E921EC4">
      <w:pPr>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3" w:firstLineChars="200"/>
        <w:jc w:val="both"/>
        <w:textAlignment w:val="auto"/>
        <w:rPr>
          <w:rFonts w:hint="eastAsia" w:ascii="仿宋_GB2312" w:hAnsi="Calibri" w:eastAsia="仿宋_GB2312" w:cs="仿宋"/>
          <w:color w:val="auto"/>
          <w:sz w:val="32"/>
          <w:szCs w:val="32"/>
          <w:lang w:val="en-US" w:eastAsia="en-US" w:bidi="ar-SA"/>
        </w:rPr>
      </w:pPr>
      <w:r>
        <w:rPr>
          <w:rFonts w:hint="eastAsia" w:ascii="楷体_GB2312" w:hAnsi="楷体_GB2312" w:eastAsia="楷体_GB2312" w:cs="楷体_GB2312"/>
          <w:b/>
          <w:bCs/>
          <w:kern w:val="0"/>
          <w:position w:val="3"/>
          <w:sz w:val="32"/>
          <w:szCs w:val="32"/>
          <w:highlight w:val="none"/>
          <w:lang w:val="en-US" w:eastAsia="en-US" w:bidi="ar-SA"/>
        </w:rPr>
        <w:t>（一）收入情况。</w:t>
      </w:r>
      <w:r>
        <w:rPr>
          <w:rFonts w:hint="eastAsia" w:ascii="仿宋_GB2312" w:hAnsi="Calibri" w:eastAsia="仿宋_GB2312" w:cs="仿宋"/>
          <w:color w:val="auto"/>
          <w:sz w:val="32"/>
          <w:szCs w:val="32"/>
          <w:lang w:val="en-US" w:eastAsia="en-US" w:bidi="ar-SA"/>
        </w:rPr>
        <w:t>2025 年年初预算收入 1388 28 万元，决算收入 3425 54 万元（社会保障和就业支出 108 65 万元、卫生健康支出 42 33 万元、节能环保支出 3210 48 万元、住房保障支出 64 08万元）。</w:t>
      </w:r>
    </w:p>
    <w:p w14:paraId="64C6A9E7">
      <w:pPr>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3" w:firstLineChars="200"/>
        <w:jc w:val="left"/>
        <w:textAlignment w:val="auto"/>
        <w:rPr>
          <w:rFonts w:hint="eastAsia" w:ascii="仿宋_GB2312" w:hAnsi="Calibri" w:eastAsia="仿宋_GB2312" w:cs="仿宋"/>
          <w:color w:val="auto"/>
          <w:sz w:val="32"/>
          <w:szCs w:val="32"/>
          <w:lang w:val="en-US" w:eastAsia="en-US" w:bidi="ar-SA"/>
        </w:rPr>
      </w:pPr>
      <w:r>
        <w:rPr>
          <w:rFonts w:hint="eastAsia" w:ascii="楷体_GB2312" w:hAnsi="楷体_GB2312" w:eastAsia="楷体_GB2312" w:cs="楷体_GB2312"/>
          <w:b/>
          <w:bCs/>
          <w:kern w:val="0"/>
          <w:position w:val="3"/>
          <w:sz w:val="32"/>
          <w:szCs w:val="32"/>
          <w:highlight w:val="none"/>
          <w:lang w:val="en-US" w:eastAsia="en-US" w:bidi="ar-SA"/>
        </w:rPr>
        <w:t>（二）支出情况。</w:t>
      </w:r>
      <w:r>
        <w:rPr>
          <w:rFonts w:hint="eastAsia" w:ascii="仿宋_GB2312" w:hAnsi="Calibri" w:eastAsia="仿宋_GB2312" w:cs="仿宋"/>
          <w:color w:val="auto"/>
          <w:sz w:val="32"/>
          <w:szCs w:val="32"/>
          <w:lang w:val="en-US" w:eastAsia="en-US" w:bidi="ar-SA"/>
        </w:rPr>
        <w:t>2025 年年初预算支出 1388 28 万元，决算支出 3425 54 万元，主要包括完成污染防治攻坚任务，推进大气、水、土壤、噪声等重点领域污染治理，完成重点污染源排查、监 测与管控，落实污染治理设施运维、污染减排等具体工作；开展挥发性有机物、扬尘、黑臭水体等专项整治行动，完成年度污染治理目标任务；生态保护与修复任务，开展生态功能区、自然保 护地、湿地等生态保护工作，实施生态修复工程；推进生物多样性保护，开展物种调查、栖息地保护等相关工作；落实生态保护 红线、环境质量底线管控要求，完成生态状况调查与评估；环境监管任务，开展日常环境监管查处环境违法行为；推进环境监测体系建设，完成空气、水质、土壤等环境质量常态化监测，保障监测数据真实有效，落实环境信访处置、环境应急防控，妥善应对突发环境事件；生态环境宣传与能力建设任务，开展生态环境保护宣传教育、科普推广活动，提升公众环保意识；推进环保信 息化建设、执法装备更新、人员专业培训，提升生态环境监管执法能力；落实环保政策解读、技术指导等相关工作。</w:t>
      </w:r>
    </w:p>
    <w:p w14:paraId="2FD9B4AD">
      <w:pPr>
        <w:keepNext w:val="0"/>
        <w:keepLines w:val="0"/>
        <w:pageBreakBefore w:val="0"/>
        <w:widowControl w:val="0"/>
        <w:kinsoku/>
        <w:wordWrap/>
        <w:overflowPunct/>
        <w:topLinePunct w:val="0"/>
        <w:autoSpaceDE w:val="0"/>
        <w:autoSpaceDN w:val="0"/>
        <w:bidi w:val="0"/>
        <w:adjustRightInd/>
        <w:snapToGrid/>
        <w:spacing w:after="0" w:line="560" w:lineRule="exact"/>
        <w:ind w:left="0" w:right="0" w:firstLine="643" w:firstLineChars="200"/>
        <w:jc w:val="left"/>
        <w:textAlignment w:val="auto"/>
        <w:rPr>
          <w:rFonts w:hint="eastAsia" w:ascii="仿宋_GB2312" w:hAnsi="Calibri" w:eastAsia="仿宋_GB2312" w:cs="仿宋"/>
          <w:color w:val="auto"/>
          <w:sz w:val="32"/>
          <w:szCs w:val="32"/>
          <w:lang w:val="en-US" w:eastAsia="en-US" w:bidi="ar-SA"/>
        </w:rPr>
      </w:pPr>
      <w:r>
        <w:rPr>
          <w:rFonts w:hint="eastAsia" w:ascii="楷体_GB2312" w:hAnsi="楷体_GB2312" w:eastAsia="楷体_GB2312" w:cs="楷体_GB2312"/>
          <w:b/>
          <w:bCs/>
          <w:kern w:val="0"/>
          <w:position w:val="3"/>
          <w:sz w:val="32"/>
          <w:szCs w:val="32"/>
          <w:highlight w:val="none"/>
          <w:lang w:val="en-US" w:eastAsia="en-US" w:bidi="ar-SA"/>
        </w:rPr>
        <w:t>（三）结余分配和结转结余情况。</w:t>
      </w:r>
      <w:r>
        <w:rPr>
          <w:rFonts w:hint="eastAsia" w:ascii="仿宋_GB2312" w:hAnsi="Calibri" w:eastAsia="仿宋_GB2312" w:cs="仿宋"/>
          <w:color w:val="auto"/>
          <w:sz w:val="32"/>
          <w:szCs w:val="32"/>
          <w:lang w:val="en-US" w:eastAsia="en-US" w:bidi="ar-SA"/>
        </w:rPr>
        <w:t>无</w:t>
      </w:r>
    </w:p>
    <w:p w14:paraId="09C1EF48">
      <w:pPr>
        <w:pageBreakBefore w:val="0"/>
        <w:widowControl/>
        <w:numPr>
          <w:ilvl w:val="0"/>
          <w:numId w:val="0"/>
        </w:numPr>
        <w:kinsoku/>
        <w:wordWrap/>
        <w:overflowPunct/>
        <w:topLinePunct w:val="0"/>
        <w:autoSpaceDE/>
        <w:autoSpaceDN/>
        <w:bidi w:val="0"/>
        <w:adjustRightInd/>
        <w:spacing w:line="600" w:lineRule="exact"/>
        <w:ind w:firstLine="640" w:firstLineChars="200"/>
        <w:jc w:val="left"/>
        <w:textAlignment w:val="auto"/>
        <w:rPr>
          <w:rFonts w:hint="eastAsia" w:ascii="黑体" w:hAnsi="黑体" w:eastAsia="黑体" w:cs="黑体"/>
          <w:kern w:val="0"/>
          <w:position w:val="3"/>
          <w:sz w:val="32"/>
          <w:szCs w:val="32"/>
          <w:highlight w:val="none"/>
          <w:lang w:val="en-US" w:eastAsia="en-US" w:bidi="ar-SA"/>
        </w:rPr>
      </w:pPr>
      <w:r>
        <w:rPr>
          <w:rFonts w:hint="eastAsia" w:ascii="黑体" w:hAnsi="黑体" w:eastAsia="黑体" w:cs="黑体"/>
          <w:kern w:val="0"/>
          <w:position w:val="3"/>
          <w:sz w:val="32"/>
          <w:szCs w:val="32"/>
          <w:highlight w:val="none"/>
          <w:lang w:val="en-US" w:eastAsia="en-US" w:bidi="ar-SA"/>
        </w:rPr>
        <w:t>三、部门预算绩效分析</w:t>
      </w:r>
    </w:p>
    <w:p w14:paraId="412C5406">
      <w:pPr>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3" w:firstLineChars="200"/>
        <w:jc w:val="both"/>
        <w:textAlignment w:val="auto"/>
        <w:rPr>
          <w:rFonts w:hint="eastAsia" w:ascii="仿宋_GB2312" w:hAnsi="Calibri" w:eastAsia="仿宋_GB2312" w:cs="仿宋"/>
          <w:color w:val="auto"/>
          <w:sz w:val="32"/>
          <w:szCs w:val="32"/>
          <w:lang w:val="en-US" w:eastAsia="en-US" w:bidi="ar-SA"/>
        </w:rPr>
      </w:pPr>
      <w:r>
        <w:rPr>
          <w:rFonts w:hint="eastAsia" w:ascii="楷体_GB2312" w:hAnsi="楷体_GB2312" w:eastAsia="楷体_GB2312" w:cs="楷体_GB2312"/>
          <w:b/>
          <w:bCs/>
          <w:kern w:val="0"/>
          <w:position w:val="3"/>
          <w:sz w:val="32"/>
          <w:szCs w:val="32"/>
          <w:highlight w:val="none"/>
          <w:lang w:val="en-US" w:eastAsia="en-US" w:bidi="ar-SA"/>
        </w:rPr>
        <w:t>（一）部门预算总体绩效分析。</w:t>
      </w:r>
      <w:r>
        <w:rPr>
          <w:rFonts w:hint="eastAsia" w:ascii="仿宋_GB2312" w:hAnsi="Calibri" w:eastAsia="仿宋_GB2312" w:cs="仿宋"/>
          <w:color w:val="auto"/>
          <w:sz w:val="32"/>
          <w:szCs w:val="32"/>
          <w:lang w:val="en-US" w:eastAsia="en-US" w:bidi="ar-SA"/>
        </w:rPr>
        <w:t>根据部门预算绩效评价指标体系“总体绩效“涉及二、三级指标进行逐项绩效分析并评分，依次包括履职效能、预算管理、财务管理、资产管理、采购管理等情况。</w:t>
      </w:r>
    </w:p>
    <w:p w14:paraId="58A19DFB">
      <w:pPr>
        <w:keepNext w:val="0"/>
        <w:keepLines w:val="0"/>
        <w:pageBreakBefore w:val="0"/>
        <w:widowControl w:val="0"/>
        <w:numPr>
          <w:ilvl w:val="0"/>
          <w:numId w:val="0"/>
        </w:numPr>
        <w:tabs>
          <w:tab w:val="left" w:pos="2028"/>
        </w:tabs>
        <w:kinsoku/>
        <w:wordWrap/>
        <w:overflowPunct/>
        <w:topLinePunct w:val="0"/>
        <w:autoSpaceDE w:val="0"/>
        <w:autoSpaceDN w:val="0"/>
        <w:bidi w:val="0"/>
        <w:adjustRightInd/>
        <w:snapToGrid/>
        <w:spacing w:before="0" w:after="0" w:line="560" w:lineRule="exact"/>
        <w:ind w:leftChars="0" w:right="0" w:rightChars="0" w:firstLine="643" w:firstLineChars="200"/>
        <w:jc w:val="left"/>
        <w:textAlignment w:val="auto"/>
        <w:rPr>
          <w:rFonts w:hint="eastAsia" w:ascii="仿宋_GB2312" w:hAnsi="Calibri" w:eastAsia="仿宋_GB2312" w:cs="仿宋"/>
          <w:color w:val="auto"/>
          <w:sz w:val="32"/>
          <w:szCs w:val="32"/>
          <w:lang w:val="en-US" w:eastAsia="en-US" w:bidi="ar-SA"/>
        </w:rPr>
      </w:pPr>
      <w:r>
        <w:rPr>
          <w:rFonts w:hint="eastAsia" w:ascii="仿宋_GB2312" w:hAnsi="Calibri" w:eastAsia="仿宋_GB2312" w:cs="仿宋"/>
          <w:b/>
          <w:bCs/>
          <w:color w:val="auto"/>
          <w:kern w:val="2"/>
          <w:sz w:val="32"/>
          <w:szCs w:val="32"/>
          <w:lang w:val="en-US" w:eastAsia="zh-CN" w:bidi="ar-SA"/>
        </w:rPr>
        <w:t>1.</w:t>
      </w:r>
      <w:r>
        <w:rPr>
          <w:rFonts w:hint="eastAsia" w:ascii="仿宋_GB2312" w:hAnsi="Calibri" w:eastAsia="仿宋_GB2312" w:cs="仿宋"/>
          <w:b/>
          <w:bCs/>
          <w:color w:val="auto"/>
          <w:kern w:val="2"/>
          <w:sz w:val="32"/>
          <w:szCs w:val="32"/>
          <w:lang w:val="en-US" w:eastAsia="en-US" w:bidi="ar-SA"/>
        </w:rPr>
        <w:t>履职效能。</w:t>
      </w:r>
      <w:r>
        <w:rPr>
          <w:rFonts w:hint="eastAsia" w:ascii="仿宋_GB2312" w:hAnsi="Calibri" w:eastAsia="仿宋_GB2312" w:cs="仿宋"/>
          <w:color w:val="auto"/>
          <w:sz w:val="32"/>
          <w:szCs w:val="32"/>
          <w:lang w:val="en-US" w:eastAsia="en-US" w:bidi="ar-SA"/>
        </w:rPr>
        <w:t>生态环境局能够紧扣生态环境保护及生态环境修复核心职责，有序推进各项职能目标落地，重点职能目标完成率较高，在改善区域生态环境质量、保障环境安全、回应群众环境诉求等方面取得显著成效，多数履职成效可核查、可追溯；但部分职能领域仍存在目标完成不全面、精准度不足、长效性欠缺等问题，一定程度上影响了整体履职效能，需进一步优化完善。</w:t>
      </w:r>
    </w:p>
    <w:p w14:paraId="04E53110">
      <w:pPr>
        <w:keepNext w:val="0"/>
        <w:keepLines w:val="0"/>
        <w:pageBreakBefore w:val="0"/>
        <w:widowControl w:val="0"/>
        <w:numPr>
          <w:ilvl w:val="0"/>
          <w:numId w:val="0"/>
        </w:numPr>
        <w:tabs>
          <w:tab w:val="left" w:pos="2028"/>
        </w:tabs>
        <w:kinsoku/>
        <w:wordWrap/>
        <w:overflowPunct/>
        <w:topLinePunct w:val="0"/>
        <w:autoSpaceDE w:val="0"/>
        <w:autoSpaceDN w:val="0"/>
        <w:bidi w:val="0"/>
        <w:adjustRightInd/>
        <w:snapToGrid/>
        <w:spacing w:before="0" w:after="0" w:line="560" w:lineRule="exact"/>
        <w:ind w:leftChars="0" w:right="0" w:rightChars="0" w:firstLine="643" w:firstLineChars="200"/>
        <w:jc w:val="left"/>
        <w:textAlignment w:val="auto"/>
        <w:rPr>
          <w:rFonts w:hint="eastAsia" w:ascii="仿宋_GB2312" w:hAnsi="Calibri" w:eastAsia="仿宋_GB2312" w:cs="仿宋"/>
          <w:color w:val="auto"/>
          <w:sz w:val="32"/>
          <w:szCs w:val="32"/>
          <w:lang w:val="en-US" w:eastAsia="en-US" w:bidi="ar-SA"/>
        </w:rPr>
      </w:pPr>
      <w:r>
        <w:rPr>
          <w:rFonts w:hint="eastAsia" w:ascii="仿宋_GB2312" w:hAnsi="Calibri" w:eastAsia="仿宋_GB2312" w:cs="仿宋"/>
          <w:b/>
          <w:bCs/>
          <w:color w:val="auto"/>
          <w:kern w:val="2"/>
          <w:sz w:val="32"/>
          <w:szCs w:val="32"/>
          <w:lang w:val="en-US" w:eastAsia="zh-CN" w:bidi="ar-SA"/>
        </w:rPr>
        <w:t>2.</w:t>
      </w:r>
      <w:r>
        <w:rPr>
          <w:rFonts w:hint="eastAsia" w:ascii="仿宋_GB2312" w:hAnsi="Calibri" w:eastAsia="仿宋_GB2312" w:cs="仿宋"/>
          <w:b/>
          <w:bCs/>
          <w:color w:val="auto"/>
          <w:kern w:val="2"/>
          <w:sz w:val="32"/>
          <w:szCs w:val="32"/>
          <w:lang w:val="en-US" w:eastAsia="en-US" w:bidi="ar-SA"/>
        </w:rPr>
        <w:t>预算管理。</w:t>
      </w:r>
      <w:r>
        <w:rPr>
          <w:rFonts w:hint="eastAsia" w:ascii="仿宋_GB2312" w:hAnsi="Calibri" w:eastAsia="仿宋_GB2312" w:cs="仿宋"/>
          <w:color w:val="auto"/>
          <w:sz w:val="32"/>
          <w:szCs w:val="32"/>
          <w:lang w:val="en-US" w:eastAsia="en-US" w:bidi="ar-SA"/>
        </w:rPr>
        <w:t>一是按照州财政预算编制工作要求，组织财务人员积极参与预算编制培训会，及时掌握预算编制口径等相关知识，在编制中根据《中华人民共和国预算法》及州财政局的要求，召集各科室负责人结合本单位实际，按照 2025 年工作计划，优先保障重大项目、重点任务的资金需求，按照厉行节约、绩效优化的原则，全面、及时、完整地编制了单位预算，严控“三公“经费管理，从严从紧编制预算。二是根据资金支付情况，每季度进行调度分析，对项目执行较慢，资金拨付迟缓的科室进行通报约谈。三是 2025 年我单位严格执行经费开支标准和审批程序， 厉行节约、反对浪费。严控“三公“经费、会议费、培训费等一般性支出。四是严格按照预算法及预算公开有关规定，按时限、按要求、按标准做好预算信息公开工作，进一步细化公开内容、统一公开平台，做到应公开，主动接受社会监督，不断提升预算管理规范化、透明化水平。</w:t>
      </w:r>
    </w:p>
    <w:p w14:paraId="7F71BFD2">
      <w:pPr>
        <w:keepNext w:val="0"/>
        <w:keepLines w:val="0"/>
        <w:pageBreakBefore w:val="0"/>
        <w:widowControl w:val="0"/>
        <w:numPr>
          <w:ilvl w:val="0"/>
          <w:numId w:val="0"/>
        </w:numPr>
        <w:tabs>
          <w:tab w:val="left" w:pos="2028"/>
        </w:tabs>
        <w:kinsoku/>
        <w:wordWrap/>
        <w:overflowPunct/>
        <w:topLinePunct w:val="0"/>
        <w:autoSpaceDE w:val="0"/>
        <w:autoSpaceDN w:val="0"/>
        <w:bidi w:val="0"/>
        <w:adjustRightInd/>
        <w:snapToGrid/>
        <w:spacing w:before="0" w:after="0" w:line="560" w:lineRule="exact"/>
        <w:ind w:leftChars="0" w:right="0" w:rightChars="0" w:firstLine="643" w:firstLineChars="200"/>
        <w:jc w:val="left"/>
        <w:textAlignment w:val="auto"/>
        <w:rPr>
          <w:rFonts w:hint="eastAsia" w:ascii="仿宋_GB2312" w:hAnsi="Calibri" w:eastAsia="仿宋_GB2312" w:cs="仿宋"/>
          <w:color w:val="auto"/>
          <w:sz w:val="32"/>
          <w:szCs w:val="32"/>
          <w:lang w:val="en-US" w:eastAsia="en-US" w:bidi="ar-SA"/>
        </w:rPr>
      </w:pPr>
      <w:r>
        <w:rPr>
          <w:rFonts w:hint="eastAsia" w:ascii="仿宋_GB2312" w:hAnsi="Calibri" w:eastAsia="仿宋_GB2312" w:cs="仿宋"/>
          <w:b/>
          <w:bCs/>
          <w:color w:val="auto"/>
          <w:kern w:val="2"/>
          <w:sz w:val="32"/>
          <w:szCs w:val="32"/>
          <w:lang w:val="en-US" w:eastAsia="zh-CN" w:bidi="ar-SA"/>
        </w:rPr>
        <w:t>3.</w:t>
      </w:r>
      <w:r>
        <w:rPr>
          <w:rFonts w:hint="eastAsia" w:ascii="仿宋_GB2312" w:hAnsi="Calibri" w:eastAsia="仿宋_GB2312" w:cs="仿宋"/>
          <w:b/>
          <w:bCs/>
          <w:color w:val="auto"/>
          <w:kern w:val="2"/>
          <w:sz w:val="32"/>
          <w:szCs w:val="32"/>
          <w:lang w:val="en-US" w:eastAsia="en-US" w:bidi="ar-SA"/>
        </w:rPr>
        <w:t>财务管理。</w:t>
      </w:r>
      <w:r>
        <w:rPr>
          <w:rFonts w:hint="eastAsia" w:ascii="仿宋_GB2312" w:hAnsi="Calibri" w:eastAsia="仿宋_GB2312" w:cs="仿宋"/>
          <w:color w:val="auto"/>
          <w:sz w:val="32"/>
          <w:szCs w:val="32"/>
          <w:lang w:val="en-US" w:eastAsia="en-US" w:bidi="ar-SA"/>
        </w:rPr>
        <w:t>一是财务管理制度执行到位，审批流程、报销标准、内控要求落实严格，有效防范财务风险，保障各项财务活动依规有序开展。二是财务岗位设置科学合理，岗位职责清晰、分工明确，不相容岗位相互分离、相互制约，财务人员履职规范。三是资金使用规范高效，严格按照预算安排、项目用途和审批程序拨付使用资金，做到专款专用。</w:t>
      </w:r>
    </w:p>
    <w:p w14:paraId="262C4FEB">
      <w:pPr>
        <w:keepNext w:val="0"/>
        <w:keepLines w:val="0"/>
        <w:pageBreakBefore w:val="0"/>
        <w:widowControl w:val="0"/>
        <w:numPr>
          <w:ilvl w:val="0"/>
          <w:numId w:val="0"/>
        </w:numPr>
        <w:tabs>
          <w:tab w:val="left" w:pos="2028"/>
        </w:tabs>
        <w:kinsoku/>
        <w:wordWrap/>
        <w:overflowPunct/>
        <w:topLinePunct w:val="0"/>
        <w:autoSpaceDE w:val="0"/>
        <w:autoSpaceDN w:val="0"/>
        <w:bidi w:val="0"/>
        <w:adjustRightInd/>
        <w:snapToGrid/>
        <w:spacing w:before="0" w:after="0" w:line="560" w:lineRule="exact"/>
        <w:ind w:leftChars="0" w:right="0" w:rightChars="0" w:firstLine="643" w:firstLineChars="200"/>
        <w:jc w:val="left"/>
        <w:textAlignment w:val="auto"/>
        <w:rPr>
          <w:rFonts w:hint="eastAsia" w:ascii="仿宋_GB2312" w:hAnsi="Calibri" w:eastAsia="仿宋_GB2312" w:cs="仿宋"/>
          <w:color w:val="auto"/>
          <w:sz w:val="32"/>
          <w:szCs w:val="32"/>
          <w:lang w:val="en-US" w:eastAsia="en-US" w:bidi="ar-SA"/>
        </w:rPr>
      </w:pPr>
      <w:r>
        <w:rPr>
          <w:rFonts w:hint="eastAsia" w:ascii="仿宋_GB2312" w:hAnsi="Calibri" w:eastAsia="仿宋_GB2312" w:cs="仿宋"/>
          <w:b/>
          <w:bCs/>
          <w:color w:val="auto"/>
          <w:kern w:val="2"/>
          <w:sz w:val="32"/>
          <w:szCs w:val="32"/>
          <w:lang w:val="en-US" w:eastAsia="zh-CN" w:bidi="ar-SA"/>
        </w:rPr>
        <w:t>4.</w:t>
      </w:r>
      <w:r>
        <w:rPr>
          <w:rFonts w:hint="eastAsia" w:ascii="仿宋_GB2312" w:hAnsi="Calibri" w:eastAsia="仿宋_GB2312" w:cs="仿宋"/>
          <w:b/>
          <w:bCs/>
          <w:color w:val="auto"/>
          <w:kern w:val="2"/>
          <w:sz w:val="32"/>
          <w:szCs w:val="32"/>
          <w:lang w:val="en-US" w:eastAsia="en-US" w:bidi="ar-SA"/>
        </w:rPr>
        <w:t>资产管理。</w:t>
      </w:r>
      <w:r>
        <w:rPr>
          <w:rFonts w:hint="eastAsia" w:ascii="仿宋_GB2312" w:hAnsi="Calibri" w:eastAsia="仿宋_GB2312" w:cs="仿宋"/>
          <w:color w:val="auto"/>
          <w:sz w:val="32"/>
          <w:szCs w:val="32"/>
          <w:lang w:val="en-US" w:eastAsia="en-US" w:bidi="ar-SA"/>
        </w:rPr>
        <w:t>全局资产管理工作整体运行平稳，核心业务资产（监测、执法类）利用率较高，能够有效支撑生态环境各项工 作的有序开展；人均资产配置基本适配人员编制和工作需求，资产盘活工作取得初步成效，有效减少了资产困置浪费。但同时也存在明显不足：人均资产配置不均衡、部分资产使用效率偏低、资产盘活力度不足、资产管理流程不够规范等问题。</w:t>
      </w:r>
    </w:p>
    <w:p w14:paraId="06EDC98C">
      <w:pPr>
        <w:keepNext w:val="0"/>
        <w:keepLines w:val="0"/>
        <w:pageBreakBefore w:val="0"/>
        <w:widowControl w:val="0"/>
        <w:numPr>
          <w:ilvl w:val="0"/>
          <w:numId w:val="0"/>
        </w:numPr>
        <w:tabs>
          <w:tab w:val="left" w:pos="2028"/>
        </w:tabs>
        <w:kinsoku/>
        <w:wordWrap/>
        <w:overflowPunct/>
        <w:topLinePunct w:val="0"/>
        <w:autoSpaceDE w:val="0"/>
        <w:autoSpaceDN w:val="0"/>
        <w:bidi w:val="0"/>
        <w:adjustRightInd/>
        <w:snapToGrid/>
        <w:spacing w:before="0" w:after="0" w:line="560" w:lineRule="exact"/>
        <w:ind w:leftChars="0" w:right="0" w:rightChars="0" w:firstLine="643" w:firstLineChars="200"/>
        <w:jc w:val="left"/>
        <w:textAlignment w:val="auto"/>
        <w:rPr>
          <w:rFonts w:hint="eastAsia" w:ascii="仿宋_GB2312" w:hAnsi="Calibri" w:eastAsia="仿宋_GB2312" w:cs="仿宋"/>
          <w:color w:val="auto"/>
          <w:sz w:val="32"/>
          <w:szCs w:val="32"/>
          <w:lang w:val="en-US" w:eastAsia="en-US" w:bidi="ar-SA"/>
        </w:rPr>
      </w:pPr>
      <w:r>
        <w:rPr>
          <w:rFonts w:hint="eastAsia" w:ascii="仿宋_GB2312" w:hAnsi="Calibri" w:eastAsia="仿宋_GB2312" w:cs="仿宋"/>
          <w:b/>
          <w:bCs/>
          <w:color w:val="auto"/>
          <w:kern w:val="2"/>
          <w:sz w:val="32"/>
          <w:szCs w:val="32"/>
          <w:lang w:val="en-US" w:eastAsia="zh-CN" w:bidi="ar-SA"/>
        </w:rPr>
        <w:t>5.</w:t>
      </w:r>
      <w:r>
        <w:rPr>
          <w:rFonts w:hint="eastAsia" w:ascii="仿宋_GB2312" w:hAnsi="Calibri" w:eastAsia="仿宋_GB2312" w:cs="仿宋"/>
          <w:b/>
          <w:bCs/>
          <w:color w:val="auto"/>
          <w:kern w:val="2"/>
          <w:sz w:val="32"/>
          <w:szCs w:val="32"/>
          <w:lang w:val="en-US" w:eastAsia="en-US" w:bidi="ar-SA"/>
        </w:rPr>
        <w:t>采购管理。</w:t>
      </w:r>
      <w:r>
        <w:rPr>
          <w:rFonts w:hint="eastAsia" w:ascii="仿宋_GB2312" w:hAnsi="Calibri" w:eastAsia="仿宋_GB2312" w:cs="仿宋"/>
          <w:color w:val="auto"/>
          <w:sz w:val="32"/>
          <w:szCs w:val="32"/>
          <w:lang w:val="en-US" w:eastAsia="en-US" w:bidi="ar-SA"/>
        </w:rPr>
        <w:t>一是严格按照政府采购相关规定组织实施，采购程序规范。二是积极支持中小企业发展，严格落实政府采购促进中小企业发展政策。三是年度采购计划编制科学、资金支付规范，有效保障单位各项工作顺利开展。</w:t>
      </w:r>
    </w:p>
    <w:p w14:paraId="3A3A5CC5">
      <w:pPr>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3" w:firstLineChars="200"/>
        <w:jc w:val="both"/>
        <w:textAlignment w:val="auto"/>
        <w:rPr>
          <w:rFonts w:hint="eastAsia" w:ascii="仿宋_GB2312" w:hAnsi="Calibri" w:eastAsia="仿宋_GB2312" w:cs="仿宋"/>
          <w:color w:val="auto"/>
          <w:sz w:val="32"/>
          <w:szCs w:val="32"/>
          <w:lang w:val="en-US" w:eastAsia="en-US" w:bidi="ar-SA"/>
        </w:rPr>
      </w:pPr>
      <w:r>
        <w:rPr>
          <w:rFonts w:hint="eastAsia" w:ascii="楷体_GB2312" w:hAnsi="楷体_GB2312" w:eastAsia="楷体_GB2312" w:cs="楷体_GB2312"/>
          <w:b/>
          <w:bCs/>
          <w:kern w:val="0"/>
          <w:position w:val="3"/>
          <w:sz w:val="32"/>
          <w:szCs w:val="32"/>
          <w:highlight w:val="none"/>
          <w:lang w:val="en-US" w:eastAsia="en-US" w:bidi="ar-SA"/>
        </w:rPr>
        <w:t>（二）部门预算项目绩效分析。</w:t>
      </w:r>
      <w:r>
        <w:rPr>
          <w:rFonts w:hint="eastAsia" w:ascii="仿宋_GB2312" w:hAnsi="Calibri" w:eastAsia="仿宋_GB2312" w:cs="仿宋"/>
          <w:color w:val="auto"/>
          <w:sz w:val="32"/>
          <w:szCs w:val="32"/>
          <w:lang w:val="en-US" w:eastAsia="en-US" w:bidi="ar-SA"/>
        </w:rPr>
        <w:t>填报以下数据，并根据部门预算绩效评价指标体系“项目绩效“涉及二、三级指标进行逐项绩 效分析并评分，依次包括项目决策、项目执行、目标实现等情况。</w:t>
      </w:r>
    </w:p>
    <w:p w14:paraId="66EC5BBD">
      <w:pPr>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0" w:firstLineChars="200"/>
        <w:jc w:val="left"/>
        <w:textAlignment w:val="auto"/>
        <w:rPr>
          <w:rFonts w:hint="eastAsia" w:ascii="仿宋_GB2312" w:hAnsi="Calibri" w:eastAsia="仿宋_GB2312" w:cs="仿宋"/>
          <w:color w:val="auto"/>
          <w:sz w:val="32"/>
          <w:szCs w:val="32"/>
          <w:lang w:val="en-US" w:eastAsia="en-US" w:bidi="ar-SA"/>
        </w:rPr>
      </w:pPr>
      <w:r>
        <w:rPr>
          <w:rFonts w:hint="eastAsia" w:ascii="仿宋_GB2312" w:hAnsi="Calibri" w:eastAsia="仿宋_GB2312" w:cs="仿宋"/>
          <w:color w:val="auto"/>
          <w:sz w:val="32"/>
          <w:szCs w:val="32"/>
          <w:lang w:val="en-US" w:eastAsia="en-US" w:bidi="ar-SA"/>
        </w:rPr>
        <w:t>常年项目绩效分析。该类项目总数 8 个，涉及预算总金额250 万元，1—12 月预算执行总体进度为 99 94%，其中：预算结余率大于 10%的项目共计 0 个。</w:t>
      </w:r>
    </w:p>
    <w:p w14:paraId="621F83A5">
      <w:pPr>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0" w:firstLineChars="200"/>
        <w:jc w:val="left"/>
        <w:textAlignment w:val="auto"/>
        <w:rPr>
          <w:rFonts w:hint="eastAsia" w:ascii="仿宋_GB2312" w:hAnsi="Calibri" w:eastAsia="仿宋_GB2312" w:cs="仿宋"/>
          <w:color w:val="auto"/>
          <w:sz w:val="32"/>
          <w:szCs w:val="32"/>
          <w:lang w:val="en-US" w:eastAsia="en-US" w:bidi="ar-SA"/>
        </w:rPr>
      </w:pPr>
      <w:r>
        <w:rPr>
          <w:rFonts w:hint="eastAsia" w:ascii="仿宋_GB2312" w:hAnsi="Calibri" w:eastAsia="仿宋_GB2312" w:cs="仿宋"/>
          <w:color w:val="auto"/>
          <w:sz w:val="32"/>
          <w:szCs w:val="32"/>
          <w:lang w:val="en-US" w:eastAsia="en-US" w:bidi="ar-SA"/>
        </w:rPr>
        <w:t>阶段（含一次性）项目绩效分析。该类项目总数 23 个，涉及预算总金额 3074 07 万元，1—12 月预算执行总体进度 89 25%，其中：预算结余率大于 10%的项目共计 6 个。</w:t>
      </w:r>
    </w:p>
    <w:p w14:paraId="169E84C8">
      <w:pPr>
        <w:keepNext w:val="0"/>
        <w:keepLines w:val="0"/>
        <w:pageBreakBefore w:val="0"/>
        <w:widowControl w:val="0"/>
        <w:numPr>
          <w:ilvl w:val="0"/>
          <w:numId w:val="0"/>
        </w:numPr>
        <w:tabs>
          <w:tab w:val="left" w:pos="2028"/>
        </w:tabs>
        <w:kinsoku/>
        <w:wordWrap/>
        <w:overflowPunct/>
        <w:topLinePunct w:val="0"/>
        <w:autoSpaceDE w:val="0"/>
        <w:autoSpaceDN w:val="0"/>
        <w:bidi w:val="0"/>
        <w:adjustRightInd/>
        <w:snapToGrid/>
        <w:spacing w:before="0" w:after="0" w:line="560" w:lineRule="exact"/>
        <w:ind w:leftChars="0" w:right="0" w:rightChars="0" w:firstLine="643" w:firstLineChars="200"/>
        <w:jc w:val="left"/>
        <w:textAlignment w:val="auto"/>
        <w:rPr>
          <w:rFonts w:hint="eastAsia" w:ascii="仿宋_GB2312" w:hAnsi="Calibri" w:eastAsia="仿宋_GB2312" w:cs="仿宋"/>
          <w:color w:val="auto"/>
          <w:sz w:val="32"/>
          <w:szCs w:val="32"/>
          <w:lang w:val="en-US" w:eastAsia="en-US" w:bidi="ar-SA"/>
        </w:rPr>
      </w:pPr>
      <w:r>
        <w:rPr>
          <w:rFonts w:hint="eastAsia" w:ascii="仿宋_GB2312" w:hAnsi="Calibri" w:eastAsia="仿宋_GB2312" w:cs="仿宋"/>
          <w:b/>
          <w:bCs/>
          <w:color w:val="auto"/>
          <w:kern w:val="2"/>
          <w:sz w:val="32"/>
          <w:szCs w:val="32"/>
          <w:lang w:val="en-US" w:eastAsia="zh-CN" w:bidi="ar-SA"/>
        </w:rPr>
        <w:t>1.</w:t>
      </w:r>
      <w:r>
        <w:rPr>
          <w:rFonts w:hint="eastAsia" w:ascii="仿宋_GB2312" w:hAnsi="Calibri" w:eastAsia="仿宋_GB2312" w:cs="仿宋"/>
          <w:b/>
          <w:bCs/>
          <w:color w:val="auto"/>
          <w:kern w:val="2"/>
          <w:sz w:val="32"/>
          <w:szCs w:val="32"/>
          <w:lang w:val="en-US" w:eastAsia="en-US" w:bidi="ar-SA"/>
        </w:rPr>
        <w:t>项目决策。</w:t>
      </w:r>
      <w:r>
        <w:rPr>
          <w:rFonts w:hint="eastAsia" w:ascii="仿宋_GB2312" w:hAnsi="Calibri" w:eastAsia="仿宋_GB2312" w:cs="仿宋"/>
          <w:color w:val="auto"/>
          <w:sz w:val="32"/>
          <w:szCs w:val="32"/>
          <w:lang w:val="en-US" w:eastAsia="en-US" w:bidi="ar-SA"/>
        </w:rPr>
        <w:t>整体来看，生态环境局项目决策工作基本遵循既定流程，能够紧扣生态环境保护重点工作（如大气、水、土壤污染防治，生态保护修复等），开展目标设定与项目入库工作， 为各类生态环境项目后续实施提供初步指引；但在决策程序严谨性、目标设置精准性等方面仍存在提升空间，部分环节的绩效产出未达到环保项目高质量发展要求，需进一步优化完善。</w:t>
      </w:r>
    </w:p>
    <w:p w14:paraId="12E05655">
      <w:pPr>
        <w:keepNext w:val="0"/>
        <w:keepLines w:val="0"/>
        <w:pageBreakBefore w:val="0"/>
        <w:widowControl w:val="0"/>
        <w:numPr>
          <w:ilvl w:val="0"/>
          <w:numId w:val="0"/>
        </w:numPr>
        <w:tabs>
          <w:tab w:val="left" w:pos="2028"/>
        </w:tabs>
        <w:kinsoku/>
        <w:wordWrap/>
        <w:overflowPunct/>
        <w:topLinePunct w:val="0"/>
        <w:autoSpaceDE w:val="0"/>
        <w:autoSpaceDN w:val="0"/>
        <w:bidi w:val="0"/>
        <w:adjustRightInd/>
        <w:snapToGrid/>
        <w:spacing w:before="0" w:after="0" w:line="560" w:lineRule="exact"/>
        <w:ind w:leftChars="0" w:right="0" w:rightChars="0" w:firstLine="643" w:firstLineChars="200"/>
        <w:jc w:val="left"/>
        <w:textAlignment w:val="auto"/>
        <w:rPr>
          <w:rFonts w:hint="eastAsia" w:ascii="仿宋_GB2312" w:hAnsi="Calibri" w:eastAsia="仿宋_GB2312" w:cs="仿宋"/>
          <w:color w:val="auto"/>
          <w:sz w:val="32"/>
          <w:szCs w:val="32"/>
          <w:lang w:val="en-US" w:eastAsia="en-US" w:bidi="ar-SA"/>
        </w:rPr>
      </w:pPr>
      <w:r>
        <w:rPr>
          <w:rFonts w:hint="eastAsia" w:ascii="仿宋_GB2312" w:hAnsi="Calibri" w:eastAsia="仿宋_GB2312" w:cs="仿宋"/>
          <w:b/>
          <w:bCs/>
          <w:color w:val="auto"/>
          <w:kern w:val="2"/>
          <w:sz w:val="32"/>
          <w:szCs w:val="32"/>
          <w:lang w:val="en-US" w:eastAsia="zh-CN" w:bidi="ar-SA"/>
        </w:rPr>
        <w:t>2.</w:t>
      </w:r>
      <w:r>
        <w:rPr>
          <w:rFonts w:hint="eastAsia" w:ascii="仿宋_GB2312" w:hAnsi="Calibri" w:eastAsia="仿宋_GB2312" w:cs="仿宋"/>
          <w:b/>
          <w:bCs/>
          <w:color w:val="auto"/>
          <w:kern w:val="2"/>
          <w:sz w:val="32"/>
          <w:szCs w:val="32"/>
          <w:lang w:val="en-US" w:eastAsia="en-US" w:bidi="ar-SA"/>
        </w:rPr>
        <w:t>项目执行。</w:t>
      </w:r>
      <w:r>
        <w:rPr>
          <w:rFonts w:hint="eastAsia" w:ascii="仿宋_GB2312" w:hAnsi="Calibri" w:eastAsia="仿宋_GB2312" w:cs="仿宋"/>
          <w:color w:val="auto"/>
          <w:sz w:val="32"/>
          <w:szCs w:val="32"/>
          <w:lang w:val="en-US" w:eastAsia="en-US" w:bidi="ar-SA"/>
        </w:rPr>
        <w:t>整体来看，生态环境局各类项目能够按照立项要求推进执行，基本实现资金使用与项目进度、生态环境目标同向衔接，项目调整能够遵循基本流程，多数项目能够完成核心执行任务，但在资金执行精准度、项目调整规范性、执行结果闭环 管理等方面仍存在提升空间，部分项目存在资金使用与项目进度不一致、调整流程不规范、执行成效未达预期等问题，需进一步优化完善，提升项目执行整体绩效。</w:t>
      </w:r>
    </w:p>
    <w:p w14:paraId="401F9C54">
      <w:pPr>
        <w:keepNext w:val="0"/>
        <w:keepLines w:val="0"/>
        <w:pageBreakBefore w:val="0"/>
        <w:widowControl w:val="0"/>
        <w:numPr>
          <w:ilvl w:val="0"/>
          <w:numId w:val="0"/>
        </w:numPr>
        <w:tabs>
          <w:tab w:val="left" w:pos="2028"/>
        </w:tabs>
        <w:kinsoku/>
        <w:wordWrap/>
        <w:overflowPunct/>
        <w:topLinePunct w:val="0"/>
        <w:autoSpaceDE w:val="0"/>
        <w:autoSpaceDN w:val="0"/>
        <w:bidi w:val="0"/>
        <w:adjustRightInd/>
        <w:snapToGrid/>
        <w:spacing w:before="0" w:after="0" w:line="560" w:lineRule="exact"/>
        <w:ind w:leftChars="0" w:right="0" w:rightChars="0" w:firstLine="643" w:firstLineChars="200"/>
        <w:jc w:val="left"/>
        <w:textAlignment w:val="auto"/>
        <w:rPr>
          <w:rFonts w:hint="eastAsia" w:ascii="仿宋_GB2312" w:hAnsi="Calibri" w:eastAsia="仿宋_GB2312" w:cs="仿宋"/>
          <w:color w:val="auto"/>
          <w:sz w:val="32"/>
          <w:szCs w:val="32"/>
          <w:lang w:val="en-US" w:eastAsia="en-US" w:bidi="ar-SA"/>
        </w:rPr>
      </w:pPr>
      <w:r>
        <w:rPr>
          <w:rFonts w:hint="eastAsia" w:ascii="仿宋_GB2312" w:hAnsi="Calibri" w:eastAsia="仿宋_GB2312" w:cs="仿宋"/>
          <w:b/>
          <w:bCs/>
          <w:color w:val="auto"/>
          <w:kern w:val="2"/>
          <w:sz w:val="32"/>
          <w:szCs w:val="32"/>
          <w:lang w:val="en-US" w:eastAsia="zh-CN" w:bidi="ar-SA"/>
        </w:rPr>
        <w:t>3.</w:t>
      </w:r>
      <w:r>
        <w:rPr>
          <w:rFonts w:hint="eastAsia" w:ascii="仿宋_GB2312" w:hAnsi="Calibri" w:eastAsia="仿宋_GB2312" w:cs="仿宋"/>
          <w:b/>
          <w:bCs/>
          <w:color w:val="auto"/>
          <w:kern w:val="2"/>
          <w:sz w:val="32"/>
          <w:szCs w:val="32"/>
          <w:lang w:val="en-US" w:eastAsia="en-US" w:bidi="ar-SA"/>
        </w:rPr>
        <w:t>目标实现。</w:t>
      </w:r>
      <w:r>
        <w:rPr>
          <w:rFonts w:hint="eastAsia" w:ascii="仿宋_GB2312" w:hAnsi="Calibri" w:eastAsia="仿宋_GB2312" w:cs="仿宋"/>
          <w:color w:val="auto"/>
          <w:sz w:val="32"/>
          <w:szCs w:val="32"/>
          <w:lang w:val="en-US" w:eastAsia="en-US" w:bidi="ar-SA"/>
        </w:rPr>
        <w:t>生态环境局多数项目能够围绕立项确定的核心目标推进实施，重点项目目标完成率较高，在改善区域生态环境质量、保障环境安全等方面取得了显著成效；但部分项目存在目标完成不全面、局部目标偏离、实现效果未达预期等问题，尤其 在各县市实施部分项目目标管控力度不足，偏离整改不及时，一定程度上影响了项目整体绩效工作推进成效。</w:t>
      </w:r>
    </w:p>
    <w:p w14:paraId="7A6DC5EF">
      <w:pPr>
        <w:keepNext w:val="0"/>
        <w:keepLines w:val="0"/>
        <w:pageBreakBefore w:val="0"/>
        <w:widowControl w:val="0"/>
        <w:kinsoku/>
        <w:wordWrap/>
        <w:overflowPunct/>
        <w:topLinePunct w:val="0"/>
        <w:autoSpaceDE w:val="0"/>
        <w:autoSpaceDN w:val="0"/>
        <w:bidi w:val="0"/>
        <w:adjustRightInd/>
        <w:snapToGrid/>
        <w:spacing w:after="0" w:line="560" w:lineRule="exact"/>
        <w:ind w:left="0" w:right="0" w:firstLine="643" w:firstLineChars="200"/>
        <w:jc w:val="left"/>
        <w:textAlignment w:val="auto"/>
        <w:rPr>
          <w:rFonts w:hint="eastAsia" w:ascii="仿宋_GB2312" w:hAnsi="Calibri" w:eastAsia="仿宋_GB2312" w:cs="仿宋"/>
          <w:color w:val="auto"/>
          <w:sz w:val="32"/>
          <w:szCs w:val="32"/>
          <w:lang w:val="en-US" w:eastAsia="en-US" w:bidi="ar-SA"/>
        </w:rPr>
      </w:pPr>
      <w:r>
        <w:rPr>
          <w:rFonts w:hint="eastAsia" w:ascii="楷体_GB2312" w:hAnsi="楷体_GB2312" w:eastAsia="楷体_GB2312" w:cs="楷体_GB2312"/>
          <w:b/>
          <w:bCs/>
          <w:kern w:val="0"/>
          <w:position w:val="3"/>
          <w:sz w:val="32"/>
          <w:szCs w:val="32"/>
          <w:highlight w:val="none"/>
          <w:lang w:val="en-US" w:eastAsia="en-US" w:bidi="ar-SA"/>
        </w:rPr>
        <w:t>（三）绩效结果应用情况。</w:t>
      </w:r>
      <w:r>
        <w:rPr>
          <w:rFonts w:hint="eastAsia" w:ascii="仿宋_GB2312" w:hAnsi="Calibri" w:eastAsia="仿宋_GB2312" w:cs="仿宋"/>
          <w:color w:val="auto"/>
          <w:sz w:val="32"/>
          <w:szCs w:val="32"/>
          <w:lang w:val="en-US" w:eastAsia="en-US" w:bidi="ar-SA"/>
        </w:rPr>
        <w:t>一是在内部应用上，将绩效结果作为预算安排、资金分配、项目管理的重要依据，优先保障绩效优良项目，压减低效无效支出，提升资金使用效益。二是在信息公开上，严格按照财政和政务公开要求，通过政府网站、部门平台等渠道，规范公开部门整体绩效、重点项目绩效及评价结果，做到应公开尽公开，主动接受社会监督。三是在整改反馈上，建立 “评价 — 反馈 — 整改 — 提升“ 闭环机制，及时向相关科室和项目单位通报问题，制定整改措施、明确时限、建立台账、逐项销号。</w:t>
      </w:r>
    </w:p>
    <w:p w14:paraId="22084175">
      <w:pPr>
        <w:pageBreakBefore w:val="0"/>
        <w:widowControl/>
        <w:numPr>
          <w:ilvl w:val="0"/>
          <w:numId w:val="0"/>
        </w:numPr>
        <w:kinsoku/>
        <w:wordWrap/>
        <w:overflowPunct/>
        <w:topLinePunct w:val="0"/>
        <w:autoSpaceDE/>
        <w:autoSpaceDN/>
        <w:bidi w:val="0"/>
        <w:adjustRightInd/>
        <w:spacing w:line="600" w:lineRule="exact"/>
        <w:ind w:firstLine="640" w:firstLineChars="200"/>
        <w:jc w:val="left"/>
        <w:textAlignment w:val="auto"/>
        <w:rPr>
          <w:rFonts w:hint="eastAsia" w:ascii="黑体" w:hAnsi="黑体" w:eastAsia="黑体" w:cs="黑体"/>
          <w:kern w:val="0"/>
          <w:position w:val="3"/>
          <w:sz w:val="32"/>
          <w:szCs w:val="32"/>
          <w:highlight w:val="none"/>
          <w:lang w:val="en-US" w:eastAsia="en-US" w:bidi="ar-SA"/>
        </w:rPr>
      </w:pPr>
      <w:r>
        <w:rPr>
          <w:rFonts w:hint="eastAsia" w:ascii="黑体" w:hAnsi="黑体" w:eastAsia="黑体" w:cs="黑体"/>
          <w:kern w:val="0"/>
          <w:position w:val="3"/>
          <w:sz w:val="32"/>
          <w:szCs w:val="32"/>
          <w:highlight w:val="none"/>
          <w:lang w:val="en-US" w:eastAsia="en-US" w:bidi="ar-SA"/>
        </w:rPr>
        <w:t>四、评价结论及建议</w:t>
      </w:r>
    </w:p>
    <w:p w14:paraId="5DB99792">
      <w:pPr>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3" w:firstLineChars="200"/>
        <w:jc w:val="left"/>
        <w:textAlignment w:val="auto"/>
        <w:rPr>
          <w:rFonts w:hint="eastAsia" w:ascii="仿宋_GB2312" w:hAnsi="Calibri" w:eastAsia="仿宋_GB2312" w:cs="仿宋"/>
          <w:color w:val="auto"/>
          <w:sz w:val="32"/>
          <w:szCs w:val="32"/>
          <w:lang w:val="en-US" w:eastAsia="en-US" w:bidi="ar-SA"/>
        </w:rPr>
      </w:pPr>
      <w:r>
        <w:rPr>
          <w:rFonts w:hint="eastAsia" w:ascii="楷体_GB2312" w:hAnsi="楷体_GB2312" w:eastAsia="楷体_GB2312" w:cs="楷体_GB2312"/>
          <w:b/>
          <w:bCs/>
          <w:kern w:val="0"/>
          <w:position w:val="3"/>
          <w:sz w:val="32"/>
          <w:szCs w:val="32"/>
          <w:highlight w:val="none"/>
          <w:lang w:val="en-US" w:eastAsia="en-US" w:bidi="ar-SA"/>
        </w:rPr>
        <w:t>（一）评价结论。</w:t>
      </w:r>
      <w:r>
        <w:rPr>
          <w:rFonts w:hint="eastAsia" w:ascii="仿宋_GB2312" w:hAnsi="Calibri" w:eastAsia="仿宋_GB2312" w:cs="仿宋"/>
          <w:color w:val="auto"/>
          <w:sz w:val="32"/>
          <w:szCs w:val="32"/>
          <w:lang w:val="en-US" w:eastAsia="en-US" w:bidi="ar-SA"/>
        </w:rPr>
        <w:t>一是本年度，我单位严格按照预算绩效管理要求，全面开展绩效自评工作。预算执行总体规范，资金拨付及时使用合规，严格遵守财经纪律，未发生截留、挤占、挪用等违规问  题，重点工作和履职支出得到有效保障。二是年度绩效目标基本完成，产出、质量、时效、成本等核心指标均达到预期，重点任务稳  步推进，项目实施成效良好。三是自评过程中，进一步完善工作机制，风险防控到位。</w:t>
      </w:r>
    </w:p>
    <w:p w14:paraId="08EC0EFF">
      <w:pPr>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0" w:firstLineChars="200"/>
        <w:jc w:val="both"/>
        <w:textAlignment w:val="auto"/>
        <w:rPr>
          <w:rFonts w:hint="eastAsia" w:ascii="仿宋_GB2312" w:hAnsi="Calibri" w:eastAsia="仿宋_GB2312" w:cs="仿宋"/>
          <w:color w:val="auto"/>
          <w:sz w:val="32"/>
          <w:szCs w:val="32"/>
          <w:lang w:val="en-US" w:eastAsia="en-US" w:bidi="ar-SA"/>
        </w:rPr>
      </w:pPr>
      <w:r>
        <w:rPr>
          <w:rFonts w:hint="eastAsia" w:ascii="仿宋_GB2312" w:hAnsi="Calibri" w:eastAsia="仿宋_GB2312" w:cs="仿宋"/>
          <w:color w:val="auto"/>
          <w:sz w:val="32"/>
          <w:szCs w:val="32"/>
          <w:lang w:val="en-US" w:eastAsia="en-US" w:bidi="ar-SA"/>
        </w:rPr>
        <w:t>部门预算绩效自评围绕年度预算执行、绩效目标完成、资金 使用效益等核心维度开展，总体评价为 93 分。预算执行基本规范，资金使用合规有序，主要绩效目标巳按计划完成，有效保障 了部门各项工作顺利推进，实现了预期社会效益和工作成效。同时，自评也发现预算精细化管理、绩效指标量化设置、固定资产管理等方面存在薄弱环节，后续将针对性整改优化，提升预算绩 效管理水平。</w:t>
      </w:r>
    </w:p>
    <w:p w14:paraId="29B6CDF1">
      <w:pPr>
        <w:keepNext w:val="0"/>
        <w:keepLines w:val="0"/>
        <w:pageBreakBefore w:val="0"/>
        <w:widowControl w:val="0"/>
        <w:kinsoku/>
        <w:wordWrap/>
        <w:overflowPunct/>
        <w:topLinePunct w:val="0"/>
        <w:autoSpaceDE w:val="0"/>
        <w:autoSpaceDN w:val="0"/>
        <w:bidi w:val="0"/>
        <w:adjustRightInd/>
        <w:snapToGrid/>
        <w:spacing w:after="0" w:line="560" w:lineRule="exact"/>
        <w:ind w:left="0" w:right="0" w:firstLine="643" w:firstLineChars="200"/>
        <w:jc w:val="left"/>
        <w:textAlignment w:val="auto"/>
        <w:rPr>
          <w:rFonts w:hint="eastAsia" w:ascii="仿宋_GB2312" w:hAnsi="Calibri" w:eastAsia="仿宋_GB2312" w:cs="仿宋"/>
          <w:color w:val="auto"/>
          <w:sz w:val="32"/>
          <w:szCs w:val="32"/>
          <w:lang w:val="en-US" w:eastAsia="en-US" w:bidi="ar-SA"/>
        </w:rPr>
      </w:pPr>
      <w:r>
        <w:rPr>
          <w:rFonts w:hint="eastAsia" w:ascii="楷体_GB2312" w:hAnsi="楷体_GB2312" w:eastAsia="楷体_GB2312" w:cs="楷体_GB2312"/>
          <w:b/>
          <w:bCs/>
          <w:kern w:val="0"/>
          <w:position w:val="3"/>
          <w:sz w:val="32"/>
          <w:szCs w:val="32"/>
          <w:highlight w:val="none"/>
          <w:lang w:val="en-US" w:eastAsia="en-US" w:bidi="ar-SA"/>
        </w:rPr>
        <w:t>（二）存在问题。</w:t>
      </w:r>
      <w:r>
        <w:rPr>
          <w:rFonts w:hint="eastAsia" w:ascii="仿宋_GB2312" w:hAnsi="Calibri" w:eastAsia="仿宋_GB2312" w:cs="仿宋"/>
          <w:color w:val="auto"/>
          <w:sz w:val="32"/>
          <w:szCs w:val="32"/>
          <w:lang w:val="en-US" w:eastAsia="en-US" w:bidi="ar-SA"/>
        </w:rPr>
        <w:t>一是预算编制不够精准，部分项目预算测算依据不充分，与实际需求匹配度不高，存在执行偏快或偏慢。二是绩效目标设置不够规范，目标不够量化，指标不够细化，部分指标与工作任务衔接不紧密。三是资金使用管理有待加强，资金拨付进度不均衡，存在年底集中支付。四是绩效监控与跟踪不到位：日常绩效跟踪不及时，过程管理薄弱，问题发现和整改不及时。五是自评结果与后续预算安排、项目优化结合不够，整改闭环未完全形成。</w:t>
      </w:r>
    </w:p>
    <w:p w14:paraId="4CA8FB03">
      <w:pPr>
        <w:keepNext w:val="0"/>
        <w:keepLines w:val="0"/>
        <w:pageBreakBefore w:val="0"/>
        <w:widowControl w:val="0"/>
        <w:kinsoku/>
        <w:wordWrap/>
        <w:overflowPunct/>
        <w:topLinePunct w:val="0"/>
        <w:autoSpaceDE w:val="0"/>
        <w:autoSpaceDN w:val="0"/>
        <w:bidi w:val="0"/>
        <w:adjustRightInd/>
        <w:snapToGrid/>
        <w:spacing w:after="0" w:line="560" w:lineRule="exact"/>
        <w:ind w:left="0" w:right="0" w:firstLine="640" w:firstLineChars="200"/>
        <w:jc w:val="left"/>
        <w:textAlignment w:val="auto"/>
        <w:rPr>
          <w:rFonts w:hint="eastAsia" w:ascii="仿宋_GB2312" w:hAnsi="Calibri" w:eastAsia="仿宋_GB2312" w:cs="仿宋"/>
          <w:color w:val="auto"/>
          <w:sz w:val="32"/>
          <w:szCs w:val="32"/>
          <w:lang w:val="en-US" w:eastAsia="en-US" w:bidi="ar-SA"/>
        </w:rPr>
      </w:pPr>
      <w:r>
        <w:rPr>
          <w:rFonts w:hint="eastAsia" w:ascii="楷体_GB2312" w:hAnsi="楷体_GB2312" w:eastAsia="楷体_GB2312" w:cs="楷体_GB2312"/>
          <w:b w:val="0"/>
          <w:bCs w:val="0"/>
          <w:kern w:val="0"/>
          <w:position w:val="3"/>
          <w:sz w:val="32"/>
          <w:szCs w:val="32"/>
          <w:highlight w:val="none"/>
          <w:lang w:val="en-US" w:eastAsia="en-US" w:bidi="ar-SA"/>
        </w:rPr>
        <w:t>（三）改进建议。</w:t>
      </w:r>
      <w:r>
        <w:rPr>
          <w:rFonts w:hint="eastAsia" w:ascii="仿宋_GB2312" w:hAnsi="Calibri" w:eastAsia="仿宋_GB2312" w:cs="仿宋"/>
          <w:color w:val="auto"/>
          <w:sz w:val="32"/>
          <w:szCs w:val="32"/>
          <w:lang w:val="en-US" w:eastAsia="en-US" w:bidi="ar-SA"/>
        </w:rPr>
        <w:t>精准编报预算、规范绩效目标、加快执行资金进度、聚焦主责主业优化配置、强化过程监控、压实责任、加强结果应用，全面提升资金使用效益。</w:t>
      </w:r>
    </w:p>
    <w:p w14:paraId="47FD13AD">
      <w:pPr>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0" w:firstLineChars="200"/>
        <w:jc w:val="left"/>
        <w:textAlignment w:val="auto"/>
        <w:rPr>
          <w:rFonts w:hint="eastAsia" w:ascii="仿宋_GB2312" w:hAnsi="Calibri" w:eastAsia="仿宋_GB2312" w:cs="仿宋"/>
          <w:color w:val="auto"/>
          <w:sz w:val="32"/>
          <w:szCs w:val="32"/>
          <w:lang w:val="en-US" w:eastAsia="en-US" w:bidi="ar-SA"/>
        </w:rPr>
      </w:pPr>
    </w:p>
    <w:p w14:paraId="40E26E96">
      <w:pPr>
        <w:keepNext w:val="0"/>
        <w:keepLines w:val="0"/>
        <w:pageBreakBefore w:val="0"/>
        <w:widowControl w:val="0"/>
        <w:tabs>
          <w:tab w:val="left" w:pos="2747"/>
        </w:tabs>
        <w:kinsoku/>
        <w:wordWrap/>
        <w:overflowPunct/>
        <w:topLinePunct w:val="0"/>
        <w:autoSpaceDE w:val="0"/>
        <w:autoSpaceDN w:val="0"/>
        <w:bidi w:val="0"/>
        <w:adjustRightInd/>
        <w:snapToGrid/>
        <w:spacing w:before="0" w:after="0" w:line="560" w:lineRule="exact"/>
        <w:ind w:left="0" w:right="0" w:firstLine="640" w:firstLineChars="200"/>
        <w:jc w:val="left"/>
        <w:textAlignment w:val="auto"/>
        <w:rPr>
          <w:rFonts w:hint="eastAsia" w:ascii="仿宋_GB2312" w:hAnsi="Calibri" w:eastAsia="仿宋_GB2312" w:cs="仿宋"/>
          <w:color w:val="auto"/>
          <w:sz w:val="32"/>
          <w:szCs w:val="32"/>
          <w:lang w:val="en-US" w:eastAsia="en-US" w:bidi="ar-SA"/>
        </w:rPr>
      </w:pPr>
      <w:r>
        <w:rPr>
          <w:rFonts w:hint="eastAsia" w:ascii="仿宋_GB2312" w:hAnsi="Calibri" w:eastAsia="仿宋_GB2312" w:cs="仿宋"/>
          <w:color w:val="auto"/>
          <w:sz w:val="32"/>
          <w:szCs w:val="32"/>
          <w:lang w:val="en-US" w:eastAsia="en-US" w:bidi="ar-SA"/>
        </w:rPr>
        <w:t>附表</w:t>
      </w:r>
      <w:r>
        <w:rPr>
          <w:rFonts w:hint="eastAsia" w:ascii="仿宋_GB2312" w:hAnsi="Calibri" w:eastAsia="仿宋_GB2312" w:cs="仿宋"/>
          <w:color w:val="auto"/>
          <w:sz w:val="32"/>
          <w:szCs w:val="32"/>
          <w:lang w:val="en-US" w:eastAsia="zh-CN" w:bidi="ar-SA"/>
        </w:rPr>
        <w:t>：</w:t>
      </w:r>
      <w:r>
        <w:rPr>
          <w:rFonts w:hint="eastAsia" w:ascii="仿宋_GB2312" w:hAnsi="Calibri" w:eastAsia="仿宋_GB2312" w:cs="仿宋"/>
          <w:color w:val="auto"/>
          <w:sz w:val="32"/>
          <w:szCs w:val="32"/>
          <w:lang w:val="en-US" w:eastAsia="en-US" w:bidi="ar-SA"/>
        </w:rPr>
        <w:t>1 部门预算绩效自评打分表</w:t>
      </w:r>
    </w:p>
    <w:p w14:paraId="5019282E">
      <w:pPr>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1600" w:firstLineChars="500"/>
        <w:jc w:val="left"/>
        <w:textAlignment w:val="auto"/>
        <w:rPr>
          <w:rFonts w:hint="eastAsia" w:ascii="仿宋_GB2312" w:hAnsi="Calibri" w:eastAsia="仿宋_GB2312" w:cs="仿宋"/>
          <w:color w:val="auto"/>
          <w:sz w:val="32"/>
          <w:szCs w:val="32"/>
          <w:lang w:val="en-US" w:eastAsia="en-US" w:bidi="ar-SA"/>
        </w:rPr>
      </w:pPr>
      <w:r>
        <w:rPr>
          <w:rFonts w:hint="eastAsia" w:ascii="仿宋_GB2312" w:hAnsi="Calibri" w:eastAsia="仿宋_GB2312" w:cs="仿宋"/>
          <w:color w:val="auto"/>
          <w:sz w:val="32"/>
          <w:szCs w:val="32"/>
          <w:lang w:val="en-US" w:eastAsia="en-US" w:bidi="ar-SA"/>
        </w:rPr>
        <w:t>2 部门整体支出绩效目标完成情况自评表</w:t>
      </w:r>
    </w:p>
    <w:p w14:paraId="79B51180">
      <w:pPr>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1600" w:firstLineChars="500"/>
        <w:jc w:val="left"/>
        <w:textAlignment w:val="auto"/>
        <w:rPr>
          <w:rFonts w:hint="eastAsia" w:ascii="仿宋_GB2312" w:hAnsi="Calibri" w:eastAsia="仿宋_GB2312" w:cs="仿宋"/>
          <w:color w:val="auto"/>
          <w:kern w:val="2"/>
          <w:sz w:val="32"/>
          <w:szCs w:val="32"/>
          <w:lang w:val="en-US" w:eastAsia="en-US" w:bidi="ar-SA"/>
        </w:rPr>
      </w:pPr>
      <w:r>
        <w:rPr>
          <w:rFonts w:hint="eastAsia" w:ascii="仿宋_GB2312" w:hAnsi="Calibri" w:eastAsia="仿宋_GB2312" w:cs="仿宋"/>
          <w:color w:val="auto"/>
          <w:kern w:val="2"/>
          <w:sz w:val="32"/>
          <w:szCs w:val="32"/>
          <w:lang w:val="en-US" w:eastAsia="en-US" w:bidi="ar-SA"/>
        </w:rPr>
        <w:t>3 部门预算项目支出绩效评价表（2025 年度）</w:t>
      </w:r>
    </w:p>
    <w:p w14:paraId="731D7028">
      <w:pPr>
        <w:rPr>
          <w:rFonts w:hint="eastAsia" w:ascii="Times New Roman" w:hAnsi="Times New Roman" w:eastAsia="仿宋_GB2312" w:cs="Times New Roman"/>
          <w:kern w:val="2"/>
          <w:sz w:val="32"/>
          <w:szCs w:val="32"/>
          <w:u w:val="none"/>
          <w:lang w:val="zh-CN" w:eastAsia="zh-CN" w:bidi="ar"/>
        </w:rPr>
      </w:pPr>
    </w:p>
    <w:p w14:paraId="3487FDC9">
      <w:pPr>
        <w:rPr>
          <w:rFonts w:hint="eastAsia"/>
          <w:lang w:val="zh-CN" w:eastAsia="zh-CN"/>
        </w:rPr>
        <w:sectPr>
          <w:footerReference r:id="rId7" w:type="default"/>
          <w:pgSz w:w="11906" w:h="16838"/>
          <w:pgMar w:top="1440" w:right="1803" w:bottom="1440" w:left="1803" w:header="851" w:footer="992" w:gutter="0"/>
          <w:pgNumType w:fmt="decimal"/>
          <w:cols w:space="425" w:num="1"/>
          <w:rtlGutter w:val="0"/>
          <w:docGrid w:type="lines" w:linePitch="312" w:charSpace="0"/>
        </w:sectPr>
      </w:pPr>
    </w:p>
    <w:p w14:paraId="45DA06B3">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eastAsia="黑体" w:cs="Times New Roman"/>
          <w:b w:val="0"/>
          <w:bCs w:val="0"/>
          <w:color w:val="auto"/>
          <w:kern w:val="0"/>
          <w:sz w:val="32"/>
          <w:szCs w:val="32"/>
          <w:highlight w:val="none"/>
          <w:u w:val="none"/>
          <w:shd w:val="clear" w:color="auto" w:fill="FFFFFF"/>
          <w:lang w:val="en-US" w:eastAsia="en-US"/>
        </w:rPr>
      </w:pPr>
      <w:r>
        <w:rPr>
          <w:rFonts w:hint="eastAsia" w:ascii="Times New Roman" w:hAnsi="Times New Roman" w:eastAsia="黑体" w:cs="Times New Roman"/>
          <w:b w:val="0"/>
          <w:bCs w:val="0"/>
          <w:color w:val="auto"/>
          <w:kern w:val="0"/>
          <w:sz w:val="32"/>
          <w:szCs w:val="32"/>
          <w:highlight w:val="none"/>
          <w:u w:val="none"/>
          <w:shd w:val="clear" w:color="auto" w:fill="FFFFFF"/>
          <w:lang w:val="en-US" w:eastAsia="en-US"/>
        </w:rPr>
        <w:t>附表 1</w:t>
      </w:r>
    </w:p>
    <w:p w14:paraId="6C0D597C">
      <w:pPr>
        <w:keepNext w:val="0"/>
        <w:keepLines w:val="0"/>
        <w:pageBreakBefore w:val="0"/>
        <w:kinsoku/>
        <w:wordWrap/>
        <w:overflowPunct/>
        <w:topLinePunct w:val="0"/>
        <w:autoSpaceDE/>
        <w:autoSpaceDN/>
        <w:bidi w:val="0"/>
        <w:adjustRightInd/>
        <w:snapToGrid w:val="0"/>
        <w:spacing w:line="240" w:lineRule="auto"/>
        <w:jc w:val="center"/>
        <w:textAlignment w:val="auto"/>
        <w:outlineLvl w:val="9"/>
        <w:rPr>
          <w:rFonts w:hint="eastAsia" w:ascii="Times New Roman" w:hAnsi="Times New Roman" w:eastAsia="黑体" w:cs="Times New Roman"/>
          <w:b w:val="0"/>
          <w:bCs w:val="0"/>
          <w:color w:val="auto"/>
          <w:kern w:val="0"/>
          <w:sz w:val="32"/>
          <w:szCs w:val="32"/>
          <w:highlight w:val="none"/>
          <w:u w:val="none"/>
          <w:shd w:val="clear" w:color="auto" w:fill="FFFFFF"/>
          <w:lang w:val="en-US" w:eastAsia="en-US"/>
        </w:rPr>
      </w:pPr>
    </w:p>
    <w:p w14:paraId="75EB5E57">
      <w:pPr>
        <w:keepNext w:val="0"/>
        <w:keepLines w:val="0"/>
        <w:pageBreakBefore w:val="0"/>
        <w:kinsoku/>
        <w:wordWrap/>
        <w:overflowPunct/>
        <w:topLinePunct w:val="0"/>
        <w:autoSpaceDE/>
        <w:autoSpaceDN/>
        <w:bidi w:val="0"/>
        <w:adjustRightInd/>
        <w:snapToGrid w:val="0"/>
        <w:spacing w:line="240" w:lineRule="auto"/>
        <w:jc w:val="center"/>
        <w:textAlignment w:val="auto"/>
        <w:outlineLvl w:val="9"/>
        <w:rPr>
          <w:rFonts w:hint="eastAsia" w:ascii="Times New Roman" w:hAnsi="Times New Roman" w:eastAsia="黑体" w:cs="Times New Roman"/>
          <w:b w:val="0"/>
          <w:bCs w:val="0"/>
          <w:color w:val="auto"/>
          <w:kern w:val="0"/>
          <w:sz w:val="32"/>
          <w:szCs w:val="32"/>
          <w:highlight w:val="none"/>
          <w:u w:val="none"/>
          <w:shd w:val="clear" w:color="auto" w:fill="FFFFFF"/>
          <w:lang w:val="en-US" w:eastAsia="en-US"/>
        </w:rPr>
      </w:pPr>
    </w:p>
    <w:p w14:paraId="576B288C">
      <w:pPr>
        <w:spacing w:before="75" w:line="208" w:lineRule="auto"/>
        <w:ind w:left="3050"/>
        <w:outlineLvl w:val="0"/>
        <w:rPr>
          <w:rFonts w:ascii="方正小标宋简体" w:hAnsi="方正小标宋简体" w:eastAsia="方正小标宋简体" w:cs="方正小标宋简体"/>
          <w:sz w:val="43"/>
          <w:szCs w:val="43"/>
        </w:rPr>
      </w:pPr>
      <w:r>
        <w:rPr>
          <w:rFonts w:ascii="方正小标宋简体" w:hAnsi="方正小标宋简体" w:eastAsia="方正小标宋简体" w:cs="方正小标宋简体"/>
          <w:spacing w:val="8"/>
          <w:sz w:val="43"/>
          <w:szCs w:val="43"/>
        </w:rPr>
        <w:t>部门预算绩效自评打分表</w:t>
      </w:r>
    </w:p>
    <w:tbl>
      <w:tblPr>
        <w:tblStyle w:val="51"/>
        <w:tblW w:w="1091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01"/>
        <w:gridCol w:w="1200"/>
        <w:gridCol w:w="1928"/>
        <w:gridCol w:w="717"/>
        <w:gridCol w:w="4758"/>
        <w:gridCol w:w="730"/>
        <w:gridCol w:w="483"/>
      </w:tblGrid>
      <w:tr w14:paraId="4D5A22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9" w:hRule="atLeast"/>
        </w:trPr>
        <w:tc>
          <w:tcPr>
            <w:tcW w:w="4946" w:type="dxa"/>
            <w:gridSpan w:val="4"/>
            <w:vAlign w:val="top"/>
          </w:tcPr>
          <w:p w14:paraId="7C795205">
            <w:pPr>
              <w:spacing w:before="7" w:line="178" w:lineRule="auto"/>
              <w:ind w:left="1281"/>
              <w:rPr>
                <w:rFonts w:ascii="黑体" w:hAnsi="黑体" w:eastAsia="黑体" w:cs="黑体"/>
                <w:sz w:val="24"/>
                <w:szCs w:val="24"/>
              </w:rPr>
            </w:pPr>
            <w:r>
              <w:rPr>
                <w:rFonts w:ascii="黑体" w:hAnsi="黑体" w:eastAsia="黑体" w:cs="黑体"/>
                <w:spacing w:val="-2"/>
                <w:sz w:val="24"/>
                <w:szCs w:val="24"/>
              </w:rPr>
              <w:t>绩效评价指标指标分值</w:t>
            </w:r>
          </w:p>
        </w:tc>
        <w:tc>
          <w:tcPr>
            <w:tcW w:w="4758" w:type="dxa"/>
            <w:vMerge w:val="restart"/>
            <w:tcBorders>
              <w:bottom w:val="nil"/>
            </w:tcBorders>
            <w:vAlign w:val="top"/>
          </w:tcPr>
          <w:p w14:paraId="64B1170C">
            <w:pPr>
              <w:spacing w:before="255" w:line="209" w:lineRule="auto"/>
              <w:ind w:left="1906"/>
              <w:rPr>
                <w:rFonts w:ascii="黑体" w:hAnsi="黑体" w:eastAsia="黑体" w:cs="黑体"/>
                <w:sz w:val="24"/>
                <w:szCs w:val="24"/>
              </w:rPr>
            </w:pPr>
            <w:r>
              <w:rPr>
                <w:rFonts w:ascii="黑体" w:hAnsi="黑体" w:eastAsia="黑体" w:cs="黑体"/>
                <w:spacing w:val="-3"/>
                <w:sz w:val="24"/>
                <w:szCs w:val="24"/>
              </w:rPr>
              <w:t>指标解释</w:t>
            </w:r>
          </w:p>
        </w:tc>
        <w:tc>
          <w:tcPr>
            <w:tcW w:w="730" w:type="dxa"/>
            <w:vMerge w:val="restart"/>
            <w:tcBorders>
              <w:bottom w:val="nil"/>
            </w:tcBorders>
            <w:vAlign w:val="top"/>
          </w:tcPr>
          <w:p w14:paraId="11DFF88E">
            <w:pPr>
              <w:spacing w:before="137" w:line="196" w:lineRule="auto"/>
              <w:ind w:left="136" w:right="118" w:firstLine="29"/>
              <w:rPr>
                <w:rFonts w:ascii="黑体" w:hAnsi="黑体" w:eastAsia="黑体" w:cs="黑体"/>
                <w:sz w:val="24"/>
                <w:szCs w:val="24"/>
              </w:rPr>
            </w:pPr>
            <w:r>
              <w:rPr>
                <w:rFonts w:ascii="黑体" w:hAnsi="黑体" w:eastAsia="黑体" w:cs="黑体"/>
                <w:spacing w:val="-20"/>
                <w:sz w:val="24"/>
                <w:szCs w:val="24"/>
              </w:rPr>
              <w:t>自评</w:t>
            </w:r>
            <w:r>
              <w:rPr>
                <w:rFonts w:ascii="黑体" w:hAnsi="黑体" w:eastAsia="黑体" w:cs="黑体"/>
                <w:spacing w:val="-6"/>
                <w:sz w:val="24"/>
                <w:szCs w:val="24"/>
              </w:rPr>
              <w:t>得分</w:t>
            </w:r>
          </w:p>
        </w:tc>
        <w:tc>
          <w:tcPr>
            <w:tcW w:w="483" w:type="dxa"/>
            <w:vMerge w:val="restart"/>
            <w:tcBorders>
              <w:bottom w:val="nil"/>
            </w:tcBorders>
            <w:vAlign w:val="top"/>
          </w:tcPr>
          <w:p w14:paraId="5A2B6508">
            <w:pPr>
              <w:spacing w:before="134" w:line="197" w:lineRule="auto"/>
              <w:ind w:left="130" w:right="119" w:hanging="2"/>
              <w:rPr>
                <w:rFonts w:ascii="黑体" w:hAnsi="黑体" w:eastAsia="黑体" w:cs="黑体"/>
                <w:sz w:val="24"/>
                <w:szCs w:val="24"/>
              </w:rPr>
            </w:pPr>
            <w:r>
              <w:rPr>
                <w:rFonts w:ascii="黑体" w:hAnsi="黑体" w:eastAsia="黑体" w:cs="黑体"/>
                <w:spacing w:val="-10"/>
                <w:sz w:val="24"/>
                <w:szCs w:val="24"/>
              </w:rPr>
              <w:t>备</w:t>
            </w:r>
            <w:r>
              <w:rPr>
                <w:rFonts w:ascii="黑体" w:hAnsi="黑体" w:eastAsia="黑体" w:cs="黑体"/>
                <w:spacing w:val="-13"/>
                <w:sz w:val="24"/>
                <w:szCs w:val="24"/>
              </w:rPr>
              <w:t>注</w:t>
            </w:r>
          </w:p>
        </w:tc>
      </w:tr>
      <w:tr w14:paraId="6B38A9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1101" w:type="dxa"/>
            <w:vAlign w:val="top"/>
          </w:tcPr>
          <w:p w14:paraId="1760B92B">
            <w:pPr>
              <w:spacing w:before="12" w:line="178" w:lineRule="auto"/>
              <w:ind w:left="432" w:right="187" w:hanging="231"/>
              <w:rPr>
                <w:rFonts w:ascii="黑体" w:hAnsi="黑体" w:eastAsia="黑体" w:cs="黑体"/>
                <w:sz w:val="24"/>
                <w:szCs w:val="24"/>
              </w:rPr>
            </w:pPr>
            <w:r>
              <w:rPr>
                <w:rFonts w:ascii="黑体" w:hAnsi="黑体" w:eastAsia="黑体" w:cs="黑体"/>
                <w:spacing w:val="-5"/>
                <w:sz w:val="24"/>
                <w:szCs w:val="24"/>
              </w:rPr>
              <w:t>一级指</w:t>
            </w:r>
            <w:r>
              <w:rPr>
                <w:rFonts w:ascii="黑体" w:hAnsi="黑体" w:eastAsia="黑体" w:cs="黑体"/>
                <w:sz w:val="24"/>
                <w:szCs w:val="24"/>
              </w:rPr>
              <w:t>标</w:t>
            </w:r>
          </w:p>
        </w:tc>
        <w:tc>
          <w:tcPr>
            <w:tcW w:w="1200" w:type="dxa"/>
            <w:vAlign w:val="top"/>
          </w:tcPr>
          <w:p w14:paraId="1CA1F2FC">
            <w:pPr>
              <w:spacing w:before="130" w:line="205" w:lineRule="auto"/>
              <w:ind w:left="127"/>
              <w:rPr>
                <w:rFonts w:ascii="黑体" w:hAnsi="黑体" w:eastAsia="黑体" w:cs="黑体"/>
                <w:sz w:val="24"/>
                <w:szCs w:val="24"/>
              </w:rPr>
            </w:pPr>
            <w:r>
              <w:rPr>
                <w:rFonts w:ascii="黑体" w:hAnsi="黑体" w:eastAsia="黑体" w:cs="黑体"/>
                <w:spacing w:val="-4"/>
                <w:sz w:val="24"/>
                <w:szCs w:val="24"/>
              </w:rPr>
              <w:t>二级指标</w:t>
            </w:r>
          </w:p>
        </w:tc>
        <w:tc>
          <w:tcPr>
            <w:tcW w:w="1928" w:type="dxa"/>
            <w:vAlign w:val="top"/>
          </w:tcPr>
          <w:p w14:paraId="44D8A3EF">
            <w:pPr>
              <w:spacing w:before="130" w:line="205" w:lineRule="auto"/>
              <w:ind w:left="496"/>
              <w:rPr>
                <w:rFonts w:ascii="黑体" w:hAnsi="黑体" w:eastAsia="黑体" w:cs="黑体"/>
                <w:sz w:val="24"/>
                <w:szCs w:val="24"/>
              </w:rPr>
            </w:pPr>
            <w:r>
              <w:rPr>
                <w:rFonts w:ascii="黑体" w:hAnsi="黑体" w:eastAsia="黑体" w:cs="黑体"/>
                <w:spacing w:val="-4"/>
                <w:sz w:val="24"/>
                <w:szCs w:val="24"/>
              </w:rPr>
              <w:t>三级指标</w:t>
            </w:r>
          </w:p>
        </w:tc>
        <w:tc>
          <w:tcPr>
            <w:tcW w:w="717" w:type="dxa"/>
            <w:vAlign w:val="top"/>
          </w:tcPr>
          <w:p w14:paraId="012EBA52">
            <w:pPr>
              <w:spacing w:before="10" w:line="185" w:lineRule="auto"/>
              <w:ind w:left="125"/>
              <w:rPr>
                <w:rFonts w:ascii="黑体" w:hAnsi="黑体" w:eastAsia="黑体" w:cs="黑体"/>
                <w:sz w:val="24"/>
                <w:szCs w:val="24"/>
              </w:rPr>
            </w:pPr>
            <w:r>
              <w:rPr>
                <w:rFonts w:ascii="黑体" w:hAnsi="黑体" w:eastAsia="黑体" w:cs="黑体"/>
                <w:spacing w:val="-5"/>
                <w:sz w:val="24"/>
                <w:szCs w:val="24"/>
              </w:rPr>
              <w:t>指标</w:t>
            </w:r>
          </w:p>
          <w:p w14:paraId="6396237D">
            <w:pPr>
              <w:spacing w:line="172" w:lineRule="auto"/>
              <w:ind w:left="131"/>
              <w:rPr>
                <w:rFonts w:ascii="黑体" w:hAnsi="黑体" w:eastAsia="黑体" w:cs="黑体"/>
                <w:sz w:val="24"/>
                <w:szCs w:val="24"/>
              </w:rPr>
            </w:pPr>
            <w:r>
              <w:rPr>
                <w:rFonts w:ascii="黑体" w:hAnsi="黑体" w:eastAsia="黑体" w:cs="黑体"/>
                <w:spacing w:val="-8"/>
                <w:sz w:val="24"/>
                <w:szCs w:val="24"/>
              </w:rPr>
              <w:t>分值</w:t>
            </w:r>
          </w:p>
        </w:tc>
        <w:tc>
          <w:tcPr>
            <w:tcW w:w="4758" w:type="dxa"/>
            <w:vMerge w:val="continue"/>
            <w:tcBorders>
              <w:top w:val="nil"/>
            </w:tcBorders>
            <w:vAlign w:val="top"/>
          </w:tcPr>
          <w:p w14:paraId="1AE494D6">
            <w:pPr>
              <w:pStyle w:val="52"/>
            </w:pPr>
          </w:p>
        </w:tc>
        <w:tc>
          <w:tcPr>
            <w:tcW w:w="730" w:type="dxa"/>
            <w:vMerge w:val="continue"/>
            <w:tcBorders>
              <w:top w:val="nil"/>
            </w:tcBorders>
            <w:vAlign w:val="top"/>
          </w:tcPr>
          <w:p w14:paraId="212E65F7">
            <w:pPr>
              <w:pStyle w:val="52"/>
            </w:pPr>
          </w:p>
        </w:tc>
        <w:tc>
          <w:tcPr>
            <w:tcW w:w="483" w:type="dxa"/>
            <w:vMerge w:val="continue"/>
            <w:tcBorders>
              <w:top w:val="nil"/>
            </w:tcBorders>
            <w:vAlign w:val="top"/>
          </w:tcPr>
          <w:p w14:paraId="1E82EA05">
            <w:pPr>
              <w:pStyle w:val="52"/>
            </w:pPr>
          </w:p>
        </w:tc>
      </w:tr>
      <w:tr w14:paraId="37A0EB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1101" w:type="dxa"/>
            <w:vMerge w:val="restart"/>
            <w:tcBorders>
              <w:bottom w:val="nil"/>
            </w:tcBorders>
            <w:vAlign w:val="top"/>
          </w:tcPr>
          <w:p w14:paraId="0E500FB0">
            <w:pPr>
              <w:pStyle w:val="52"/>
              <w:spacing w:line="263" w:lineRule="auto"/>
            </w:pPr>
          </w:p>
          <w:p w14:paraId="336FD834">
            <w:pPr>
              <w:pStyle w:val="52"/>
              <w:spacing w:line="264" w:lineRule="auto"/>
            </w:pPr>
          </w:p>
          <w:p w14:paraId="37D0D422">
            <w:pPr>
              <w:pStyle w:val="52"/>
              <w:spacing w:line="264" w:lineRule="auto"/>
            </w:pPr>
          </w:p>
          <w:p w14:paraId="49375357">
            <w:pPr>
              <w:pStyle w:val="52"/>
              <w:spacing w:line="264" w:lineRule="auto"/>
            </w:pPr>
          </w:p>
          <w:p w14:paraId="7F45861E">
            <w:pPr>
              <w:pStyle w:val="52"/>
              <w:spacing w:line="264" w:lineRule="auto"/>
            </w:pPr>
          </w:p>
          <w:p w14:paraId="1C87D67A">
            <w:pPr>
              <w:pStyle w:val="52"/>
              <w:spacing w:line="264" w:lineRule="auto"/>
            </w:pPr>
          </w:p>
          <w:p w14:paraId="4866E376">
            <w:pPr>
              <w:pStyle w:val="52"/>
              <w:spacing w:line="264" w:lineRule="auto"/>
            </w:pPr>
          </w:p>
          <w:p w14:paraId="03A03299">
            <w:pPr>
              <w:pStyle w:val="52"/>
              <w:spacing w:line="264" w:lineRule="auto"/>
            </w:pPr>
          </w:p>
          <w:p w14:paraId="0DE3949A">
            <w:pPr>
              <w:pStyle w:val="52"/>
              <w:spacing w:line="264" w:lineRule="auto"/>
            </w:pPr>
          </w:p>
          <w:p w14:paraId="23BED447">
            <w:pPr>
              <w:pStyle w:val="52"/>
              <w:spacing w:before="78" w:line="196" w:lineRule="auto"/>
              <w:ind w:left="201" w:right="187"/>
              <w:jc w:val="both"/>
              <w:rPr>
                <w:rFonts w:ascii="宋体" w:hAnsi="宋体" w:eastAsia="宋体" w:cs="宋体"/>
                <w:sz w:val="24"/>
                <w:szCs w:val="24"/>
              </w:rPr>
            </w:pPr>
            <w:r>
              <w:rPr>
                <w:rFonts w:ascii="宋体" w:hAnsi="宋体" w:eastAsia="宋体" w:cs="宋体"/>
                <w:b/>
                <w:bCs/>
                <w:spacing w:val="-7"/>
                <w:sz w:val="24"/>
                <w:szCs w:val="24"/>
              </w:rPr>
              <w:t>总体绩</w:t>
            </w:r>
            <w:r>
              <w:rPr>
                <w:rFonts w:ascii="宋体" w:hAnsi="宋体" w:eastAsia="宋体" w:cs="宋体"/>
                <w:b/>
                <w:bCs/>
                <w:spacing w:val="-12"/>
                <w:sz w:val="24"/>
                <w:szCs w:val="24"/>
              </w:rPr>
              <w:t>效（</w:t>
            </w:r>
            <w:r>
              <w:rPr>
                <w:b/>
                <w:bCs/>
                <w:spacing w:val="-12"/>
                <w:sz w:val="24"/>
                <w:szCs w:val="24"/>
              </w:rPr>
              <w:t>65</w:t>
            </w:r>
            <w:r>
              <w:rPr>
                <w:rFonts w:ascii="宋体" w:hAnsi="宋体" w:eastAsia="宋体" w:cs="宋体"/>
                <w:b/>
                <w:bCs/>
                <w:spacing w:val="49"/>
                <w:sz w:val="24"/>
                <w:szCs w:val="24"/>
              </w:rPr>
              <w:t>分）</w:t>
            </w:r>
          </w:p>
        </w:tc>
        <w:tc>
          <w:tcPr>
            <w:tcW w:w="1200" w:type="dxa"/>
            <w:vAlign w:val="top"/>
          </w:tcPr>
          <w:p w14:paraId="1C171931">
            <w:pPr>
              <w:pStyle w:val="52"/>
              <w:spacing w:before="1" w:line="182" w:lineRule="auto"/>
              <w:ind w:left="118" w:right="85" w:firstLine="9"/>
              <w:rPr>
                <w:rFonts w:ascii="宋体" w:hAnsi="宋体" w:eastAsia="宋体" w:cs="宋体"/>
                <w:sz w:val="24"/>
                <w:szCs w:val="24"/>
              </w:rPr>
            </w:pPr>
            <w:r>
              <w:rPr>
                <w:rFonts w:ascii="宋体" w:hAnsi="宋体" w:eastAsia="宋体" w:cs="宋体"/>
                <w:b/>
                <w:bCs/>
                <w:spacing w:val="-6"/>
                <w:sz w:val="24"/>
                <w:szCs w:val="24"/>
              </w:rPr>
              <w:t>履职效能</w:t>
            </w:r>
            <w:r>
              <w:rPr>
                <w:rFonts w:ascii="宋体" w:hAnsi="宋体" w:eastAsia="宋体" w:cs="宋体"/>
                <w:b/>
                <w:bCs/>
                <w:spacing w:val="-16"/>
                <w:sz w:val="24"/>
                <w:szCs w:val="24"/>
              </w:rPr>
              <w:t>（</w:t>
            </w:r>
            <w:r>
              <w:rPr>
                <w:b/>
                <w:bCs/>
                <w:spacing w:val="-16"/>
                <w:sz w:val="24"/>
                <w:szCs w:val="24"/>
              </w:rPr>
              <w:t>15</w:t>
            </w:r>
            <w:r>
              <w:rPr>
                <w:b/>
                <w:bCs/>
                <w:spacing w:val="8"/>
                <w:sz w:val="24"/>
                <w:szCs w:val="24"/>
              </w:rPr>
              <w:t xml:space="preserve"> </w:t>
            </w:r>
            <w:r>
              <w:rPr>
                <w:rFonts w:ascii="宋体" w:hAnsi="宋体" w:eastAsia="宋体" w:cs="宋体"/>
                <w:b/>
                <w:bCs/>
                <w:spacing w:val="-16"/>
                <w:sz w:val="24"/>
                <w:szCs w:val="24"/>
              </w:rPr>
              <w:t>分）</w:t>
            </w:r>
          </w:p>
        </w:tc>
        <w:tc>
          <w:tcPr>
            <w:tcW w:w="1928" w:type="dxa"/>
            <w:vAlign w:val="top"/>
          </w:tcPr>
          <w:p w14:paraId="012BD94B">
            <w:pPr>
              <w:pStyle w:val="52"/>
              <w:spacing w:before="121" w:line="220" w:lineRule="auto"/>
              <w:ind w:left="279"/>
              <w:rPr>
                <w:rFonts w:ascii="宋体" w:hAnsi="宋体" w:eastAsia="宋体" w:cs="宋体"/>
                <w:sz w:val="24"/>
                <w:szCs w:val="24"/>
              </w:rPr>
            </w:pPr>
            <w:r>
              <w:rPr>
                <w:sz w:val="24"/>
                <w:szCs w:val="24"/>
              </w:rPr>
              <w:t>XX</w:t>
            </w:r>
            <w:r>
              <w:rPr>
                <w:spacing w:val="3"/>
                <w:sz w:val="24"/>
                <w:szCs w:val="24"/>
              </w:rPr>
              <w:t xml:space="preserve"> </w:t>
            </w:r>
            <w:r>
              <w:rPr>
                <w:rFonts w:ascii="宋体" w:hAnsi="宋体" w:eastAsia="宋体" w:cs="宋体"/>
                <w:spacing w:val="3"/>
                <w:sz w:val="24"/>
                <w:szCs w:val="24"/>
              </w:rPr>
              <w:t>履职效果</w:t>
            </w:r>
          </w:p>
        </w:tc>
        <w:tc>
          <w:tcPr>
            <w:tcW w:w="717" w:type="dxa"/>
            <w:vAlign w:val="top"/>
          </w:tcPr>
          <w:p w14:paraId="03D62117">
            <w:pPr>
              <w:pStyle w:val="52"/>
              <w:spacing w:before="163" w:line="187" w:lineRule="auto"/>
              <w:ind w:left="264"/>
              <w:rPr>
                <w:sz w:val="24"/>
                <w:szCs w:val="24"/>
              </w:rPr>
            </w:pPr>
            <w:r>
              <w:rPr>
                <w:spacing w:val="-21"/>
                <w:sz w:val="24"/>
                <w:szCs w:val="24"/>
              </w:rPr>
              <w:t>15</w:t>
            </w:r>
          </w:p>
        </w:tc>
        <w:tc>
          <w:tcPr>
            <w:tcW w:w="4758" w:type="dxa"/>
            <w:vAlign w:val="top"/>
          </w:tcPr>
          <w:p w14:paraId="3B071E0F">
            <w:pPr>
              <w:pStyle w:val="52"/>
              <w:spacing w:before="1" w:line="182" w:lineRule="auto"/>
              <w:ind w:left="115" w:right="127" w:firstLine="1"/>
              <w:rPr>
                <w:rFonts w:ascii="宋体" w:hAnsi="宋体" w:eastAsia="宋体" w:cs="宋体"/>
                <w:sz w:val="24"/>
                <w:szCs w:val="24"/>
              </w:rPr>
            </w:pPr>
            <w:r>
              <w:rPr>
                <w:rFonts w:ascii="宋体" w:hAnsi="宋体" w:eastAsia="宋体" w:cs="宋体"/>
                <w:spacing w:val="-3"/>
                <w:sz w:val="24"/>
                <w:szCs w:val="24"/>
              </w:rPr>
              <w:t>部门整体绩效目标中选定</w:t>
            </w:r>
            <w:r>
              <w:rPr>
                <w:rFonts w:ascii="宋体" w:hAnsi="宋体" w:eastAsia="宋体" w:cs="宋体"/>
                <w:spacing w:val="-45"/>
                <w:sz w:val="24"/>
                <w:szCs w:val="24"/>
              </w:rPr>
              <w:t xml:space="preserve"> </w:t>
            </w:r>
            <w:r>
              <w:rPr>
                <w:spacing w:val="-3"/>
                <w:sz w:val="24"/>
                <w:szCs w:val="24"/>
              </w:rPr>
              <w:t xml:space="preserve">3-5 </w:t>
            </w:r>
            <w:r>
              <w:rPr>
                <w:rFonts w:ascii="宋体" w:hAnsi="宋体" w:eastAsia="宋体" w:cs="宋体"/>
                <w:spacing w:val="-3"/>
                <w:sz w:val="24"/>
                <w:szCs w:val="24"/>
              </w:rPr>
              <w:t>个核心职能目</w:t>
            </w:r>
            <w:r>
              <w:rPr>
                <w:rFonts w:ascii="宋体" w:hAnsi="宋体" w:eastAsia="宋体" w:cs="宋体"/>
                <w:spacing w:val="-1"/>
                <w:sz w:val="24"/>
                <w:szCs w:val="24"/>
              </w:rPr>
              <w:t>标，反映该项职能目标完成效果情况</w:t>
            </w:r>
          </w:p>
        </w:tc>
        <w:tc>
          <w:tcPr>
            <w:tcW w:w="730" w:type="dxa"/>
            <w:vAlign w:val="top"/>
          </w:tcPr>
          <w:p w14:paraId="20B61690">
            <w:pPr>
              <w:pStyle w:val="52"/>
              <w:spacing w:before="163" w:line="187" w:lineRule="auto"/>
              <w:ind w:left="137"/>
              <w:rPr>
                <w:sz w:val="24"/>
                <w:szCs w:val="24"/>
              </w:rPr>
            </w:pPr>
            <w:r>
              <w:rPr>
                <w:spacing w:val="-21"/>
                <w:sz w:val="24"/>
                <w:szCs w:val="24"/>
              </w:rPr>
              <w:t>14</w:t>
            </w:r>
          </w:p>
        </w:tc>
        <w:tc>
          <w:tcPr>
            <w:tcW w:w="483" w:type="dxa"/>
            <w:vAlign w:val="top"/>
          </w:tcPr>
          <w:p w14:paraId="291F4923">
            <w:pPr>
              <w:pStyle w:val="52"/>
            </w:pPr>
          </w:p>
        </w:tc>
      </w:tr>
      <w:tr w14:paraId="1560EF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1101" w:type="dxa"/>
            <w:vMerge w:val="continue"/>
            <w:tcBorders>
              <w:top w:val="nil"/>
              <w:bottom w:val="nil"/>
            </w:tcBorders>
            <w:vAlign w:val="top"/>
          </w:tcPr>
          <w:p w14:paraId="2693F49E">
            <w:pPr>
              <w:pStyle w:val="52"/>
            </w:pPr>
          </w:p>
        </w:tc>
        <w:tc>
          <w:tcPr>
            <w:tcW w:w="1200" w:type="dxa"/>
            <w:vMerge w:val="restart"/>
            <w:tcBorders>
              <w:bottom w:val="nil"/>
            </w:tcBorders>
            <w:vAlign w:val="top"/>
          </w:tcPr>
          <w:p w14:paraId="3CEA5888">
            <w:pPr>
              <w:pStyle w:val="52"/>
              <w:spacing w:line="259" w:lineRule="auto"/>
            </w:pPr>
          </w:p>
          <w:p w14:paraId="6549A059">
            <w:pPr>
              <w:pStyle w:val="52"/>
              <w:spacing w:line="259" w:lineRule="auto"/>
            </w:pPr>
          </w:p>
          <w:p w14:paraId="6C1FDA0A">
            <w:pPr>
              <w:pStyle w:val="52"/>
              <w:spacing w:line="260" w:lineRule="auto"/>
            </w:pPr>
          </w:p>
          <w:p w14:paraId="485C5859">
            <w:pPr>
              <w:pStyle w:val="52"/>
              <w:spacing w:before="78" w:line="202" w:lineRule="auto"/>
              <w:ind w:left="118" w:right="85" w:firstLine="7"/>
              <w:rPr>
                <w:rFonts w:ascii="宋体" w:hAnsi="宋体" w:eastAsia="宋体" w:cs="宋体"/>
                <w:sz w:val="24"/>
                <w:szCs w:val="24"/>
              </w:rPr>
            </w:pPr>
            <w:r>
              <w:rPr>
                <w:rFonts w:ascii="宋体" w:hAnsi="宋体" w:eastAsia="宋体" w:cs="宋体"/>
                <w:b/>
                <w:bCs/>
                <w:spacing w:val="-5"/>
                <w:sz w:val="24"/>
                <w:szCs w:val="24"/>
              </w:rPr>
              <w:t>预算管理</w:t>
            </w:r>
            <w:r>
              <w:rPr>
                <w:rFonts w:ascii="宋体" w:hAnsi="宋体" w:eastAsia="宋体" w:cs="宋体"/>
                <w:b/>
                <w:bCs/>
                <w:spacing w:val="-16"/>
                <w:sz w:val="24"/>
                <w:szCs w:val="24"/>
              </w:rPr>
              <w:t>（</w:t>
            </w:r>
            <w:r>
              <w:rPr>
                <w:b/>
                <w:bCs/>
                <w:spacing w:val="-16"/>
                <w:sz w:val="24"/>
                <w:szCs w:val="24"/>
              </w:rPr>
              <w:t>25</w:t>
            </w:r>
            <w:r>
              <w:rPr>
                <w:b/>
                <w:bCs/>
                <w:spacing w:val="8"/>
                <w:sz w:val="24"/>
                <w:szCs w:val="24"/>
              </w:rPr>
              <w:t xml:space="preserve"> </w:t>
            </w:r>
            <w:r>
              <w:rPr>
                <w:rFonts w:ascii="宋体" w:hAnsi="宋体" w:eastAsia="宋体" w:cs="宋体"/>
                <w:b/>
                <w:bCs/>
                <w:spacing w:val="-16"/>
                <w:sz w:val="24"/>
                <w:szCs w:val="24"/>
              </w:rPr>
              <w:t>分）</w:t>
            </w:r>
          </w:p>
        </w:tc>
        <w:tc>
          <w:tcPr>
            <w:tcW w:w="1928" w:type="dxa"/>
            <w:vAlign w:val="top"/>
          </w:tcPr>
          <w:p w14:paraId="2B542D36">
            <w:pPr>
              <w:spacing w:before="121" w:line="219" w:lineRule="auto"/>
              <w:ind w:left="253"/>
              <w:rPr>
                <w:rFonts w:ascii="宋体" w:hAnsi="宋体" w:eastAsia="宋体" w:cs="宋体"/>
                <w:sz w:val="24"/>
                <w:szCs w:val="24"/>
              </w:rPr>
            </w:pPr>
            <w:r>
              <w:rPr>
                <w:rFonts w:ascii="宋体" w:hAnsi="宋体" w:eastAsia="宋体" w:cs="宋体"/>
                <w:spacing w:val="-2"/>
                <w:sz w:val="24"/>
                <w:szCs w:val="24"/>
              </w:rPr>
              <w:t>预算编制质量</w:t>
            </w:r>
          </w:p>
        </w:tc>
        <w:tc>
          <w:tcPr>
            <w:tcW w:w="717" w:type="dxa"/>
            <w:vAlign w:val="top"/>
          </w:tcPr>
          <w:p w14:paraId="7C988B2C">
            <w:pPr>
              <w:pStyle w:val="52"/>
              <w:spacing w:before="162" w:line="187" w:lineRule="auto"/>
              <w:ind w:left="311"/>
              <w:rPr>
                <w:sz w:val="24"/>
                <w:szCs w:val="24"/>
              </w:rPr>
            </w:pPr>
            <w:r>
              <w:rPr>
                <w:sz w:val="24"/>
                <w:szCs w:val="24"/>
              </w:rPr>
              <w:t>8</w:t>
            </w:r>
          </w:p>
        </w:tc>
        <w:tc>
          <w:tcPr>
            <w:tcW w:w="4758" w:type="dxa"/>
            <w:vAlign w:val="top"/>
          </w:tcPr>
          <w:p w14:paraId="0E79C529">
            <w:pPr>
              <w:spacing w:before="1" w:line="182" w:lineRule="auto"/>
              <w:ind w:left="113" w:right="101" w:firstLine="3"/>
              <w:rPr>
                <w:rFonts w:ascii="宋体" w:hAnsi="宋体" w:eastAsia="宋体" w:cs="宋体"/>
                <w:sz w:val="24"/>
                <w:szCs w:val="24"/>
              </w:rPr>
            </w:pPr>
            <w:r>
              <w:rPr>
                <w:rFonts w:ascii="宋体" w:hAnsi="宋体" w:eastAsia="宋体" w:cs="宋体"/>
                <w:spacing w:val="-2"/>
                <w:sz w:val="24"/>
                <w:szCs w:val="24"/>
              </w:rPr>
              <w:t>部门是否严格按要求编制年初部门预算，年</w:t>
            </w:r>
            <w:r>
              <w:rPr>
                <w:rFonts w:ascii="宋体" w:hAnsi="宋体" w:eastAsia="宋体" w:cs="宋体"/>
                <w:spacing w:val="-1"/>
                <w:sz w:val="24"/>
                <w:szCs w:val="24"/>
              </w:rPr>
              <w:t>初预算编制的科学性和准确性</w:t>
            </w:r>
          </w:p>
        </w:tc>
        <w:tc>
          <w:tcPr>
            <w:tcW w:w="730" w:type="dxa"/>
            <w:vAlign w:val="top"/>
          </w:tcPr>
          <w:p w14:paraId="79200ED2">
            <w:pPr>
              <w:pStyle w:val="52"/>
              <w:spacing w:before="166" w:line="187" w:lineRule="auto"/>
              <w:ind w:left="118"/>
              <w:rPr>
                <w:sz w:val="24"/>
                <w:szCs w:val="24"/>
              </w:rPr>
            </w:pPr>
            <w:r>
              <w:rPr>
                <w:sz w:val="24"/>
                <w:szCs w:val="24"/>
              </w:rPr>
              <w:t>7</w:t>
            </w:r>
          </w:p>
        </w:tc>
        <w:tc>
          <w:tcPr>
            <w:tcW w:w="483" w:type="dxa"/>
            <w:vAlign w:val="top"/>
          </w:tcPr>
          <w:p w14:paraId="72C9797B">
            <w:pPr>
              <w:pStyle w:val="52"/>
            </w:pPr>
          </w:p>
        </w:tc>
      </w:tr>
      <w:tr w14:paraId="61FF84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5" w:hRule="atLeast"/>
        </w:trPr>
        <w:tc>
          <w:tcPr>
            <w:tcW w:w="1101" w:type="dxa"/>
            <w:vMerge w:val="continue"/>
            <w:tcBorders>
              <w:top w:val="nil"/>
              <w:bottom w:val="nil"/>
            </w:tcBorders>
            <w:vAlign w:val="top"/>
          </w:tcPr>
          <w:p w14:paraId="29EB27EE">
            <w:pPr>
              <w:pStyle w:val="52"/>
            </w:pPr>
          </w:p>
        </w:tc>
        <w:tc>
          <w:tcPr>
            <w:tcW w:w="1200" w:type="dxa"/>
            <w:vMerge w:val="continue"/>
            <w:tcBorders>
              <w:top w:val="nil"/>
              <w:bottom w:val="nil"/>
            </w:tcBorders>
            <w:vAlign w:val="top"/>
          </w:tcPr>
          <w:p w14:paraId="43A276B7">
            <w:pPr>
              <w:pStyle w:val="52"/>
            </w:pPr>
          </w:p>
        </w:tc>
        <w:tc>
          <w:tcPr>
            <w:tcW w:w="1928" w:type="dxa"/>
            <w:vAlign w:val="top"/>
          </w:tcPr>
          <w:p w14:paraId="14802AB6">
            <w:pPr>
              <w:spacing w:before="1" w:line="180" w:lineRule="auto"/>
              <w:ind w:left="253"/>
              <w:rPr>
                <w:rFonts w:ascii="宋体" w:hAnsi="宋体" w:eastAsia="宋体" w:cs="宋体"/>
                <w:sz w:val="24"/>
                <w:szCs w:val="24"/>
              </w:rPr>
            </w:pPr>
            <w:r>
              <w:rPr>
                <w:rFonts w:ascii="宋体" w:hAnsi="宋体" w:eastAsia="宋体" w:cs="宋体"/>
                <w:spacing w:val="-2"/>
                <w:sz w:val="24"/>
                <w:szCs w:val="24"/>
              </w:rPr>
              <w:t>单位收入统筹</w:t>
            </w:r>
          </w:p>
        </w:tc>
        <w:tc>
          <w:tcPr>
            <w:tcW w:w="717" w:type="dxa"/>
            <w:vAlign w:val="top"/>
          </w:tcPr>
          <w:p w14:paraId="6495B31A">
            <w:pPr>
              <w:pStyle w:val="52"/>
              <w:spacing w:before="41" w:line="168" w:lineRule="auto"/>
              <w:ind w:left="300"/>
              <w:rPr>
                <w:sz w:val="24"/>
                <w:szCs w:val="24"/>
              </w:rPr>
            </w:pPr>
            <w:r>
              <w:rPr>
                <w:sz w:val="24"/>
                <w:szCs w:val="24"/>
              </w:rPr>
              <w:t>4</w:t>
            </w:r>
          </w:p>
        </w:tc>
        <w:tc>
          <w:tcPr>
            <w:tcW w:w="4758" w:type="dxa"/>
            <w:vAlign w:val="top"/>
          </w:tcPr>
          <w:p w14:paraId="7698FBFF">
            <w:pPr>
              <w:spacing w:before="1" w:line="180" w:lineRule="auto"/>
              <w:ind w:left="117"/>
              <w:rPr>
                <w:rFonts w:ascii="宋体" w:hAnsi="宋体" w:eastAsia="宋体" w:cs="宋体"/>
                <w:sz w:val="24"/>
                <w:szCs w:val="24"/>
              </w:rPr>
            </w:pPr>
            <w:r>
              <w:rPr>
                <w:rFonts w:ascii="宋体" w:hAnsi="宋体" w:eastAsia="宋体" w:cs="宋体"/>
                <w:spacing w:val="-1"/>
                <w:sz w:val="24"/>
                <w:szCs w:val="24"/>
              </w:rPr>
              <w:t>部门统筹自有收入努力程度</w:t>
            </w:r>
          </w:p>
        </w:tc>
        <w:tc>
          <w:tcPr>
            <w:tcW w:w="730" w:type="dxa"/>
            <w:vAlign w:val="top"/>
          </w:tcPr>
          <w:p w14:paraId="5FB2D0CC">
            <w:pPr>
              <w:pStyle w:val="52"/>
              <w:spacing w:before="41" w:line="168" w:lineRule="auto"/>
              <w:ind w:left="113"/>
              <w:rPr>
                <w:sz w:val="24"/>
                <w:szCs w:val="24"/>
              </w:rPr>
            </w:pPr>
            <w:r>
              <w:rPr>
                <w:sz w:val="24"/>
                <w:szCs w:val="24"/>
              </w:rPr>
              <w:t>4</w:t>
            </w:r>
          </w:p>
        </w:tc>
        <w:tc>
          <w:tcPr>
            <w:tcW w:w="483" w:type="dxa"/>
            <w:vAlign w:val="top"/>
          </w:tcPr>
          <w:p w14:paraId="5C23C274">
            <w:pPr>
              <w:pStyle w:val="52"/>
              <w:spacing w:line="235" w:lineRule="exact"/>
              <w:rPr>
                <w:sz w:val="20"/>
              </w:rPr>
            </w:pPr>
          </w:p>
        </w:tc>
      </w:tr>
      <w:tr w14:paraId="3F5FC6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5" w:hRule="atLeast"/>
        </w:trPr>
        <w:tc>
          <w:tcPr>
            <w:tcW w:w="1101" w:type="dxa"/>
            <w:vMerge w:val="continue"/>
            <w:tcBorders>
              <w:top w:val="nil"/>
              <w:bottom w:val="nil"/>
            </w:tcBorders>
            <w:vAlign w:val="top"/>
          </w:tcPr>
          <w:p w14:paraId="3A5D8E7F">
            <w:pPr>
              <w:pStyle w:val="52"/>
            </w:pPr>
          </w:p>
        </w:tc>
        <w:tc>
          <w:tcPr>
            <w:tcW w:w="1200" w:type="dxa"/>
            <w:vMerge w:val="continue"/>
            <w:tcBorders>
              <w:top w:val="nil"/>
              <w:bottom w:val="nil"/>
            </w:tcBorders>
            <w:vAlign w:val="top"/>
          </w:tcPr>
          <w:p w14:paraId="3BF45CE4">
            <w:pPr>
              <w:pStyle w:val="52"/>
            </w:pPr>
          </w:p>
        </w:tc>
        <w:tc>
          <w:tcPr>
            <w:tcW w:w="1928" w:type="dxa"/>
            <w:vAlign w:val="top"/>
          </w:tcPr>
          <w:p w14:paraId="018AD238">
            <w:pPr>
              <w:spacing w:before="1" w:line="180" w:lineRule="auto"/>
              <w:ind w:left="252"/>
              <w:rPr>
                <w:rFonts w:ascii="宋体" w:hAnsi="宋体" w:eastAsia="宋体" w:cs="宋体"/>
                <w:sz w:val="24"/>
                <w:szCs w:val="24"/>
              </w:rPr>
            </w:pPr>
            <w:r>
              <w:rPr>
                <w:rFonts w:ascii="宋体" w:hAnsi="宋体" w:eastAsia="宋体" w:cs="宋体"/>
                <w:spacing w:val="-2"/>
                <w:sz w:val="24"/>
                <w:szCs w:val="24"/>
              </w:rPr>
              <w:t>支出执行管理</w:t>
            </w:r>
          </w:p>
        </w:tc>
        <w:tc>
          <w:tcPr>
            <w:tcW w:w="717" w:type="dxa"/>
            <w:vAlign w:val="top"/>
          </w:tcPr>
          <w:p w14:paraId="32944F41">
            <w:pPr>
              <w:pStyle w:val="52"/>
              <w:spacing w:before="41" w:line="168" w:lineRule="auto"/>
              <w:ind w:left="307"/>
              <w:rPr>
                <w:sz w:val="24"/>
                <w:szCs w:val="24"/>
              </w:rPr>
            </w:pPr>
            <w:r>
              <w:rPr>
                <w:sz w:val="24"/>
                <w:szCs w:val="24"/>
              </w:rPr>
              <w:t>6</w:t>
            </w:r>
          </w:p>
        </w:tc>
        <w:tc>
          <w:tcPr>
            <w:tcW w:w="4758" w:type="dxa"/>
            <w:vAlign w:val="top"/>
          </w:tcPr>
          <w:p w14:paraId="5B7FF80E">
            <w:pPr>
              <w:pStyle w:val="52"/>
              <w:spacing w:before="1" w:line="180" w:lineRule="auto"/>
              <w:ind w:left="117"/>
              <w:rPr>
                <w:rFonts w:ascii="宋体" w:hAnsi="宋体" w:eastAsia="宋体" w:cs="宋体"/>
                <w:sz w:val="24"/>
                <w:szCs w:val="24"/>
              </w:rPr>
            </w:pPr>
            <w:r>
              <w:rPr>
                <w:rFonts w:ascii="宋体" w:hAnsi="宋体" w:eastAsia="宋体" w:cs="宋体"/>
                <w:spacing w:val="-9"/>
                <w:sz w:val="24"/>
                <w:szCs w:val="24"/>
              </w:rPr>
              <w:t>部门</w:t>
            </w:r>
            <w:r>
              <w:rPr>
                <w:rFonts w:ascii="宋体" w:hAnsi="宋体" w:eastAsia="宋体" w:cs="宋体"/>
                <w:spacing w:val="-28"/>
                <w:sz w:val="24"/>
                <w:szCs w:val="24"/>
              </w:rPr>
              <w:t xml:space="preserve"> </w:t>
            </w:r>
            <w:r>
              <w:rPr>
                <w:spacing w:val="-9"/>
                <w:sz w:val="24"/>
                <w:szCs w:val="24"/>
              </w:rPr>
              <w:t xml:space="preserve">1 </w:t>
            </w:r>
            <w:r>
              <w:rPr>
                <w:rFonts w:ascii="宋体" w:hAnsi="宋体" w:eastAsia="宋体" w:cs="宋体"/>
                <w:spacing w:val="-9"/>
                <w:sz w:val="24"/>
                <w:szCs w:val="24"/>
              </w:rPr>
              <w:t>至</w:t>
            </w:r>
            <w:r>
              <w:rPr>
                <w:rFonts w:ascii="宋体" w:hAnsi="宋体" w:eastAsia="宋体" w:cs="宋体"/>
                <w:spacing w:val="-49"/>
                <w:sz w:val="24"/>
                <w:szCs w:val="24"/>
              </w:rPr>
              <w:t xml:space="preserve"> </w:t>
            </w:r>
            <w:r>
              <w:rPr>
                <w:spacing w:val="-9"/>
                <w:sz w:val="24"/>
                <w:szCs w:val="24"/>
              </w:rPr>
              <w:t xml:space="preserve">6 </w:t>
            </w:r>
            <w:r>
              <w:rPr>
                <w:rFonts w:ascii="宋体" w:hAnsi="宋体" w:eastAsia="宋体" w:cs="宋体"/>
                <w:spacing w:val="-9"/>
                <w:sz w:val="24"/>
                <w:szCs w:val="24"/>
              </w:rPr>
              <w:t>月、</w:t>
            </w:r>
            <w:r>
              <w:rPr>
                <w:spacing w:val="-9"/>
                <w:sz w:val="24"/>
                <w:szCs w:val="24"/>
              </w:rPr>
              <w:t xml:space="preserve">1 </w:t>
            </w:r>
            <w:r>
              <w:rPr>
                <w:rFonts w:ascii="宋体" w:hAnsi="宋体" w:eastAsia="宋体" w:cs="宋体"/>
                <w:spacing w:val="-9"/>
                <w:sz w:val="24"/>
                <w:szCs w:val="24"/>
              </w:rPr>
              <w:t>至</w:t>
            </w:r>
            <w:r>
              <w:rPr>
                <w:rFonts w:ascii="宋体" w:hAnsi="宋体" w:eastAsia="宋体" w:cs="宋体"/>
                <w:spacing w:val="-32"/>
                <w:sz w:val="24"/>
                <w:szCs w:val="24"/>
              </w:rPr>
              <w:t xml:space="preserve"> </w:t>
            </w:r>
            <w:r>
              <w:rPr>
                <w:spacing w:val="-9"/>
                <w:sz w:val="24"/>
                <w:szCs w:val="24"/>
              </w:rPr>
              <w:t>10</w:t>
            </w:r>
            <w:r>
              <w:rPr>
                <w:spacing w:val="11"/>
                <w:sz w:val="24"/>
                <w:szCs w:val="24"/>
              </w:rPr>
              <w:t xml:space="preserve"> </w:t>
            </w:r>
            <w:r>
              <w:rPr>
                <w:rFonts w:ascii="宋体" w:hAnsi="宋体" w:eastAsia="宋体" w:cs="宋体"/>
                <w:spacing w:val="-9"/>
                <w:sz w:val="24"/>
                <w:szCs w:val="24"/>
              </w:rPr>
              <w:t>月预算执行情况</w:t>
            </w:r>
          </w:p>
        </w:tc>
        <w:tc>
          <w:tcPr>
            <w:tcW w:w="730" w:type="dxa"/>
            <w:vAlign w:val="top"/>
          </w:tcPr>
          <w:p w14:paraId="59957C95">
            <w:pPr>
              <w:pStyle w:val="52"/>
              <w:spacing w:before="41" w:line="168" w:lineRule="auto"/>
              <w:ind w:left="113"/>
              <w:rPr>
                <w:sz w:val="24"/>
                <w:szCs w:val="24"/>
              </w:rPr>
            </w:pPr>
            <w:r>
              <w:rPr>
                <w:sz w:val="24"/>
                <w:szCs w:val="24"/>
              </w:rPr>
              <w:t>4</w:t>
            </w:r>
          </w:p>
        </w:tc>
        <w:tc>
          <w:tcPr>
            <w:tcW w:w="483" w:type="dxa"/>
            <w:vAlign w:val="top"/>
          </w:tcPr>
          <w:p w14:paraId="07773D30">
            <w:pPr>
              <w:pStyle w:val="52"/>
              <w:spacing w:line="235" w:lineRule="exact"/>
              <w:rPr>
                <w:sz w:val="20"/>
              </w:rPr>
            </w:pPr>
          </w:p>
        </w:tc>
      </w:tr>
      <w:tr w14:paraId="7049B3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5" w:hRule="atLeast"/>
        </w:trPr>
        <w:tc>
          <w:tcPr>
            <w:tcW w:w="1101" w:type="dxa"/>
            <w:vMerge w:val="continue"/>
            <w:tcBorders>
              <w:top w:val="nil"/>
              <w:bottom w:val="nil"/>
            </w:tcBorders>
            <w:vAlign w:val="top"/>
          </w:tcPr>
          <w:p w14:paraId="5FDB7D58">
            <w:pPr>
              <w:pStyle w:val="52"/>
            </w:pPr>
          </w:p>
        </w:tc>
        <w:tc>
          <w:tcPr>
            <w:tcW w:w="1200" w:type="dxa"/>
            <w:vMerge w:val="continue"/>
            <w:tcBorders>
              <w:top w:val="nil"/>
              <w:bottom w:val="nil"/>
            </w:tcBorders>
            <w:vAlign w:val="top"/>
          </w:tcPr>
          <w:p w14:paraId="602FE23E">
            <w:pPr>
              <w:pStyle w:val="52"/>
            </w:pPr>
          </w:p>
        </w:tc>
        <w:tc>
          <w:tcPr>
            <w:tcW w:w="1928" w:type="dxa"/>
            <w:vAlign w:val="top"/>
          </w:tcPr>
          <w:p w14:paraId="54C6F8E5">
            <w:pPr>
              <w:spacing w:before="1" w:line="180" w:lineRule="auto"/>
              <w:ind w:left="253"/>
              <w:rPr>
                <w:rFonts w:ascii="宋体" w:hAnsi="宋体" w:eastAsia="宋体" w:cs="宋体"/>
                <w:sz w:val="24"/>
                <w:szCs w:val="24"/>
              </w:rPr>
            </w:pPr>
            <w:r>
              <w:rPr>
                <w:rFonts w:ascii="宋体" w:hAnsi="宋体" w:eastAsia="宋体" w:cs="宋体"/>
                <w:spacing w:val="-2"/>
                <w:sz w:val="24"/>
                <w:szCs w:val="24"/>
              </w:rPr>
              <w:t>预算年终结余</w:t>
            </w:r>
          </w:p>
        </w:tc>
        <w:tc>
          <w:tcPr>
            <w:tcW w:w="717" w:type="dxa"/>
            <w:vAlign w:val="top"/>
          </w:tcPr>
          <w:p w14:paraId="1413826E">
            <w:pPr>
              <w:pStyle w:val="52"/>
              <w:spacing w:before="41" w:line="168" w:lineRule="auto"/>
              <w:ind w:left="301"/>
              <w:rPr>
                <w:sz w:val="24"/>
                <w:szCs w:val="24"/>
              </w:rPr>
            </w:pPr>
            <w:r>
              <w:rPr>
                <w:sz w:val="24"/>
                <w:szCs w:val="24"/>
              </w:rPr>
              <w:t>2</w:t>
            </w:r>
          </w:p>
        </w:tc>
        <w:tc>
          <w:tcPr>
            <w:tcW w:w="4758" w:type="dxa"/>
            <w:vAlign w:val="top"/>
          </w:tcPr>
          <w:p w14:paraId="5C73CE4F">
            <w:pPr>
              <w:spacing w:before="1" w:line="180" w:lineRule="auto"/>
              <w:ind w:left="117"/>
              <w:rPr>
                <w:rFonts w:ascii="宋体" w:hAnsi="宋体" w:eastAsia="宋体" w:cs="宋体"/>
                <w:sz w:val="24"/>
                <w:szCs w:val="24"/>
              </w:rPr>
            </w:pPr>
            <w:r>
              <w:rPr>
                <w:rFonts w:ascii="宋体" w:hAnsi="宋体" w:eastAsia="宋体" w:cs="宋体"/>
                <w:spacing w:val="-1"/>
                <w:sz w:val="24"/>
                <w:szCs w:val="24"/>
              </w:rPr>
              <w:t>部门整体年终预算结余情况</w:t>
            </w:r>
          </w:p>
        </w:tc>
        <w:tc>
          <w:tcPr>
            <w:tcW w:w="730" w:type="dxa"/>
            <w:vAlign w:val="top"/>
          </w:tcPr>
          <w:p w14:paraId="675ECD86">
            <w:pPr>
              <w:pStyle w:val="52"/>
              <w:spacing w:before="41" w:line="168" w:lineRule="auto"/>
              <w:ind w:left="114"/>
              <w:rPr>
                <w:sz w:val="24"/>
                <w:szCs w:val="24"/>
              </w:rPr>
            </w:pPr>
            <w:r>
              <w:rPr>
                <w:sz w:val="24"/>
                <w:szCs w:val="24"/>
              </w:rPr>
              <w:t>2</w:t>
            </w:r>
          </w:p>
        </w:tc>
        <w:tc>
          <w:tcPr>
            <w:tcW w:w="483" w:type="dxa"/>
            <w:vAlign w:val="top"/>
          </w:tcPr>
          <w:p w14:paraId="0B2A0012">
            <w:pPr>
              <w:pStyle w:val="52"/>
              <w:spacing w:line="235" w:lineRule="exact"/>
              <w:rPr>
                <w:sz w:val="20"/>
              </w:rPr>
            </w:pPr>
          </w:p>
        </w:tc>
      </w:tr>
      <w:tr w14:paraId="34561E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4" w:hRule="atLeast"/>
        </w:trPr>
        <w:tc>
          <w:tcPr>
            <w:tcW w:w="1101" w:type="dxa"/>
            <w:vMerge w:val="continue"/>
            <w:tcBorders>
              <w:top w:val="nil"/>
              <w:bottom w:val="nil"/>
            </w:tcBorders>
            <w:vAlign w:val="top"/>
          </w:tcPr>
          <w:p w14:paraId="6F37BF7B">
            <w:pPr>
              <w:pStyle w:val="52"/>
            </w:pPr>
          </w:p>
        </w:tc>
        <w:tc>
          <w:tcPr>
            <w:tcW w:w="1200" w:type="dxa"/>
            <w:vMerge w:val="continue"/>
            <w:tcBorders>
              <w:top w:val="nil"/>
            </w:tcBorders>
            <w:vAlign w:val="top"/>
          </w:tcPr>
          <w:p w14:paraId="0FC513C1">
            <w:pPr>
              <w:pStyle w:val="52"/>
            </w:pPr>
          </w:p>
        </w:tc>
        <w:tc>
          <w:tcPr>
            <w:tcW w:w="1928" w:type="dxa"/>
            <w:vAlign w:val="top"/>
          </w:tcPr>
          <w:p w14:paraId="39133E11">
            <w:pPr>
              <w:pStyle w:val="52"/>
              <w:spacing w:line="282" w:lineRule="auto"/>
            </w:pPr>
          </w:p>
          <w:p w14:paraId="50AF269F">
            <w:pPr>
              <w:spacing w:before="78" w:line="220" w:lineRule="auto"/>
              <w:ind w:left="132"/>
              <w:rPr>
                <w:rFonts w:ascii="宋体" w:hAnsi="宋体" w:eastAsia="宋体" w:cs="宋体"/>
                <w:sz w:val="24"/>
                <w:szCs w:val="24"/>
              </w:rPr>
            </w:pPr>
            <w:r>
              <w:rPr>
                <w:rFonts w:ascii="宋体" w:hAnsi="宋体" w:eastAsia="宋体" w:cs="宋体"/>
                <w:spacing w:val="-2"/>
                <w:sz w:val="24"/>
                <w:szCs w:val="24"/>
              </w:rPr>
              <w:t>严控一般性支出</w:t>
            </w:r>
          </w:p>
        </w:tc>
        <w:tc>
          <w:tcPr>
            <w:tcW w:w="717" w:type="dxa"/>
            <w:vAlign w:val="top"/>
          </w:tcPr>
          <w:p w14:paraId="24B895FF">
            <w:pPr>
              <w:pStyle w:val="52"/>
              <w:spacing w:line="336" w:lineRule="auto"/>
            </w:pPr>
          </w:p>
          <w:p w14:paraId="78BA96D9">
            <w:pPr>
              <w:pStyle w:val="52"/>
              <w:spacing w:before="69" w:line="184" w:lineRule="auto"/>
              <w:ind w:left="308"/>
              <w:rPr>
                <w:sz w:val="24"/>
                <w:szCs w:val="24"/>
              </w:rPr>
            </w:pPr>
            <w:r>
              <w:rPr>
                <w:sz w:val="24"/>
                <w:szCs w:val="24"/>
              </w:rPr>
              <w:t>5</w:t>
            </w:r>
          </w:p>
        </w:tc>
        <w:tc>
          <w:tcPr>
            <w:tcW w:w="4758" w:type="dxa"/>
            <w:vAlign w:val="top"/>
          </w:tcPr>
          <w:p w14:paraId="662E020D">
            <w:pPr>
              <w:pStyle w:val="52"/>
              <w:spacing w:before="2" w:line="183" w:lineRule="auto"/>
              <w:ind w:left="115" w:right="101" w:firstLine="1"/>
              <w:rPr>
                <w:rFonts w:ascii="宋体" w:hAnsi="宋体" w:eastAsia="宋体" w:cs="宋体"/>
                <w:sz w:val="24"/>
                <w:szCs w:val="24"/>
              </w:rPr>
            </w:pPr>
            <w:r>
              <w:rPr>
                <w:rFonts w:ascii="宋体" w:hAnsi="宋体" w:eastAsia="宋体" w:cs="宋体"/>
                <w:spacing w:val="2"/>
                <w:sz w:val="24"/>
                <w:szCs w:val="24"/>
              </w:rPr>
              <w:t>部门严控</w:t>
            </w:r>
            <w:r>
              <w:rPr>
                <w:spacing w:val="2"/>
                <w:sz w:val="24"/>
                <w:szCs w:val="24"/>
              </w:rPr>
              <w:t>“</w:t>
            </w:r>
            <w:r>
              <w:rPr>
                <w:rFonts w:ascii="宋体" w:hAnsi="宋体" w:eastAsia="宋体" w:cs="宋体"/>
                <w:spacing w:val="2"/>
                <w:sz w:val="24"/>
                <w:szCs w:val="24"/>
              </w:rPr>
              <w:t>三公</w:t>
            </w:r>
            <w:r>
              <w:rPr>
                <w:spacing w:val="2"/>
                <w:sz w:val="24"/>
                <w:szCs w:val="24"/>
              </w:rPr>
              <w:t>”</w:t>
            </w:r>
            <w:r>
              <w:rPr>
                <w:rFonts w:ascii="宋体" w:hAnsi="宋体" w:eastAsia="宋体" w:cs="宋体"/>
                <w:spacing w:val="2"/>
                <w:sz w:val="24"/>
                <w:szCs w:val="24"/>
              </w:rPr>
              <w:t>经费、会议、培训、差旅、</w:t>
            </w:r>
            <w:r>
              <w:rPr>
                <w:rFonts w:ascii="宋体" w:hAnsi="宋体" w:eastAsia="宋体" w:cs="宋体"/>
                <w:spacing w:val="-2"/>
                <w:sz w:val="24"/>
                <w:szCs w:val="24"/>
              </w:rPr>
              <w:t>办节办展、办公设备购置、信息化建设和运维、课题经费、竞赛活动、规划编制一般性</w:t>
            </w:r>
            <w:r>
              <w:rPr>
                <w:rFonts w:ascii="宋体" w:hAnsi="宋体" w:eastAsia="宋体" w:cs="宋体"/>
                <w:spacing w:val="-3"/>
                <w:sz w:val="24"/>
                <w:szCs w:val="24"/>
              </w:rPr>
              <w:t>支出情况</w:t>
            </w:r>
          </w:p>
        </w:tc>
        <w:tc>
          <w:tcPr>
            <w:tcW w:w="730" w:type="dxa"/>
            <w:vAlign w:val="top"/>
          </w:tcPr>
          <w:p w14:paraId="20675B28">
            <w:pPr>
              <w:pStyle w:val="52"/>
              <w:spacing w:line="336" w:lineRule="auto"/>
            </w:pPr>
          </w:p>
          <w:p w14:paraId="07DB213E">
            <w:pPr>
              <w:pStyle w:val="52"/>
              <w:spacing w:before="69" w:line="184" w:lineRule="auto"/>
              <w:ind w:left="121"/>
              <w:rPr>
                <w:sz w:val="24"/>
                <w:szCs w:val="24"/>
              </w:rPr>
            </w:pPr>
            <w:r>
              <w:rPr>
                <w:sz w:val="24"/>
                <w:szCs w:val="24"/>
              </w:rPr>
              <w:t>5</w:t>
            </w:r>
          </w:p>
        </w:tc>
        <w:tc>
          <w:tcPr>
            <w:tcW w:w="483" w:type="dxa"/>
            <w:vAlign w:val="top"/>
          </w:tcPr>
          <w:p w14:paraId="7FA911AF">
            <w:pPr>
              <w:pStyle w:val="52"/>
            </w:pPr>
          </w:p>
        </w:tc>
      </w:tr>
      <w:tr w14:paraId="6D569C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5" w:hRule="atLeast"/>
        </w:trPr>
        <w:tc>
          <w:tcPr>
            <w:tcW w:w="1101" w:type="dxa"/>
            <w:vMerge w:val="continue"/>
            <w:tcBorders>
              <w:top w:val="nil"/>
              <w:bottom w:val="nil"/>
            </w:tcBorders>
            <w:vAlign w:val="top"/>
          </w:tcPr>
          <w:p w14:paraId="4596B7F6">
            <w:pPr>
              <w:pStyle w:val="52"/>
            </w:pPr>
          </w:p>
        </w:tc>
        <w:tc>
          <w:tcPr>
            <w:tcW w:w="1200" w:type="dxa"/>
            <w:vMerge w:val="restart"/>
            <w:tcBorders>
              <w:bottom w:val="nil"/>
            </w:tcBorders>
            <w:vAlign w:val="top"/>
          </w:tcPr>
          <w:p w14:paraId="07EA84D3">
            <w:pPr>
              <w:pStyle w:val="52"/>
              <w:spacing w:line="293" w:lineRule="auto"/>
            </w:pPr>
          </w:p>
          <w:p w14:paraId="76D82A80">
            <w:pPr>
              <w:pStyle w:val="52"/>
              <w:spacing w:before="78" w:line="202" w:lineRule="auto"/>
              <w:ind w:left="118" w:right="85" w:firstLine="6"/>
              <w:rPr>
                <w:rFonts w:ascii="宋体" w:hAnsi="宋体" w:eastAsia="宋体" w:cs="宋体"/>
                <w:sz w:val="24"/>
                <w:szCs w:val="24"/>
              </w:rPr>
            </w:pPr>
            <w:r>
              <w:rPr>
                <w:rFonts w:ascii="宋体" w:hAnsi="宋体" w:eastAsia="宋体" w:cs="宋体"/>
                <w:b/>
                <w:bCs/>
                <w:spacing w:val="-5"/>
                <w:sz w:val="24"/>
                <w:szCs w:val="24"/>
              </w:rPr>
              <w:t>财务管理</w:t>
            </w:r>
            <w:r>
              <w:rPr>
                <w:rFonts w:ascii="宋体" w:hAnsi="宋体" w:eastAsia="宋体" w:cs="宋体"/>
                <w:b/>
                <w:bCs/>
                <w:spacing w:val="-16"/>
                <w:sz w:val="24"/>
                <w:szCs w:val="24"/>
              </w:rPr>
              <w:t>（</w:t>
            </w:r>
            <w:r>
              <w:rPr>
                <w:b/>
                <w:bCs/>
                <w:spacing w:val="-16"/>
                <w:sz w:val="24"/>
                <w:szCs w:val="24"/>
              </w:rPr>
              <w:t>10</w:t>
            </w:r>
            <w:r>
              <w:rPr>
                <w:b/>
                <w:bCs/>
                <w:spacing w:val="8"/>
                <w:sz w:val="24"/>
                <w:szCs w:val="24"/>
              </w:rPr>
              <w:t xml:space="preserve"> </w:t>
            </w:r>
            <w:r>
              <w:rPr>
                <w:rFonts w:ascii="宋体" w:hAnsi="宋体" w:eastAsia="宋体" w:cs="宋体"/>
                <w:b/>
                <w:bCs/>
                <w:spacing w:val="-16"/>
                <w:sz w:val="24"/>
                <w:szCs w:val="24"/>
              </w:rPr>
              <w:t>分）</w:t>
            </w:r>
          </w:p>
        </w:tc>
        <w:tc>
          <w:tcPr>
            <w:tcW w:w="1928" w:type="dxa"/>
            <w:vAlign w:val="top"/>
          </w:tcPr>
          <w:p w14:paraId="203F937C">
            <w:pPr>
              <w:spacing w:before="2" w:line="179" w:lineRule="auto"/>
              <w:ind w:left="252"/>
              <w:rPr>
                <w:rFonts w:ascii="宋体" w:hAnsi="宋体" w:eastAsia="宋体" w:cs="宋体"/>
                <w:sz w:val="24"/>
                <w:szCs w:val="24"/>
              </w:rPr>
            </w:pPr>
            <w:r>
              <w:rPr>
                <w:rFonts w:ascii="宋体" w:hAnsi="宋体" w:eastAsia="宋体" w:cs="宋体"/>
                <w:spacing w:val="-2"/>
                <w:sz w:val="24"/>
                <w:szCs w:val="24"/>
              </w:rPr>
              <w:t>财务管理制度</w:t>
            </w:r>
          </w:p>
        </w:tc>
        <w:tc>
          <w:tcPr>
            <w:tcW w:w="717" w:type="dxa"/>
            <w:vAlign w:val="top"/>
          </w:tcPr>
          <w:p w14:paraId="2ED5B1D5">
            <w:pPr>
              <w:pStyle w:val="52"/>
              <w:spacing w:before="44" w:line="166" w:lineRule="auto"/>
              <w:ind w:left="300"/>
              <w:rPr>
                <w:sz w:val="24"/>
                <w:szCs w:val="24"/>
              </w:rPr>
            </w:pPr>
            <w:r>
              <w:rPr>
                <w:sz w:val="24"/>
                <w:szCs w:val="24"/>
              </w:rPr>
              <w:t>4</w:t>
            </w:r>
          </w:p>
        </w:tc>
        <w:tc>
          <w:tcPr>
            <w:tcW w:w="4758" w:type="dxa"/>
            <w:vAlign w:val="top"/>
          </w:tcPr>
          <w:p w14:paraId="752B82CE">
            <w:pPr>
              <w:spacing w:before="2" w:line="179" w:lineRule="auto"/>
              <w:ind w:left="117"/>
              <w:rPr>
                <w:rFonts w:ascii="宋体" w:hAnsi="宋体" w:eastAsia="宋体" w:cs="宋体"/>
                <w:sz w:val="24"/>
                <w:szCs w:val="24"/>
              </w:rPr>
            </w:pPr>
            <w:r>
              <w:rPr>
                <w:rFonts w:ascii="宋体" w:hAnsi="宋体" w:eastAsia="宋体" w:cs="宋体"/>
                <w:spacing w:val="-1"/>
                <w:sz w:val="24"/>
                <w:szCs w:val="24"/>
              </w:rPr>
              <w:t>部门财务管理制度建立情况</w:t>
            </w:r>
          </w:p>
        </w:tc>
        <w:tc>
          <w:tcPr>
            <w:tcW w:w="730" w:type="dxa"/>
            <w:vAlign w:val="top"/>
          </w:tcPr>
          <w:p w14:paraId="0501B98F">
            <w:pPr>
              <w:pStyle w:val="52"/>
              <w:spacing w:before="44" w:line="166" w:lineRule="auto"/>
              <w:ind w:left="113"/>
              <w:rPr>
                <w:sz w:val="24"/>
                <w:szCs w:val="24"/>
              </w:rPr>
            </w:pPr>
            <w:r>
              <w:rPr>
                <w:sz w:val="24"/>
                <w:szCs w:val="24"/>
              </w:rPr>
              <w:t>4</w:t>
            </w:r>
          </w:p>
        </w:tc>
        <w:tc>
          <w:tcPr>
            <w:tcW w:w="483" w:type="dxa"/>
            <w:vAlign w:val="top"/>
          </w:tcPr>
          <w:p w14:paraId="2384E91B">
            <w:pPr>
              <w:pStyle w:val="52"/>
              <w:spacing w:line="235" w:lineRule="exact"/>
              <w:rPr>
                <w:sz w:val="20"/>
              </w:rPr>
            </w:pPr>
          </w:p>
        </w:tc>
      </w:tr>
      <w:tr w14:paraId="2533AC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1101" w:type="dxa"/>
            <w:vMerge w:val="continue"/>
            <w:tcBorders>
              <w:top w:val="nil"/>
              <w:bottom w:val="nil"/>
            </w:tcBorders>
            <w:vAlign w:val="top"/>
          </w:tcPr>
          <w:p w14:paraId="60EED843">
            <w:pPr>
              <w:pStyle w:val="52"/>
            </w:pPr>
          </w:p>
        </w:tc>
        <w:tc>
          <w:tcPr>
            <w:tcW w:w="1200" w:type="dxa"/>
            <w:vMerge w:val="continue"/>
            <w:tcBorders>
              <w:top w:val="nil"/>
              <w:bottom w:val="nil"/>
            </w:tcBorders>
            <w:vAlign w:val="top"/>
          </w:tcPr>
          <w:p w14:paraId="35E6C999">
            <w:pPr>
              <w:pStyle w:val="52"/>
            </w:pPr>
          </w:p>
        </w:tc>
        <w:tc>
          <w:tcPr>
            <w:tcW w:w="1928" w:type="dxa"/>
            <w:vAlign w:val="top"/>
          </w:tcPr>
          <w:p w14:paraId="353043D5">
            <w:pPr>
              <w:spacing w:before="122" w:line="219" w:lineRule="auto"/>
              <w:ind w:left="252"/>
              <w:rPr>
                <w:rFonts w:ascii="宋体" w:hAnsi="宋体" w:eastAsia="宋体" w:cs="宋体"/>
                <w:sz w:val="24"/>
                <w:szCs w:val="24"/>
              </w:rPr>
            </w:pPr>
            <w:r>
              <w:rPr>
                <w:rFonts w:ascii="宋体" w:hAnsi="宋体" w:eastAsia="宋体" w:cs="宋体"/>
                <w:spacing w:val="-2"/>
                <w:sz w:val="24"/>
                <w:szCs w:val="24"/>
              </w:rPr>
              <w:t>财务岗位设置</w:t>
            </w:r>
          </w:p>
        </w:tc>
        <w:tc>
          <w:tcPr>
            <w:tcW w:w="717" w:type="dxa"/>
            <w:vAlign w:val="top"/>
          </w:tcPr>
          <w:p w14:paraId="0C2B2480">
            <w:pPr>
              <w:pStyle w:val="52"/>
              <w:spacing w:before="164" w:line="187" w:lineRule="auto"/>
              <w:ind w:left="301"/>
              <w:rPr>
                <w:sz w:val="24"/>
                <w:szCs w:val="24"/>
              </w:rPr>
            </w:pPr>
            <w:r>
              <w:rPr>
                <w:sz w:val="24"/>
                <w:szCs w:val="24"/>
              </w:rPr>
              <w:t>2</w:t>
            </w:r>
          </w:p>
        </w:tc>
        <w:tc>
          <w:tcPr>
            <w:tcW w:w="4758" w:type="dxa"/>
            <w:vAlign w:val="top"/>
          </w:tcPr>
          <w:p w14:paraId="0AA09B54">
            <w:pPr>
              <w:spacing w:before="1" w:line="182" w:lineRule="auto"/>
              <w:ind w:left="115" w:right="327" w:firstLine="1"/>
              <w:rPr>
                <w:rFonts w:ascii="宋体" w:hAnsi="宋体" w:eastAsia="宋体" w:cs="宋体"/>
                <w:sz w:val="24"/>
                <w:szCs w:val="24"/>
              </w:rPr>
            </w:pPr>
            <w:r>
              <w:rPr>
                <w:rFonts w:ascii="宋体" w:hAnsi="宋体" w:eastAsia="宋体" w:cs="宋体"/>
                <w:spacing w:val="-1"/>
                <w:sz w:val="24"/>
                <w:szCs w:val="24"/>
              </w:rPr>
              <w:t>部门财务岗位设置是否符合相关财务管理</w:t>
            </w:r>
            <w:r>
              <w:rPr>
                <w:rFonts w:ascii="宋体" w:hAnsi="宋体" w:eastAsia="宋体" w:cs="宋体"/>
                <w:spacing w:val="-3"/>
                <w:sz w:val="24"/>
                <w:szCs w:val="24"/>
              </w:rPr>
              <w:t>制度要求</w:t>
            </w:r>
          </w:p>
        </w:tc>
        <w:tc>
          <w:tcPr>
            <w:tcW w:w="730" w:type="dxa"/>
            <w:vAlign w:val="top"/>
          </w:tcPr>
          <w:p w14:paraId="4319C5BA">
            <w:pPr>
              <w:pStyle w:val="52"/>
              <w:spacing w:before="164" w:line="187" w:lineRule="auto"/>
              <w:ind w:left="114"/>
              <w:rPr>
                <w:sz w:val="24"/>
                <w:szCs w:val="24"/>
              </w:rPr>
            </w:pPr>
            <w:r>
              <w:rPr>
                <w:sz w:val="24"/>
                <w:szCs w:val="24"/>
              </w:rPr>
              <w:t>2</w:t>
            </w:r>
          </w:p>
        </w:tc>
        <w:tc>
          <w:tcPr>
            <w:tcW w:w="483" w:type="dxa"/>
            <w:vAlign w:val="top"/>
          </w:tcPr>
          <w:p w14:paraId="6331AA3E">
            <w:pPr>
              <w:pStyle w:val="52"/>
            </w:pPr>
          </w:p>
        </w:tc>
      </w:tr>
      <w:tr w14:paraId="311FB6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1101" w:type="dxa"/>
            <w:vMerge w:val="continue"/>
            <w:tcBorders>
              <w:top w:val="nil"/>
              <w:bottom w:val="nil"/>
            </w:tcBorders>
            <w:vAlign w:val="top"/>
          </w:tcPr>
          <w:p w14:paraId="35F0C7D2">
            <w:pPr>
              <w:pStyle w:val="52"/>
            </w:pPr>
          </w:p>
        </w:tc>
        <w:tc>
          <w:tcPr>
            <w:tcW w:w="1200" w:type="dxa"/>
            <w:vMerge w:val="continue"/>
            <w:tcBorders>
              <w:top w:val="nil"/>
            </w:tcBorders>
            <w:vAlign w:val="top"/>
          </w:tcPr>
          <w:p w14:paraId="4C8BDA6B">
            <w:pPr>
              <w:pStyle w:val="52"/>
            </w:pPr>
          </w:p>
        </w:tc>
        <w:tc>
          <w:tcPr>
            <w:tcW w:w="1928" w:type="dxa"/>
            <w:vAlign w:val="top"/>
          </w:tcPr>
          <w:p w14:paraId="2C9007F4">
            <w:pPr>
              <w:spacing w:before="122" w:line="219" w:lineRule="auto"/>
              <w:ind w:left="261"/>
              <w:rPr>
                <w:rFonts w:ascii="宋体" w:hAnsi="宋体" w:eastAsia="宋体" w:cs="宋体"/>
                <w:sz w:val="24"/>
                <w:szCs w:val="24"/>
              </w:rPr>
            </w:pPr>
            <w:r>
              <w:rPr>
                <w:rFonts w:ascii="宋体" w:hAnsi="宋体" w:eastAsia="宋体" w:cs="宋体"/>
                <w:spacing w:val="-4"/>
                <w:sz w:val="24"/>
                <w:szCs w:val="24"/>
              </w:rPr>
              <w:t>资金使用规范</w:t>
            </w:r>
          </w:p>
        </w:tc>
        <w:tc>
          <w:tcPr>
            <w:tcW w:w="717" w:type="dxa"/>
            <w:vAlign w:val="top"/>
          </w:tcPr>
          <w:p w14:paraId="43CC5BC1">
            <w:pPr>
              <w:pStyle w:val="52"/>
              <w:spacing w:before="163" w:line="187" w:lineRule="auto"/>
              <w:ind w:left="300"/>
              <w:rPr>
                <w:sz w:val="24"/>
                <w:szCs w:val="24"/>
              </w:rPr>
            </w:pPr>
            <w:r>
              <w:rPr>
                <w:sz w:val="24"/>
                <w:szCs w:val="24"/>
              </w:rPr>
              <w:t>4</w:t>
            </w:r>
          </w:p>
        </w:tc>
        <w:tc>
          <w:tcPr>
            <w:tcW w:w="4758" w:type="dxa"/>
            <w:vAlign w:val="top"/>
          </w:tcPr>
          <w:p w14:paraId="6C71FA28">
            <w:pPr>
              <w:spacing w:line="182" w:lineRule="auto"/>
              <w:ind w:left="115" w:right="327" w:firstLine="1"/>
              <w:rPr>
                <w:rFonts w:ascii="宋体" w:hAnsi="宋体" w:eastAsia="宋体" w:cs="宋体"/>
                <w:sz w:val="24"/>
                <w:szCs w:val="24"/>
              </w:rPr>
            </w:pPr>
            <w:r>
              <w:rPr>
                <w:rFonts w:ascii="宋体" w:hAnsi="宋体" w:eastAsia="宋体" w:cs="宋体"/>
                <w:spacing w:val="-1"/>
                <w:sz w:val="24"/>
                <w:szCs w:val="24"/>
              </w:rPr>
              <w:t>部门资金使用是否符合相关财务管理制度</w:t>
            </w:r>
            <w:r>
              <w:rPr>
                <w:rFonts w:ascii="宋体" w:hAnsi="宋体" w:eastAsia="宋体" w:cs="宋体"/>
                <w:spacing w:val="-6"/>
                <w:sz w:val="24"/>
                <w:szCs w:val="24"/>
              </w:rPr>
              <w:t>规定</w:t>
            </w:r>
          </w:p>
        </w:tc>
        <w:tc>
          <w:tcPr>
            <w:tcW w:w="730" w:type="dxa"/>
            <w:vAlign w:val="top"/>
          </w:tcPr>
          <w:p w14:paraId="6F7DFFAE">
            <w:pPr>
              <w:pStyle w:val="52"/>
              <w:spacing w:before="163" w:line="187" w:lineRule="auto"/>
              <w:ind w:left="113"/>
              <w:rPr>
                <w:sz w:val="24"/>
                <w:szCs w:val="24"/>
              </w:rPr>
            </w:pPr>
            <w:r>
              <w:rPr>
                <w:sz w:val="24"/>
                <w:szCs w:val="24"/>
              </w:rPr>
              <w:t>4</w:t>
            </w:r>
          </w:p>
        </w:tc>
        <w:tc>
          <w:tcPr>
            <w:tcW w:w="483" w:type="dxa"/>
            <w:vAlign w:val="top"/>
          </w:tcPr>
          <w:p w14:paraId="25F8A125">
            <w:pPr>
              <w:pStyle w:val="52"/>
            </w:pPr>
          </w:p>
        </w:tc>
      </w:tr>
      <w:tr w14:paraId="23B46C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5" w:hRule="atLeast"/>
        </w:trPr>
        <w:tc>
          <w:tcPr>
            <w:tcW w:w="1101" w:type="dxa"/>
            <w:vMerge w:val="continue"/>
            <w:tcBorders>
              <w:top w:val="nil"/>
              <w:bottom w:val="nil"/>
            </w:tcBorders>
            <w:vAlign w:val="top"/>
          </w:tcPr>
          <w:p w14:paraId="449946A9">
            <w:pPr>
              <w:pStyle w:val="52"/>
            </w:pPr>
          </w:p>
        </w:tc>
        <w:tc>
          <w:tcPr>
            <w:tcW w:w="1200" w:type="dxa"/>
            <w:vMerge w:val="restart"/>
            <w:tcBorders>
              <w:bottom w:val="nil"/>
            </w:tcBorders>
            <w:vAlign w:val="top"/>
          </w:tcPr>
          <w:p w14:paraId="3D5FCA29">
            <w:pPr>
              <w:spacing w:before="6" w:line="185" w:lineRule="auto"/>
              <w:ind w:left="134"/>
              <w:rPr>
                <w:rFonts w:ascii="宋体" w:hAnsi="宋体" w:eastAsia="宋体" w:cs="宋体"/>
                <w:sz w:val="24"/>
                <w:szCs w:val="24"/>
              </w:rPr>
            </w:pPr>
            <w:r>
              <w:rPr>
                <w:rFonts w:ascii="宋体" w:hAnsi="宋体" w:eastAsia="宋体" w:cs="宋体"/>
                <w:b/>
                <w:bCs/>
                <w:spacing w:val="-7"/>
                <w:sz w:val="24"/>
                <w:szCs w:val="24"/>
              </w:rPr>
              <w:t>资产管理</w:t>
            </w:r>
          </w:p>
          <w:p w14:paraId="4EDA24D3">
            <w:pPr>
              <w:pStyle w:val="52"/>
              <w:spacing w:line="182" w:lineRule="auto"/>
              <w:ind w:left="161"/>
              <w:rPr>
                <w:rFonts w:ascii="宋体" w:hAnsi="宋体" w:eastAsia="宋体" w:cs="宋体"/>
                <w:sz w:val="24"/>
                <w:szCs w:val="24"/>
              </w:rPr>
            </w:pPr>
            <w:r>
              <w:rPr>
                <w:rFonts w:ascii="宋体" w:hAnsi="宋体" w:eastAsia="宋体" w:cs="宋体"/>
                <w:b/>
                <w:bCs/>
                <w:spacing w:val="5"/>
                <w:sz w:val="24"/>
                <w:szCs w:val="24"/>
              </w:rPr>
              <w:t>（</w:t>
            </w:r>
            <w:r>
              <w:rPr>
                <w:b/>
                <w:bCs/>
                <w:spacing w:val="5"/>
                <w:sz w:val="24"/>
                <w:szCs w:val="24"/>
              </w:rPr>
              <w:t>9</w:t>
            </w:r>
            <w:r>
              <w:rPr>
                <w:rFonts w:ascii="宋体" w:hAnsi="宋体" w:eastAsia="宋体" w:cs="宋体"/>
                <w:b/>
                <w:bCs/>
                <w:spacing w:val="5"/>
                <w:sz w:val="24"/>
                <w:szCs w:val="24"/>
              </w:rPr>
              <w:t>分）</w:t>
            </w:r>
          </w:p>
        </w:tc>
        <w:tc>
          <w:tcPr>
            <w:tcW w:w="1928" w:type="dxa"/>
            <w:vAlign w:val="top"/>
          </w:tcPr>
          <w:p w14:paraId="6506ABED">
            <w:pPr>
              <w:spacing w:before="2" w:line="179" w:lineRule="auto"/>
              <w:ind w:left="133"/>
              <w:rPr>
                <w:rFonts w:ascii="宋体" w:hAnsi="宋体" w:eastAsia="宋体" w:cs="宋体"/>
                <w:sz w:val="24"/>
                <w:szCs w:val="24"/>
              </w:rPr>
            </w:pPr>
            <w:r>
              <w:rPr>
                <w:rFonts w:ascii="宋体" w:hAnsi="宋体" w:eastAsia="宋体" w:cs="宋体"/>
                <w:spacing w:val="-2"/>
                <w:sz w:val="24"/>
                <w:szCs w:val="24"/>
              </w:rPr>
              <w:t>人均资产变化率</w:t>
            </w:r>
          </w:p>
        </w:tc>
        <w:tc>
          <w:tcPr>
            <w:tcW w:w="717" w:type="dxa"/>
            <w:vAlign w:val="top"/>
          </w:tcPr>
          <w:p w14:paraId="1FAD6145">
            <w:pPr>
              <w:pStyle w:val="52"/>
              <w:spacing w:before="44" w:line="166" w:lineRule="auto"/>
              <w:ind w:left="306"/>
              <w:rPr>
                <w:sz w:val="24"/>
                <w:szCs w:val="24"/>
              </w:rPr>
            </w:pPr>
            <w:r>
              <w:rPr>
                <w:sz w:val="24"/>
                <w:szCs w:val="24"/>
              </w:rPr>
              <w:t>3</w:t>
            </w:r>
          </w:p>
        </w:tc>
        <w:tc>
          <w:tcPr>
            <w:tcW w:w="4758" w:type="dxa"/>
            <w:vAlign w:val="top"/>
          </w:tcPr>
          <w:p w14:paraId="67081AE9">
            <w:pPr>
              <w:spacing w:before="2" w:line="179" w:lineRule="auto"/>
              <w:ind w:left="117"/>
              <w:rPr>
                <w:rFonts w:ascii="宋体" w:hAnsi="宋体" w:eastAsia="宋体" w:cs="宋体"/>
                <w:sz w:val="24"/>
                <w:szCs w:val="24"/>
              </w:rPr>
            </w:pPr>
            <w:r>
              <w:rPr>
                <w:rFonts w:ascii="宋体" w:hAnsi="宋体" w:eastAsia="宋体" w:cs="宋体"/>
                <w:spacing w:val="-2"/>
                <w:sz w:val="24"/>
                <w:szCs w:val="24"/>
              </w:rPr>
              <w:t>部门人均资产变化情况</w:t>
            </w:r>
          </w:p>
        </w:tc>
        <w:tc>
          <w:tcPr>
            <w:tcW w:w="730" w:type="dxa"/>
            <w:vAlign w:val="top"/>
          </w:tcPr>
          <w:p w14:paraId="4AC74634">
            <w:pPr>
              <w:pStyle w:val="52"/>
              <w:spacing w:before="44" w:line="166" w:lineRule="auto"/>
              <w:ind w:left="114"/>
              <w:rPr>
                <w:sz w:val="24"/>
                <w:szCs w:val="24"/>
              </w:rPr>
            </w:pPr>
            <w:r>
              <w:rPr>
                <w:sz w:val="24"/>
                <w:szCs w:val="24"/>
              </w:rPr>
              <w:t>2</w:t>
            </w:r>
          </w:p>
        </w:tc>
        <w:tc>
          <w:tcPr>
            <w:tcW w:w="483" w:type="dxa"/>
            <w:vAlign w:val="top"/>
          </w:tcPr>
          <w:p w14:paraId="5723F417">
            <w:pPr>
              <w:pStyle w:val="52"/>
              <w:spacing w:line="235" w:lineRule="exact"/>
              <w:rPr>
                <w:sz w:val="20"/>
              </w:rPr>
            </w:pPr>
          </w:p>
        </w:tc>
      </w:tr>
      <w:tr w14:paraId="1E6F2C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5" w:hRule="atLeast"/>
        </w:trPr>
        <w:tc>
          <w:tcPr>
            <w:tcW w:w="1101" w:type="dxa"/>
            <w:vMerge w:val="continue"/>
            <w:tcBorders>
              <w:top w:val="nil"/>
              <w:bottom w:val="nil"/>
            </w:tcBorders>
            <w:vAlign w:val="top"/>
          </w:tcPr>
          <w:p w14:paraId="526BE425">
            <w:pPr>
              <w:pStyle w:val="52"/>
            </w:pPr>
          </w:p>
        </w:tc>
        <w:tc>
          <w:tcPr>
            <w:tcW w:w="1200" w:type="dxa"/>
            <w:vMerge w:val="continue"/>
            <w:tcBorders>
              <w:top w:val="nil"/>
            </w:tcBorders>
            <w:vAlign w:val="top"/>
          </w:tcPr>
          <w:p w14:paraId="3ECA8778">
            <w:pPr>
              <w:pStyle w:val="52"/>
            </w:pPr>
          </w:p>
        </w:tc>
        <w:tc>
          <w:tcPr>
            <w:tcW w:w="1928" w:type="dxa"/>
            <w:vAlign w:val="top"/>
          </w:tcPr>
          <w:p w14:paraId="116D7485">
            <w:pPr>
              <w:spacing w:before="2" w:line="179" w:lineRule="auto"/>
              <w:ind w:left="381"/>
              <w:rPr>
                <w:rFonts w:ascii="宋体" w:hAnsi="宋体" w:eastAsia="宋体" w:cs="宋体"/>
                <w:sz w:val="24"/>
                <w:szCs w:val="24"/>
              </w:rPr>
            </w:pPr>
            <w:r>
              <w:rPr>
                <w:rFonts w:ascii="宋体" w:hAnsi="宋体" w:eastAsia="宋体" w:cs="宋体"/>
                <w:spacing w:val="-4"/>
                <w:sz w:val="24"/>
                <w:szCs w:val="24"/>
              </w:rPr>
              <w:t>资产利用率</w:t>
            </w:r>
          </w:p>
        </w:tc>
        <w:tc>
          <w:tcPr>
            <w:tcW w:w="717" w:type="dxa"/>
            <w:vAlign w:val="top"/>
          </w:tcPr>
          <w:p w14:paraId="0C598AAF">
            <w:pPr>
              <w:pStyle w:val="52"/>
              <w:spacing w:before="44" w:line="166" w:lineRule="auto"/>
              <w:ind w:left="306"/>
              <w:rPr>
                <w:sz w:val="24"/>
                <w:szCs w:val="24"/>
              </w:rPr>
            </w:pPr>
            <w:r>
              <w:rPr>
                <w:sz w:val="24"/>
                <w:szCs w:val="24"/>
              </w:rPr>
              <w:t>3</w:t>
            </w:r>
          </w:p>
        </w:tc>
        <w:tc>
          <w:tcPr>
            <w:tcW w:w="4758" w:type="dxa"/>
            <w:vAlign w:val="top"/>
          </w:tcPr>
          <w:p w14:paraId="6B7CF436">
            <w:pPr>
              <w:spacing w:before="2" w:line="179" w:lineRule="auto"/>
              <w:ind w:left="117"/>
              <w:rPr>
                <w:rFonts w:ascii="宋体" w:hAnsi="宋体" w:eastAsia="宋体" w:cs="宋体"/>
                <w:sz w:val="24"/>
                <w:szCs w:val="24"/>
              </w:rPr>
            </w:pPr>
            <w:r>
              <w:rPr>
                <w:rFonts w:ascii="宋体" w:hAnsi="宋体" w:eastAsia="宋体" w:cs="宋体"/>
                <w:spacing w:val="-1"/>
                <w:sz w:val="24"/>
                <w:szCs w:val="24"/>
              </w:rPr>
              <w:t>部门资产超最低使用年限情况</w:t>
            </w:r>
          </w:p>
        </w:tc>
        <w:tc>
          <w:tcPr>
            <w:tcW w:w="730" w:type="dxa"/>
            <w:vAlign w:val="top"/>
          </w:tcPr>
          <w:p w14:paraId="0D9C6BA4">
            <w:pPr>
              <w:pStyle w:val="52"/>
              <w:spacing w:before="44" w:line="166" w:lineRule="auto"/>
              <w:ind w:left="114"/>
              <w:rPr>
                <w:sz w:val="24"/>
                <w:szCs w:val="24"/>
              </w:rPr>
            </w:pPr>
            <w:r>
              <w:rPr>
                <w:sz w:val="24"/>
                <w:szCs w:val="24"/>
              </w:rPr>
              <w:t>2</w:t>
            </w:r>
          </w:p>
        </w:tc>
        <w:tc>
          <w:tcPr>
            <w:tcW w:w="483" w:type="dxa"/>
            <w:vAlign w:val="top"/>
          </w:tcPr>
          <w:p w14:paraId="60AA99A0">
            <w:pPr>
              <w:pStyle w:val="52"/>
              <w:spacing w:line="235" w:lineRule="exact"/>
              <w:rPr>
                <w:sz w:val="20"/>
              </w:rPr>
            </w:pPr>
          </w:p>
        </w:tc>
      </w:tr>
      <w:tr w14:paraId="7A17FD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1101" w:type="dxa"/>
            <w:vMerge w:val="continue"/>
            <w:tcBorders>
              <w:top w:val="nil"/>
              <w:bottom w:val="nil"/>
            </w:tcBorders>
            <w:vAlign w:val="top"/>
          </w:tcPr>
          <w:p w14:paraId="7F3CBE62">
            <w:pPr>
              <w:pStyle w:val="52"/>
            </w:pPr>
          </w:p>
        </w:tc>
        <w:tc>
          <w:tcPr>
            <w:tcW w:w="1200" w:type="dxa"/>
            <w:vAlign w:val="top"/>
          </w:tcPr>
          <w:p w14:paraId="4D718EF1">
            <w:pPr>
              <w:spacing w:before="3" w:line="185" w:lineRule="auto"/>
              <w:ind w:left="134"/>
              <w:rPr>
                <w:rFonts w:ascii="宋体" w:hAnsi="宋体" w:eastAsia="宋体" w:cs="宋体"/>
                <w:sz w:val="24"/>
                <w:szCs w:val="24"/>
              </w:rPr>
            </w:pPr>
            <w:r>
              <w:rPr>
                <w:rFonts w:ascii="宋体" w:hAnsi="宋体" w:eastAsia="宋体" w:cs="宋体"/>
                <w:b/>
                <w:bCs/>
                <w:spacing w:val="-7"/>
                <w:sz w:val="24"/>
                <w:szCs w:val="24"/>
              </w:rPr>
              <w:t>资产管理</w:t>
            </w:r>
          </w:p>
          <w:p w14:paraId="17C57654">
            <w:pPr>
              <w:pStyle w:val="52"/>
              <w:spacing w:line="177" w:lineRule="auto"/>
              <w:ind w:left="161"/>
              <w:rPr>
                <w:rFonts w:ascii="宋体" w:hAnsi="宋体" w:eastAsia="宋体" w:cs="宋体"/>
                <w:sz w:val="24"/>
                <w:szCs w:val="24"/>
              </w:rPr>
            </w:pPr>
            <w:r>
              <w:rPr>
                <w:rFonts w:ascii="宋体" w:hAnsi="宋体" w:eastAsia="宋体" w:cs="宋体"/>
                <w:b/>
                <w:bCs/>
                <w:spacing w:val="5"/>
                <w:sz w:val="24"/>
                <w:szCs w:val="24"/>
              </w:rPr>
              <w:t>（</w:t>
            </w:r>
            <w:r>
              <w:rPr>
                <w:b/>
                <w:bCs/>
                <w:spacing w:val="5"/>
                <w:sz w:val="24"/>
                <w:szCs w:val="24"/>
              </w:rPr>
              <w:t>9</w:t>
            </w:r>
            <w:r>
              <w:rPr>
                <w:rFonts w:ascii="宋体" w:hAnsi="宋体" w:eastAsia="宋体" w:cs="宋体"/>
                <w:b/>
                <w:bCs/>
                <w:spacing w:val="5"/>
                <w:sz w:val="24"/>
                <w:szCs w:val="24"/>
              </w:rPr>
              <w:t>分）</w:t>
            </w:r>
          </w:p>
        </w:tc>
        <w:tc>
          <w:tcPr>
            <w:tcW w:w="1928" w:type="dxa"/>
            <w:vAlign w:val="top"/>
          </w:tcPr>
          <w:p w14:paraId="01B6410B">
            <w:pPr>
              <w:spacing w:before="124" w:line="219" w:lineRule="auto"/>
              <w:ind w:left="381"/>
              <w:rPr>
                <w:rFonts w:ascii="宋体" w:hAnsi="宋体" w:eastAsia="宋体" w:cs="宋体"/>
                <w:sz w:val="24"/>
                <w:szCs w:val="24"/>
              </w:rPr>
            </w:pPr>
            <w:r>
              <w:rPr>
                <w:rFonts w:ascii="宋体" w:hAnsi="宋体" w:eastAsia="宋体" w:cs="宋体"/>
                <w:spacing w:val="-4"/>
                <w:sz w:val="24"/>
                <w:szCs w:val="24"/>
              </w:rPr>
              <w:t>资产盘活率</w:t>
            </w:r>
          </w:p>
        </w:tc>
        <w:tc>
          <w:tcPr>
            <w:tcW w:w="717" w:type="dxa"/>
            <w:vAlign w:val="top"/>
          </w:tcPr>
          <w:p w14:paraId="246E6A3F">
            <w:pPr>
              <w:pStyle w:val="52"/>
              <w:spacing w:before="165" w:line="187" w:lineRule="auto"/>
              <w:ind w:left="306"/>
              <w:rPr>
                <w:sz w:val="24"/>
                <w:szCs w:val="24"/>
              </w:rPr>
            </w:pPr>
            <w:r>
              <w:rPr>
                <w:sz w:val="24"/>
                <w:szCs w:val="24"/>
              </w:rPr>
              <w:t>3</w:t>
            </w:r>
          </w:p>
        </w:tc>
        <w:tc>
          <w:tcPr>
            <w:tcW w:w="4758" w:type="dxa"/>
            <w:vAlign w:val="top"/>
          </w:tcPr>
          <w:p w14:paraId="4FCCFDB5">
            <w:pPr>
              <w:spacing w:before="124" w:line="219" w:lineRule="auto"/>
              <w:ind w:left="117"/>
              <w:rPr>
                <w:rFonts w:ascii="宋体" w:hAnsi="宋体" w:eastAsia="宋体" w:cs="宋体"/>
                <w:sz w:val="24"/>
                <w:szCs w:val="24"/>
              </w:rPr>
            </w:pPr>
            <w:r>
              <w:rPr>
                <w:rFonts w:ascii="宋体" w:hAnsi="宋体" w:eastAsia="宋体" w:cs="宋体"/>
                <w:spacing w:val="-1"/>
                <w:sz w:val="24"/>
                <w:szCs w:val="24"/>
              </w:rPr>
              <w:t>部门闲置一年以上的资产盘活情况</w:t>
            </w:r>
          </w:p>
        </w:tc>
        <w:tc>
          <w:tcPr>
            <w:tcW w:w="730" w:type="dxa"/>
            <w:vAlign w:val="top"/>
          </w:tcPr>
          <w:p w14:paraId="09EFD41A">
            <w:pPr>
              <w:pStyle w:val="52"/>
              <w:spacing w:before="166" w:line="187" w:lineRule="auto"/>
              <w:ind w:left="114"/>
              <w:rPr>
                <w:sz w:val="24"/>
                <w:szCs w:val="24"/>
              </w:rPr>
            </w:pPr>
            <w:r>
              <w:rPr>
                <w:sz w:val="24"/>
                <w:szCs w:val="24"/>
              </w:rPr>
              <w:t>2</w:t>
            </w:r>
          </w:p>
        </w:tc>
        <w:tc>
          <w:tcPr>
            <w:tcW w:w="483" w:type="dxa"/>
            <w:vAlign w:val="top"/>
          </w:tcPr>
          <w:p w14:paraId="6DB800D3">
            <w:pPr>
              <w:pStyle w:val="52"/>
            </w:pPr>
          </w:p>
        </w:tc>
      </w:tr>
      <w:tr w14:paraId="5A4F0B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1101" w:type="dxa"/>
            <w:vMerge w:val="continue"/>
            <w:tcBorders>
              <w:top w:val="nil"/>
              <w:bottom w:val="nil"/>
            </w:tcBorders>
            <w:vAlign w:val="top"/>
          </w:tcPr>
          <w:p w14:paraId="5E81FCDE">
            <w:pPr>
              <w:pStyle w:val="52"/>
            </w:pPr>
          </w:p>
        </w:tc>
        <w:tc>
          <w:tcPr>
            <w:tcW w:w="1200" w:type="dxa"/>
            <w:vMerge w:val="restart"/>
            <w:tcBorders>
              <w:bottom w:val="nil"/>
            </w:tcBorders>
            <w:vAlign w:val="top"/>
          </w:tcPr>
          <w:p w14:paraId="238DDCED">
            <w:pPr>
              <w:pStyle w:val="52"/>
              <w:spacing w:before="129" w:line="202" w:lineRule="auto"/>
              <w:ind w:left="161" w:right="117" w:hanging="38"/>
              <w:rPr>
                <w:rFonts w:ascii="宋体" w:hAnsi="宋体" w:eastAsia="宋体" w:cs="宋体"/>
                <w:sz w:val="24"/>
                <w:szCs w:val="24"/>
              </w:rPr>
            </w:pPr>
            <w:r>
              <w:rPr>
                <w:rFonts w:ascii="宋体" w:hAnsi="宋体" w:eastAsia="宋体" w:cs="宋体"/>
                <w:b/>
                <w:bCs/>
                <w:spacing w:val="-4"/>
                <w:sz w:val="24"/>
                <w:szCs w:val="24"/>
              </w:rPr>
              <w:t>采购管理</w:t>
            </w:r>
            <w:r>
              <w:rPr>
                <w:rFonts w:ascii="宋体" w:hAnsi="宋体" w:eastAsia="宋体" w:cs="宋体"/>
                <w:b/>
                <w:bCs/>
                <w:spacing w:val="5"/>
                <w:sz w:val="24"/>
                <w:szCs w:val="24"/>
              </w:rPr>
              <w:t>（</w:t>
            </w:r>
            <w:r>
              <w:rPr>
                <w:b/>
                <w:bCs/>
                <w:spacing w:val="5"/>
                <w:sz w:val="24"/>
                <w:szCs w:val="24"/>
              </w:rPr>
              <w:t>6</w:t>
            </w:r>
            <w:r>
              <w:rPr>
                <w:rFonts w:ascii="宋体" w:hAnsi="宋体" w:eastAsia="宋体" w:cs="宋体"/>
                <w:b/>
                <w:bCs/>
                <w:spacing w:val="5"/>
                <w:sz w:val="24"/>
                <w:szCs w:val="24"/>
              </w:rPr>
              <w:t>分）</w:t>
            </w:r>
          </w:p>
        </w:tc>
        <w:tc>
          <w:tcPr>
            <w:tcW w:w="1928" w:type="dxa"/>
            <w:vAlign w:val="top"/>
          </w:tcPr>
          <w:p w14:paraId="47FDC65C">
            <w:pPr>
              <w:spacing w:before="4" w:line="181" w:lineRule="auto"/>
              <w:ind w:left="853" w:right="120" w:hanging="721"/>
              <w:rPr>
                <w:rFonts w:ascii="宋体" w:hAnsi="宋体" w:eastAsia="宋体" w:cs="宋体"/>
                <w:sz w:val="24"/>
                <w:szCs w:val="24"/>
              </w:rPr>
            </w:pPr>
            <w:r>
              <w:rPr>
                <w:rFonts w:ascii="宋体" w:hAnsi="宋体" w:eastAsia="宋体" w:cs="宋体"/>
                <w:spacing w:val="-2"/>
                <w:sz w:val="24"/>
                <w:szCs w:val="24"/>
              </w:rPr>
              <w:t>支持中小企业发</w:t>
            </w:r>
            <w:r>
              <w:rPr>
                <w:rFonts w:ascii="宋体" w:hAnsi="宋体" w:eastAsia="宋体" w:cs="宋体"/>
                <w:sz w:val="24"/>
                <w:szCs w:val="24"/>
              </w:rPr>
              <w:t>展</w:t>
            </w:r>
          </w:p>
        </w:tc>
        <w:tc>
          <w:tcPr>
            <w:tcW w:w="717" w:type="dxa"/>
            <w:vAlign w:val="top"/>
          </w:tcPr>
          <w:p w14:paraId="4F458A99">
            <w:pPr>
              <w:pStyle w:val="52"/>
              <w:spacing w:before="165" w:line="187" w:lineRule="auto"/>
              <w:ind w:left="306"/>
              <w:rPr>
                <w:sz w:val="24"/>
                <w:szCs w:val="24"/>
              </w:rPr>
            </w:pPr>
            <w:r>
              <w:rPr>
                <w:sz w:val="24"/>
                <w:szCs w:val="24"/>
              </w:rPr>
              <w:t>3</w:t>
            </w:r>
          </w:p>
        </w:tc>
        <w:tc>
          <w:tcPr>
            <w:tcW w:w="4758" w:type="dxa"/>
            <w:vAlign w:val="top"/>
          </w:tcPr>
          <w:p w14:paraId="370C2463">
            <w:pPr>
              <w:spacing w:before="4" w:line="181" w:lineRule="auto"/>
              <w:ind w:left="117" w:right="327"/>
              <w:rPr>
                <w:rFonts w:ascii="宋体" w:hAnsi="宋体" w:eastAsia="宋体" w:cs="宋体"/>
                <w:sz w:val="24"/>
                <w:szCs w:val="24"/>
              </w:rPr>
            </w:pPr>
            <w:r>
              <w:rPr>
                <w:rFonts w:ascii="宋体" w:hAnsi="宋体" w:eastAsia="宋体" w:cs="宋体"/>
                <w:spacing w:val="-1"/>
                <w:sz w:val="24"/>
                <w:szCs w:val="24"/>
              </w:rPr>
              <w:t>部门是否严格执行政府采购促进中小企业</w:t>
            </w:r>
            <w:r>
              <w:rPr>
                <w:rFonts w:ascii="宋体" w:hAnsi="宋体" w:eastAsia="宋体" w:cs="宋体"/>
                <w:spacing w:val="-2"/>
                <w:sz w:val="24"/>
                <w:szCs w:val="24"/>
              </w:rPr>
              <w:t>发展相关管理办法</w:t>
            </w:r>
          </w:p>
        </w:tc>
        <w:tc>
          <w:tcPr>
            <w:tcW w:w="730" w:type="dxa"/>
            <w:vAlign w:val="top"/>
          </w:tcPr>
          <w:p w14:paraId="59C57C57">
            <w:pPr>
              <w:pStyle w:val="52"/>
              <w:spacing w:before="165" w:line="187" w:lineRule="auto"/>
              <w:ind w:left="119"/>
              <w:rPr>
                <w:sz w:val="24"/>
                <w:szCs w:val="24"/>
              </w:rPr>
            </w:pPr>
            <w:r>
              <w:rPr>
                <w:sz w:val="24"/>
                <w:szCs w:val="24"/>
              </w:rPr>
              <w:t>3</w:t>
            </w:r>
          </w:p>
        </w:tc>
        <w:tc>
          <w:tcPr>
            <w:tcW w:w="483" w:type="dxa"/>
            <w:vAlign w:val="top"/>
          </w:tcPr>
          <w:p w14:paraId="7E3F012B">
            <w:pPr>
              <w:pStyle w:val="52"/>
            </w:pPr>
          </w:p>
        </w:tc>
      </w:tr>
      <w:tr w14:paraId="17A482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5" w:hRule="atLeast"/>
        </w:trPr>
        <w:tc>
          <w:tcPr>
            <w:tcW w:w="1101" w:type="dxa"/>
            <w:vMerge w:val="continue"/>
            <w:tcBorders>
              <w:top w:val="nil"/>
            </w:tcBorders>
            <w:vAlign w:val="top"/>
          </w:tcPr>
          <w:p w14:paraId="56AC821D">
            <w:pPr>
              <w:pStyle w:val="52"/>
            </w:pPr>
          </w:p>
        </w:tc>
        <w:tc>
          <w:tcPr>
            <w:tcW w:w="1200" w:type="dxa"/>
            <w:vMerge w:val="continue"/>
            <w:tcBorders>
              <w:top w:val="nil"/>
            </w:tcBorders>
            <w:vAlign w:val="top"/>
          </w:tcPr>
          <w:p w14:paraId="08E2034C">
            <w:pPr>
              <w:pStyle w:val="52"/>
            </w:pPr>
          </w:p>
        </w:tc>
        <w:tc>
          <w:tcPr>
            <w:tcW w:w="1928" w:type="dxa"/>
            <w:vAlign w:val="top"/>
          </w:tcPr>
          <w:p w14:paraId="3CCD8895">
            <w:pPr>
              <w:spacing w:before="3" w:line="178" w:lineRule="auto"/>
              <w:ind w:left="370"/>
              <w:rPr>
                <w:rFonts w:ascii="宋体" w:hAnsi="宋体" w:eastAsia="宋体" w:cs="宋体"/>
                <w:sz w:val="24"/>
                <w:szCs w:val="24"/>
              </w:rPr>
            </w:pPr>
            <w:r>
              <w:rPr>
                <w:rFonts w:ascii="宋体" w:hAnsi="宋体" w:eastAsia="宋体" w:cs="宋体"/>
                <w:spacing w:val="-2"/>
                <w:sz w:val="24"/>
                <w:szCs w:val="24"/>
              </w:rPr>
              <w:t>采购执行率</w:t>
            </w:r>
          </w:p>
        </w:tc>
        <w:tc>
          <w:tcPr>
            <w:tcW w:w="717" w:type="dxa"/>
            <w:vAlign w:val="top"/>
          </w:tcPr>
          <w:p w14:paraId="00017EC1">
            <w:pPr>
              <w:pStyle w:val="52"/>
              <w:spacing w:before="45" w:line="165" w:lineRule="auto"/>
              <w:ind w:left="306"/>
              <w:rPr>
                <w:sz w:val="24"/>
                <w:szCs w:val="24"/>
              </w:rPr>
            </w:pPr>
            <w:r>
              <w:rPr>
                <w:sz w:val="24"/>
                <w:szCs w:val="24"/>
              </w:rPr>
              <w:t>3</w:t>
            </w:r>
          </w:p>
        </w:tc>
        <w:tc>
          <w:tcPr>
            <w:tcW w:w="4758" w:type="dxa"/>
            <w:vAlign w:val="top"/>
          </w:tcPr>
          <w:p w14:paraId="6B4A83AA">
            <w:pPr>
              <w:spacing w:before="3" w:line="178" w:lineRule="auto"/>
              <w:ind w:left="117"/>
              <w:rPr>
                <w:rFonts w:ascii="宋体" w:hAnsi="宋体" w:eastAsia="宋体" w:cs="宋体"/>
                <w:sz w:val="24"/>
                <w:szCs w:val="24"/>
              </w:rPr>
            </w:pPr>
            <w:r>
              <w:rPr>
                <w:rFonts w:ascii="宋体" w:hAnsi="宋体" w:eastAsia="宋体" w:cs="宋体"/>
                <w:spacing w:val="-1"/>
                <w:sz w:val="24"/>
                <w:szCs w:val="24"/>
              </w:rPr>
              <w:t>部门政府采购项目资金支付比例情况</w:t>
            </w:r>
          </w:p>
        </w:tc>
        <w:tc>
          <w:tcPr>
            <w:tcW w:w="730" w:type="dxa"/>
            <w:vAlign w:val="top"/>
          </w:tcPr>
          <w:p w14:paraId="2E01AC92">
            <w:pPr>
              <w:pStyle w:val="52"/>
              <w:spacing w:before="45" w:line="165" w:lineRule="auto"/>
              <w:ind w:left="119"/>
              <w:rPr>
                <w:sz w:val="24"/>
                <w:szCs w:val="24"/>
              </w:rPr>
            </w:pPr>
            <w:r>
              <w:rPr>
                <w:sz w:val="24"/>
                <w:szCs w:val="24"/>
              </w:rPr>
              <w:t>3</w:t>
            </w:r>
          </w:p>
        </w:tc>
        <w:tc>
          <w:tcPr>
            <w:tcW w:w="483" w:type="dxa"/>
            <w:vAlign w:val="top"/>
          </w:tcPr>
          <w:p w14:paraId="32C846C6">
            <w:pPr>
              <w:pStyle w:val="52"/>
              <w:spacing w:line="235" w:lineRule="exact"/>
              <w:rPr>
                <w:sz w:val="20"/>
              </w:rPr>
            </w:pPr>
          </w:p>
        </w:tc>
      </w:tr>
      <w:tr w14:paraId="016F04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1101" w:type="dxa"/>
            <w:vMerge w:val="restart"/>
            <w:tcBorders>
              <w:bottom w:val="nil"/>
            </w:tcBorders>
            <w:vAlign w:val="top"/>
          </w:tcPr>
          <w:p w14:paraId="2CE8055F">
            <w:pPr>
              <w:pStyle w:val="52"/>
              <w:spacing w:line="253" w:lineRule="auto"/>
            </w:pPr>
          </w:p>
          <w:p w14:paraId="665C2AFF">
            <w:pPr>
              <w:pStyle w:val="52"/>
              <w:spacing w:line="253" w:lineRule="auto"/>
            </w:pPr>
          </w:p>
          <w:p w14:paraId="5703E8EF">
            <w:pPr>
              <w:pStyle w:val="52"/>
              <w:spacing w:line="253" w:lineRule="auto"/>
            </w:pPr>
          </w:p>
          <w:p w14:paraId="67E1554C">
            <w:pPr>
              <w:pStyle w:val="52"/>
              <w:spacing w:line="253" w:lineRule="auto"/>
            </w:pPr>
          </w:p>
          <w:p w14:paraId="1EC75D89">
            <w:pPr>
              <w:pStyle w:val="52"/>
              <w:spacing w:line="253" w:lineRule="auto"/>
            </w:pPr>
          </w:p>
          <w:p w14:paraId="14FD9F35">
            <w:pPr>
              <w:pStyle w:val="52"/>
              <w:spacing w:line="253" w:lineRule="auto"/>
            </w:pPr>
          </w:p>
          <w:p w14:paraId="21BBD834">
            <w:pPr>
              <w:pStyle w:val="52"/>
              <w:spacing w:before="78" w:line="196" w:lineRule="auto"/>
              <w:ind w:left="200" w:right="187" w:hanging="1"/>
              <w:jc w:val="both"/>
              <w:rPr>
                <w:rFonts w:ascii="宋体" w:hAnsi="宋体" w:eastAsia="宋体" w:cs="宋体"/>
                <w:sz w:val="24"/>
                <w:szCs w:val="24"/>
              </w:rPr>
            </w:pPr>
            <w:r>
              <w:rPr>
                <w:rFonts w:ascii="宋体" w:hAnsi="宋体" w:eastAsia="宋体" w:cs="宋体"/>
                <w:b/>
                <w:bCs/>
                <w:spacing w:val="-7"/>
                <w:sz w:val="24"/>
                <w:szCs w:val="24"/>
              </w:rPr>
              <w:t>项目绩</w:t>
            </w:r>
            <w:r>
              <w:rPr>
                <w:rFonts w:ascii="宋体" w:hAnsi="宋体" w:eastAsia="宋体" w:cs="宋体"/>
                <w:b/>
                <w:bCs/>
                <w:spacing w:val="-12"/>
                <w:sz w:val="24"/>
                <w:szCs w:val="24"/>
              </w:rPr>
              <w:t>效（</w:t>
            </w:r>
            <w:r>
              <w:rPr>
                <w:b/>
                <w:bCs/>
                <w:spacing w:val="-12"/>
                <w:sz w:val="24"/>
                <w:szCs w:val="24"/>
              </w:rPr>
              <w:t>35</w:t>
            </w:r>
            <w:r>
              <w:rPr>
                <w:rFonts w:ascii="宋体" w:hAnsi="宋体" w:eastAsia="宋体" w:cs="宋体"/>
                <w:b/>
                <w:bCs/>
                <w:spacing w:val="49"/>
                <w:sz w:val="24"/>
                <w:szCs w:val="24"/>
              </w:rPr>
              <w:t>分）</w:t>
            </w:r>
          </w:p>
        </w:tc>
        <w:tc>
          <w:tcPr>
            <w:tcW w:w="1200" w:type="dxa"/>
            <w:vMerge w:val="restart"/>
            <w:tcBorders>
              <w:bottom w:val="nil"/>
            </w:tcBorders>
            <w:vAlign w:val="top"/>
          </w:tcPr>
          <w:p w14:paraId="577FE4BE">
            <w:pPr>
              <w:pStyle w:val="52"/>
              <w:spacing w:line="325" w:lineRule="auto"/>
            </w:pPr>
          </w:p>
          <w:p w14:paraId="43B38530">
            <w:pPr>
              <w:pStyle w:val="52"/>
              <w:spacing w:line="326" w:lineRule="auto"/>
            </w:pPr>
          </w:p>
          <w:p w14:paraId="1C8C0A8C">
            <w:pPr>
              <w:pStyle w:val="52"/>
              <w:spacing w:before="78" w:line="202" w:lineRule="auto"/>
              <w:ind w:left="118" w:right="85" w:firstLine="9"/>
              <w:rPr>
                <w:rFonts w:ascii="宋体" w:hAnsi="宋体" w:eastAsia="宋体" w:cs="宋体"/>
                <w:sz w:val="24"/>
                <w:szCs w:val="24"/>
              </w:rPr>
            </w:pPr>
            <w:r>
              <w:rPr>
                <w:rFonts w:ascii="宋体" w:hAnsi="宋体" w:eastAsia="宋体" w:cs="宋体"/>
                <w:b/>
                <w:bCs/>
                <w:spacing w:val="-6"/>
                <w:sz w:val="24"/>
                <w:szCs w:val="24"/>
              </w:rPr>
              <w:t>项目决策</w:t>
            </w:r>
            <w:r>
              <w:rPr>
                <w:rFonts w:ascii="宋体" w:hAnsi="宋体" w:eastAsia="宋体" w:cs="宋体"/>
                <w:b/>
                <w:bCs/>
                <w:spacing w:val="-16"/>
                <w:sz w:val="24"/>
                <w:szCs w:val="24"/>
              </w:rPr>
              <w:t>（</w:t>
            </w:r>
            <w:r>
              <w:rPr>
                <w:b/>
                <w:bCs/>
                <w:spacing w:val="-16"/>
                <w:sz w:val="24"/>
                <w:szCs w:val="24"/>
              </w:rPr>
              <w:t>12</w:t>
            </w:r>
            <w:r>
              <w:rPr>
                <w:b/>
                <w:bCs/>
                <w:spacing w:val="8"/>
                <w:sz w:val="24"/>
                <w:szCs w:val="24"/>
              </w:rPr>
              <w:t xml:space="preserve"> </w:t>
            </w:r>
            <w:r>
              <w:rPr>
                <w:rFonts w:ascii="宋体" w:hAnsi="宋体" w:eastAsia="宋体" w:cs="宋体"/>
                <w:b/>
                <w:bCs/>
                <w:spacing w:val="-16"/>
                <w:sz w:val="24"/>
                <w:szCs w:val="24"/>
              </w:rPr>
              <w:t>分）</w:t>
            </w:r>
          </w:p>
        </w:tc>
        <w:tc>
          <w:tcPr>
            <w:tcW w:w="1928" w:type="dxa"/>
            <w:vAlign w:val="top"/>
          </w:tcPr>
          <w:p w14:paraId="7BD4AF80">
            <w:pPr>
              <w:spacing w:before="123" w:line="219" w:lineRule="auto"/>
              <w:ind w:left="498"/>
              <w:rPr>
                <w:rFonts w:ascii="宋体" w:hAnsi="宋体" w:eastAsia="宋体" w:cs="宋体"/>
                <w:sz w:val="24"/>
                <w:szCs w:val="24"/>
              </w:rPr>
            </w:pPr>
            <w:r>
              <w:rPr>
                <w:rFonts w:ascii="宋体" w:hAnsi="宋体" w:eastAsia="宋体" w:cs="宋体"/>
                <w:spacing w:val="-5"/>
                <w:sz w:val="24"/>
                <w:szCs w:val="24"/>
              </w:rPr>
              <w:t>决策程序</w:t>
            </w:r>
          </w:p>
        </w:tc>
        <w:tc>
          <w:tcPr>
            <w:tcW w:w="717" w:type="dxa"/>
            <w:vAlign w:val="top"/>
          </w:tcPr>
          <w:p w14:paraId="35996793">
            <w:pPr>
              <w:pStyle w:val="52"/>
              <w:spacing w:before="165" w:line="187" w:lineRule="auto"/>
              <w:ind w:left="300"/>
              <w:rPr>
                <w:sz w:val="24"/>
                <w:szCs w:val="24"/>
              </w:rPr>
            </w:pPr>
            <w:r>
              <w:rPr>
                <w:sz w:val="24"/>
                <w:szCs w:val="24"/>
              </w:rPr>
              <w:t>4</w:t>
            </w:r>
          </w:p>
        </w:tc>
        <w:tc>
          <w:tcPr>
            <w:tcW w:w="4758" w:type="dxa"/>
            <w:vAlign w:val="top"/>
          </w:tcPr>
          <w:p w14:paraId="0D219F9C">
            <w:pPr>
              <w:spacing w:before="4" w:line="181" w:lineRule="auto"/>
              <w:ind w:left="114" w:right="327" w:firstLine="2"/>
              <w:rPr>
                <w:rFonts w:ascii="宋体" w:hAnsi="宋体" w:eastAsia="宋体" w:cs="宋体"/>
                <w:sz w:val="24"/>
                <w:szCs w:val="24"/>
              </w:rPr>
            </w:pPr>
            <w:r>
              <w:rPr>
                <w:rFonts w:ascii="宋体" w:hAnsi="宋体" w:eastAsia="宋体" w:cs="宋体"/>
                <w:spacing w:val="-1"/>
                <w:sz w:val="24"/>
                <w:szCs w:val="24"/>
              </w:rPr>
              <w:t>部门预算项目设立是否按规定履行评估论</w:t>
            </w:r>
            <w:r>
              <w:rPr>
                <w:rFonts w:ascii="宋体" w:hAnsi="宋体" w:eastAsia="宋体" w:cs="宋体"/>
                <w:spacing w:val="-2"/>
                <w:sz w:val="24"/>
                <w:szCs w:val="24"/>
              </w:rPr>
              <w:t>证、申报程序</w:t>
            </w:r>
          </w:p>
        </w:tc>
        <w:tc>
          <w:tcPr>
            <w:tcW w:w="730" w:type="dxa"/>
            <w:vAlign w:val="top"/>
          </w:tcPr>
          <w:p w14:paraId="368848EE">
            <w:pPr>
              <w:pStyle w:val="52"/>
              <w:spacing w:before="165" w:line="187" w:lineRule="auto"/>
              <w:ind w:left="113"/>
              <w:rPr>
                <w:sz w:val="24"/>
                <w:szCs w:val="24"/>
              </w:rPr>
            </w:pPr>
            <w:r>
              <w:rPr>
                <w:sz w:val="24"/>
                <w:szCs w:val="24"/>
              </w:rPr>
              <w:t>4</w:t>
            </w:r>
          </w:p>
        </w:tc>
        <w:tc>
          <w:tcPr>
            <w:tcW w:w="483" w:type="dxa"/>
            <w:vAlign w:val="top"/>
          </w:tcPr>
          <w:p w14:paraId="6CBC2F12">
            <w:pPr>
              <w:pStyle w:val="52"/>
            </w:pPr>
          </w:p>
        </w:tc>
      </w:tr>
      <w:tr w14:paraId="148947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4" w:hRule="atLeast"/>
        </w:trPr>
        <w:tc>
          <w:tcPr>
            <w:tcW w:w="1101" w:type="dxa"/>
            <w:vMerge w:val="continue"/>
            <w:tcBorders>
              <w:top w:val="nil"/>
              <w:bottom w:val="nil"/>
            </w:tcBorders>
            <w:vAlign w:val="top"/>
          </w:tcPr>
          <w:p w14:paraId="67586873">
            <w:pPr>
              <w:pStyle w:val="52"/>
            </w:pPr>
          </w:p>
        </w:tc>
        <w:tc>
          <w:tcPr>
            <w:tcW w:w="1200" w:type="dxa"/>
            <w:vMerge w:val="continue"/>
            <w:tcBorders>
              <w:top w:val="nil"/>
              <w:bottom w:val="nil"/>
            </w:tcBorders>
            <w:vAlign w:val="top"/>
          </w:tcPr>
          <w:p w14:paraId="5208D4E9">
            <w:pPr>
              <w:pStyle w:val="52"/>
            </w:pPr>
          </w:p>
        </w:tc>
        <w:tc>
          <w:tcPr>
            <w:tcW w:w="1928" w:type="dxa"/>
            <w:vAlign w:val="top"/>
          </w:tcPr>
          <w:p w14:paraId="07C388E3">
            <w:pPr>
              <w:pStyle w:val="52"/>
              <w:spacing w:line="283" w:lineRule="auto"/>
            </w:pPr>
          </w:p>
          <w:p w14:paraId="263B85E8">
            <w:pPr>
              <w:spacing w:before="78" w:line="220" w:lineRule="auto"/>
              <w:ind w:left="537"/>
              <w:rPr>
                <w:rFonts w:ascii="宋体" w:hAnsi="宋体" w:eastAsia="宋体" w:cs="宋体"/>
                <w:sz w:val="24"/>
                <w:szCs w:val="24"/>
              </w:rPr>
            </w:pPr>
            <w:r>
              <w:rPr>
                <w:rFonts w:ascii="宋体" w:hAnsi="宋体" w:eastAsia="宋体" w:cs="宋体"/>
                <w:spacing w:val="-14"/>
                <w:sz w:val="24"/>
                <w:szCs w:val="24"/>
              </w:rPr>
              <w:t>目标设置</w:t>
            </w:r>
          </w:p>
        </w:tc>
        <w:tc>
          <w:tcPr>
            <w:tcW w:w="717" w:type="dxa"/>
            <w:vAlign w:val="top"/>
          </w:tcPr>
          <w:p w14:paraId="3D652345">
            <w:pPr>
              <w:pStyle w:val="52"/>
              <w:spacing w:line="333" w:lineRule="auto"/>
            </w:pPr>
          </w:p>
          <w:p w14:paraId="0B03F477">
            <w:pPr>
              <w:pStyle w:val="52"/>
              <w:spacing w:before="69" w:line="187" w:lineRule="auto"/>
              <w:ind w:left="300"/>
              <w:rPr>
                <w:sz w:val="24"/>
                <w:szCs w:val="24"/>
              </w:rPr>
            </w:pPr>
            <w:r>
              <w:rPr>
                <w:sz w:val="24"/>
                <w:szCs w:val="24"/>
              </w:rPr>
              <w:t>4</w:t>
            </w:r>
          </w:p>
        </w:tc>
        <w:tc>
          <w:tcPr>
            <w:tcW w:w="4758" w:type="dxa"/>
            <w:vAlign w:val="top"/>
          </w:tcPr>
          <w:p w14:paraId="37FA52D6">
            <w:pPr>
              <w:spacing w:before="2" w:line="185" w:lineRule="auto"/>
              <w:ind w:left="117"/>
              <w:rPr>
                <w:rFonts w:ascii="宋体" w:hAnsi="宋体" w:eastAsia="宋体" w:cs="宋体"/>
                <w:sz w:val="24"/>
                <w:szCs w:val="24"/>
              </w:rPr>
            </w:pPr>
            <w:r>
              <w:rPr>
                <w:rFonts w:ascii="宋体" w:hAnsi="宋体" w:eastAsia="宋体" w:cs="宋体"/>
                <w:spacing w:val="-1"/>
                <w:sz w:val="24"/>
                <w:szCs w:val="24"/>
              </w:rPr>
              <w:t>部门预算项目绩效目标与计划期内的任务</w:t>
            </w:r>
          </w:p>
          <w:p w14:paraId="49E10FD1">
            <w:pPr>
              <w:spacing w:before="1" w:line="182" w:lineRule="auto"/>
              <w:ind w:left="115" w:right="101" w:hanging="1"/>
              <w:rPr>
                <w:rFonts w:ascii="宋体" w:hAnsi="宋体" w:eastAsia="宋体" w:cs="宋体"/>
                <w:sz w:val="24"/>
                <w:szCs w:val="24"/>
              </w:rPr>
            </w:pPr>
            <w:r>
              <w:rPr>
                <w:rFonts w:ascii="宋体" w:hAnsi="宋体" w:eastAsia="宋体" w:cs="宋体"/>
                <w:spacing w:val="-2"/>
                <w:sz w:val="24"/>
                <w:szCs w:val="24"/>
              </w:rPr>
              <w:t>量、预算安排的资金量匹配情况，绩效目标设置是否科学合理、规范完整、量化细化、</w:t>
            </w:r>
            <w:r>
              <w:rPr>
                <w:rFonts w:ascii="宋体" w:hAnsi="宋体" w:eastAsia="宋体" w:cs="宋体"/>
                <w:spacing w:val="-3"/>
                <w:sz w:val="24"/>
                <w:szCs w:val="24"/>
              </w:rPr>
              <w:t>预算匹配</w:t>
            </w:r>
          </w:p>
        </w:tc>
        <w:tc>
          <w:tcPr>
            <w:tcW w:w="730" w:type="dxa"/>
            <w:vAlign w:val="top"/>
          </w:tcPr>
          <w:p w14:paraId="03C60DF1">
            <w:pPr>
              <w:pStyle w:val="52"/>
              <w:spacing w:line="333" w:lineRule="auto"/>
            </w:pPr>
          </w:p>
          <w:p w14:paraId="72DD17FB">
            <w:pPr>
              <w:pStyle w:val="52"/>
              <w:spacing w:before="69" w:line="187" w:lineRule="auto"/>
              <w:ind w:left="113"/>
              <w:rPr>
                <w:sz w:val="24"/>
                <w:szCs w:val="24"/>
              </w:rPr>
            </w:pPr>
            <w:r>
              <w:rPr>
                <w:sz w:val="24"/>
                <w:szCs w:val="24"/>
              </w:rPr>
              <w:t>4</w:t>
            </w:r>
          </w:p>
        </w:tc>
        <w:tc>
          <w:tcPr>
            <w:tcW w:w="483" w:type="dxa"/>
            <w:vAlign w:val="top"/>
          </w:tcPr>
          <w:p w14:paraId="51484E1C">
            <w:pPr>
              <w:pStyle w:val="52"/>
            </w:pPr>
          </w:p>
        </w:tc>
      </w:tr>
      <w:tr w14:paraId="78F6FF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1101" w:type="dxa"/>
            <w:vMerge w:val="continue"/>
            <w:tcBorders>
              <w:top w:val="nil"/>
              <w:bottom w:val="nil"/>
            </w:tcBorders>
            <w:vAlign w:val="top"/>
          </w:tcPr>
          <w:p w14:paraId="6D27FE35">
            <w:pPr>
              <w:pStyle w:val="52"/>
            </w:pPr>
          </w:p>
        </w:tc>
        <w:tc>
          <w:tcPr>
            <w:tcW w:w="1200" w:type="dxa"/>
            <w:vMerge w:val="continue"/>
            <w:tcBorders>
              <w:top w:val="nil"/>
            </w:tcBorders>
            <w:vAlign w:val="top"/>
          </w:tcPr>
          <w:p w14:paraId="64D9DFA1">
            <w:pPr>
              <w:pStyle w:val="52"/>
            </w:pPr>
          </w:p>
        </w:tc>
        <w:tc>
          <w:tcPr>
            <w:tcW w:w="1928" w:type="dxa"/>
            <w:vAlign w:val="top"/>
          </w:tcPr>
          <w:p w14:paraId="700E9019">
            <w:pPr>
              <w:spacing w:before="124" w:line="219" w:lineRule="auto"/>
              <w:ind w:left="495"/>
              <w:rPr>
                <w:rFonts w:ascii="宋体" w:hAnsi="宋体" w:eastAsia="宋体" w:cs="宋体"/>
                <w:sz w:val="24"/>
                <w:szCs w:val="24"/>
              </w:rPr>
            </w:pPr>
            <w:r>
              <w:rPr>
                <w:rFonts w:ascii="宋体" w:hAnsi="宋体" w:eastAsia="宋体" w:cs="宋体"/>
                <w:spacing w:val="-4"/>
                <w:sz w:val="24"/>
                <w:szCs w:val="24"/>
              </w:rPr>
              <w:t>项目入库</w:t>
            </w:r>
          </w:p>
        </w:tc>
        <w:tc>
          <w:tcPr>
            <w:tcW w:w="717" w:type="dxa"/>
            <w:vAlign w:val="top"/>
          </w:tcPr>
          <w:p w14:paraId="1EA687BB">
            <w:pPr>
              <w:pStyle w:val="52"/>
              <w:spacing w:before="165" w:line="187" w:lineRule="auto"/>
              <w:ind w:left="300"/>
              <w:rPr>
                <w:sz w:val="24"/>
                <w:szCs w:val="24"/>
              </w:rPr>
            </w:pPr>
            <w:r>
              <w:rPr>
                <w:sz w:val="24"/>
                <w:szCs w:val="24"/>
              </w:rPr>
              <w:t>4</w:t>
            </w:r>
          </w:p>
        </w:tc>
        <w:tc>
          <w:tcPr>
            <w:tcW w:w="4758" w:type="dxa"/>
            <w:vAlign w:val="top"/>
          </w:tcPr>
          <w:p w14:paraId="4B1ADBD4">
            <w:pPr>
              <w:spacing w:before="4" w:line="181" w:lineRule="auto"/>
              <w:ind w:left="115" w:right="327" w:firstLine="1"/>
              <w:rPr>
                <w:rFonts w:ascii="宋体" w:hAnsi="宋体" w:eastAsia="宋体" w:cs="宋体"/>
                <w:sz w:val="24"/>
                <w:szCs w:val="24"/>
              </w:rPr>
            </w:pPr>
            <w:r>
              <w:rPr>
                <w:rFonts w:ascii="宋体" w:hAnsi="宋体" w:eastAsia="宋体" w:cs="宋体"/>
                <w:spacing w:val="-1"/>
                <w:sz w:val="24"/>
                <w:szCs w:val="24"/>
              </w:rPr>
              <w:t>部门预算项目是否在规定时间完成项目入</w:t>
            </w:r>
            <w:r>
              <w:rPr>
                <w:rFonts w:ascii="宋体" w:hAnsi="宋体" w:eastAsia="宋体" w:cs="宋体"/>
                <w:sz w:val="24"/>
                <w:szCs w:val="24"/>
              </w:rPr>
              <w:t>库</w:t>
            </w:r>
          </w:p>
        </w:tc>
        <w:tc>
          <w:tcPr>
            <w:tcW w:w="730" w:type="dxa"/>
            <w:vAlign w:val="top"/>
          </w:tcPr>
          <w:p w14:paraId="2F10FA30">
            <w:pPr>
              <w:pStyle w:val="52"/>
              <w:spacing w:before="165" w:line="187" w:lineRule="auto"/>
              <w:ind w:left="113"/>
              <w:rPr>
                <w:sz w:val="24"/>
                <w:szCs w:val="24"/>
              </w:rPr>
            </w:pPr>
            <w:r>
              <w:rPr>
                <w:sz w:val="24"/>
                <w:szCs w:val="24"/>
              </w:rPr>
              <w:t>4</w:t>
            </w:r>
          </w:p>
        </w:tc>
        <w:tc>
          <w:tcPr>
            <w:tcW w:w="483" w:type="dxa"/>
            <w:vAlign w:val="top"/>
          </w:tcPr>
          <w:p w14:paraId="0E6DA269">
            <w:pPr>
              <w:pStyle w:val="52"/>
            </w:pPr>
          </w:p>
        </w:tc>
      </w:tr>
      <w:tr w14:paraId="37247C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1101" w:type="dxa"/>
            <w:vMerge w:val="continue"/>
            <w:tcBorders>
              <w:top w:val="nil"/>
              <w:bottom w:val="nil"/>
            </w:tcBorders>
            <w:vAlign w:val="top"/>
          </w:tcPr>
          <w:p w14:paraId="0650D103">
            <w:pPr>
              <w:pStyle w:val="52"/>
            </w:pPr>
          </w:p>
        </w:tc>
        <w:tc>
          <w:tcPr>
            <w:tcW w:w="1200" w:type="dxa"/>
            <w:vMerge w:val="restart"/>
            <w:tcBorders>
              <w:bottom w:val="nil"/>
            </w:tcBorders>
            <w:vAlign w:val="top"/>
          </w:tcPr>
          <w:p w14:paraId="2B5BAD8B">
            <w:pPr>
              <w:pStyle w:val="52"/>
              <w:spacing w:before="256" w:line="202" w:lineRule="auto"/>
              <w:ind w:left="118" w:right="85" w:firstLine="9"/>
              <w:rPr>
                <w:rFonts w:ascii="宋体" w:hAnsi="宋体" w:eastAsia="宋体" w:cs="宋体"/>
                <w:sz w:val="24"/>
                <w:szCs w:val="24"/>
              </w:rPr>
            </w:pPr>
            <w:r>
              <w:rPr>
                <w:rFonts w:ascii="宋体" w:hAnsi="宋体" w:eastAsia="宋体" w:cs="宋体"/>
                <w:b/>
                <w:bCs/>
                <w:spacing w:val="-6"/>
                <w:sz w:val="24"/>
                <w:szCs w:val="24"/>
              </w:rPr>
              <w:t>项目执行</w:t>
            </w:r>
            <w:r>
              <w:rPr>
                <w:rFonts w:ascii="宋体" w:hAnsi="宋体" w:eastAsia="宋体" w:cs="宋体"/>
                <w:b/>
                <w:bCs/>
                <w:spacing w:val="-16"/>
                <w:sz w:val="24"/>
                <w:szCs w:val="24"/>
              </w:rPr>
              <w:t>（</w:t>
            </w:r>
            <w:r>
              <w:rPr>
                <w:b/>
                <w:bCs/>
                <w:spacing w:val="-16"/>
                <w:sz w:val="24"/>
                <w:szCs w:val="24"/>
              </w:rPr>
              <w:t>12</w:t>
            </w:r>
            <w:r>
              <w:rPr>
                <w:b/>
                <w:bCs/>
                <w:spacing w:val="8"/>
                <w:sz w:val="24"/>
                <w:szCs w:val="24"/>
              </w:rPr>
              <w:t xml:space="preserve"> </w:t>
            </w:r>
            <w:r>
              <w:rPr>
                <w:rFonts w:ascii="宋体" w:hAnsi="宋体" w:eastAsia="宋体" w:cs="宋体"/>
                <w:b/>
                <w:bCs/>
                <w:spacing w:val="-16"/>
                <w:sz w:val="24"/>
                <w:szCs w:val="24"/>
              </w:rPr>
              <w:t>分）</w:t>
            </w:r>
          </w:p>
        </w:tc>
        <w:tc>
          <w:tcPr>
            <w:tcW w:w="1928" w:type="dxa"/>
            <w:vAlign w:val="top"/>
          </w:tcPr>
          <w:p w14:paraId="54903D80">
            <w:pPr>
              <w:spacing w:before="126" w:line="219" w:lineRule="auto"/>
              <w:ind w:left="491"/>
              <w:rPr>
                <w:rFonts w:ascii="宋体" w:hAnsi="宋体" w:eastAsia="宋体" w:cs="宋体"/>
                <w:sz w:val="24"/>
                <w:szCs w:val="24"/>
              </w:rPr>
            </w:pPr>
            <w:r>
              <w:rPr>
                <w:rFonts w:ascii="宋体" w:hAnsi="宋体" w:eastAsia="宋体" w:cs="宋体"/>
                <w:spacing w:val="-3"/>
                <w:sz w:val="24"/>
                <w:szCs w:val="24"/>
              </w:rPr>
              <w:t>执行同向</w:t>
            </w:r>
          </w:p>
        </w:tc>
        <w:tc>
          <w:tcPr>
            <w:tcW w:w="717" w:type="dxa"/>
            <w:vAlign w:val="top"/>
          </w:tcPr>
          <w:p w14:paraId="4D0F4F26">
            <w:pPr>
              <w:pStyle w:val="52"/>
              <w:spacing w:before="167" w:line="187" w:lineRule="auto"/>
              <w:ind w:left="300"/>
              <w:rPr>
                <w:sz w:val="24"/>
                <w:szCs w:val="24"/>
              </w:rPr>
            </w:pPr>
            <w:r>
              <w:rPr>
                <w:sz w:val="24"/>
                <w:szCs w:val="24"/>
              </w:rPr>
              <w:t>4</w:t>
            </w:r>
          </w:p>
        </w:tc>
        <w:tc>
          <w:tcPr>
            <w:tcW w:w="4758" w:type="dxa"/>
            <w:vAlign w:val="top"/>
          </w:tcPr>
          <w:p w14:paraId="14E99A31">
            <w:pPr>
              <w:spacing w:before="4" w:line="181" w:lineRule="auto"/>
              <w:ind w:left="115" w:right="327" w:firstLine="1"/>
              <w:rPr>
                <w:rFonts w:ascii="宋体" w:hAnsi="宋体" w:eastAsia="宋体" w:cs="宋体"/>
                <w:sz w:val="24"/>
                <w:szCs w:val="24"/>
              </w:rPr>
            </w:pPr>
            <w:r>
              <w:rPr>
                <w:rFonts w:ascii="宋体" w:hAnsi="宋体" w:eastAsia="宋体" w:cs="宋体"/>
                <w:spacing w:val="-1"/>
                <w:sz w:val="24"/>
                <w:szCs w:val="24"/>
              </w:rPr>
              <w:t>部门预算项目实际列支内容是否与绩效目</w:t>
            </w:r>
            <w:r>
              <w:rPr>
                <w:rFonts w:ascii="宋体" w:hAnsi="宋体" w:eastAsia="宋体" w:cs="宋体"/>
                <w:spacing w:val="-2"/>
                <w:sz w:val="24"/>
                <w:szCs w:val="24"/>
              </w:rPr>
              <w:t>标设置方向相符</w:t>
            </w:r>
          </w:p>
        </w:tc>
        <w:tc>
          <w:tcPr>
            <w:tcW w:w="730" w:type="dxa"/>
            <w:vAlign w:val="top"/>
          </w:tcPr>
          <w:p w14:paraId="3F85A980">
            <w:pPr>
              <w:pStyle w:val="52"/>
              <w:spacing w:before="167" w:line="187" w:lineRule="auto"/>
              <w:ind w:left="113"/>
              <w:rPr>
                <w:sz w:val="24"/>
                <w:szCs w:val="24"/>
              </w:rPr>
            </w:pPr>
            <w:r>
              <w:rPr>
                <w:sz w:val="24"/>
                <w:szCs w:val="24"/>
              </w:rPr>
              <w:t>4</w:t>
            </w:r>
          </w:p>
        </w:tc>
        <w:tc>
          <w:tcPr>
            <w:tcW w:w="483" w:type="dxa"/>
            <w:vAlign w:val="top"/>
          </w:tcPr>
          <w:p w14:paraId="043D4413">
            <w:pPr>
              <w:pStyle w:val="52"/>
            </w:pPr>
          </w:p>
        </w:tc>
      </w:tr>
      <w:tr w14:paraId="657A0A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5" w:hRule="atLeast"/>
        </w:trPr>
        <w:tc>
          <w:tcPr>
            <w:tcW w:w="1101" w:type="dxa"/>
            <w:vMerge w:val="continue"/>
            <w:tcBorders>
              <w:top w:val="nil"/>
              <w:bottom w:val="nil"/>
            </w:tcBorders>
            <w:vAlign w:val="top"/>
          </w:tcPr>
          <w:p w14:paraId="27DDE3C2">
            <w:pPr>
              <w:pStyle w:val="52"/>
            </w:pPr>
          </w:p>
        </w:tc>
        <w:tc>
          <w:tcPr>
            <w:tcW w:w="1200" w:type="dxa"/>
            <w:vMerge w:val="continue"/>
            <w:tcBorders>
              <w:top w:val="nil"/>
              <w:bottom w:val="nil"/>
            </w:tcBorders>
            <w:vAlign w:val="top"/>
          </w:tcPr>
          <w:p w14:paraId="3A13F5F0">
            <w:pPr>
              <w:pStyle w:val="52"/>
            </w:pPr>
          </w:p>
        </w:tc>
        <w:tc>
          <w:tcPr>
            <w:tcW w:w="1928" w:type="dxa"/>
            <w:vAlign w:val="top"/>
          </w:tcPr>
          <w:p w14:paraId="0C3825B3">
            <w:pPr>
              <w:spacing w:before="4" w:line="177" w:lineRule="auto"/>
              <w:ind w:left="495"/>
              <w:rPr>
                <w:rFonts w:ascii="宋体" w:hAnsi="宋体" w:eastAsia="宋体" w:cs="宋体"/>
                <w:sz w:val="24"/>
                <w:szCs w:val="24"/>
              </w:rPr>
            </w:pPr>
            <w:r>
              <w:rPr>
                <w:rFonts w:ascii="宋体" w:hAnsi="宋体" w:eastAsia="宋体" w:cs="宋体"/>
                <w:spacing w:val="-4"/>
                <w:sz w:val="24"/>
                <w:szCs w:val="24"/>
              </w:rPr>
              <w:t>项目调整</w:t>
            </w:r>
          </w:p>
        </w:tc>
        <w:tc>
          <w:tcPr>
            <w:tcW w:w="717" w:type="dxa"/>
            <w:vAlign w:val="top"/>
          </w:tcPr>
          <w:p w14:paraId="2B53CDF5">
            <w:pPr>
              <w:pStyle w:val="52"/>
              <w:spacing w:before="46" w:line="164" w:lineRule="auto"/>
              <w:ind w:left="300"/>
              <w:rPr>
                <w:sz w:val="24"/>
                <w:szCs w:val="24"/>
              </w:rPr>
            </w:pPr>
            <w:r>
              <w:rPr>
                <w:sz w:val="24"/>
                <w:szCs w:val="24"/>
              </w:rPr>
              <w:t>4</w:t>
            </w:r>
          </w:p>
        </w:tc>
        <w:tc>
          <w:tcPr>
            <w:tcW w:w="4758" w:type="dxa"/>
            <w:vAlign w:val="top"/>
          </w:tcPr>
          <w:p w14:paraId="5A9DA2CF">
            <w:pPr>
              <w:spacing w:before="4" w:line="177" w:lineRule="auto"/>
              <w:ind w:left="117"/>
              <w:rPr>
                <w:rFonts w:ascii="宋体" w:hAnsi="宋体" w:eastAsia="宋体" w:cs="宋体"/>
                <w:sz w:val="24"/>
                <w:szCs w:val="24"/>
              </w:rPr>
            </w:pPr>
            <w:r>
              <w:rPr>
                <w:rFonts w:ascii="宋体" w:hAnsi="宋体" w:eastAsia="宋体" w:cs="宋体"/>
                <w:spacing w:val="-1"/>
                <w:sz w:val="24"/>
                <w:szCs w:val="24"/>
              </w:rPr>
              <w:t>部门预算项目是否采取对应调整措施</w:t>
            </w:r>
          </w:p>
        </w:tc>
        <w:tc>
          <w:tcPr>
            <w:tcW w:w="730" w:type="dxa"/>
            <w:vAlign w:val="top"/>
          </w:tcPr>
          <w:p w14:paraId="372C80A0">
            <w:pPr>
              <w:pStyle w:val="52"/>
              <w:spacing w:before="46" w:line="164" w:lineRule="auto"/>
              <w:ind w:left="113"/>
              <w:rPr>
                <w:sz w:val="24"/>
                <w:szCs w:val="24"/>
              </w:rPr>
            </w:pPr>
            <w:r>
              <w:rPr>
                <w:sz w:val="24"/>
                <w:szCs w:val="24"/>
              </w:rPr>
              <w:t>4</w:t>
            </w:r>
          </w:p>
        </w:tc>
        <w:tc>
          <w:tcPr>
            <w:tcW w:w="483" w:type="dxa"/>
            <w:vAlign w:val="top"/>
          </w:tcPr>
          <w:p w14:paraId="4A9EFEF0">
            <w:pPr>
              <w:pStyle w:val="52"/>
              <w:spacing w:line="235" w:lineRule="exact"/>
              <w:rPr>
                <w:sz w:val="20"/>
              </w:rPr>
            </w:pPr>
          </w:p>
        </w:tc>
      </w:tr>
      <w:tr w14:paraId="70647B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5" w:hRule="atLeast"/>
        </w:trPr>
        <w:tc>
          <w:tcPr>
            <w:tcW w:w="1101" w:type="dxa"/>
            <w:vMerge w:val="continue"/>
            <w:tcBorders>
              <w:top w:val="nil"/>
              <w:bottom w:val="nil"/>
            </w:tcBorders>
            <w:vAlign w:val="top"/>
          </w:tcPr>
          <w:p w14:paraId="0003C8F2">
            <w:pPr>
              <w:pStyle w:val="52"/>
            </w:pPr>
          </w:p>
        </w:tc>
        <w:tc>
          <w:tcPr>
            <w:tcW w:w="1200" w:type="dxa"/>
            <w:vMerge w:val="continue"/>
            <w:tcBorders>
              <w:top w:val="nil"/>
            </w:tcBorders>
            <w:vAlign w:val="top"/>
          </w:tcPr>
          <w:p w14:paraId="2DD9E1BF">
            <w:pPr>
              <w:pStyle w:val="52"/>
            </w:pPr>
          </w:p>
        </w:tc>
        <w:tc>
          <w:tcPr>
            <w:tcW w:w="1928" w:type="dxa"/>
            <w:vAlign w:val="top"/>
          </w:tcPr>
          <w:p w14:paraId="3F27ED21">
            <w:pPr>
              <w:spacing w:before="4" w:line="177" w:lineRule="auto"/>
              <w:ind w:left="491"/>
              <w:rPr>
                <w:rFonts w:ascii="宋体" w:hAnsi="宋体" w:eastAsia="宋体" w:cs="宋体"/>
                <w:sz w:val="24"/>
                <w:szCs w:val="24"/>
              </w:rPr>
            </w:pPr>
            <w:r>
              <w:rPr>
                <w:rFonts w:ascii="宋体" w:hAnsi="宋体" w:eastAsia="宋体" w:cs="宋体"/>
                <w:spacing w:val="-3"/>
                <w:sz w:val="24"/>
                <w:szCs w:val="24"/>
              </w:rPr>
              <w:t>执行结果</w:t>
            </w:r>
          </w:p>
        </w:tc>
        <w:tc>
          <w:tcPr>
            <w:tcW w:w="717" w:type="dxa"/>
            <w:vAlign w:val="top"/>
          </w:tcPr>
          <w:p w14:paraId="3DA94523">
            <w:pPr>
              <w:pStyle w:val="52"/>
              <w:spacing w:before="46" w:line="164" w:lineRule="auto"/>
              <w:ind w:left="300"/>
              <w:rPr>
                <w:sz w:val="24"/>
                <w:szCs w:val="24"/>
              </w:rPr>
            </w:pPr>
            <w:r>
              <w:rPr>
                <w:sz w:val="24"/>
                <w:szCs w:val="24"/>
              </w:rPr>
              <w:t>4</w:t>
            </w:r>
          </w:p>
        </w:tc>
        <w:tc>
          <w:tcPr>
            <w:tcW w:w="4758" w:type="dxa"/>
            <w:vAlign w:val="top"/>
          </w:tcPr>
          <w:p w14:paraId="712136CC">
            <w:pPr>
              <w:spacing w:before="4" w:line="177" w:lineRule="auto"/>
              <w:ind w:left="117"/>
              <w:rPr>
                <w:rFonts w:ascii="宋体" w:hAnsi="宋体" w:eastAsia="宋体" w:cs="宋体"/>
                <w:sz w:val="24"/>
                <w:szCs w:val="24"/>
              </w:rPr>
            </w:pPr>
            <w:r>
              <w:rPr>
                <w:rFonts w:ascii="宋体" w:hAnsi="宋体" w:eastAsia="宋体" w:cs="宋体"/>
                <w:spacing w:val="-1"/>
                <w:sz w:val="24"/>
                <w:szCs w:val="24"/>
              </w:rPr>
              <w:t>部门预算项目预算执行情况</w:t>
            </w:r>
          </w:p>
        </w:tc>
        <w:tc>
          <w:tcPr>
            <w:tcW w:w="730" w:type="dxa"/>
            <w:vAlign w:val="top"/>
          </w:tcPr>
          <w:p w14:paraId="069332C4">
            <w:pPr>
              <w:pStyle w:val="52"/>
              <w:spacing w:before="46" w:line="164" w:lineRule="auto"/>
              <w:ind w:left="113"/>
              <w:rPr>
                <w:sz w:val="24"/>
                <w:szCs w:val="24"/>
              </w:rPr>
            </w:pPr>
            <w:r>
              <w:rPr>
                <w:sz w:val="24"/>
                <w:szCs w:val="24"/>
              </w:rPr>
              <w:t>4</w:t>
            </w:r>
          </w:p>
        </w:tc>
        <w:tc>
          <w:tcPr>
            <w:tcW w:w="483" w:type="dxa"/>
            <w:vAlign w:val="top"/>
          </w:tcPr>
          <w:p w14:paraId="0857EE50">
            <w:pPr>
              <w:pStyle w:val="52"/>
              <w:spacing w:line="235" w:lineRule="exact"/>
              <w:rPr>
                <w:sz w:val="20"/>
              </w:rPr>
            </w:pPr>
          </w:p>
        </w:tc>
      </w:tr>
      <w:tr w14:paraId="20E981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5" w:hRule="atLeast"/>
        </w:trPr>
        <w:tc>
          <w:tcPr>
            <w:tcW w:w="1101" w:type="dxa"/>
            <w:vMerge w:val="continue"/>
            <w:tcBorders>
              <w:top w:val="nil"/>
              <w:bottom w:val="nil"/>
            </w:tcBorders>
            <w:vAlign w:val="top"/>
          </w:tcPr>
          <w:p w14:paraId="38E4867F">
            <w:pPr>
              <w:pStyle w:val="52"/>
            </w:pPr>
          </w:p>
        </w:tc>
        <w:tc>
          <w:tcPr>
            <w:tcW w:w="1200" w:type="dxa"/>
            <w:vMerge w:val="restart"/>
            <w:tcBorders>
              <w:bottom w:val="nil"/>
            </w:tcBorders>
            <w:vAlign w:val="top"/>
          </w:tcPr>
          <w:p w14:paraId="47BD9FCA">
            <w:pPr>
              <w:pStyle w:val="52"/>
              <w:spacing w:before="255" w:line="202" w:lineRule="auto"/>
              <w:ind w:left="118" w:right="85" w:firstLine="51"/>
              <w:rPr>
                <w:rFonts w:ascii="宋体" w:hAnsi="宋体" w:eastAsia="宋体" w:cs="宋体"/>
                <w:sz w:val="24"/>
                <w:szCs w:val="24"/>
              </w:rPr>
            </w:pPr>
            <w:r>
              <w:rPr>
                <w:rFonts w:ascii="宋体" w:hAnsi="宋体" w:eastAsia="宋体" w:cs="宋体"/>
                <w:b/>
                <w:bCs/>
                <w:spacing w:val="-16"/>
                <w:sz w:val="24"/>
                <w:szCs w:val="24"/>
              </w:rPr>
              <w:t>目标实现（</w:t>
            </w:r>
            <w:r>
              <w:rPr>
                <w:b/>
                <w:bCs/>
                <w:spacing w:val="-16"/>
                <w:sz w:val="24"/>
                <w:szCs w:val="24"/>
              </w:rPr>
              <w:t>11</w:t>
            </w:r>
            <w:r>
              <w:rPr>
                <w:b/>
                <w:bCs/>
                <w:spacing w:val="8"/>
                <w:sz w:val="24"/>
                <w:szCs w:val="24"/>
              </w:rPr>
              <w:t xml:space="preserve"> </w:t>
            </w:r>
            <w:r>
              <w:rPr>
                <w:rFonts w:ascii="宋体" w:hAnsi="宋体" w:eastAsia="宋体" w:cs="宋体"/>
                <w:b/>
                <w:bCs/>
                <w:spacing w:val="-16"/>
                <w:sz w:val="24"/>
                <w:szCs w:val="24"/>
              </w:rPr>
              <w:t>分）</w:t>
            </w:r>
          </w:p>
        </w:tc>
        <w:tc>
          <w:tcPr>
            <w:tcW w:w="1928" w:type="dxa"/>
            <w:vAlign w:val="top"/>
          </w:tcPr>
          <w:p w14:paraId="017F3D05">
            <w:pPr>
              <w:spacing w:before="4" w:line="177" w:lineRule="auto"/>
              <w:ind w:left="537"/>
              <w:rPr>
                <w:rFonts w:ascii="宋体" w:hAnsi="宋体" w:eastAsia="宋体" w:cs="宋体"/>
                <w:sz w:val="24"/>
                <w:szCs w:val="24"/>
              </w:rPr>
            </w:pPr>
            <w:r>
              <w:rPr>
                <w:rFonts w:ascii="宋体" w:hAnsi="宋体" w:eastAsia="宋体" w:cs="宋体"/>
                <w:spacing w:val="-14"/>
                <w:sz w:val="24"/>
                <w:szCs w:val="24"/>
              </w:rPr>
              <w:t>目标完成</w:t>
            </w:r>
          </w:p>
        </w:tc>
        <w:tc>
          <w:tcPr>
            <w:tcW w:w="717" w:type="dxa"/>
            <w:vAlign w:val="top"/>
          </w:tcPr>
          <w:p w14:paraId="07CC7E9A">
            <w:pPr>
              <w:pStyle w:val="52"/>
              <w:spacing w:before="46" w:line="164" w:lineRule="auto"/>
              <w:ind w:left="300"/>
              <w:rPr>
                <w:sz w:val="24"/>
                <w:szCs w:val="24"/>
              </w:rPr>
            </w:pPr>
            <w:r>
              <w:rPr>
                <w:sz w:val="24"/>
                <w:szCs w:val="24"/>
              </w:rPr>
              <w:t>4</w:t>
            </w:r>
          </w:p>
        </w:tc>
        <w:tc>
          <w:tcPr>
            <w:tcW w:w="4758" w:type="dxa"/>
            <w:vAlign w:val="top"/>
          </w:tcPr>
          <w:p w14:paraId="32DD02AA">
            <w:pPr>
              <w:spacing w:before="4" w:line="177" w:lineRule="auto"/>
              <w:ind w:left="117"/>
              <w:rPr>
                <w:rFonts w:ascii="宋体" w:hAnsi="宋体" w:eastAsia="宋体" w:cs="宋体"/>
                <w:sz w:val="24"/>
                <w:szCs w:val="24"/>
              </w:rPr>
            </w:pPr>
            <w:r>
              <w:rPr>
                <w:rFonts w:ascii="宋体" w:hAnsi="宋体" w:eastAsia="宋体" w:cs="宋体"/>
                <w:spacing w:val="-1"/>
                <w:sz w:val="24"/>
                <w:szCs w:val="24"/>
              </w:rPr>
              <w:t>部门预算项目绩效目标数量指标完成情况</w:t>
            </w:r>
          </w:p>
        </w:tc>
        <w:tc>
          <w:tcPr>
            <w:tcW w:w="730" w:type="dxa"/>
            <w:vAlign w:val="top"/>
          </w:tcPr>
          <w:p w14:paraId="71BDB9F1">
            <w:pPr>
              <w:pStyle w:val="52"/>
              <w:spacing w:before="46" w:line="164" w:lineRule="auto"/>
              <w:ind w:left="113"/>
              <w:rPr>
                <w:sz w:val="24"/>
                <w:szCs w:val="24"/>
              </w:rPr>
            </w:pPr>
            <w:r>
              <w:rPr>
                <w:sz w:val="24"/>
                <w:szCs w:val="24"/>
              </w:rPr>
              <w:t>4</w:t>
            </w:r>
          </w:p>
        </w:tc>
        <w:tc>
          <w:tcPr>
            <w:tcW w:w="483" w:type="dxa"/>
            <w:vAlign w:val="top"/>
          </w:tcPr>
          <w:p w14:paraId="0965921B">
            <w:pPr>
              <w:pStyle w:val="52"/>
              <w:spacing w:line="235" w:lineRule="exact"/>
              <w:rPr>
                <w:sz w:val="20"/>
              </w:rPr>
            </w:pPr>
          </w:p>
        </w:tc>
      </w:tr>
      <w:tr w14:paraId="1A8819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1101" w:type="dxa"/>
            <w:vMerge w:val="continue"/>
            <w:tcBorders>
              <w:top w:val="nil"/>
              <w:bottom w:val="nil"/>
            </w:tcBorders>
            <w:vAlign w:val="top"/>
          </w:tcPr>
          <w:p w14:paraId="1A950CDC">
            <w:pPr>
              <w:pStyle w:val="52"/>
            </w:pPr>
          </w:p>
        </w:tc>
        <w:tc>
          <w:tcPr>
            <w:tcW w:w="1200" w:type="dxa"/>
            <w:vMerge w:val="continue"/>
            <w:tcBorders>
              <w:top w:val="nil"/>
              <w:bottom w:val="nil"/>
            </w:tcBorders>
            <w:vAlign w:val="top"/>
          </w:tcPr>
          <w:p w14:paraId="37217747">
            <w:pPr>
              <w:pStyle w:val="52"/>
            </w:pPr>
          </w:p>
        </w:tc>
        <w:tc>
          <w:tcPr>
            <w:tcW w:w="1928" w:type="dxa"/>
            <w:vAlign w:val="top"/>
          </w:tcPr>
          <w:p w14:paraId="154B5E75">
            <w:pPr>
              <w:spacing w:before="124" w:line="219" w:lineRule="auto"/>
              <w:ind w:left="537"/>
              <w:rPr>
                <w:rFonts w:ascii="宋体" w:hAnsi="宋体" w:eastAsia="宋体" w:cs="宋体"/>
                <w:sz w:val="24"/>
                <w:szCs w:val="24"/>
              </w:rPr>
            </w:pPr>
            <w:r>
              <w:rPr>
                <w:rFonts w:ascii="宋体" w:hAnsi="宋体" w:eastAsia="宋体" w:cs="宋体"/>
                <w:spacing w:val="-14"/>
                <w:sz w:val="24"/>
                <w:szCs w:val="24"/>
              </w:rPr>
              <w:t>目标偏离</w:t>
            </w:r>
          </w:p>
        </w:tc>
        <w:tc>
          <w:tcPr>
            <w:tcW w:w="717" w:type="dxa"/>
            <w:vAlign w:val="top"/>
          </w:tcPr>
          <w:p w14:paraId="166337C5">
            <w:pPr>
              <w:pStyle w:val="52"/>
              <w:spacing w:before="166" w:line="187" w:lineRule="auto"/>
              <w:ind w:left="300"/>
              <w:rPr>
                <w:sz w:val="24"/>
                <w:szCs w:val="24"/>
              </w:rPr>
            </w:pPr>
            <w:r>
              <w:rPr>
                <w:sz w:val="24"/>
                <w:szCs w:val="24"/>
              </w:rPr>
              <w:t>4</w:t>
            </w:r>
          </w:p>
        </w:tc>
        <w:tc>
          <w:tcPr>
            <w:tcW w:w="4758" w:type="dxa"/>
            <w:vAlign w:val="top"/>
          </w:tcPr>
          <w:p w14:paraId="1D3335C5">
            <w:pPr>
              <w:spacing w:before="4" w:line="181" w:lineRule="auto"/>
              <w:ind w:left="118" w:right="327" w:hanging="1"/>
              <w:rPr>
                <w:rFonts w:ascii="宋体" w:hAnsi="宋体" w:eastAsia="宋体" w:cs="宋体"/>
                <w:sz w:val="24"/>
                <w:szCs w:val="24"/>
              </w:rPr>
            </w:pPr>
            <w:r>
              <w:rPr>
                <w:rFonts w:ascii="宋体" w:hAnsi="宋体" w:eastAsia="宋体" w:cs="宋体"/>
                <w:spacing w:val="-1"/>
                <w:sz w:val="24"/>
                <w:szCs w:val="24"/>
              </w:rPr>
              <w:t>部门预算项目绩效目标数量指标实现程度</w:t>
            </w:r>
            <w:r>
              <w:rPr>
                <w:rFonts w:ascii="宋体" w:hAnsi="宋体" w:eastAsia="宋体" w:cs="宋体"/>
                <w:spacing w:val="-2"/>
                <w:sz w:val="24"/>
                <w:szCs w:val="24"/>
              </w:rPr>
              <w:t>与预期目标的偏离情况</w:t>
            </w:r>
          </w:p>
        </w:tc>
        <w:tc>
          <w:tcPr>
            <w:tcW w:w="730" w:type="dxa"/>
            <w:vAlign w:val="top"/>
          </w:tcPr>
          <w:p w14:paraId="2C60B2C3">
            <w:pPr>
              <w:pStyle w:val="52"/>
              <w:spacing w:before="166" w:line="187" w:lineRule="auto"/>
              <w:ind w:left="113"/>
              <w:rPr>
                <w:sz w:val="24"/>
                <w:szCs w:val="24"/>
              </w:rPr>
            </w:pPr>
            <w:r>
              <w:rPr>
                <w:sz w:val="24"/>
                <w:szCs w:val="24"/>
              </w:rPr>
              <w:t>4</w:t>
            </w:r>
          </w:p>
        </w:tc>
        <w:tc>
          <w:tcPr>
            <w:tcW w:w="483" w:type="dxa"/>
            <w:vAlign w:val="top"/>
          </w:tcPr>
          <w:p w14:paraId="7391D453">
            <w:pPr>
              <w:pStyle w:val="52"/>
            </w:pPr>
          </w:p>
        </w:tc>
      </w:tr>
      <w:tr w14:paraId="141B72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5" w:hRule="atLeast"/>
        </w:trPr>
        <w:tc>
          <w:tcPr>
            <w:tcW w:w="1101" w:type="dxa"/>
            <w:vMerge w:val="continue"/>
            <w:tcBorders>
              <w:top w:val="nil"/>
            </w:tcBorders>
            <w:vAlign w:val="top"/>
          </w:tcPr>
          <w:p w14:paraId="7B5761A5">
            <w:pPr>
              <w:pStyle w:val="52"/>
            </w:pPr>
          </w:p>
        </w:tc>
        <w:tc>
          <w:tcPr>
            <w:tcW w:w="1200" w:type="dxa"/>
            <w:vMerge w:val="continue"/>
            <w:tcBorders>
              <w:top w:val="nil"/>
            </w:tcBorders>
            <w:vAlign w:val="top"/>
          </w:tcPr>
          <w:p w14:paraId="57ECFE1B">
            <w:pPr>
              <w:pStyle w:val="52"/>
            </w:pPr>
          </w:p>
        </w:tc>
        <w:tc>
          <w:tcPr>
            <w:tcW w:w="1928" w:type="dxa"/>
            <w:vAlign w:val="top"/>
          </w:tcPr>
          <w:p w14:paraId="18E7BAA1">
            <w:pPr>
              <w:spacing w:before="3" w:line="178" w:lineRule="auto"/>
              <w:ind w:left="497"/>
              <w:rPr>
                <w:rFonts w:ascii="宋体" w:hAnsi="宋体" w:eastAsia="宋体" w:cs="宋体"/>
                <w:sz w:val="24"/>
                <w:szCs w:val="24"/>
              </w:rPr>
            </w:pPr>
            <w:r>
              <w:rPr>
                <w:rFonts w:ascii="宋体" w:hAnsi="宋体" w:eastAsia="宋体" w:cs="宋体"/>
                <w:spacing w:val="-4"/>
                <w:sz w:val="24"/>
                <w:szCs w:val="24"/>
              </w:rPr>
              <w:t>实现效果</w:t>
            </w:r>
          </w:p>
        </w:tc>
        <w:tc>
          <w:tcPr>
            <w:tcW w:w="717" w:type="dxa"/>
            <w:vAlign w:val="top"/>
          </w:tcPr>
          <w:p w14:paraId="0E41DFAF">
            <w:pPr>
              <w:pStyle w:val="52"/>
              <w:spacing w:before="45" w:line="165" w:lineRule="auto"/>
              <w:ind w:left="306"/>
              <w:rPr>
                <w:sz w:val="24"/>
                <w:szCs w:val="24"/>
              </w:rPr>
            </w:pPr>
            <w:r>
              <w:rPr>
                <w:sz w:val="24"/>
                <w:szCs w:val="24"/>
              </w:rPr>
              <w:t>3</w:t>
            </w:r>
          </w:p>
        </w:tc>
        <w:tc>
          <w:tcPr>
            <w:tcW w:w="4758" w:type="dxa"/>
            <w:vAlign w:val="top"/>
          </w:tcPr>
          <w:p w14:paraId="1F0E0C1F">
            <w:pPr>
              <w:spacing w:before="3" w:line="178" w:lineRule="auto"/>
              <w:ind w:left="117"/>
              <w:rPr>
                <w:rFonts w:ascii="宋体" w:hAnsi="宋体" w:eastAsia="宋体" w:cs="宋体"/>
                <w:sz w:val="24"/>
                <w:szCs w:val="24"/>
              </w:rPr>
            </w:pPr>
            <w:r>
              <w:rPr>
                <w:rFonts w:ascii="宋体" w:hAnsi="宋体" w:eastAsia="宋体" w:cs="宋体"/>
                <w:spacing w:val="-1"/>
                <w:sz w:val="24"/>
                <w:szCs w:val="24"/>
              </w:rPr>
              <w:t>部门预算项目绩效目标效益指标实施效果</w:t>
            </w:r>
          </w:p>
        </w:tc>
        <w:tc>
          <w:tcPr>
            <w:tcW w:w="730" w:type="dxa"/>
            <w:vAlign w:val="top"/>
          </w:tcPr>
          <w:p w14:paraId="36DBC36A">
            <w:pPr>
              <w:pStyle w:val="52"/>
              <w:spacing w:before="45" w:line="165" w:lineRule="auto"/>
              <w:ind w:left="119"/>
              <w:rPr>
                <w:sz w:val="24"/>
                <w:szCs w:val="24"/>
              </w:rPr>
            </w:pPr>
            <w:r>
              <w:rPr>
                <w:sz w:val="24"/>
                <w:szCs w:val="24"/>
              </w:rPr>
              <w:t>3</w:t>
            </w:r>
          </w:p>
        </w:tc>
        <w:tc>
          <w:tcPr>
            <w:tcW w:w="483" w:type="dxa"/>
            <w:vAlign w:val="top"/>
          </w:tcPr>
          <w:p w14:paraId="07878C17">
            <w:pPr>
              <w:pStyle w:val="52"/>
              <w:spacing w:line="235" w:lineRule="exact"/>
              <w:rPr>
                <w:sz w:val="20"/>
              </w:rPr>
            </w:pPr>
          </w:p>
        </w:tc>
      </w:tr>
      <w:tr w14:paraId="4644BB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1101" w:type="dxa"/>
            <w:vAlign w:val="top"/>
          </w:tcPr>
          <w:p w14:paraId="209F6B11">
            <w:pPr>
              <w:pStyle w:val="52"/>
              <w:spacing w:before="5" w:line="182" w:lineRule="auto"/>
              <w:ind w:left="122" w:right="4" w:firstLine="76"/>
              <w:rPr>
                <w:rFonts w:ascii="宋体" w:hAnsi="宋体" w:eastAsia="宋体" w:cs="宋体"/>
                <w:sz w:val="24"/>
                <w:szCs w:val="24"/>
              </w:rPr>
            </w:pPr>
            <w:r>
              <w:rPr>
                <w:rFonts w:ascii="宋体" w:hAnsi="宋体" w:eastAsia="宋体" w:cs="宋体"/>
                <w:b/>
                <w:bCs/>
                <w:spacing w:val="-7"/>
                <w:sz w:val="24"/>
                <w:szCs w:val="24"/>
              </w:rPr>
              <w:t>扣分项</w:t>
            </w:r>
            <w:r>
              <w:rPr>
                <w:rFonts w:ascii="宋体" w:hAnsi="宋体" w:eastAsia="宋体" w:cs="宋体"/>
                <w:b/>
                <w:bCs/>
                <w:spacing w:val="-16"/>
                <w:sz w:val="24"/>
                <w:szCs w:val="24"/>
              </w:rPr>
              <w:t>（</w:t>
            </w:r>
            <w:r>
              <w:rPr>
                <w:b/>
                <w:bCs/>
                <w:spacing w:val="-16"/>
                <w:sz w:val="24"/>
                <w:szCs w:val="24"/>
              </w:rPr>
              <w:t>10</w:t>
            </w:r>
            <w:r>
              <w:rPr>
                <w:b/>
                <w:bCs/>
                <w:spacing w:val="-13"/>
                <w:sz w:val="24"/>
                <w:szCs w:val="24"/>
              </w:rPr>
              <w:t xml:space="preserve"> </w:t>
            </w:r>
            <w:r>
              <w:rPr>
                <w:rFonts w:ascii="宋体" w:hAnsi="宋体" w:eastAsia="宋体" w:cs="宋体"/>
                <w:b/>
                <w:bCs/>
                <w:spacing w:val="-16"/>
                <w:sz w:val="24"/>
                <w:szCs w:val="24"/>
              </w:rPr>
              <w:t>分）</w:t>
            </w:r>
          </w:p>
        </w:tc>
        <w:tc>
          <w:tcPr>
            <w:tcW w:w="3128" w:type="dxa"/>
            <w:gridSpan w:val="2"/>
            <w:vAlign w:val="top"/>
          </w:tcPr>
          <w:p w14:paraId="40C19A27">
            <w:pPr>
              <w:spacing w:before="125" w:line="218" w:lineRule="auto"/>
              <w:ind w:left="611"/>
              <w:rPr>
                <w:rFonts w:ascii="宋体" w:hAnsi="宋体" w:eastAsia="宋体" w:cs="宋体"/>
                <w:sz w:val="24"/>
                <w:szCs w:val="24"/>
              </w:rPr>
            </w:pPr>
            <w:r>
              <w:rPr>
                <w:rFonts w:ascii="宋体" w:hAnsi="宋体" w:eastAsia="宋体" w:cs="宋体"/>
                <w:spacing w:val="-2"/>
                <w:sz w:val="24"/>
                <w:szCs w:val="24"/>
              </w:rPr>
              <w:t>被评价部门配合度</w:t>
            </w:r>
          </w:p>
        </w:tc>
        <w:tc>
          <w:tcPr>
            <w:tcW w:w="717" w:type="dxa"/>
            <w:vAlign w:val="top"/>
          </w:tcPr>
          <w:p w14:paraId="056AD760">
            <w:pPr>
              <w:pStyle w:val="52"/>
              <w:spacing w:before="268" w:line="121" w:lineRule="exact"/>
              <w:ind w:left="325"/>
              <w:rPr>
                <w:sz w:val="24"/>
                <w:szCs w:val="24"/>
              </w:rPr>
            </w:pPr>
            <w:r>
              <w:rPr>
                <w:position w:val="-8"/>
                <w:sz w:val="24"/>
                <w:szCs w:val="24"/>
              </w:rPr>
              <w:t>-</w:t>
            </w:r>
          </w:p>
        </w:tc>
        <w:tc>
          <w:tcPr>
            <w:tcW w:w="4758" w:type="dxa"/>
            <w:vAlign w:val="top"/>
          </w:tcPr>
          <w:p w14:paraId="0F96D9D8">
            <w:pPr>
              <w:spacing w:before="125" w:line="218" w:lineRule="auto"/>
              <w:ind w:left="114"/>
              <w:rPr>
                <w:rFonts w:ascii="宋体" w:hAnsi="宋体" w:eastAsia="宋体" w:cs="宋体"/>
                <w:sz w:val="24"/>
                <w:szCs w:val="24"/>
              </w:rPr>
            </w:pPr>
            <w:r>
              <w:rPr>
                <w:rFonts w:ascii="宋体" w:hAnsi="宋体" w:eastAsia="宋体" w:cs="宋体"/>
                <w:spacing w:val="-1"/>
                <w:sz w:val="24"/>
                <w:szCs w:val="24"/>
              </w:rPr>
              <w:t>被评价对象工作配合情况</w:t>
            </w:r>
          </w:p>
        </w:tc>
        <w:tc>
          <w:tcPr>
            <w:tcW w:w="730" w:type="dxa"/>
            <w:vAlign w:val="top"/>
          </w:tcPr>
          <w:p w14:paraId="5DBD56FC">
            <w:pPr>
              <w:pStyle w:val="52"/>
            </w:pPr>
          </w:p>
        </w:tc>
        <w:tc>
          <w:tcPr>
            <w:tcW w:w="483" w:type="dxa"/>
            <w:vAlign w:val="top"/>
          </w:tcPr>
          <w:p w14:paraId="1FFD58C9">
            <w:pPr>
              <w:pStyle w:val="52"/>
            </w:pPr>
          </w:p>
        </w:tc>
      </w:tr>
    </w:tbl>
    <w:p w14:paraId="48BC5B2B">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sectPr>
          <w:type w:val="continuous"/>
          <w:pgSz w:w="11910" w:h="16840"/>
          <w:pgMar w:top="1440" w:right="1800" w:bottom="1440" w:left="1800" w:header="720" w:footer="720" w:gutter="0"/>
          <w:cols w:space="720" w:num="1"/>
        </w:sectPr>
      </w:pPr>
    </w:p>
    <w:p w14:paraId="511960B6">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eastAsia" w:ascii="Times New Roman" w:hAnsi="Times New Roman" w:eastAsia="黑体" w:cs="Times New Roman"/>
          <w:b w:val="0"/>
          <w:bCs w:val="0"/>
          <w:color w:val="auto"/>
          <w:kern w:val="0"/>
          <w:sz w:val="32"/>
          <w:szCs w:val="32"/>
          <w:highlight w:val="none"/>
          <w:u w:val="none"/>
          <w:shd w:val="clear" w:color="auto" w:fill="FFFFFF"/>
          <w:lang w:val="en-US" w:eastAsia="en-US"/>
        </w:rPr>
        <w:t xml:space="preserve">附表 </w:t>
      </w:r>
      <w:r>
        <w:rPr>
          <w:rFonts w:hint="eastAsia" w:ascii="Times New Roman" w:hAnsi="Times New Roman" w:eastAsia="黑体" w:cs="Times New Roman"/>
          <w:b w:val="0"/>
          <w:bCs w:val="0"/>
          <w:color w:val="auto"/>
          <w:kern w:val="0"/>
          <w:sz w:val="32"/>
          <w:szCs w:val="32"/>
          <w:highlight w:val="none"/>
          <w:u w:val="none"/>
          <w:shd w:val="clear" w:color="auto" w:fill="FFFFFF"/>
          <w:lang w:val="en-US" w:eastAsia="zh-CN"/>
        </w:rPr>
        <w:t>2</w:t>
      </w:r>
    </w:p>
    <w:p w14:paraId="2B340C7E">
      <w:pPr>
        <w:spacing w:before="65" w:line="205" w:lineRule="auto"/>
        <w:ind w:left="1103"/>
        <w:outlineLvl w:val="0"/>
        <w:rPr>
          <w:rFonts w:ascii="方正小标宋简体" w:hAnsi="方正小标宋简体" w:eastAsia="方正小标宋简体" w:cs="方正小标宋简体"/>
          <w:sz w:val="43"/>
          <w:szCs w:val="43"/>
        </w:rPr>
      </w:pPr>
      <w:r>
        <w:rPr>
          <w:rFonts w:ascii="方正小标宋简体" w:hAnsi="方正小标宋简体" w:eastAsia="方正小标宋简体" w:cs="方正小标宋简体"/>
          <w:spacing w:val="9"/>
          <w:sz w:val="43"/>
          <w:szCs w:val="43"/>
        </w:rPr>
        <w:t>部门整体支出绩效目标完成情况自评表</w:t>
      </w:r>
    </w:p>
    <w:tbl>
      <w:tblPr>
        <w:tblStyle w:val="51"/>
        <w:tblW w:w="966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36"/>
        <w:gridCol w:w="593"/>
        <w:gridCol w:w="1012"/>
        <w:gridCol w:w="1036"/>
        <w:gridCol w:w="803"/>
        <w:gridCol w:w="1094"/>
        <w:gridCol w:w="700"/>
        <w:gridCol w:w="1044"/>
        <w:gridCol w:w="1110"/>
        <w:gridCol w:w="1935"/>
      </w:tblGrid>
      <w:tr w14:paraId="14690F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4" w:hRule="atLeast"/>
        </w:trPr>
        <w:tc>
          <w:tcPr>
            <w:tcW w:w="1941" w:type="dxa"/>
            <w:gridSpan w:val="3"/>
            <w:vAlign w:val="top"/>
          </w:tcPr>
          <w:p w14:paraId="745BB52E">
            <w:pPr>
              <w:spacing w:before="116" w:line="219" w:lineRule="auto"/>
              <w:ind w:left="120"/>
              <w:rPr>
                <w:rFonts w:ascii="宋体" w:hAnsi="宋体" w:eastAsia="宋体" w:cs="宋体"/>
                <w:sz w:val="24"/>
                <w:szCs w:val="24"/>
              </w:rPr>
            </w:pPr>
            <w:r>
              <w:rPr>
                <w:rFonts w:ascii="宋体" w:hAnsi="宋体" w:eastAsia="宋体" w:cs="宋体"/>
                <w:spacing w:val="-4"/>
                <w:sz w:val="24"/>
                <w:szCs w:val="24"/>
              </w:rPr>
              <w:t>部门名称</w:t>
            </w:r>
          </w:p>
        </w:tc>
        <w:tc>
          <w:tcPr>
            <w:tcW w:w="7722" w:type="dxa"/>
            <w:gridSpan w:val="7"/>
            <w:vAlign w:val="top"/>
          </w:tcPr>
          <w:p w14:paraId="17AA556E">
            <w:pPr>
              <w:spacing w:before="115" w:line="219" w:lineRule="auto"/>
              <w:ind w:left="2915"/>
              <w:rPr>
                <w:rFonts w:ascii="宋体" w:hAnsi="宋体" w:eastAsia="宋体" w:cs="宋体"/>
                <w:sz w:val="24"/>
                <w:szCs w:val="24"/>
              </w:rPr>
            </w:pPr>
            <w:r>
              <w:rPr>
                <w:rFonts w:ascii="宋体" w:hAnsi="宋体" w:eastAsia="宋体" w:cs="宋体"/>
                <w:spacing w:val="-3"/>
                <w:sz w:val="24"/>
                <w:szCs w:val="24"/>
              </w:rPr>
              <w:t>阿坝州生态环境局</w:t>
            </w:r>
          </w:p>
        </w:tc>
      </w:tr>
      <w:tr w14:paraId="542C72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1941" w:type="dxa"/>
            <w:gridSpan w:val="3"/>
            <w:vAlign w:val="top"/>
          </w:tcPr>
          <w:p w14:paraId="0957F989">
            <w:pPr>
              <w:spacing w:before="1" w:line="182" w:lineRule="auto"/>
              <w:ind w:left="859" w:right="127" w:hanging="721"/>
              <w:rPr>
                <w:rFonts w:ascii="宋体" w:hAnsi="宋体" w:eastAsia="宋体" w:cs="宋体"/>
                <w:sz w:val="24"/>
                <w:szCs w:val="24"/>
              </w:rPr>
            </w:pPr>
            <w:r>
              <w:rPr>
                <w:rFonts w:ascii="宋体" w:hAnsi="宋体" w:eastAsia="宋体" w:cs="宋体"/>
                <w:spacing w:val="-2"/>
                <w:sz w:val="24"/>
                <w:szCs w:val="24"/>
              </w:rPr>
              <w:t>年度部门整体预</w:t>
            </w:r>
            <w:r>
              <w:rPr>
                <w:rFonts w:ascii="宋体" w:hAnsi="宋体" w:eastAsia="宋体" w:cs="宋体"/>
                <w:sz w:val="24"/>
                <w:szCs w:val="24"/>
              </w:rPr>
              <w:t>算</w:t>
            </w:r>
          </w:p>
        </w:tc>
        <w:tc>
          <w:tcPr>
            <w:tcW w:w="1839" w:type="dxa"/>
            <w:gridSpan w:val="2"/>
            <w:vAlign w:val="top"/>
          </w:tcPr>
          <w:p w14:paraId="0342932E">
            <w:pPr>
              <w:spacing w:before="121" w:line="219" w:lineRule="auto"/>
              <w:ind w:left="455"/>
              <w:rPr>
                <w:rFonts w:ascii="宋体" w:hAnsi="宋体" w:eastAsia="宋体" w:cs="宋体"/>
                <w:sz w:val="24"/>
                <w:szCs w:val="24"/>
              </w:rPr>
            </w:pPr>
            <w:r>
              <w:rPr>
                <w:rFonts w:ascii="宋体" w:hAnsi="宋体" w:eastAsia="宋体" w:cs="宋体"/>
                <w:spacing w:val="-5"/>
                <w:sz w:val="24"/>
                <w:szCs w:val="24"/>
              </w:rPr>
              <w:t>资金总额</w:t>
            </w:r>
          </w:p>
        </w:tc>
        <w:tc>
          <w:tcPr>
            <w:tcW w:w="1794" w:type="dxa"/>
            <w:gridSpan w:val="2"/>
            <w:vAlign w:val="top"/>
          </w:tcPr>
          <w:p w14:paraId="2D285B98">
            <w:pPr>
              <w:spacing w:before="121" w:line="219" w:lineRule="auto"/>
              <w:ind w:left="424"/>
              <w:rPr>
                <w:rFonts w:ascii="宋体" w:hAnsi="宋体" w:eastAsia="宋体" w:cs="宋体"/>
                <w:sz w:val="24"/>
                <w:szCs w:val="24"/>
              </w:rPr>
            </w:pPr>
            <w:r>
              <w:rPr>
                <w:rFonts w:ascii="宋体" w:hAnsi="宋体" w:eastAsia="宋体" w:cs="宋体"/>
                <w:spacing w:val="-3"/>
                <w:sz w:val="24"/>
                <w:szCs w:val="24"/>
              </w:rPr>
              <w:t>财政拨款</w:t>
            </w:r>
          </w:p>
        </w:tc>
        <w:tc>
          <w:tcPr>
            <w:tcW w:w="4089" w:type="dxa"/>
            <w:gridSpan w:val="3"/>
            <w:vAlign w:val="top"/>
          </w:tcPr>
          <w:p w14:paraId="0482B91F">
            <w:pPr>
              <w:spacing w:before="121" w:line="220" w:lineRule="auto"/>
              <w:ind w:left="1570"/>
              <w:rPr>
                <w:rFonts w:ascii="宋体" w:hAnsi="宋体" w:eastAsia="宋体" w:cs="宋体"/>
                <w:sz w:val="24"/>
                <w:szCs w:val="24"/>
              </w:rPr>
            </w:pPr>
            <w:r>
              <w:rPr>
                <w:rFonts w:ascii="宋体" w:hAnsi="宋体" w:eastAsia="宋体" w:cs="宋体"/>
                <w:spacing w:val="-3"/>
                <w:sz w:val="24"/>
                <w:szCs w:val="24"/>
              </w:rPr>
              <w:t>其他资金</w:t>
            </w:r>
          </w:p>
        </w:tc>
      </w:tr>
      <w:tr w14:paraId="11E2F2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5" w:hRule="atLeast"/>
        </w:trPr>
        <w:tc>
          <w:tcPr>
            <w:tcW w:w="1941" w:type="dxa"/>
            <w:gridSpan w:val="3"/>
            <w:vAlign w:val="top"/>
          </w:tcPr>
          <w:p w14:paraId="1D5E0661">
            <w:pPr>
              <w:spacing w:before="1" w:line="180" w:lineRule="auto"/>
              <w:ind w:left="505"/>
              <w:rPr>
                <w:rFonts w:ascii="宋体" w:hAnsi="宋体" w:eastAsia="宋体" w:cs="宋体"/>
                <w:sz w:val="24"/>
                <w:szCs w:val="24"/>
              </w:rPr>
            </w:pPr>
            <w:r>
              <w:rPr>
                <w:rFonts w:ascii="宋体" w:hAnsi="宋体" w:eastAsia="宋体" w:cs="宋体"/>
                <w:spacing w:val="-5"/>
                <w:sz w:val="24"/>
                <w:szCs w:val="24"/>
              </w:rPr>
              <w:t>收入预算</w:t>
            </w:r>
          </w:p>
        </w:tc>
        <w:tc>
          <w:tcPr>
            <w:tcW w:w="1839" w:type="dxa"/>
            <w:gridSpan w:val="2"/>
            <w:vAlign w:val="top"/>
          </w:tcPr>
          <w:p w14:paraId="276A12E0">
            <w:pPr>
              <w:pStyle w:val="52"/>
              <w:spacing w:before="1" w:line="180" w:lineRule="auto"/>
              <w:ind w:left="265"/>
              <w:rPr>
                <w:rFonts w:ascii="宋体" w:hAnsi="宋体" w:eastAsia="宋体" w:cs="宋体"/>
                <w:sz w:val="24"/>
                <w:szCs w:val="24"/>
              </w:rPr>
            </w:pPr>
            <w:r>
              <w:rPr>
                <w:spacing w:val="-13"/>
                <w:sz w:val="24"/>
                <w:szCs w:val="24"/>
              </w:rPr>
              <w:t>3425.54</w:t>
            </w:r>
            <w:r>
              <w:rPr>
                <w:spacing w:val="12"/>
                <w:sz w:val="24"/>
                <w:szCs w:val="24"/>
              </w:rPr>
              <w:t xml:space="preserve"> </w:t>
            </w:r>
            <w:r>
              <w:rPr>
                <w:rFonts w:ascii="宋体" w:hAnsi="宋体" w:eastAsia="宋体" w:cs="宋体"/>
                <w:spacing w:val="-13"/>
                <w:sz w:val="24"/>
                <w:szCs w:val="24"/>
              </w:rPr>
              <w:t>万元</w:t>
            </w:r>
          </w:p>
        </w:tc>
        <w:tc>
          <w:tcPr>
            <w:tcW w:w="1794" w:type="dxa"/>
            <w:gridSpan w:val="2"/>
            <w:vAlign w:val="top"/>
          </w:tcPr>
          <w:p w14:paraId="1F557079">
            <w:pPr>
              <w:pStyle w:val="52"/>
              <w:spacing w:before="1" w:line="180" w:lineRule="auto"/>
              <w:ind w:left="243"/>
              <w:rPr>
                <w:rFonts w:ascii="宋体" w:hAnsi="宋体" w:eastAsia="宋体" w:cs="宋体"/>
                <w:sz w:val="24"/>
                <w:szCs w:val="24"/>
              </w:rPr>
            </w:pPr>
            <w:r>
              <w:rPr>
                <w:spacing w:val="-13"/>
                <w:sz w:val="24"/>
                <w:szCs w:val="24"/>
              </w:rPr>
              <w:t>3425.54</w:t>
            </w:r>
            <w:r>
              <w:rPr>
                <w:spacing w:val="12"/>
                <w:sz w:val="24"/>
                <w:szCs w:val="24"/>
              </w:rPr>
              <w:t xml:space="preserve"> </w:t>
            </w:r>
            <w:r>
              <w:rPr>
                <w:rFonts w:ascii="宋体" w:hAnsi="宋体" w:eastAsia="宋体" w:cs="宋体"/>
                <w:spacing w:val="-13"/>
                <w:sz w:val="24"/>
                <w:szCs w:val="24"/>
              </w:rPr>
              <w:t>万元</w:t>
            </w:r>
          </w:p>
        </w:tc>
        <w:tc>
          <w:tcPr>
            <w:tcW w:w="4089" w:type="dxa"/>
            <w:gridSpan w:val="3"/>
            <w:vAlign w:val="top"/>
          </w:tcPr>
          <w:p w14:paraId="157D5934">
            <w:pPr>
              <w:pStyle w:val="52"/>
              <w:spacing w:before="57" w:line="177" w:lineRule="exact"/>
              <w:ind w:left="1827"/>
              <w:rPr>
                <w:sz w:val="24"/>
                <w:szCs w:val="24"/>
              </w:rPr>
            </w:pPr>
            <w:r>
              <w:rPr>
                <w:spacing w:val="-14"/>
                <w:position w:val="4"/>
                <w:sz w:val="24"/>
                <w:szCs w:val="24"/>
              </w:rPr>
              <w:t>……</w:t>
            </w:r>
          </w:p>
        </w:tc>
      </w:tr>
      <w:tr w14:paraId="3008D1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1" w:hRule="atLeast"/>
        </w:trPr>
        <w:tc>
          <w:tcPr>
            <w:tcW w:w="1941" w:type="dxa"/>
            <w:gridSpan w:val="3"/>
            <w:vAlign w:val="top"/>
          </w:tcPr>
          <w:p w14:paraId="06CC3DF5">
            <w:pPr>
              <w:spacing w:before="29" w:line="201" w:lineRule="auto"/>
              <w:ind w:left="498"/>
              <w:rPr>
                <w:rFonts w:ascii="宋体" w:hAnsi="宋体" w:eastAsia="宋体" w:cs="宋体"/>
                <w:sz w:val="24"/>
                <w:szCs w:val="24"/>
              </w:rPr>
            </w:pPr>
            <w:r>
              <w:rPr>
                <w:rFonts w:ascii="宋体" w:hAnsi="宋体" w:eastAsia="宋体" w:cs="宋体"/>
                <w:spacing w:val="-3"/>
                <w:sz w:val="24"/>
                <w:szCs w:val="24"/>
              </w:rPr>
              <w:t>支出预算</w:t>
            </w:r>
          </w:p>
        </w:tc>
        <w:tc>
          <w:tcPr>
            <w:tcW w:w="1839" w:type="dxa"/>
            <w:gridSpan w:val="2"/>
            <w:vAlign w:val="top"/>
          </w:tcPr>
          <w:p w14:paraId="39EEEDEB">
            <w:pPr>
              <w:pStyle w:val="52"/>
              <w:spacing w:before="29" w:line="201" w:lineRule="auto"/>
              <w:ind w:left="265"/>
              <w:rPr>
                <w:rFonts w:ascii="宋体" w:hAnsi="宋体" w:eastAsia="宋体" w:cs="宋体"/>
                <w:sz w:val="24"/>
                <w:szCs w:val="24"/>
              </w:rPr>
            </w:pPr>
            <w:r>
              <w:rPr>
                <w:spacing w:val="-13"/>
                <w:sz w:val="24"/>
                <w:szCs w:val="24"/>
              </w:rPr>
              <w:t>3425.54</w:t>
            </w:r>
            <w:r>
              <w:rPr>
                <w:spacing w:val="12"/>
                <w:sz w:val="24"/>
                <w:szCs w:val="24"/>
              </w:rPr>
              <w:t xml:space="preserve"> </w:t>
            </w:r>
            <w:r>
              <w:rPr>
                <w:rFonts w:ascii="宋体" w:hAnsi="宋体" w:eastAsia="宋体" w:cs="宋体"/>
                <w:spacing w:val="-13"/>
                <w:sz w:val="24"/>
                <w:szCs w:val="24"/>
              </w:rPr>
              <w:t>万元</w:t>
            </w:r>
          </w:p>
        </w:tc>
        <w:tc>
          <w:tcPr>
            <w:tcW w:w="1794" w:type="dxa"/>
            <w:gridSpan w:val="2"/>
            <w:vAlign w:val="top"/>
          </w:tcPr>
          <w:p w14:paraId="67926DCB">
            <w:pPr>
              <w:pStyle w:val="52"/>
              <w:spacing w:before="29" w:line="201" w:lineRule="auto"/>
              <w:ind w:left="243"/>
              <w:rPr>
                <w:rFonts w:ascii="宋体" w:hAnsi="宋体" w:eastAsia="宋体" w:cs="宋体"/>
                <w:sz w:val="24"/>
                <w:szCs w:val="24"/>
              </w:rPr>
            </w:pPr>
            <w:r>
              <w:rPr>
                <w:spacing w:val="-13"/>
                <w:sz w:val="24"/>
                <w:szCs w:val="24"/>
              </w:rPr>
              <w:t>3425.54</w:t>
            </w:r>
            <w:r>
              <w:rPr>
                <w:spacing w:val="12"/>
                <w:sz w:val="24"/>
                <w:szCs w:val="24"/>
              </w:rPr>
              <w:t xml:space="preserve"> </w:t>
            </w:r>
            <w:r>
              <w:rPr>
                <w:rFonts w:ascii="宋体" w:hAnsi="宋体" w:eastAsia="宋体" w:cs="宋体"/>
                <w:spacing w:val="-13"/>
                <w:sz w:val="24"/>
                <w:szCs w:val="24"/>
              </w:rPr>
              <w:t>万元</w:t>
            </w:r>
          </w:p>
        </w:tc>
        <w:tc>
          <w:tcPr>
            <w:tcW w:w="4089" w:type="dxa"/>
            <w:gridSpan w:val="3"/>
            <w:vAlign w:val="top"/>
          </w:tcPr>
          <w:p w14:paraId="3851F022">
            <w:pPr>
              <w:pStyle w:val="52"/>
              <w:spacing w:before="85" w:line="175" w:lineRule="auto"/>
              <w:ind w:left="1827"/>
              <w:rPr>
                <w:sz w:val="24"/>
                <w:szCs w:val="24"/>
              </w:rPr>
            </w:pPr>
            <w:r>
              <w:rPr>
                <w:spacing w:val="-14"/>
                <w:sz w:val="24"/>
                <w:szCs w:val="24"/>
              </w:rPr>
              <w:t>……</w:t>
            </w:r>
          </w:p>
        </w:tc>
      </w:tr>
      <w:tr w14:paraId="7EB04C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4" w:hRule="atLeast"/>
        </w:trPr>
        <w:tc>
          <w:tcPr>
            <w:tcW w:w="1941" w:type="dxa"/>
            <w:gridSpan w:val="3"/>
            <w:vAlign w:val="top"/>
          </w:tcPr>
          <w:p w14:paraId="4114BECA">
            <w:pPr>
              <w:pStyle w:val="52"/>
              <w:spacing w:line="402" w:lineRule="auto"/>
            </w:pPr>
          </w:p>
          <w:p w14:paraId="426D9FCA">
            <w:pPr>
              <w:spacing w:before="78" w:line="219" w:lineRule="auto"/>
              <w:ind w:left="258"/>
              <w:rPr>
                <w:rFonts w:ascii="宋体" w:hAnsi="宋体" w:eastAsia="宋体" w:cs="宋体"/>
                <w:sz w:val="24"/>
                <w:szCs w:val="24"/>
              </w:rPr>
            </w:pPr>
            <w:r>
              <w:rPr>
                <w:rFonts w:ascii="宋体" w:hAnsi="宋体" w:eastAsia="宋体" w:cs="宋体"/>
                <w:spacing w:val="-2"/>
                <w:sz w:val="24"/>
                <w:szCs w:val="24"/>
              </w:rPr>
              <w:t>年度总体目标</w:t>
            </w:r>
          </w:p>
        </w:tc>
        <w:tc>
          <w:tcPr>
            <w:tcW w:w="7722" w:type="dxa"/>
            <w:gridSpan w:val="7"/>
            <w:vAlign w:val="top"/>
          </w:tcPr>
          <w:p w14:paraId="1AD6D8CA">
            <w:pPr>
              <w:pStyle w:val="52"/>
              <w:spacing w:before="3" w:line="193" w:lineRule="auto"/>
              <w:ind w:left="109" w:right="40" w:firstLine="1"/>
              <w:jc w:val="both"/>
              <w:rPr>
                <w:rFonts w:ascii="宋体" w:hAnsi="宋体" w:eastAsia="宋体" w:cs="宋体"/>
                <w:sz w:val="24"/>
                <w:szCs w:val="24"/>
              </w:rPr>
            </w:pPr>
            <w:r>
              <w:rPr>
                <w:rFonts w:ascii="宋体" w:hAnsi="宋体" w:eastAsia="宋体" w:cs="宋体"/>
                <w:spacing w:val="-4"/>
                <w:sz w:val="24"/>
                <w:szCs w:val="24"/>
              </w:rPr>
              <w:t>认真贯彻州委十二届五次全会重要精神，全面落实州委州政府决策部署，</w:t>
            </w:r>
            <w:r>
              <w:rPr>
                <w:rFonts w:ascii="宋体" w:hAnsi="宋体" w:eastAsia="宋体" w:cs="宋体"/>
                <w:spacing w:val="1"/>
                <w:sz w:val="24"/>
                <w:szCs w:val="24"/>
              </w:rPr>
              <w:t>将建设</w:t>
            </w:r>
            <w:r>
              <w:rPr>
                <w:spacing w:val="1"/>
                <w:sz w:val="24"/>
                <w:szCs w:val="24"/>
              </w:rPr>
              <w:t>“</w:t>
            </w:r>
            <w:r>
              <w:rPr>
                <w:rFonts w:ascii="宋体" w:hAnsi="宋体" w:eastAsia="宋体" w:cs="宋体"/>
                <w:spacing w:val="1"/>
                <w:sz w:val="24"/>
                <w:szCs w:val="24"/>
              </w:rPr>
              <w:t>生态修复示范地，美丽中国先行区</w:t>
            </w:r>
            <w:r>
              <w:rPr>
                <w:spacing w:val="1"/>
                <w:sz w:val="24"/>
                <w:szCs w:val="24"/>
              </w:rPr>
              <w:t>”</w:t>
            </w:r>
            <w:r>
              <w:rPr>
                <w:rFonts w:ascii="宋体" w:hAnsi="宋体" w:eastAsia="宋体" w:cs="宋体"/>
                <w:spacing w:val="1"/>
                <w:sz w:val="24"/>
                <w:szCs w:val="24"/>
              </w:rPr>
              <w:t>作为根本目标，扎实推进生</w:t>
            </w:r>
            <w:r>
              <w:rPr>
                <w:rFonts w:ascii="宋体" w:hAnsi="宋体" w:eastAsia="宋体" w:cs="宋体"/>
                <w:sz w:val="24"/>
                <w:szCs w:val="24"/>
              </w:rPr>
              <w:t>态文明建设和生态环境保护，为建设好民族地区高质</w:t>
            </w:r>
            <w:r>
              <w:rPr>
                <w:rFonts w:ascii="宋体" w:hAnsi="宋体" w:eastAsia="宋体" w:cs="宋体"/>
                <w:spacing w:val="-1"/>
                <w:sz w:val="24"/>
                <w:szCs w:val="24"/>
              </w:rPr>
              <w:t>量发展阿坝典范贡</w:t>
            </w:r>
            <w:r>
              <w:rPr>
                <w:rFonts w:ascii="宋体" w:hAnsi="宋体" w:eastAsia="宋体" w:cs="宋体"/>
                <w:spacing w:val="-2"/>
                <w:sz w:val="24"/>
                <w:szCs w:val="24"/>
              </w:rPr>
              <w:t>献生态力量。</w:t>
            </w:r>
          </w:p>
        </w:tc>
      </w:tr>
      <w:tr w14:paraId="652D18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1" w:hRule="atLeast"/>
        </w:trPr>
        <w:tc>
          <w:tcPr>
            <w:tcW w:w="336" w:type="dxa"/>
            <w:vMerge w:val="restart"/>
            <w:tcBorders>
              <w:bottom w:val="nil"/>
            </w:tcBorders>
            <w:textDirection w:val="tbRlV"/>
            <w:vAlign w:val="top"/>
          </w:tcPr>
          <w:p w14:paraId="305211D0">
            <w:pPr>
              <w:spacing w:line="193" w:lineRule="auto"/>
              <w:ind w:left="2071"/>
              <w:rPr>
                <w:rFonts w:ascii="宋体" w:hAnsi="宋体" w:eastAsia="宋体" w:cs="宋体"/>
                <w:sz w:val="24"/>
                <w:szCs w:val="24"/>
              </w:rPr>
            </w:pPr>
            <w:r>
              <w:rPr>
                <w:rFonts w:ascii="宋体" w:hAnsi="宋体" w:eastAsia="宋体" w:cs="宋体"/>
                <w:spacing w:val="-1"/>
                <w:sz w:val="24"/>
                <w:szCs w:val="24"/>
              </w:rPr>
              <w:t>管理效率</w:t>
            </w:r>
          </w:p>
        </w:tc>
        <w:tc>
          <w:tcPr>
            <w:tcW w:w="593" w:type="dxa"/>
            <w:vMerge w:val="restart"/>
            <w:tcBorders>
              <w:bottom w:val="nil"/>
            </w:tcBorders>
            <w:textDirection w:val="tbRlV"/>
            <w:vAlign w:val="top"/>
          </w:tcPr>
          <w:p w14:paraId="4254A52D">
            <w:pPr>
              <w:spacing w:before="176" w:line="208" w:lineRule="auto"/>
              <w:ind w:right="2"/>
              <w:jc w:val="right"/>
              <w:rPr>
                <w:rFonts w:ascii="宋体" w:hAnsi="宋体" w:eastAsia="宋体" w:cs="宋体"/>
                <w:sz w:val="24"/>
                <w:szCs w:val="24"/>
              </w:rPr>
            </w:pPr>
            <w:r>
              <w:rPr>
                <w:rFonts w:ascii="宋体" w:hAnsi="宋体" w:eastAsia="宋体" w:cs="宋体"/>
                <w:spacing w:val="-80"/>
                <w:w w:val="43"/>
                <w:sz w:val="24"/>
                <w:szCs w:val="24"/>
              </w:rPr>
              <w:t>一</w:t>
            </w:r>
            <w:r>
              <w:rPr>
                <w:rFonts w:ascii="宋体" w:hAnsi="宋体" w:eastAsia="宋体" w:cs="宋体"/>
                <w:spacing w:val="5"/>
                <w:sz w:val="24"/>
                <w:szCs w:val="24"/>
              </w:rPr>
              <w:t xml:space="preserve"> </w:t>
            </w:r>
            <w:r>
              <w:rPr>
                <w:rFonts w:ascii="宋体" w:hAnsi="宋体" w:eastAsia="宋体" w:cs="宋体"/>
                <w:sz w:val="24"/>
                <w:szCs w:val="24"/>
              </w:rPr>
              <w:t>级指标</w:t>
            </w:r>
          </w:p>
        </w:tc>
        <w:tc>
          <w:tcPr>
            <w:tcW w:w="1012" w:type="dxa"/>
            <w:vMerge w:val="restart"/>
            <w:tcBorders>
              <w:bottom w:val="nil"/>
            </w:tcBorders>
            <w:vAlign w:val="top"/>
          </w:tcPr>
          <w:p w14:paraId="26203741">
            <w:pPr>
              <w:spacing w:before="243" w:line="202" w:lineRule="auto"/>
              <w:ind w:left="389" w:right="147" w:hanging="237"/>
              <w:rPr>
                <w:rFonts w:ascii="宋体" w:hAnsi="宋体" w:eastAsia="宋体" w:cs="宋体"/>
                <w:sz w:val="24"/>
                <w:szCs w:val="24"/>
              </w:rPr>
            </w:pPr>
            <w:r>
              <w:rPr>
                <w:rFonts w:ascii="宋体" w:hAnsi="宋体" w:eastAsia="宋体" w:cs="宋体"/>
                <w:spacing w:val="-5"/>
                <w:sz w:val="24"/>
                <w:szCs w:val="24"/>
              </w:rPr>
              <w:t>二级指</w:t>
            </w:r>
            <w:r>
              <w:rPr>
                <w:rFonts w:ascii="宋体" w:hAnsi="宋体" w:eastAsia="宋体" w:cs="宋体"/>
                <w:sz w:val="24"/>
                <w:szCs w:val="24"/>
              </w:rPr>
              <w:t>标</w:t>
            </w:r>
          </w:p>
        </w:tc>
        <w:tc>
          <w:tcPr>
            <w:tcW w:w="1036" w:type="dxa"/>
            <w:vMerge w:val="restart"/>
            <w:tcBorders>
              <w:bottom w:val="nil"/>
            </w:tcBorders>
            <w:vAlign w:val="top"/>
          </w:tcPr>
          <w:p w14:paraId="51193B93">
            <w:pPr>
              <w:spacing w:before="243" w:line="202" w:lineRule="auto"/>
              <w:ind w:left="402" w:right="158" w:hanging="240"/>
              <w:rPr>
                <w:rFonts w:ascii="宋体" w:hAnsi="宋体" w:eastAsia="宋体" w:cs="宋体"/>
                <w:sz w:val="24"/>
                <w:szCs w:val="24"/>
              </w:rPr>
            </w:pPr>
            <w:r>
              <w:rPr>
                <w:rFonts w:ascii="宋体" w:hAnsi="宋体" w:eastAsia="宋体" w:cs="宋体"/>
                <w:spacing w:val="-4"/>
                <w:sz w:val="24"/>
                <w:szCs w:val="24"/>
              </w:rPr>
              <w:t>三级指</w:t>
            </w:r>
            <w:r>
              <w:rPr>
                <w:rFonts w:ascii="宋体" w:hAnsi="宋体" w:eastAsia="宋体" w:cs="宋体"/>
                <w:sz w:val="24"/>
                <w:szCs w:val="24"/>
              </w:rPr>
              <w:t>标</w:t>
            </w:r>
          </w:p>
        </w:tc>
        <w:tc>
          <w:tcPr>
            <w:tcW w:w="803" w:type="dxa"/>
            <w:vMerge w:val="restart"/>
            <w:tcBorders>
              <w:bottom w:val="nil"/>
            </w:tcBorders>
            <w:vAlign w:val="top"/>
          </w:tcPr>
          <w:p w14:paraId="551887ED">
            <w:pPr>
              <w:spacing w:before="242" w:line="202" w:lineRule="auto"/>
              <w:ind w:left="285" w:right="161" w:hanging="117"/>
              <w:rPr>
                <w:rFonts w:ascii="宋体" w:hAnsi="宋体" w:eastAsia="宋体" w:cs="宋体"/>
                <w:sz w:val="24"/>
                <w:szCs w:val="24"/>
              </w:rPr>
            </w:pPr>
            <w:r>
              <w:rPr>
                <w:rFonts w:ascii="宋体" w:hAnsi="宋体" w:eastAsia="宋体" w:cs="宋体"/>
                <w:spacing w:val="-7"/>
                <w:sz w:val="24"/>
                <w:szCs w:val="24"/>
              </w:rPr>
              <w:t>指标</w:t>
            </w:r>
            <w:r>
              <w:rPr>
                <w:rFonts w:ascii="宋体" w:hAnsi="宋体" w:eastAsia="宋体" w:cs="宋体"/>
                <w:sz w:val="24"/>
                <w:szCs w:val="24"/>
              </w:rPr>
              <w:t>值</w:t>
            </w:r>
          </w:p>
        </w:tc>
        <w:tc>
          <w:tcPr>
            <w:tcW w:w="3948" w:type="dxa"/>
            <w:gridSpan w:val="4"/>
            <w:vAlign w:val="top"/>
          </w:tcPr>
          <w:p w14:paraId="1D77E64A">
            <w:pPr>
              <w:spacing w:before="29" w:line="201" w:lineRule="auto"/>
              <w:ind w:left="1143"/>
              <w:rPr>
                <w:rFonts w:ascii="宋体" w:hAnsi="宋体" w:eastAsia="宋体" w:cs="宋体"/>
                <w:sz w:val="24"/>
                <w:szCs w:val="24"/>
              </w:rPr>
            </w:pPr>
            <w:r>
              <w:rPr>
                <w:rFonts w:ascii="宋体" w:hAnsi="宋体" w:eastAsia="宋体" w:cs="宋体"/>
                <w:spacing w:val="-2"/>
                <w:sz w:val="24"/>
                <w:szCs w:val="24"/>
              </w:rPr>
              <w:t>指标设置参考值</w:t>
            </w:r>
          </w:p>
        </w:tc>
        <w:tc>
          <w:tcPr>
            <w:tcW w:w="1935" w:type="dxa"/>
            <w:vMerge w:val="restart"/>
            <w:tcBorders>
              <w:bottom w:val="nil"/>
            </w:tcBorders>
            <w:vAlign w:val="top"/>
          </w:tcPr>
          <w:p w14:paraId="4FAFA4C8">
            <w:pPr>
              <w:pStyle w:val="52"/>
              <w:spacing w:line="283" w:lineRule="auto"/>
            </w:pPr>
          </w:p>
          <w:p w14:paraId="5473D314">
            <w:pPr>
              <w:spacing w:before="78" w:line="219" w:lineRule="auto"/>
              <w:ind w:left="136"/>
              <w:rPr>
                <w:rFonts w:ascii="宋体" w:hAnsi="宋体" w:eastAsia="宋体" w:cs="宋体"/>
                <w:sz w:val="24"/>
                <w:szCs w:val="24"/>
              </w:rPr>
            </w:pPr>
            <w:r>
              <w:rPr>
                <w:rFonts w:ascii="宋体" w:hAnsi="宋体" w:eastAsia="宋体" w:cs="宋体"/>
                <w:spacing w:val="-2"/>
                <w:sz w:val="24"/>
                <w:szCs w:val="24"/>
              </w:rPr>
              <w:t>指标实际完成值</w:t>
            </w:r>
          </w:p>
        </w:tc>
      </w:tr>
      <w:tr w14:paraId="58431F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9" w:hRule="atLeast"/>
        </w:trPr>
        <w:tc>
          <w:tcPr>
            <w:tcW w:w="336" w:type="dxa"/>
            <w:vMerge w:val="continue"/>
            <w:tcBorders>
              <w:top w:val="nil"/>
              <w:bottom w:val="nil"/>
            </w:tcBorders>
            <w:textDirection w:val="tbRlV"/>
            <w:vAlign w:val="top"/>
          </w:tcPr>
          <w:p w14:paraId="58C1F189">
            <w:pPr>
              <w:pStyle w:val="52"/>
            </w:pPr>
          </w:p>
        </w:tc>
        <w:tc>
          <w:tcPr>
            <w:tcW w:w="593" w:type="dxa"/>
            <w:vMerge w:val="continue"/>
            <w:tcBorders>
              <w:top w:val="nil"/>
            </w:tcBorders>
            <w:textDirection w:val="tbRlV"/>
            <w:vAlign w:val="top"/>
          </w:tcPr>
          <w:p w14:paraId="7279797B">
            <w:pPr>
              <w:pStyle w:val="52"/>
            </w:pPr>
          </w:p>
        </w:tc>
        <w:tc>
          <w:tcPr>
            <w:tcW w:w="1012" w:type="dxa"/>
            <w:vMerge w:val="continue"/>
            <w:tcBorders>
              <w:top w:val="nil"/>
            </w:tcBorders>
            <w:vAlign w:val="top"/>
          </w:tcPr>
          <w:p w14:paraId="5A1F0D26">
            <w:pPr>
              <w:pStyle w:val="52"/>
            </w:pPr>
          </w:p>
        </w:tc>
        <w:tc>
          <w:tcPr>
            <w:tcW w:w="1036" w:type="dxa"/>
            <w:vMerge w:val="continue"/>
            <w:tcBorders>
              <w:top w:val="nil"/>
            </w:tcBorders>
            <w:vAlign w:val="top"/>
          </w:tcPr>
          <w:p w14:paraId="75A6E94D">
            <w:pPr>
              <w:pStyle w:val="52"/>
            </w:pPr>
          </w:p>
        </w:tc>
        <w:tc>
          <w:tcPr>
            <w:tcW w:w="803" w:type="dxa"/>
            <w:vMerge w:val="continue"/>
            <w:tcBorders>
              <w:top w:val="nil"/>
            </w:tcBorders>
            <w:vAlign w:val="top"/>
          </w:tcPr>
          <w:p w14:paraId="5D0E09B1">
            <w:pPr>
              <w:pStyle w:val="52"/>
            </w:pPr>
          </w:p>
        </w:tc>
        <w:tc>
          <w:tcPr>
            <w:tcW w:w="1094" w:type="dxa"/>
            <w:vAlign w:val="top"/>
          </w:tcPr>
          <w:p w14:paraId="1F4F5EE5">
            <w:pPr>
              <w:spacing w:before="87" w:line="185" w:lineRule="auto"/>
              <w:ind w:left="312"/>
              <w:rPr>
                <w:rFonts w:ascii="宋体" w:hAnsi="宋体" w:eastAsia="宋体" w:cs="宋体"/>
                <w:sz w:val="24"/>
                <w:szCs w:val="24"/>
              </w:rPr>
            </w:pPr>
            <w:r>
              <w:rPr>
                <w:rFonts w:ascii="宋体" w:hAnsi="宋体" w:eastAsia="宋体" w:cs="宋体"/>
                <w:spacing w:val="-5"/>
                <w:sz w:val="24"/>
                <w:szCs w:val="24"/>
              </w:rPr>
              <w:t>三年</w:t>
            </w:r>
          </w:p>
          <w:p w14:paraId="093E0240">
            <w:pPr>
              <w:spacing w:line="219" w:lineRule="auto"/>
              <w:ind w:left="313"/>
              <w:rPr>
                <w:rFonts w:ascii="宋体" w:hAnsi="宋体" w:eastAsia="宋体" w:cs="宋体"/>
                <w:sz w:val="24"/>
                <w:szCs w:val="24"/>
              </w:rPr>
            </w:pPr>
            <w:r>
              <w:rPr>
                <w:rFonts w:ascii="宋体" w:hAnsi="宋体" w:eastAsia="宋体" w:cs="宋体"/>
                <w:spacing w:val="-6"/>
                <w:sz w:val="24"/>
                <w:szCs w:val="24"/>
              </w:rPr>
              <w:t>均值</w:t>
            </w:r>
          </w:p>
        </w:tc>
        <w:tc>
          <w:tcPr>
            <w:tcW w:w="700" w:type="dxa"/>
            <w:vAlign w:val="top"/>
          </w:tcPr>
          <w:p w14:paraId="51C04F54">
            <w:pPr>
              <w:pStyle w:val="52"/>
              <w:spacing w:before="130" w:line="197" w:lineRule="auto"/>
              <w:ind w:left="236" w:right="110" w:hanging="127"/>
              <w:rPr>
                <w:rFonts w:ascii="宋体" w:hAnsi="宋体" w:eastAsia="宋体" w:cs="宋体"/>
                <w:sz w:val="24"/>
                <w:szCs w:val="24"/>
              </w:rPr>
            </w:pPr>
            <w:r>
              <w:rPr>
                <w:spacing w:val="-15"/>
                <w:sz w:val="24"/>
                <w:szCs w:val="24"/>
              </w:rPr>
              <w:t>2023</w:t>
            </w:r>
            <w:r>
              <w:rPr>
                <w:rFonts w:ascii="宋体" w:hAnsi="宋体" w:eastAsia="宋体" w:cs="宋体"/>
                <w:sz w:val="24"/>
                <w:szCs w:val="24"/>
              </w:rPr>
              <w:t>年</w:t>
            </w:r>
          </w:p>
        </w:tc>
        <w:tc>
          <w:tcPr>
            <w:tcW w:w="1044" w:type="dxa"/>
            <w:vAlign w:val="top"/>
          </w:tcPr>
          <w:p w14:paraId="50E65179">
            <w:pPr>
              <w:pStyle w:val="52"/>
              <w:spacing w:before="208" w:line="219" w:lineRule="auto"/>
              <w:ind w:left="134"/>
              <w:rPr>
                <w:rFonts w:ascii="宋体" w:hAnsi="宋体" w:eastAsia="宋体" w:cs="宋体"/>
                <w:sz w:val="24"/>
                <w:szCs w:val="24"/>
              </w:rPr>
            </w:pPr>
            <w:r>
              <w:rPr>
                <w:spacing w:val="-13"/>
                <w:sz w:val="24"/>
                <w:szCs w:val="24"/>
              </w:rPr>
              <w:t>2024</w:t>
            </w:r>
            <w:r>
              <w:rPr>
                <w:spacing w:val="8"/>
                <w:sz w:val="24"/>
                <w:szCs w:val="24"/>
              </w:rPr>
              <w:t xml:space="preserve"> </w:t>
            </w:r>
            <w:r>
              <w:rPr>
                <w:rFonts w:ascii="宋体" w:hAnsi="宋体" w:eastAsia="宋体" w:cs="宋体"/>
                <w:spacing w:val="-13"/>
                <w:sz w:val="24"/>
                <w:szCs w:val="24"/>
              </w:rPr>
              <w:t>年</w:t>
            </w:r>
          </w:p>
        </w:tc>
        <w:tc>
          <w:tcPr>
            <w:tcW w:w="1110" w:type="dxa"/>
            <w:vAlign w:val="top"/>
          </w:tcPr>
          <w:p w14:paraId="03B6C66E">
            <w:pPr>
              <w:pStyle w:val="52"/>
              <w:spacing w:before="208" w:line="219" w:lineRule="auto"/>
              <w:ind w:left="168"/>
              <w:rPr>
                <w:rFonts w:ascii="宋体" w:hAnsi="宋体" w:eastAsia="宋体" w:cs="宋体"/>
                <w:sz w:val="24"/>
                <w:szCs w:val="24"/>
              </w:rPr>
            </w:pPr>
            <w:r>
              <w:rPr>
                <w:spacing w:val="-13"/>
                <w:sz w:val="24"/>
                <w:szCs w:val="24"/>
              </w:rPr>
              <w:t>2025</w:t>
            </w:r>
            <w:r>
              <w:rPr>
                <w:spacing w:val="8"/>
                <w:sz w:val="24"/>
                <w:szCs w:val="24"/>
              </w:rPr>
              <w:t xml:space="preserve"> </w:t>
            </w:r>
            <w:r>
              <w:rPr>
                <w:rFonts w:ascii="宋体" w:hAnsi="宋体" w:eastAsia="宋体" w:cs="宋体"/>
                <w:spacing w:val="-13"/>
                <w:sz w:val="24"/>
                <w:szCs w:val="24"/>
              </w:rPr>
              <w:t>年</w:t>
            </w:r>
          </w:p>
        </w:tc>
        <w:tc>
          <w:tcPr>
            <w:tcW w:w="1935" w:type="dxa"/>
            <w:vMerge w:val="continue"/>
            <w:tcBorders>
              <w:top w:val="nil"/>
            </w:tcBorders>
            <w:vAlign w:val="top"/>
          </w:tcPr>
          <w:p w14:paraId="2800F1BA">
            <w:pPr>
              <w:pStyle w:val="52"/>
            </w:pPr>
          </w:p>
        </w:tc>
      </w:tr>
      <w:tr w14:paraId="5160C2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4" w:hRule="atLeast"/>
        </w:trPr>
        <w:tc>
          <w:tcPr>
            <w:tcW w:w="336" w:type="dxa"/>
            <w:vMerge w:val="continue"/>
            <w:tcBorders>
              <w:top w:val="nil"/>
              <w:bottom w:val="nil"/>
            </w:tcBorders>
            <w:textDirection w:val="tbRlV"/>
            <w:vAlign w:val="top"/>
          </w:tcPr>
          <w:p w14:paraId="2D06FE40">
            <w:pPr>
              <w:pStyle w:val="52"/>
            </w:pPr>
          </w:p>
        </w:tc>
        <w:tc>
          <w:tcPr>
            <w:tcW w:w="593" w:type="dxa"/>
            <w:vMerge w:val="restart"/>
            <w:tcBorders>
              <w:bottom w:val="nil"/>
            </w:tcBorders>
            <w:textDirection w:val="tbRlV"/>
            <w:vAlign w:val="top"/>
          </w:tcPr>
          <w:p w14:paraId="2A6D467C">
            <w:pPr>
              <w:spacing w:before="177" w:line="206" w:lineRule="auto"/>
              <w:ind w:left="1586"/>
              <w:rPr>
                <w:rFonts w:ascii="宋体" w:hAnsi="宋体" w:eastAsia="宋体" w:cs="宋体"/>
                <w:sz w:val="24"/>
                <w:szCs w:val="24"/>
              </w:rPr>
            </w:pPr>
            <w:r>
              <w:rPr>
                <w:rFonts w:ascii="宋体" w:hAnsi="宋体" w:eastAsia="宋体" w:cs="宋体"/>
                <w:spacing w:val="-1"/>
                <w:sz w:val="24"/>
                <w:szCs w:val="24"/>
              </w:rPr>
              <w:t>成本指标</w:t>
            </w:r>
          </w:p>
        </w:tc>
        <w:tc>
          <w:tcPr>
            <w:tcW w:w="1012" w:type="dxa"/>
            <w:vMerge w:val="restart"/>
            <w:tcBorders>
              <w:bottom w:val="nil"/>
            </w:tcBorders>
            <w:vAlign w:val="top"/>
          </w:tcPr>
          <w:p w14:paraId="40188951">
            <w:pPr>
              <w:pStyle w:val="52"/>
              <w:spacing w:line="296" w:lineRule="auto"/>
            </w:pPr>
          </w:p>
          <w:p w14:paraId="1CAC7D4B">
            <w:pPr>
              <w:pStyle w:val="52"/>
              <w:spacing w:line="296" w:lineRule="auto"/>
            </w:pPr>
          </w:p>
          <w:p w14:paraId="1F808246">
            <w:pPr>
              <w:pStyle w:val="52"/>
              <w:spacing w:line="296" w:lineRule="auto"/>
            </w:pPr>
          </w:p>
          <w:p w14:paraId="06D70639">
            <w:pPr>
              <w:spacing w:before="78" w:line="207" w:lineRule="auto"/>
              <w:ind w:left="391" w:right="147" w:hanging="240"/>
              <w:rPr>
                <w:rFonts w:ascii="宋体" w:hAnsi="宋体" w:eastAsia="宋体" w:cs="宋体"/>
                <w:sz w:val="24"/>
                <w:szCs w:val="24"/>
              </w:rPr>
            </w:pPr>
            <w:r>
              <w:rPr>
                <w:rFonts w:ascii="宋体" w:hAnsi="宋体" w:eastAsia="宋体" w:cs="宋体"/>
                <w:spacing w:val="-4"/>
                <w:sz w:val="24"/>
                <w:szCs w:val="24"/>
              </w:rPr>
              <w:t>预算管</w:t>
            </w:r>
            <w:r>
              <w:rPr>
                <w:rFonts w:ascii="宋体" w:hAnsi="宋体" w:eastAsia="宋体" w:cs="宋体"/>
                <w:sz w:val="24"/>
                <w:szCs w:val="24"/>
              </w:rPr>
              <w:t>理</w:t>
            </w:r>
          </w:p>
        </w:tc>
        <w:tc>
          <w:tcPr>
            <w:tcW w:w="1036" w:type="dxa"/>
            <w:vAlign w:val="top"/>
          </w:tcPr>
          <w:p w14:paraId="7D2A04B0">
            <w:pPr>
              <w:spacing w:before="2" w:line="185" w:lineRule="auto"/>
              <w:ind w:left="162"/>
              <w:rPr>
                <w:rFonts w:ascii="宋体" w:hAnsi="宋体" w:eastAsia="宋体" w:cs="宋体"/>
                <w:sz w:val="24"/>
                <w:szCs w:val="24"/>
              </w:rPr>
            </w:pPr>
            <w:r>
              <w:rPr>
                <w:rFonts w:ascii="宋体" w:hAnsi="宋体" w:eastAsia="宋体" w:cs="宋体"/>
                <w:spacing w:val="-4"/>
                <w:sz w:val="24"/>
                <w:szCs w:val="24"/>
              </w:rPr>
              <w:t>财政拨</w:t>
            </w:r>
          </w:p>
          <w:p w14:paraId="7EC1B810">
            <w:pPr>
              <w:spacing w:line="184" w:lineRule="auto"/>
              <w:ind w:left="162"/>
              <w:rPr>
                <w:rFonts w:ascii="宋体" w:hAnsi="宋体" w:eastAsia="宋体" w:cs="宋体"/>
                <w:sz w:val="24"/>
                <w:szCs w:val="24"/>
              </w:rPr>
            </w:pPr>
            <w:r>
              <w:rPr>
                <w:rFonts w:ascii="宋体" w:hAnsi="宋体" w:eastAsia="宋体" w:cs="宋体"/>
                <w:spacing w:val="-4"/>
                <w:sz w:val="24"/>
                <w:szCs w:val="24"/>
              </w:rPr>
              <w:t>款预算</w:t>
            </w:r>
          </w:p>
          <w:p w14:paraId="7596923B">
            <w:pPr>
              <w:spacing w:line="181" w:lineRule="auto"/>
              <w:ind w:left="284" w:right="158" w:hanging="121"/>
              <w:rPr>
                <w:rFonts w:ascii="宋体" w:hAnsi="宋体" w:eastAsia="宋体" w:cs="宋体"/>
                <w:sz w:val="24"/>
                <w:szCs w:val="24"/>
              </w:rPr>
            </w:pPr>
            <w:r>
              <w:rPr>
                <w:rFonts w:ascii="宋体" w:hAnsi="宋体" w:eastAsia="宋体" w:cs="宋体"/>
                <w:spacing w:val="-4"/>
                <w:sz w:val="24"/>
                <w:szCs w:val="24"/>
              </w:rPr>
              <w:t>编制偏</w:t>
            </w:r>
            <w:r>
              <w:rPr>
                <w:rFonts w:ascii="宋体" w:hAnsi="宋体" w:eastAsia="宋体" w:cs="宋体"/>
                <w:spacing w:val="-7"/>
                <w:sz w:val="24"/>
                <w:szCs w:val="24"/>
              </w:rPr>
              <w:t>离度</w:t>
            </w:r>
          </w:p>
        </w:tc>
        <w:tc>
          <w:tcPr>
            <w:tcW w:w="803" w:type="dxa"/>
            <w:vAlign w:val="top"/>
          </w:tcPr>
          <w:p w14:paraId="5FE8A49A">
            <w:pPr>
              <w:pStyle w:val="52"/>
              <w:spacing w:line="332" w:lineRule="auto"/>
            </w:pPr>
          </w:p>
          <w:p w14:paraId="14ECD96E">
            <w:pPr>
              <w:pStyle w:val="52"/>
              <w:spacing w:before="69" w:line="199" w:lineRule="auto"/>
              <w:ind w:left="173"/>
              <w:rPr>
                <w:sz w:val="24"/>
                <w:szCs w:val="24"/>
              </w:rPr>
            </w:pPr>
            <w:r>
              <w:rPr>
                <w:spacing w:val="-1"/>
                <w:sz w:val="24"/>
                <w:szCs w:val="24"/>
              </w:rPr>
              <w:t>≤x%</w:t>
            </w:r>
          </w:p>
        </w:tc>
        <w:tc>
          <w:tcPr>
            <w:tcW w:w="1094" w:type="dxa"/>
            <w:vAlign w:val="top"/>
          </w:tcPr>
          <w:p w14:paraId="2A52A35A">
            <w:pPr>
              <w:pStyle w:val="52"/>
              <w:spacing w:line="332" w:lineRule="auto"/>
            </w:pPr>
          </w:p>
          <w:p w14:paraId="40F395D6">
            <w:pPr>
              <w:pStyle w:val="52"/>
              <w:spacing w:before="69" w:line="188" w:lineRule="auto"/>
              <w:ind w:left="141"/>
              <w:rPr>
                <w:sz w:val="24"/>
                <w:szCs w:val="24"/>
              </w:rPr>
            </w:pPr>
            <w:r>
              <w:rPr>
                <w:spacing w:val="-15"/>
                <w:sz w:val="24"/>
                <w:szCs w:val="24"/>
              </w:rPr>
              <w:t>164.42%</w:t>
            </w:r>
          </w:p>
        </w:tc>
        <w:tc>
          <w:tcPr>
            <w:tcW w:w="700" w:type="dxa"/>
            <w:vAlign w:val="top"/>
          </w:tcPr>
          <w:p w14:paraId="1409557D">
            <w:pPr>
              <w:pStyle w:val="52"/>
              <w:spacing w:before="284" w:line="187" w:lineRule="auto"/>
              <w:ind w:left="143"/>
              <w:rPr>
                <w:sz w:val="24"/>
                <w:szCs w:val="24"/>
              </w:rPr>
            </w:pPr>
            <w:r>
              <w:rPr>
                <w:spacing w:val="-11"/>
                <w:sz w:val="24"/>
                <w:szCs w:val="24"/>
              </w:rPr>
              <w:t>20.1</w:t>
            </w:r>
          </w:p>
          <w:p w14:paraId="02D08A7F">
            <w:pPr>
              <w:pStyle w:val="52"/>
              <w:spacing w:before="24" w:line="188" w:lineRule="auto"/>
              <w:ind w:left="201"/>
              <w:rPr>
                <w:sz w:val="24"/>
                <w:szCs w:val="24"/>
              </w:rPr>
            </w:pPr>
            <w:r>
              <w:rPr>
                <w:spacing w:val="-15"/>
                <w:sz w:val="24"/>
                <w:szCs w:val="24"/>
              </w:rPr>
              <w:t>8%</w:t>
            </w:r>
          </w:p>
        </w:tc>
        <w:tc>
          <w:tcPr>
            <w:tcW w:w="1044" w:type="dxa"/>
            <w:vAlign w:val="top"/>
          </w:tcPr>
          <w:p w14:paraId="5BEBE445">
            <w:pPr>
              <w:pStyle w:val="52"/>
              <w:spacing w:before="284" w:line="187" w:lineRule="auto"/>
              <w:ind w:left="217"/>
              <w:rPr>
                <w:sz w:val="24"/>
                <w:szCs w:val="24"/>
              </w:rPr>
            </w:pPr>
            <w:r>
              <w:rPr>
                <w:spacing w:val="-16"/>
                <w:sz w:val="24"/>
                <w:szCs w:val="24"/>
              </w:rPr>
              <w:t>132.82</w:t>
            </w:r>
          </w:p>
          <w:p w14:paraId="6EB8F1A1">
            <w:pPr>
              <w:pStyle w:val="52"/>
              <w:spacing w:before="24" w:line="188" w:lineRule="auto"/>
              <w:ind w:left="428"/>
              <w:rPr>
                <w:sz w:val="24"/>
                <w:szCs w:val="24"/>
              </w:rPr>
            </w:pPr>
            <w:r>
              <w:rPr>
                <w:sz w:val="24"/>
                <w:szCs w:val="24"/>
              </w:rPr>
              <w:t>%</w:t>
            </w:r>
          </w:p>
        </w:tc>
        <w:tc>
          <w:tcPr>
            <w:tcW w:w="1110" w:type="dxa"/>
            <w:vAlign w:val="top"/>
          </w:tcPr>
          <w:p w14:paraId="01536F40">
            <w:pPr>
              <w:pStyle w:val="52"/>
              <w:spacing w:line="332" w:lineRule="auto"/>
            </w:pPr>
          </w:p>
          <w:p w14:paraId="397EC5E3">
            <w:pPr>
              <w:pStyle w:val="52"/>
              <w:spacing w:before="69" w:line="188" w:lineRule="auto"/>
              <w:ind w:left="132"/>
              <w:rPr>
                <w:sz w:val="24"/>
                <w:szCs w:val="24"/>
              </w:rPr>
            </w:pPr>
            <w:r>
              <w:rPr>
                <w:spacing w:val="-13"/>
                <w:sz w:val="24"/>
                <w:szCs w:val="24"/>
              </w:rPr>
              <w:t>340.25%</w:t>
            </w:r>
          </w:p>
        </w:tc>
        <w:tc>
          <w:tcPr>
            <w:tcW w:w="1935" w:type="dxa"/>
            <w:vAlign w:val="top"/>
          </w:tcPr>
          <w:p w14:paraId="308F3320">
            <w:pPr>
              <w:pStyle w:val="52"/>
              <w:spacing w:line="332" w:lineRule="auto"/>
            </w:pPr>
          </w:p>
          <w:p w14:paraId="6B0DCD0B">
            <w:pPr>
              <w:pStyle w:val="52"/>
              <w:spacing w:before="69" w:line="188" w:lineRule="auto"/>
              <w:ind w:left="755"/>
              <w:rPr>
                <w:sz w:val="24"/>
                <w:szCs w:val="24"/>
              </w:rPr>
            </w:pPr>
            <w:r>
              <w:rPr>
                <w:spacing w:val="-14"/>
                <w:sz w:val="24"/>
                <w:szCs w:val="24"/>
              </w:rPr>
              <w:t>30%</w:t>
            </w:r>
          </w:p>
        </w:tc>
      </w:tr>
      <w:tr w14:paraId="194D57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336" w:type="dxa"/>
            <w:vMerge w:val="continue"/>
            <w:tcBorders>
              <w:top w:val="nil"/>
              <w:bottom w:val="nil"/>
            </w:tcBorders>
            <w:textDirection w:val="tbRlV"/>
            <w:vAlign w:val="top"/>
          </w:tcPr>
          <w:p w14:paraId="789B1F18">
            <w:pPr>
              <w:pStyle w:val="52"/>
            </w:pPr>
          </w:p>
        </w:tc>
        <w:tc>
          <w:tcPr>
            <w:tcW w:w="593" w:type="dxa"/>
            <w:vMerge w:val="continue"/>
            <w:tcBorders>
              <w:top w:val="nil"/>
              <w:bottom w:val="nil"/>
            </w:tcBorders>
            <w:textDirection w:val="tbRlV"/>
            <w:vAlign w:val="top"/>
          </w:tcPr>
          <w:p w14:paraId="5A0B2991">
            <w:pPr>
              <w:pStyle w:val="52"/>
            </w:pPr>
          </w:p>
        </w:tc>
        <w:tc>
          <w:tcPr>
            <w:tcW w:w="1012" w:type="dxa"/>
            <w:vMerge w:val="continue"/>
            <w:tcBorders>
              <w:top w:val="nil"/>
              <w:bottom w:val="nil"/>
            </w:tcBorders>
            <w:vAlign w:val="top"/>
          </w:tcPr>
          <w:p w14:paraId="5AF2B132">
            <w:pPr>
              <w:pStyle w:val="52"/>
            </w:pPr>
          </w:p>
        </w:tc>
        <w:tc>
          <w:tcPr>
            <w:tcW w:w="1036" w:type="dxa"/>
            <w:vAlign w:val="top"/>
          </w:tcPr>
          <w:p w14:paraId="200AE800">
            <w:pPr>
              <w:spacing w:before="2" w:line="185" w:lineRule="auto"/>
              <w:ind w:left="163"/>
              <w:rPr>
                <w:rFonts w:ascii="宋体" w:hAnsi="宋体" w:eastAsia="宋体" w:cs="宋体"/>
                <w:sz w:val="24"/>
                <w:szCs w:val="24"/>
              </w:rPr>
            </w:pPr>
            <w:r>
              <w:rPr>
                <w:rFonts w:ascii="宋体" w:hAnsi="宋体" w:eastAsia="宋体" w:cs="宋体"/>
                <w:spacing w:val="-4"/>
                <w:sz w:val="24"/>
                <w:szCs w:val="24"/>
              </w:rPr>
              <w:t>预算年</w:t>
            </w:r>
          </w:p>
          <w:p w14:paraId="39663FB4">
            <w:pPr>
              <w:spacing w:before="1" w:line="181" w:lineRule="auto"/>
              <w:ind w:left="403" w:right="158" w:hanging="238"/>
              <w:rPr>
                <w:rFonts w:ascii="宋体" w:hAnsi="宋体" w:eastAsia="宋体" w:cs="宋体"/>
                <w:sz w:val="24"/>
                <w:szCs w:val="24"/>
              </w:rPr>
            </w:pPr>
            <w:r>
              <w:rPr>
                <w:rFonts w:ascii="宋体" w:hAnsi="宋体" w:eastAsia="宋体" w:cs="宋体"/>
                <w:spacing w:val="-5"/>
                <w:sz w:val="24"/>
                <w:szCs w:val="24"/>
              </w:rPr>
              <w:t>终结余</w:t>
            </w:r>
            <w:r>
              <w:rPr>
                <w:rFonts w:ascii="宋体" w:hAnsi="宋体" w:eastAsia="宋体" w:cs="宋体"/>
                <w:sz w:val="24"/>
                <w:szCs w:val="24"/>
              </w:rPr>
              <w:t>率</w:t>
            </w:r>
          </w:p>
        </w:tc>
        <w:tc>
          <w:tcPr>
            <w:tcW w:w="803" w:type="dxa"/>
            <w:vAlign w:val="top"/>
          </w:tcPr>
          <w:p w14:paraId="32C29DBB">
            <w:pPr>
              <w:pStyle w:val="52"/>
              <w:spacing w:before="284" w:line="199" w:lineRule="auto"/>
              <w:ind w:left="173"/>
              <w:rPr>
                <w:sz w:val="24"/>
                <w:szCs w:val="24"/>
              </w:rPr>
            </w:pPr>
            <w:r>
              <w:rPr>
                <w:spacing w:val="-1"/>
                <w:sz w:val="24"/>
                <w:szCs w:val="24"/>
              </w:rPr>
              <w:t>≤x%</w:t>
            </w:r>
          </w:p>
        </w:tc>
        <w:tc>
          <w:tcPr>
            <w:tcW w:w="1094" w:type="dxa"/>
            <w:vAlign w:val="top"/>
          </w:tcPr>
          <w:p w14:paraId="30C71D5E">
            <w:pPr>
              <w:pStyle w:val="52"/>
              <w:spacing w:before="284" w:line="188" w:lineRule="auto"/>
              <w:ind w:left="178"/>
              <w:rPr>
                <w:sz w:val="24"/>
                <w:szCs w:val="24"/>
              </w:rPr>
            </w:pPr>
            <w:r>
              <w:rPr>
                <w:spacing w:val="-12"/>
                <w:sz w:val="24"/>
                <w:szCs w:val="24"/>
              </w:rPr>
              <w:t>24.82%</w:t>
            </w:r>
          </w:p>
        </w:tc>
        <w:tc>
          <w:tcPr>
            <w:tcW w:w="700" w:type="dxa"/>
            <w:vAlign w:val="top"/>
          </w:tcPr>
          <w:p w14:paraId="67766C59">
            <w:pPr>
              <w:pStyle w:val="52"/>
              <w:spacing w:before="164" w:line="188" w:lineRule="auto"/>
              <w:ind w:left="166"/>
              <w:rPr>
                <w:sz w:val="24"/>
                <w:szCs w:val="24"/>
              </w:rPr>
            </w:pPr>
            <w:r>
              <w:rPr>
                <w:spacing w:val="-17"/>
                <w:sz w:val="24"/>
                <w:szCs w:val="24"/>
              </w:rPr>
              <w:t>17.6</w:t>
            </w:r>
          </w:p>
          <w:p w14:paraId="1B4A2E32">
            <w:pPr>
              <w:pStyle w:val="52"/>
              <w:spacing w:before="23" w:line="188" w:lineRule="auto"/>
              <w:ind w:left="196"/>
              <w:rPr>
                <w:sz w:val="24"/>
                <w:szCs w:val="24"/>
              </w:rPr>
            </w:pPr>
            <w:r>
              <w:rPr>
                <w:spacing w:val="-12"/>
                <w:sz w:val="24"/>
                <w:szCs w:val="24"/>
              </w:rPr>
              <w:t>6%</w:t>
            </w:r>
          </w:p>
        </w:tc>
        <w:tc>
          <w:tcPr>
            <w:tcW w:w="1044" w:type="dxa"/>
            <w:vAlign w:val="top"/>
          </w:tcPr>
          <w:p w14:paraId="54BB76AF">
            <w:pPr>
              <w:pStyle w:val="52"/>
              <w:spacing w:before="284" w:line="188" w:lineRule="auto"/>
              <w:ind w:left="217"/>
              <w:rPr>
                <w:sz w:val="24"/>
                <w:szCs w:val="24"/>
              </w:rPr>
            </w:pPr>
            <w:r>
              <w:rPr>
                <w:spacing w:val="-12"/>
                <w:sz w:val="24"/>
                <w:szCs w:val="24"/>
              </w:rPr>
              <w:t>0.03%</w:t>
            </w:r>
          </w:p>
        </w:tc>
        <w:tc>
          <w:tcPr>
            <w:tcW w:w="1110" w:type="dxa"/>
            <w:vAlign w:val="top"/>
          </w:tcPr>
          <w:p w14:paraId="792EEA86">
            <w:pPr>
              <w:pStyle w:val="52"/>
              <w:spacing w:before="284" w:line="188" w:lineRule="auto"/>
              <w:ind w:left="194"/>
              <w:rPr>
                <w:sz w:val="24"/>
                <w:szCs w:val="24"/>
              </w:rPr>
            </w:pPr>
            <w:r>
              <w:rPr>
                <w:spacing w:val="-13"/>
                <w:sz w:val="24"/>
                <w:szCs w:val="24"/>
              </w:rPr>
              <w:t>56.76%</w:t>
            </w:r>
          </w:p>
        </w:tc>
        <w:tc>
          <w:tcPr>
            <w:tcW w:w="1935" w:type="dxa"/>
            <w:vAlign w:val="top"/>
          </w:tcPr>
          <w:p w14:paraId="14680BE1">
            <w:pPr>
              <w:pStyle w:val="52"/>
              <w:spacing w:before="284" w:line="188" w:lineRule="auto"/>
              <w:ind w:left="659"/>
              <w:rPr>
                <w:sz w:val="24"/>
                <w:szCs w:val="24"/>
              </w:rPr>
            </w:pPr>
            <w:r>
              <w:rPr>
                <w:spacing w:val="-11"/>
                <w:sz w:val="24"/>
                <w:szCs w:val="24"/>
              </w:rPr>
              <w:t>24.8%</w:t>
            </w:r>
          </w:p>
        </w:tc>
      </w:tr>
      <w:tr w14:paraId="5077B3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336" w:type="dxa"/>
            <w:vMerge w:val="continue"/>
            <w:tcBorders>
              <w:top w:val="nil"/>
              <w:bottom w:val="nil"/>
            </w:tcBorders>
            <w:textDirection w:val="tbRlV"/>
            <w:vAlign w:val="top"/>
          </w:tcPr>
          <w:p w14:paraId="2660A918">
            <w:pPr>
              <w:pStyle w:val="52"/>
            </w:pPr>
          </w:p>
        </w:tc>
        <w:tc>
          <w:tcPr>
            <w:tcW w:w="593" w:type="dxa"/>
            <w:vMerge w:val="continue"/>
            <w:tcBorders>
              <w:top w:val="nil"/>
              <w:bottom w:val="nil"/>
            </w:tcBorders>
            <w:textDirection w:val="tbRlV"/>
            <w:vAlign w:val="top"/>
          </w:tcPr>
          <w:p w14:paraId="0005288F">
            <w:pPr>
              <w:pStyle w:val="52"/>
            </w:pPr>
          </w:p>
        </w:tc>
        <w:tc>
          <w:tcPr>
            <w:tcW w:w="1012" w:type="dxa"/>
            <w:vMerge w:val="continue"/>
            <w:tcBorders>
              <w:top w:val="nil"/>
            </w:tcBorders>
            <w:vAlign w:val="top"/>
          </w:tcPr>
          <w:p w14:paraId="0BF2550C">
            <w:pPr>
              <w:pStyle w:val="52"/>
            </w:pPr>
          </w:p>
        </w:tc>
        <w:tc>
          <w:tcPr>
            <w:tcW w:w="1036" w:type="dxa"/>
            <w:vAlign w:val="top"/>
          </w:tcPr>
          <w:p w14:paraId="68969864">
            <w:pPr>
              <w:spacing w:before="2" w:line="185" w:lineRule="auto"/>
              <w:ind w:left="165"/>
              <w:rPr>
                <w:rFonts w:ascii="宋体" w:hAnsi="宋体" w:eastAsia="宋体" w:cs="宋体"/>
                <w:sz w:val="24"/>
                <w:szCs w:val="24"/>
              </w:rPr>
            </w:pPr>
            <w:r>
              <w:rPr>
                <w:rFonts w:ascii="宋体" w:hAnsi="宋体" w:eastAsia="宋体" w:cs="宋体"/>
                <w:spacing w:val="-5"/>
                <w:sz w:val="24"/>
                <w:szCs w:val="24"/>
              </w:rPr>
              <w:t>一般性</w:t>
            </w:r>
          </w:p>
          <w:p w14:paraId="28A175E3">
            <w:pPr>
              <w:spacing w:before="1" w:line="181" w:lineRule="auto"/>
              <w:ind w:left="401" w:right="158" w:hanging="239"/>
              <w:rPr>
                <w:rFonts w:ascii="宋体" w:hAnsi="宋体" w:eastAsia="宋体" w:cs="宋体"/>
                <w:sz w:val="24"/>
                <w:szCs w:val="24"/>
              </w:rPr>
            </w:pPr>
            <w:r>
              <w:rPr>
                <w:rFonts w:ascii="宋体" w:hAnsi="宋体" w:eastAsia="宋体" w:cs="宋体"/>
                <w:spacing w:val="-4"/>
                <w:sz w:val="24"/>
                <w:szCs w:val="24"/>
              </w:rPr>
              <w:t>支出金</w:t>
            </w:r>
            <w:r>
              <w:rPr>
                <w:rFonts w:ascii="宋体" w:hAnsi="宋体" w:eastAsia="宋体" w:cs="宋体"/>
                <w:sz w:val="24"/>
                <w:szCs w:val="24"/>
              </w:rPr>
              <w:t>额</w:t>
            </w:r>
          </w:p>
        </w:tc>
        <w:tc>
          <w:tcPr>
            <w:tcW w:w="803" w:type="dxa"/>
            <w:vAlign w:val="top"/>
          </w:tcPr>
          <w:p w14:paraId="6C93B9E9">
            <w:pPr>
              <w:pStyle w:val="52"/>
              <w:spacing w:before="123" w:line="202" w:lineRule="auto"/>
              <w:ind w:left="286" w:right="125" w:hanging="164"/>
              <w:rPr>
                <w:rFonts w:ascii="宋体" w:hAnsi="宋体" w:eastAsia="宋体" w:cs="宋体"/>
                <w:sz w:val="24"/>
                <w:szCs w:val="24"/>
              </w:rPr>
            </w:pPr>
            <w:r>
              <w:rPr>
                <w:spacing w:val="-6"/>
                <w:sz w:val="24"/>
                <w:szCs w:val="24"/>
              </w:rPr>
              <w:t>≤x</w:t>
            </w:r>
            <w:r>
              <w:rPr>
                <w:spacing w:val="8"/>
                <w:sz w:val="24"/>
                <w:szCs w:val="24"/>
              </w:rPr>
              <w:t xml:space="preserve"> </w:t>
            </w:r>
            <w:r>
              <w:rPr>
                <w:rFonts w:ascii="宋体" w:hAnsi="宋体" w:eastAsia="宋体" w:cs="宋体"/>
                <w:spacing w:val="-6"/>
                <w:sz w:val="24"/>
                <w:szCs w:val="24"/>
              </w:rPr>
              <w:t>万</w:t>
            </w:r>
            <w:r>
              <w:rPr>
                <w:rFonts w:ascii="宋体" w:hAnsi="宋体" w:eastAsia="宋体" w:cs="宋体"/>
                <w:sz w:val="24"/>
                <w:szCs w:val="24"/>
              </w:rPr>
              <w:t>元</w:t>
            </w:r>
          </w:p>
        </w:tc>
        <w:tc>
          <w:tcPr>
            <w:tcW w:w="3948" w:type="dxa"/>
            <w:gridSpan w:val="4"/>
            <w:vAlign w:val="top"/>
          </w:tcPr>
          <w:p w14:paraId="55BD0879">
            <w:pPr>
              <w:pStyle w:val="52"/>
              <w:spacing w:before="243" w:line="219" w:lineRule="auto"/>
              <w:ind w:left="683"/>
              <w:rPr>
                <w:rFonts w:ascii="宋体" w:hAnsi="宋体" w:eastAsia="宋体" w:cs="宋体"/>
                <w:sz w:val="24"/>
                <w:szCs w:val="24"/>
              </w:rPr>
            </w:pPr>
            <w:r>
              <w:rPr>
                <w:spacing w:val="-1"/>
                <w:sz w:val="24"/>
                <w:szCs w:val="24"/>
              </w:rPr>
              <w:t xml:space="preserve">x </w:t>
            </w:r>
            <w:r>
              <w:rPr>
                <w:rFonts w:ascii="宋体" w:hAnsi="宋体" w:eastAsia="宋体" w:cs="宋体"/>
                <w:spacing w:val="-1"/>
                <w:sz w:val="24"/>
                <w:szCs w:val="24"/>
              </w:rPr>
              <w:t>为上年一般性支出金额</w:t>
            </w:r>
          </w:p>
        </w:tc>
        <w:tc>
          <w:tcPr>
            <w:tcW w:w="1935" w:type="dxa"/>
            <w:vAlign w:val="top"/>
          </w:tcPr>
          <w:p w14:paraId="78475FC2">
            <w:pPr>
              <w:pStyle w:val="52"/>
              <w:spacing w:before="243" w:line="220" w:lineRule="auto"/>
              <w:ind w:left="378"/>
              <w:rPr>
                <w:rFonts w:ascii="宋体" w:hAnsi="宋体" w:eastAsia="宋体" w:cs="宋体"/>
                <w:sz w:val="24"/>
                <w:szCs w:val="24"/>
              </w:rPr>
            </w:pPr>
            <w:r>
              <w:rPr>
                <w:spacing w:val="-14"/>
                <w:sz w:val="24"/>
                <w:szCs w:val="24"/>
              </w:rPr>
              <w:t>812.58</w:t>
            </w:r>
            <w:r>
              <w:rPr>
                <w:spacing w:val="15"/>
                <w:sz w:val="24"/>
                <w:szCs w:val="24"/>
              </w:rPr>
              <w:t xml:space="preserve"> </w:t>
            </w:r>
            <w:r>
              <w:rPr>
                <w:rFonts w:ascii="宋体" w:hAnsi="宋体" w:eastAsia="宋体" w:cs="宋体"/>
                <w:spacing w:val="-14"/>
                <w:sz w:val="24"/>
                <w:szCs w:val="24"/>
              </w:rPr>
              <w:t>万元</w:t>
            </w:r>
          </w:p>
        </w:tc>
      </w:tr>
      <w:tr w14:paraId="5F248F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336" w:type="dxa"/>
            <w:vMerge w:val="continue"/>
            <w:tcBorders>
              <w:top w:val="nil"/>
              <w:bottom w:val="nil"/>
            </w:tcBorders>
            <w:textDirection w:val="tbRlV"/>
            <w:vAlign w:val="top"/>
          </w:tcPr>
          <w:p w14:paraId="28059777">
            <w:pPr>
              <w:pStyle w:val="52"/>
            </w:pPr>
          </w:p>
        </w:tc>
        <w:tc>
          <w:tcPr>
            <w:tcW w:w="593" w:type="dxa"/>
            <w:vMerge w:val="continue"/>
            <w:tcBorders>
              <w:top w:val="nil"/>
              <w:bottom w:val="nil"/>
            </w:tcBorders>
            <w:textDirection w:val="tbRlV"/>
            <w:vAlign w:val="top"/>
          </w:tcPr>
          <w:p w14:paraId="18C1F88F">
            <w:pPr>
              <w:pStyle w:val="52"/>
            </w:pPr>
          </w:p>
        </w:tc>
        <w:tc>
          <w:tcPr>
            <w:tcW w:w="1012" w:type="dxa"/>
            <w:vAlign w:val="top"/>
          </w:tcPr>
          <w:p w14:paraId="06F415D0">
            <w:pPr>
              <w:spacing w:before="1" w:line="182" w:lineRule="auto"/>
              <w:ind w:left="391" w:right="147" w:hanging="241"/>
              <w:rPr>
                <w:rFonts w:ascii="宋体" w:hAnsi="宋体" w:eastAsia="宋体" w:cs="宋体"/>
                <w:sz w:val="24"/>
                <w:szCs w:val="24"/>
              </w:rPr>
            </w:pPr>
            <w:r>
              <w:rPr>
                <w:rFonts w:ascii="宋体" w:hAnsi="宋体" w:eastAsia="宋体" w:cs="宋体"/>
                <w:spacing w:val="-4"/>
                <w:sz w:val="24"/>
                <w:szCs w:val="24"/>
              </w:rPr>
              <w:t>财务管</w:t>
            </w:r>
            <w:r>
              <w:rPr>
                <w:rFonts w:ascii="宋体" w:hAnsi="宋体" w:eastAsia="宋体" w:cs="宋体"/>
                <w:sz w:val="24"/>
                <w:szCs w:val="24"/>
              </w:rPr>
              <w:t>理</w:t>
            </w:r>
          </w:p>
        </w:tc>
        <w:tc>
          <w:tcPr>
            <w:tcW w:w="1036" w:type="dxa"/>
            <w:vAlign w:val="top"/>
          </w:tcPr>
          <w:p w14:paraId="3EDEFD10">
            <w:pPr>
              <w:spacing w:before="2" w:line="185" w:lineRule="auto"/>
              <w:ind w:left="162"/>
              <w:rPr>
                <w:rFonts w:ascii="宋体" w:hAnsi="宋体" w:eastAsia="宋体" w:cs="宋体"/>
                <w:sz w:val="24"/>
                <w:szCs w:val="24"/>
              </w:rPr>
            </w:pPr>
            <w:r>
              <w:rPr>
                <w:rFonts w:ascii="宋体" w:hAnsi="宋体" w:eastAsia="宋体" w:cs="宋体"/>
                <w:spacing w:val="-4"/>
                <w:sz w:val="24"/>
                <w:szCs w:val="24"/>
              </w:rPr>
              <w:t>财务管</w:t>
            </w:r>
          </w:p>
          <w:p w14:paraId="3218BBF2">
            <w:pPr>
              <w:spacing w:line="178" w:lineRule="auto"/>
              <w:ind w:left="164"/>
              <w:rPr>
                <w:rFonts w:ascii="宋体" w:hAnsi="宋体" w:eastAsia="宋体" w:cs="宋体"/>
                <w:sz w:val="24"/>
                <w:szCs w:val="24"/>
              </w:rPr>
            </w:pPr>
            <w:r>
              <w:rPr>
                <w:rFonts w:ascii="宋体" w:hAnsi="宋体" w:eastAsia="宋体" w:cs="宋体"/>
                <w:spacing w:val="-5"/>
                <w:sz w:val="24"/>
                <w:szCs w:val="24"/>
              </w:rPr>
              <w:t>理规范</w:t>
            </w:r>
          </w:p>
        </w:tc>
        <w:tc>
          <w:tcPr>
            <w:tcW w:w="803" w:type="dxa"/>
            <w:vAlign w:val="top"/>
          </w:tcPr>
          <w:p w14:paraId="3553251B">
            <w:pPr>
              <w:spacing w:before="122" w:line="222" w:lineRule="auto"/>
              <w:ind w:left="323"/>
              <w:rPr>
                <w:rFonts w:ascii="宋体" w:hAnsi="宋体" w:eastAsia="宋体" w:cs="宋体"/>
                <w:sz w:val="24"/>
                <w:szCs w:val="24"/>
              </w:rPr>
            </w:pPr>
            <w:r>
              <w:rPr>
                <w:rFonts w:ascii="宋体" w:hAnsi="宋体" w:eastAsia="宋体" w:cs="宋体"/>
                <w:sz w:val="24"/>
                <w:szCs w:val="24"/>
              </w:rPr>
              <w:t>良</w:t>
            </w:r>
          </w:p>
        </w:tc>
        <w:tc>
          <w:tcPr>
            <w:tcW w:w="3948" w:type="dxa"/>
            <w:gridSpan w:val="4"/>
            <w:vAlign w:val="top"/>
          </w:tcPr>
          <w:p w14:paraId="29685E01">
            <w:pPr>
              <w:pStyle w:val="52"/>
              <w:spacing w:before="123" w:line="219" w:lineRule="auto"/>
              <w:ind w:left="738"/>
              <w:rPr>
                <w:sz w:val="24"/>
                <w:szCs w:val="24"/>
              </w:rPr>
            </w:pPr>
            <w:r>
              <w:rPr>
                <w:spacing w:val="15"/>
                <w:sz w:val="24"/>
                <w:szCs w:val="24"/>
              </w:rPr>
              <w:t xml:space="preserve">x </w:t>
            </w:r>
            <w:r>
              <w:rPr>
                <w:rFonts w:ascii="宋体" w:hAnsi="宋体" w:eastAsia="宋体" w:cs="宋体"/>
                <w:spacing w:val="15"/>
                <w:sz w:val="24"/>
                <w:szCs w:val="24"/>
              </w:rPr>
              <w:t>为</w:t>
            </w:r>
            <w:r>
              <w:rPr>
                <w:spacing w:val="15"/>
                <w:sz w:val="24"/>
                <w:szCs w:val="24"/>
              </w:rPr>
              <w:t>“</w:t>
            </w:r>
            <w:r>
              <w:rPr>
                <w:rFonts w:ascii="宋体" w:hAnsi="宋体" w:eastAsia="宋体" w:cs="宋体"/>
                <w:spacing w:val="15"/>
                <w:sz w:val="24"/>
                <w:szCs w:val="24"/>
              </w:rPr>
              <w:t>优</w:t>
            </w:r>
            <w:r>
              <w:rPr>
                <w:spacing w:val="15"/>
                <w:sz w:val="24"/>
                <w:szCs w:val="24"/>
              </w:rPr>
              <w:t>”“</w:t>
            </w:r>
            <w:r>
              <w:rPr>
                <w:rFonts w:ascii="宋体" w:hAnsi="宋体" w:eastAsia="宋体" w:cs="宋体"/>
                <w:spacing w:val="15"/>
                <w:sz w:val="24"/>
                <w:szCs w:val="24"/>
              </w:rPr>
              <w:t>良</w:t>
            </w:r>
            <w:r>
              <w:rPr>
                <w:spacing w:val="15"/>
                <w:sz w:val="24"/>
                <w:szCs w:val="24"/>
              </w:rPr>
              <w:t>”“</w:t>
            </w:r>
            <w:r>
              <w:rPr>
                <w:rFonts w:ascii="宋体" w:hAnsi="宋体" w:eastAsia="宋体" w:cs="宋体"/>
                <w:spacing w:val="15"/>
                <w:sz w:val="24"/>
                <w:szCs w:val="24"/>
              </w:rPr>
              <w:t>中</w:t>
            </w:r>
            <w:r>
              <w:rPr>
                <w:spacing w:val="15"/>
                <w:sz w:val="24"/>
                <w:szCs w:val="24"/>
              </w:rPr>
              <w:t>”</w:t>
            </w:r>
            <w:r>
              <w:rPr>
                <w:rFonts w:ascii="宋体" w:hAnsi="宋体" w:eastAsia="宋体" w:cs="宋体"/>
                <w:spacing w:val="15"/>
                <w:sz w:val="24"/>
                <w:szCs w:val="24"/>
              </w:rPr>
              <w:t>或</w:t>
            </w:r>
            <w:r>
              <w:rPr>
                <w:spacing w:val="15"/>
                <w:sz w:val="24"/>
                <w:szCs w:val="24"/>
              </w:rPr>
              <w:t>“</w:t>
            </w:r>
            <w:r>
              <w:rPr>
                <w:rFonts w:ascii="宋体" w:hAnsi="宋体" w:eastAsia="宋体" w:cs="宋体"/>
                <w:spacing w:val="15"/>
                <w:sz w:val="24"/>
                <w:szCs w:val="24"/>
              </w:rPr>
              <w:t>差</w:t>
            </w:r>
            <w:r>
              <w:rPr>
                <w:spacing w:val="15"/>
                <w:sz w:val="24"/>
                <w:szCs w:val="24"/>
              </w:rPr>
              <w:t>”</w:t>
            </w:r>
          </w:p>
        </w:tc>
        <w:tc>
          <w:tcPr>
            <w:tcW w:w="1935" w:type="dxa"/>
            <w:vAlign w:val="top"/>
          </w:tcPr>
          <w:p w14:paraId="718F671F">
            <w:pPr>
              <w:spacing w:before="122" w:line="222" w:lineRule="auto"/>
              <w:ind w:left="891"/>
              <w:rPr>
                <w:rFonts w:ascii="宋体" w:hAnsi="宋体" w:eastAsia="宋体" w:cs="宋体"/>
                <w:sz w:val="24"/>
                <w:szCs w:val="24"/>
              </w:rPr>
            </w:pPr>
            <w:r>
              <w:rPr>
                <w:rFonts w:ascii="宋体" w:hAnsi="宋体" w:eastAsia="宋体" w:cs="宋体"/>
                <w:sz w:val="24"/>
                <w:szCs w:val="24"/>
              </w:rPr>
              <w:t>良</w:t>
            </w:r>
          </w:p>
        </w:tc>
      </w:tr>
      <w:tr w14:paraId="2E59D2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336" w:type="dxa"/>
            <w:vMerge w:val="continue"/>
            <w:tcBorders>
              <w:top w:val="nil"/>
              <w:bottom w:val="nil"/>
            </w:tcBorders>
            <w:textDirection w:val="tbRlV"/>
            <w:vAlign w:val="top"/>
          </w:tcPr>
          <w:p w14:paraId="63AC3127">
            <w:pPr>
              <w:pStyle w:val="52"/>
            </w:pPr>
          </w:p>
        </w:tc>
        <w:tc>
          <w:tcPr>
            <w:tcW w:w="593" w:type="dxa"/>
            <w:vMerge w:val="continue"/>
            <w:tcBorders>
              <w:top w:val="nil"/>
              <w:bottom w:val="nil"/>
            </w:tcBorders>
            <w:textDirection w:val="tbRlV"/>
            <w:vAlign w:val="top"/>
          </w:tcPr>
          <w:p w14:paraId="022E67E4">
            <w:pPr>
              <w:pStyle w:val="52"/>
            </w:pPr>
          </w:p>
        </w:tc>
        <w:tc>
          <w:tcPr>
            <w:tcW w:w="1012" w:type="dxa"/>
            <w:vAlign w:val="top"/>
          </w:tcPr>
          <w:p w14:paraId="1625293A">
            <w:pPr>
              <w:spacing w:before="124" w:line="207" w:lineRule="auto"/>
              <w:ind w:left="391" w:right="147" w:hanging="232"/>
              <w:rPr>
                <w:rFonts w:ascii="宋体" w:hAnsi="宋体" w:eastAsia="宋体" w:cs="宋体"/>
                <w:sz w:val="24"/>
                <w:szCs w:val="24"/>
              </w:rPr>
            </w:pPr>
            <w:r>
              <w:rPr>
                <w:rFonts w:ascii="宋体" w:hAnsi="宋体" w:eastAsia="宋体" w:cs="宋体"/>
                <w:spacing w:val="-7"/>
                <w:sz w:val="24"/>
                <w:szCs w:val="24"/>
              </w:rPr>
              <w:t>资产管</w:t>
            </w:r>
            <w:r>
              <w:rPr>
                <w:rFonts w:ascii="宋体" w:hAnsi="宋体" w:eastAsia="宋体" w:cs="宋体"/>
                <w:sz w:val="24"/>
                <w:szCs w:val="24"/>
              </w:rPr>
              <w:t>理</w:t>
            </w:r>
          </w:p>
        </w:tc>
        <w:tc>
          <w:tcPr>
            <w:tcW w:w="1036" w:type="dxa"/>
            <w:vAlign w:val="top"/>
          </w:tcPr>
          <w:p w14:paraId="315785D4">
            <w:pPr>
              <w:spacing w:before="4" w:line="185" w:lineRule="auto"/>
              <w:ind w:left="172"/>
              <w:rPr>
                <w:rFonts w:ascii="宋体" w:hAnsi="宋体" w:eastAsia="宋体" w:cs="宋体"/>
                <w:sz w:val="24"/>
                <w:szCs w:val="24"/>
              </w:rPr>
            </w:pPr>
            <w:r>
              <w:rPr>
                <w:rFonts w:ascii="宋体" w:hAnsi="宋体" w:eastAsia="宋体" w:cs="宋体"/>
                <w:spacing w:val="-7"/>
                <w:sz w:val="24"/>
                <w:szCs w:val="24"/>
              </w:rPr>
              <w:t>资产配</w:t>
            </w:r>
          </w:p>
          <w:p w14:paraId="438B24C8">
            <w:pPr>
              <w:spacing w:line="184" w:lineRule="auto"/>
              <w:ind w:left="160"/>
              <w:rPr>
                <w:rFonts w:ascii="宋体" w:hAnsi="宋体" w:eastAsia="宋体" w:cs="宋体"/>
                <w:sz w:val="24"/>
                <w:szCs w:val="24"/>
              </w:rPr>
            </w:pPr>
            <w:r>
              <w:rPr>
                <w:rFonts w:ascii="宋体" w:hAnsi="宋体" w:eastAsia="宋体" w:cs="宋体"/>
                <w:spacing w:val="-3"/>
                <w:sz w:val="24"/>
                <w:szCs w:val="24"/>
              </w:rPr>
              <w:t>置预算</w:t>
            </w:r>
          </w:p>
          <w:p w14:paraId="60631B7E">
            <w:pPr>
              <w:spacing w:line="177" w:lineRule="auto"/>
              <w:ind w:left="162"/>
              <w:rPr>
                <w:rFonts w:ascii="宋体" w:hAnsi="宋体" w:eastAsia="宋体" w:cs="宋体"/>
                <w:sz w:val="24"/>
                <w:szCs w:val="24"/>
              </w:rPr>
            </w:pPr>
            <w:r>
              <w:rPr>
                <w:rFonts w:ascii="宋体" w:hAnsi="宋体" w:eastAsia="宋体" w:cs="宋体"/>
                <w:spacing w:val="-4"/>
                <w:sz w:val="24"/>
                <w:szCs w:val="24"/>
              </w:rPr>
              <w:t>偏离度</w:t>
            </w:r>
          </w:p>
        </w:tc>
        <w:tc>
          <w:tcPr>
            <w:tcW w:w="803" w:type="dxa"/>
            <w:vAlign w:val="top"/>
          </w:tcPr>
          <w:p w14:paraId="739FEFA8">
            <w:pPr>
              <w:pStyle w:val="52"/>
              <w:spacing w:before="285" w:line="199" w:lineRule="auto"/>
              <w:ind w:left="173"/>
              <w:rPr>
                <w:sz w:val="24"/>
                <w:szCs w:val="24"/>
              </w:rPr>
            </w:pPr>
            <w:r>
              <w:rPr>
                <w:spacing w:val="-1"/>
                <w:sz w:val="24"/>
                <w:szCs w:val="24"/>
              </w:rPr>
              <w:t>≤x%</w:t>
            </w:r>
          </w:p>
        </w:tc>
        <w:tc>
          <w:tcPr>
            <w:tcW w:w="1094" w:type="dxa"/>
            <w:vAlign w:val="top"/>
          </w:tcPr>
          <w:p w14:paraId="3EDF7149">
            <w:pPr>
              <w:pStyle w:val="52"/>
              <w:spacing w:before="285" w:line="188" w:lineRule="auto"/>
              <w:ind w:left="385"/>
              <w:rPr>
                <w:sz w:val="24"/>
                <w:szCs w:val="24"/>
              </w:rPr>
            </w:pPr>
            <w:r>
              <w:rPr>
                <w:spacing w:val="-2"/>
                <w:sz w:val="24"/>
                <w:szCs w:val="24"/>
              </w:rPr>
              <w:t>x%</w:t>
            </w:r>
          </w:p>
        </w:tc>
        <w:tc>
          <w:tcPr>
            <w:tcW w:w="700" w:type="dxa"/>
            <w:vAlign w:val="top"/>
          </w:tcPr>
          <w:p w14:paraId="1A114AF8">
            <w:pPr>
              <w:pStyle w:val="52"/>
              <w:spacing w:before="166" w:line="187" w:lineRule="auto"/>
              <w:ind w:left="143"/>
              <w:rPr>
                <w:sz w:val="24"/>
                <w:szCs w:val="24"/>
              </w:rPr>
            </w:pPr>
            <w:r>
              <w:rPr>
                <w:spacing w:val="-11"/>
                <w:sz w:val="24"/>
                <w:szCs w:val="24"/>
              </w:rPr>
              <w:t>2.62</w:t>
            </w:r>
          </w:p>
          <w:p w14:paraId="60154E33">
            <w:pPr>
              <w:pStyle w:val="52"/>
              <w:spacing w:before="24" w:line="188" w:lineRule="auto"/>
              <w:ind w:left="254"/>
              <w:rPr>
                <w:sz w:val="24"/>
                <w:szCs w:val="24"/>
              </w:rPr>
            </w:pPr>
            <w:r>
              <w:rPr>
                <w:sz w:val="24"/>
                <w:szCs w:val="24"/>
              </w:rPr>
              <w:t>%</w:t>
            </w:r>
          </w:p>
        </w:tc>
        <w:tc>
          <w:tcPr>
            <w:tcW w:w="1044" w:type="dxa"/>
            <w:vAlign w:val="top"/>
          </w:tcPr>
          <w:p w14:paraId="0120654D">
            <w:pPr>
              <w:pStyle w:val="52"/>
              <w:spacing w:before="286" w:line="187" w:lineRule="auto"/>
              <w:ind w:left="467"/>
              <w:rPr>
                <w:sz w:val="24"/>
                <w:szCs w:val="24"/>
              </w:rPr>
            </w:pPr>
            <w:r>
              <w:rPr>
                <w:sz w:val="24"/>
                <w:szCs w:val="24"/>
              </w:rPr>
              <w:t>0</w:t>
            </w:r>
          </w:p>
        </w:tc>
        <w:tc>
          <w:tcPr>
            <w:tcW w:w="1110" w:type="dxa"/>
            <w:vAlign w:val="top"/>
          </w:tcPr>
          <w:p w14:paraId="2B2B3074">
            <w:pPr>
              <w:pStyle w:val="52"/>
              <w:spacing w:before="286" w:line="187" w:lineRule="auto"/>
              <w:ind w:left="503"/>
              <w:rPr>
                <w:sz w:val="24"/>
                <w:szCs w:val="24"/>
              </w:rPr>
            </w:pPr>
            <w:r>
              <w:rPr>
                <w:sz w:val="24"/>
                <w:szCs w:val="24"/>
              </w:rPr>
              <w:t>0</w:t>
            </w:r>
          </w:p>
        </w:tc>
        <w:tc>
          <w:tcPr>
            <w:tcW w:w="1935" w:type="dxa"/>
            <w:vAlign w:val="top"/>
          </w:tcPr>
          <w:p w14:paraId="36839EE7">
            <w:pPr>
              <w:pStyle w:val="52"/>
              <w:spacing w:before="286" w:line="187" w:lineRule="auto"/>
              <w:ind w:left="912"/>
              <w:rPr>
                <w:sz w:val="24"/>
                <w:szCs w:val="24"/>
              </w:rPr>
            </w:pPr>
            <w:r>
              <w:rPr>
                <w:sz w:val="24"/>
                <w:szCs w:val="24"/>
              </w:rPr>
              <w:t>0</w:t>
            </w:r>
          </w:p>
        </w:tc>
      </w:tr>
      <w:tr w14:paraId="1BD9EA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336" w:type="dxa"/>
            <w:vMerge w:val="continue"/>
            <w:tcBorders>
              <w:top w:val="nil"/>
            </w:tcBorders>
            <w:textDirection w:val="tbRlV"/>
            <w:vAlign w:val="top"/>
          </w:tcPr>
          <w:p w14:paraId="2FAF994B">
            <w:pPr>
              <w:pStyle w:val="52"/>
            </w:pPr>
          </w:p>
        </w:tc>
        <w:tc>
          <w:tcPr>
            <w:tcW w:w="593" w:type="dxa"/>
            <w:vMerge w:val="continue"/>
            <w:tcBorders>
              <w:top w:val="nil"/>
            </w:tcBorders>
            <w:textDirection w:val="tbRlV"/>
            <w:vAlign w:val="top"/>
          </w:tcPr>
          <w:p w14:paraId="6C21E2AF">
            <w:pPr>
              <w:pStyle w:val="52"/>
            </w:pPr>
          </w:p>
        </w:tc>
        <w:tc>
          <w:tcPr>
            <w:tcW w:w="1012" w:type="dxa"/>
            <w:vAlign w:val="top"/>
          </w:tcPr>
          <w:p w14:paraId="51E1092A">
            <w:pPr>
              <w:spacing w:before="4" w:line="181" w:lineRule="auto"/>
              <w:ind w:left="391" w:right="147" w:hanging="243"/>
              <w:rPr>
                <w:rFonts w:ascii="宋体" w:hAnsi="宋体" w:eastAsia="宋体" w:cs="宋体"/>
                <w:sz w:val="24"/>
                <w:szCs w:val="24"/>
              </w:rPr>
            </w:pPr>
            <w:r>
              <w:rPr>
                <w:rFonts w:ascii="宋体" w:hAnsi="宋体" w:eastAsia="宋体" w:cs="宋体"/>
                <w:spacing w:val="-3"/>
                <w:sz w:val="24"/>
                <w:szCs w:val="24"/>
              </w:rPr>
              <w:t>采购管</w:t>
            </w:r>
            <w:r>
              <w:rPr>
                <w:rFonts w:ascii="宋体" w:hAnsi="宋体" w:eastAsia="宋体" w:cs="宋体"/>
                <w:sz w:val="24"/>
                <w:szCs w:val="24"/>
              </w:rPr>
              <w:t>理</w:t>
            </w:r>
          </w:p>
        </w:tc>
        <w:tc>
          <w:tcPr>
            <w:tcW w:w="1036" w:type="dxa"/>
            <w:vAlign w:val="top"/>
          </w:tcPr>
          <w:p w14:paraId="1C75F5D5">
            <w:pPr>
              <w:spacing w:before="4" w:line="181" w:lineRule="auto"/>
              <w:ind w:left="285" w:right="158" w:hanging="124"/>
              <w:rPr>
                <w:rFonts w:ascii="宋体" w:hAnsi="宋体" w:eastAsia="宋体" w:cs="宋体"/>
                <w:sz w:val="24"/>
                <w:szCs w:val="24"/>
              </w:rPr>
            </w:pPr>
            <w:r>
              <w:rPr>
                <w:rFonts w:ascii="宋体" w:hAnsi="宋体" w:eastAsia="宋体" w:cs="宋体"/>
                <w:spacing w:val="-3"/>
                <w:sz w:val="24"/>
                <w:szCs w:val="24"/>
              </w:rPr>
              <w:t>采购执</w:t>
            </w:r>
            <w:r>
              <w:rPr>
                <w:rFonts w:ascii="宋体" w:hAnsi="宋体" w:eastAsia="宋体" w:cs="宋体"/>
                <w:spacing w:val="-7"/>
                <w:sz w:val="24"/>
                <w:szCs w:val="24"/>
              </w:rPr>
              <w:t>行率</w:t>
            </w:r>
          </w:p>
        </w:tc>
        <w:tc>
          <w:tcPr>
            <w:tcW w:w="803" w:type="dxa"/>
            <w:vAlign w:val="top"/>
          </w:tcPr>
          <w:p w14:paraId="4E53069E">
            <w:pPr>
              <w:pStyle w:val="52"/>
              <w:spacing w:before="165" w:line="199" w:lineRule="auto"/>
              <w:ind w:left="173"/>
              <w:rPr>
                <w:sz w:val="24"/>
                <w:szCs w:val="24"/>
              </w:rPr>
            </w:pPr>
            <w:r>
              <w:rPr>
                <w:spacing w:val="-1"/>
                <w:sz w:val="24"/>
                <w:szCs w:val="24"/>
              </w:rPr>
              <w:t>≥x%</w:t>
            </w:r>
          </w:p>
        </w:tc>
        <w:tc>
          <w:tcPr>
            <w:tcW w:w="1094" w:type="dxa"/>
            <w:vAlign w:val="top"/>
          </w:tcPr>
          <w:p w14:paraId="7FCF78AF">
            <w:pPr>
              <w:pStyle w:val="52"/>
              <w:spacing w:before="165" w:line="188" w:lineRule="auto"/>
              <w:ind w:left="290"/>
              <w:rPr>
                <w:sz w:val="24"/>
                <w:szCs w:val="24"/>
              </w:rPr>
            </w:pPr>
            <w:r>
              <w:rPr>
                <w:spacing w:val="-18"/>
                <w:sz w:val="24"/>
                <w:szCs w:val="24"/>
              </w:rPr>
              <w:t>100%</w:t>
            </w:r>
          </w:p>
        </w:tc>
        <w:tc>
          <w:tcPr>
            <w:tcW w:w="700" w:type="dxa"/>
            <w:vAlign w:val="top"/>
          </w:tcPr>
          <w:p w14:paraId="0C3BFA82">
            <w:pPr>
              <w:pStyle w:val="52"/>
              <w:spacing w:before="46" w:line="187" w:lineRule="auto"/>
              <w:ind w:left="195"/>
              <w:rPr>
                <w:sz w:val="24"/>
                <w:szCs w:val="24"/>
              </w:rPr>
            </w:pPr>
            <w:r>
              <w:rPr>
                <w:spacing w:val="-20"/>
                <w:sz w:val="24"/>
                <w:szCs w:val="24"/>
              </w:rPr>
              <w:t>100</w:t>
            </w:r>
          </w:p>
          <w:p w14:paraId="0602949B">
            <w:pPr>
              <w:pStyle w:val="52"/>
              <w:spacing w:before="24" w:line="165" w:lineRule="auto"/>
              <w:ind w:left="254"/>
              <w:rPr>
                <w:sz w:val="24"/>
                <w:szCs w:val="24"/>
              </w:rPr>
            </w:pPr>
            <w:r>
              <w:rPr>
                <w:sz w:val="24"/>
                <w:szCs w:val="24"/>
              </w:rPr>
              <w:t>%</w:t>
            </w:r>
          </w:p>
        </w:tc>
        <w:tc>
          <w:tcPr>
            <w:tcW w:w="1044" w:type="dxa"/>
            <w:vAlign w:val="top"/>
          </w:tcPr>
          <w:p w14:paraId="221341E5">
            <w:pPr>
              <w:pStyle w:val="52"/>
              <w:spacing w:before="165" w:line="188" w:lineRule="auto"/>
              <w:ind w:left="268"/>
              <w:rPr>
                <w:sz w:val="24"/>
                <w:szCs w:val="24"/>
              </w:rPr>
            </w:pPr>
            <w:r>
              <w:rPr>
                <w:spacing w:val="-18"/>
                <w:sz w:val="24"/>
                <w:szCs w:val="24"/>
              </w:rPr>
              <w:t>100%</w:t>
            </w:r>
          </w:p>
        </w:tc>
        <w:tc>
          <w:tcPr>
            <w:tcW w:w="1110" w:type="dxa"/>
            <w:vAlign w:val="top"/>
          </w:tcPr>
          <w:p w14:paraId="1E221185">
            <w:pPr>
              <w:pStyle w:val="52"/>
              <w:spacing w:before="165" w:line="188" w:lineRule="auto"/>
              <w:ind w:left="301"/>
              <w:rPr>
                <w:sz w:val="24"/>
                <w:szCs w:val="24"/>
              </w:rPr>
            </w:pPr>
            <w:r>
              <w:rPr>
                <w:spacing w:val="-18"/>
                <w:sz w:val="24"/>
                <w:szCs w:val="24"/>
              </w:rPr>
              <w:t>100%</w:t>
            </w:r>
          </w:p>
        </w:tc>
        <w:tc>
          <w:tcPr>
            <w:tcW w:w="1935" w:type="dxa"/>
            <w:vAlign w:val="top"/>
          </w:tcPr>
          <w:p w14:paraId="2198BC1F">
            <w:pPr>
              <w:pStyle w:val="52"/>
              <w:spacing w:before="165" w:line="188" w:lineRule="auto"/>
              <w:ind w:left="713"/>
              <w:rPr>
                <w:sz w:val="24"/>
                <w:szCs w:val="24"/>
              </w:rPr>
            </w:pPr>
            <w:r>
              <w:rPr>
                <w:spacing w:val="-18"/>
                <w:sz w:val="24"/>
                <w:szCs w:val="24"/>
              </w:rPr>
              <w:t>100%</w:t>
            </w:r>
          </w:p>
        </w:tc>
      </w:tr>
      <w:tr w14:paraId="10EA4C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5" w:hRule="atLeast"/>
        </w:trPr>
        <w:tc>
          <w:tcPr>
            <w:tcW w:w="336" w:type="dxa"/>
            <w:vMerge w:val="restart"/>
            <w:tcBorders>
              <w:bottom w:val="nil"/>
            </w:tcBorders>
            <w:textDirection w:val="tbRlV"/>
            <w:vAlign w:val="top"/>
          </w:tcPr>
          <w:p w14:paraId="248A0565">
            <w:pPr>
              <w:spacing w:line="194" w:lineRule="auto"/>
              <w:ind w:left="1343"/>
              <w:rPr>
                <w:rFonts w:ascii="宋体" w:hAnsi="宋体" w:eastAsia="宋体" w:cs="宋体"/>
                <w:sz w:val="24"/>
                <w:szCs w:val="24"/>
              </w:rPr>
            </w:pPr>
            <w:r>
              <w:rPr>
                <w:rFonts w:ascii="宋体" w:hAnsi="宋体" w:eastAsia="宋体" w:cs="宋体"/>
                <w:spacing w:val="-1"/>
                <w:sz w:val="24"/>
                <w:szCs w:val="24"/>
              </w:rPr>
              <w:t>履职效能</w:t>
            </w:r>
          </w:p>
        </w:tc>
        <w:tc>
          <w:tcPr>
            <w:tcW w:w="593" w:type="dxa"/>
            <w:textDirection w:val="tbRlV"/>
            <w:vAlign w:val="top"/>
          </w:tcPr>
          <w:p w14:paraId="6596C88D">
            <w:pPr>
              <w:spacing w:before="176" w:line="208" w:lineRule="auto"/>
              <w:ind w:right="1"/>
              <w:jc w:val="right"/>
              <w:rPr>
                <w:rFonts w:ascii="宋体" w:hAnsi="宋体" w:eastAsia="宋体" w:cs="宋体"/>
                <w:sz w:val="24"/>
                <w:szCs w:val="24"/>
              </w:rPr>
            </w:pPr>
            <w:r>
              <w:rPr>
                <w:rFonts w:ascii="宋体" w:hAnsi="宋体" w:eastAsia="宋体" w:cs="宋体"/>
                <w:spacing w:val="-80"/>
                <w:w w:val="43"/>
                <w:sz w:val="24"/>
                <w:szCs w:val="24"/>
              </w:rPr>
              <w:t>一</w:t>
            </w:r>
            <w:r>
              <w:rPr>
                <w:rFonts w:ascii="宋体" w:hAnsi="宋体" w:eastAsia="宋体" w:cs="宋体"/>
                <w:spacing w:val="5"/>
                <w:sz w:val="24"/>
                <w:szCs w:val="24"/>
              </w:rPr>
              <w:t xml:space="preserve"> </w:t>
            </w:r>
            <w:r>
              <w:rPr>
                <w:rFonts w:ascii="宋体" w:hAnsi="宋体" w:eastAsia="宋体" w:cs="宋体"/>
                <w:sz w:val="24"/>
                <w:szCs w:val="24"/>
              </w:rPr>
              <w:t>级指标</w:t>
            </w:r>
          </w:p>
        </w:tc>
        <w:tc>
          <w:tcPr>
            <w:tcW w:w="1012" w:type="dxa"/>
            <w:vAlign w:val="top"/>
          </w:tcPr>
          <w:p w14:paraId="3EBED253">
            <w:pPr>
              <w:spacing w:before="244" w:line="202" w:lineRule="auto"/>
              <w:ind w:left="389" w:right="147" w:hanging="237"/>
              <w:rPr>
                <w:rFonts w:ascii="宋体" w:hAnsi="宋体" w:eastAsia="宋体" w:cs="宋体"/>
                <w:sz w:val="24"/>
                <w:szCs w:val="24"/>
              </w:rPr>
            </w:pPr>
            <w:r>
              <w:rPr>
                <w:rFonts w:ascii="宋体" w:hAnsi="宋体" w:eastAsia="宋体" w:cs="宋体"/>
                <w:spacing w:val="-5"/>
                <w:sz w:val="24"/>
                <w:szCs w:val="24"/>
              </w:rPr>
              <w:t>二级指</w:t>
            </w:r>
            <w:r>
              <w:rPr>
                <w:rFonts w:ascii="宋体" w:hAnsi="宋体" w:eastAsia="宋体" w:cs="宋体"/>
                <w:sz w:val="24"/>
                <w:szCs w:val="24"/>
              </w:rPr>
              <w:t>标</w:t>
            </w:r>
          </w:p>
        </w:tc>
        <w:tc>
          <w:tcPr>
            <w:tcW w:w="1036" w:type="dxa"/>
            <w:vAlign w:val="top"/>
          </w:tcPr>
          <w:p w14:paraId="737988B9">
            <w:pPr>
              <w:spacing w:before="244" w:line="202" w:lineRule="auto"/>
              <w:ind w:left="402" w:right="158" w:hanging="240"/>
              <w:rPr>
                <w:rFonts w:ascii="宋体" w:hAnsi="宋体" w:eastAsia="宋体" w:cs="宋体"/>
                <w:sz w:val="24"/>
                <w:szCs w:val="24"/>
              </w:rPr>
            </w:pPr>
            <w:r>
              <w:rPr>
                <w:rFonts w:ascii="宋体" w:hAnsi="宋体" w:eastAsia="宋体" w:cs="宋体"/>
                <w:spacing w:val="-4"/>
                <w:sz w:val="24"/>
                <w:szCs w:val="24"/>
              </w:rPr>
              <w:t>三级指</w:t>
            </w:r>
            <w:r>
              <w:rPr>
                <w:rFonts w:ascii="宋体" w:hAnsi="宋体" w:eastAsia="宋体" w:cs="宋体"/>
                <w:sz w:val="24"/>
                <w:szCs w:val="24"/>
              </w:rPr>
              <w:t>标</w:t>
            </w:r>
          </w:p>
        </w:tc>
        <w:tc>
          <w:tcPr>
            <w:tcW w:w="4751" w:type="dxa"/>
            <w:gridSpan w:val="5"/>
            <w:vAlign w:val="top"/>
          </w:tcPr>
          <w:p w14:paraId="142D3316">
            <w:pPr>
              <w:pStyle w:val="52"/>
              <w:spacing w:line="284" w:lineRule="auto"/>
            </w:pPr>
          </w:p>
          <w:p w14:paraId="4BEB19E7">
            <w:pPr>
              <w:spacing w:before="78" w:line="219" w:lineRule="auto"/>
              <w:ind w:left="705"/>
              <w:rPr>
                <w:rFonts w:ascii="宋体" w:hAnsi="宋体" w:eastAsia="宋体" w:cs="宋体"/>
                <w:sz w:val="24"/>
                <w:szCs w:val="24"/>
              </w:rPr>
            </w:pPr>
            <w:r>
              <w:rPr>
                <w:rFonts w:ascii="宋体" w:hAnsi="宋体" w:eastAsia="宋体" w:cs="宋体"/>
                <w:spacing w:val="-1"/>
                <w:sz w:val="24"/>
                <w:szCs w:val="24"/>
              </w:rPr>
              <w:t>指标值（包含数字及文字描述）</w:t>
            </w:r>
          </w:p>
        </w:tc>
        <w:tc>
          <w:tcPr>
            <w:tcW w:w="1935" w:type="dxa"/>
            <w:vAlign w:val="top"/>
          </w:tcPr>
          <w:p w14:paraId="5239EE76">
            <w:pPr>
              <w:pStyle w:val="52"/>
            </w:pPr>
          </w:p>
        </w:tc>
      </w:tr>
      <w:tr w14:paraId="207655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5" w:hRule="atLeast"/>
        </w:trPr>
        <w:tc>
          <w:tcPr>
            <w:tcW w:w="336" w:type="dxa"/>
            <w:vMerge w:val="continue"/>
            <w:tcBorders>
              <w:top w:val="nil"/>
              <w:bottom w:val="nil"/>
            </w:tcBorders>
            <w:textDirection w:val="tbRlV"/>
            <w:vAlign w:val="top"/>
          </w:tcPr>
          <w:p w14:paraId="7455396D">
            <w:pPr>
              <w:pStyle w:val="52"/>
            </w:pPr>
          </w:p>
        </w:tc>
        <w:tc>
          <w:tcPr>
            <w:tcW w:w="593" w:type="dxa"/>
            <w:vMerge w:val="restart"/>
            <w:tcBorders>
              <w:bottom w:val="nil"/>
            </w:tcBorders>
            <w:textDirection w:val="tbRlV"/>
            <w:vAlign w:val="top"/>
          </w:tcPr>
          <w:p w14:paraId="6A99D0AC">
            <w:pPr>
              <w:spacing w:before="176" w:line="208" w:lineRule="auto"/>
              <w:ind w:left="858"/>
              <w:rPr>
                <w:rFonts w:ascii="宋体" w:hAnsi="宋体" w:eastAsia="宋体" w:cs="宋体"/>
                <w:sz w:val="24"/>
                <w:szCs w:val="24"/>
              </w:rPr>
            </w:pPr>
            <w:r>
              <w:rPr>
                <w:rFonts w:ascii="宋体" w:hAnsi="宋体" w:eastAsia="宋体" w:cs="宋体"/>
                <w:spacing w:val="-1"/>
                <w:sz w:val="24"/>
                <w:szCs w:val="24"/>
              </w:rPr>
              <w:t>产出指标</w:t>
            </w:r>
          </w:p>
        </w:tc>
        <w:tc>
          <w:tcPr>
            <w:tcW w:w="1012" w:type="dxa"/>
            <w:vAlign w:val="top"/>
          </w:tcPr>
          <w:p w14:paraId="6DE3DAEC">
            <w:pPr>
              <w:spacing w:before="244" w:line="202" w:lineRule="auto"/>
              <w:ind w:left="390" w:right="147" w:hanging="239"/>
              <w:rPr>
                <w:rFonts w:ascii="宋体" w:hAnsi="宋体" w:eastAsia="宋体" w:cs="宋体"/>
                <w:sz w:val="24"/>
                <w:szCs w:val="24"/>
              </w:rPr>
            </w:pPr>
            <w:r>
              <w:rPr>
                <w:rFonts w:ascii="宋体" w:hAnsi="宋体" w:eastAsia="宋体" w:cs="宋体"/>
                <w:spacing w:val="-4"/>
                <w:sz w:val="24"/>
                <w:szCs w:val="24"/>
              </w:rPr>
              <w:t>数量指</w:t>
            </w:r>
            <w:r>
              <w:rPr>
                <w:rFonts w:ascii="宋体" w:hAnsi="宋体" w:eastAsia="宋体" w:cs="宋体"/>
                <w:sz w:val="24"/>
                <w:szCs w:val="24"/>
              </w:rPr>
              <w:t>标</w:t>
            </w:r>
          </w:p>
        </w:tc>
        <w:tc>
          <w:tcPr>
            <w:tcW w:w="1036" w:type="dxa"/>
            <w:vAlign w:val="top"/>
          </w:tcPr>
          <w:p w14:paraId="794695CA">
            <w:pPr>
              <w:spacing w:before="3" w:line="185" w:lineRule="auto"/>
              <w:ind w:left="169"/>
              <w:rPr>
                <w:rFonts w:ascii="宋体" w:hAnsi="宋体" w:eastAsia="宋体" w:cs="宋体"/>
                <w:sz w:val="24"/>
                <w:szCs w:val="24"/>
              </w:rPr>
            </w:pPr>
            <w:r>
              <w:rPr>
                <w:rFonts w:ascii="宋体" w:hAnsi="宋体" w:eastAsia="宋体" w:cs="宋体"/>
                <w:spacing w:val="-6"/>
                <w:sz w:val="24"/>
                <w:szCs w:val="24"/>
              </w:rPr>
              <w:t>空气质</w:t>
            </w:r>
          </w:p>
          <w:p w14:paraId="53CB75D6">
            <w:pPr>
              <w:spacing w:line="184" w:lineRule="auto"/>
              <w:ind w:left="162"/>
              <w:rPr>
                <w:rFonts w:ascii="宋体" w:hAnsi="宋体" w:eastAsia="宋体" w:cs="宋体"/>
                <w:sz w:val="24"/>
                <w:szCs w:val="24"/>
              </w:rPr>
            </w:pPr>
            <w:r>
              <w:rPr>
                <w:rFonts w:ascii="宋体" w:hAnsi="宋体" w:eastAsia="宋体" w:cs="宋体"/>
                <w:spacing w:val="-4"/>
                <w:sz w:val="24"/>
                <w:szCs w:val="24"/>
              </w:rPr>
              <w:t>量优良</w:t>
            </w:r>
          </w:p>
          <w:p w14:paraId="3ED6A24C">
            <w:pPr>
              <w:spacing w:line="181" w:lineRule="auto"/>
              <w:ind w:left="401" w:right="158" w:hanging="235"/>
              <w:rPr>
                <w:rFonts w:ascii="宋体" w:hAnsi="宋体" w:eastAsia="宋体" w:cs="宋体"/>
                <w:sz w:val="24"/>
                <w:szCs w:val="24"/>
              </w:rPr>
            </w:pPr>
            <w:r>
              <w:rPr>
                <w:rFonts w:ascii="宋体" w:hAnsi="宋体" w:eastAsia="宋体" w:cs="宋体"/>
                <w:spacing w:val="-5"/>
                <w:sz w:val="24"/>
                <w:szCs w:val="24"/>
              </w:rPr>
              <w:t>天数比</w:t>
            </w:r>
            <w:r>
              <w:rPr>
                <w:rFonts w:ascii="宋体" w:hAnsi="宋体" w:eastAsia="宋体" w:cs="宋体"/>
                <w:sz w:val="24"/>
                <w:szCs w:val="24"/>
              </w:rPr>
              <w:t>例</w:t>
            </w:r>
          </w:p>
        </w:tc>
        <w:tc>
          <w:tcPr>
            <w:tcW w:w="4751" w:type="dxa"/>
            <w:gridSpan w:val="5"/>
            <w:vAlign w:val="top"/>
          </w:tcPr>
          <w:p w14:paraId="58625995">
            <w:pPr>
              <w:pStyle w:val="52"/>
              <w:spacing w:line="333" w:lineRule="auto"/>
            </w:pPr>
          </w:p>
          <w:p w14:paraId="37A6EF60">
            <w:pPr>
              <w:pStyle w:val="52"/>
              <w:spacing w:before="69" w:line="188" w:lineRule="auto"/>
              <w:ind w:left="2090"/>
              <w:rPr>
                <w:sz w:val="24"/>
                <w:szCs w:val="24"/>
              </w:rPr>
            </w:pPr>
            <w:r>
              <w:rPr>
                <w:spacing w:val="-10"/>
                <w:sz w:val="24"/>
                <w:szCs w:val="24"/>
              </w:rPr>
              <w:t>&gt;95%</w:t>
            </w:r>
          </w:p>
        </w:tc>
        <w:tc>
          <w:tcPr>
            <w:tcW w:w="1935" w:type="dxa"/>
            <w:vAlign w:val="top"/>
          </w:tcPr>
          <w:p w14:paraId="48F99EB0">
            <w:pPr>
              <w:pStyle w:val="52"/>
              <w:spacing w:line="334" w:lineRule="auto"/>
            </w:pPr>
          </w:p>
          <w:p w14:paraId="04C9613A">
            <w:pPr>
              <w:pStyle w:val="52"/>
              <w:spacing w:before="69" w:line="187" w:lineRule="auto"/>
              <w:ind w:left="812"/>
              <w:rPr>
                <w:sz w:val="24"/>
                <w:szCs w:val="24"/>
              </w:rPr>
            </w:pPr>
            <w:r>
              <w:rPr>
                <w:spacing w:val="-20"/>
                <w:sz w:val="24"/>
                <w:szCs w:val="24"/>
              </w:rPr>
              <w:t>100</w:t>
            </w:r>
          </w:p>
        </w:tc>
      </w:tr>
      <w:tr w14:paraId="56A595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336" w:type="dxa"/>
            <w:vMerge w:val="continue"/>
            <w:tcBorders>
              <w:top w:val="nil"/>
              <w:bottom w:val="nil"/>
            </w:tcBorders>
            <w:textDirection w:val="tbRlV"/>
            <w:vAlign w:val="top"/>
          </w:tcPr>
          <w:p w14:paraId="2BEC3F42">
            <w:pPr>
              <w:pStyle w:val="52"/>
            </w:pPr>
          </w:p>
        </w:tc>
        <w:tc>
          <w:tcPr>
            <w:tcW w:w="593" w:type="dxa"/>
            <w:vMerge w:val="continue"/>
            <w:tcBorders>
              <w:top w:val="nil"/>
              <w:bottom w:val="nil"/>
            </w:tcBorders>
            <w:textDirection w:val="tbRlV"/>
            <w:vAlign w:val="top"/>
          </w:tcPr>
          <w:p w14:paraId="2D3D6C02">
            <w:pPr>
              <w:pStyle w:val="52"/>
            </w:pPr>
          </w:p>
        </w:tc>
        <w:tc>
          <w:tcPr>
            <w:tcW w:w="1012" w:type="dxa"/>
            <w:vAlign w:val="top"/>
          </w:tcPr>
          <w:p w14:paraId="421E0D4E">
            <w:pPr>
              <w:spacing w:before="124" w:line="202" w:lineRule="auto"/>
              <w:ind w:left="390" w:right="147" w:hanging="239"/>
              <w:rPr>
                <w:rFonts w:ascii="宋体" w:hAnsi="宋体" w:eastAsia="宋体" w:cs="宋体"/>
                <w:sz w:val="24"/>
                <w:szCs w:val="24"/>
              </w:rPr>
            </w:pPr>
            <w:r>
              <w:rPr>
                <w:rFonts w:ascii="宋体" w:hAnsi="宋体" w:eastAsia="宋体" w:cs="宋体"/>
                <w:spacing w:val="-4"/>
                <w:sz w:val="24"/>
                <w:szCs w:val="24"/>
              </w:rPr>
              <w:t>数量指</w:t>
            </w:r>
            <w:r>
              <w:rPr>
                <w:rFonts w:ascii="宋体" w:hAnsi="宋体" w:eastAsia="宋体" w:cs="宋体"/>
                <w:sz w:val="24"/>
                <w:szCs w:val="24"/>
              </w:rPr>
              <w:t>标</w:t>
            </w:r>
          </w:p>
        </w:tc>
        <w:tc>
          <w:tcPr>
            <w:tcW w:w="1036" w:type="dxa"/>
            <w:vAlign w:val="top"/>
          </w:tcPr>
          <w:p w14:paraId="37A54C24">
            <w:pPr>
              <w:spacing w:before="2" w:line="185" w:lineRule="auto"/>
              <w:ind w:left="162"/>
              <w:rPr>
                <w:rFonts w:ascii="宋体" w:hAnsi="宋体" w:eastAsia="宋体" w:cs="宋体"/>
                <w:sz w:val="24"/>
                <w:szCs w:val="24"/>
              </w:rPr>
            </w:pPr>
            <w:r>
              <w:rPr>
                <w:rFonts w:ascii="宋体" w:hAnsi="宋体" w:eastAsia="宋体" w:cs="宋体"/>
                <w:spacing w:val="-4"/>
                <w:sz w:val="24"/>
                <w:szCs w:val="24"/>
              </w:rPr>
              <w:t>地表水</w:t>
            </w:r>
          </w:p>
          <w:p w14:paraId="2E6AE000">
            <w:pPr>
              <w:spacing w:line="181" w:lineRule="auto"/>
              <w:ind w:left="401" w:right="158" w:hanging="240"/>
              <w:rPr>
                <w:rFonts w:ascii="宋体" w:hAnsi="宋体" w:eastAsia="宋体" w:cs="宋体"/>
                <w:sz w:val="24"/>
                <w:szCs w:val="24"/>
              </w:rPr>
            </w:pPr>
            <w:r>
              <w:rPr>
                <w:rFonts w:ascii="宋体" w:hAnsi="宋体" w:eastAsia="宋体" w:cs="宋体"/>
                <w:spacing w:val="-3"/>
                <w:sz w:val="24"/>
                <w:szCs w:val="24"/>
              </w:rPr>
              <w:t>优良比</w:t>
            </w:r>
            <w:r>
              <w:rPr>
                <w:rFonts w:ascii="宋体" w:hAnsi="宋体" w:eastAsia="宋体" w:cs="宋体"/>
                <w:sz w:val="24"/>
                <w:szCs w:val="24"/>
              </w:rPr>
              <w:t>例</w:t>
            </w:r>
          </w:p>
        </w:tc>
        <w:tc>
          <w:tcPr>
            <w:tcW w:w="4751" w:type="dxa"/>
            <w:gridSpan w:val="5"/>
            <w:vAlign w:val="top"/>
          </w:tcPr>
          <w:p w14:paraId="144AAF52">
            <w:pPr>
              <w:pStyle w:val="52"/>
              <w:spacing w:before="284" w:line="188" w:lineRule="auto"/>
              <w:ind w:left="2090"/>
              <w:rPr>
                <w:sz w:val="24"/>
                <w:szCs w:val="24"/>
              </w:rPr>
            </w:pPr>
            <w:r>
              <w:rPr>
                <w:spacing w:val="-10"/>
                <w:sz w:val="24"/>
                <w:szCs w:val="24"/>
              </w:rPr>
              <w:t>&gt;95%</w:t>
            </w:r>
          </w:p>
        </w:tc>
        <w:tc>
          <w:tcPr>
            <w:tcW w:w="1935" w:type="dxa"/>
            <w:vAlign w:val="top"/>
          </w:tcPr>
          <w:p w14:paraId="6A995AB6">
            <w:pPr>
              <w:pStyle w:val="52"/>
              <w:spacing w:before="285" w:line="187" w:lineRule="auto"/>
              <w:ind w:left="812"/>
              <w:rPr>
                <w:sz w:val="24"/>
                <w:szCs w:val="24"/>
              </w:rPr>
            </w:pPr>
            <w:r>
              <w:rPr>
                <w:spacing w:val="-20"/>
                <w:sz w:val="24"/>
                <w:szCs w:val="24"/>
              </w:rPr>
              <w:t>100</w:t>
            </w:r>
          </w:p>
        </w:tc>
      </w:tr>
      <w:tr w14:paraId="452798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336" w:type="dxa"/>
            <w:vMerge w:val="continue"/>
            <w:tcBorders>
              <w:top w:val="nil"/>
              <w:bottom w:val="nil"/>
            </w:tcBorders>
            <w:textDirection w:val="tbRlV"/>
            <w:vAlign w:val="top"/>
          </w:tcPr>
          <w:p w14:paraId="402B8040">
            <w:pPr>
              <w:pStyle w:val="52"/>
            </w:pPr>
          </w:p>
        </w:tc>
        <w:tc>
          <w:tcPr>
            <w:tcW w:w="593" w:type="dxa"/>
            <w:vMerge w:val="continue"/>
            <w:tcBorders>
              <w:top w:val="nil"/>
              <w:bottom w:val="nil"/>
            </w:tcBorders>
            <w:textDirection w:val="tbRlV"/>
            <w:vAlign w:val="top"/>
          </w:tcPr>
          <w:p w14:paraId="63887B27">
            <w:pPr>
              <w:pStyle w:val="52"/>
            </w:pPr>
          </w:p>
        </w:tc>
        <w:tc>
          <w:tcPr>
            <w:tcW w:w="1012" w:type="dxa"/>
            <w:vAlign w:val="top"/>
          </w:tcPr>
          <w:p w14:paraId="36D0EA01">
            <w:pPr>
              <w:spacing w:before="4" w:line="181" w:lineRule="auto"/>
              <w:ind w:left="390" w:right="147" w:hanging="239"/>
              <w:rPr>
                <w:rFonts w:ascii="宋体" w:hAnsi="宋体" w:eastAsia="宋体" w:cs="宋体"/>
                <w:sz w:val="24"/>
                <w:szCs w:val="24"/>
              </w:rPr>
            </w:pPr>
            <w:r>
              <w:rPr>
                <w:rFonts w:ascii="宋体" w:hAnsi="宋体" w:eastAsia="宋体" w:cs="宋体"/>
                <w:spacing w:val="-4"/>
                <w:sz w:val="24"/>
                <w:szCs w:val="24"/>
              </w:rPr>
              <w:t>数量指</w:t>
            </w:r>
            <w:r>
              <w:rPr>
                <w:rFonts w:ascii="宋体" w:hAnsi="宋体" w:eastAsia="宋体" w:cs="宋体"/>
                <w:sz w:val="24"/>
                <w:szCs w:val="24"/>
              </w:rPr>
              <w:t>标</w:t>
            </w:r>
          </w:p>
        </w:tc>
        <w:tc>
          <w:tcPr>
            <w:tcW w:w="1036" w:type="dxa"/>
            <w:vAlign w:val="top"/>
          </w:tcPr>
          <w:p w14:paraId="07A7A59B">
            <w:pPr>
              <w:spacing w:before="2" w:line="185" w:lineRule="auto"/>
              <w:ind w:left="162"/>
              <w:rPr>
                <w:rFonts w:ascii="宋体" w:hAnsi="宋体" w:eastAsia="宋体" w:cs="宋体"/>
                <w:sz w:val="24"/>
                <w:szCs w:val="24"/>
              </w:rPr>
            </w:pPr>
            <w:r>
              <w:rPr>
                <w:rFonts w:ascii="宋体" w:hAnsi="宋体" w:eastAsia="宋体" w:cs="宋体"/>
                <w:spacing w:val="-4"/>
                <w:sz w:val="24"/>
                <w:szCs w:val="24"/>
              </w:rPr>
              <w:t>监督检</w:t>
            </w:r>
          </w:p>
          <w:p w14:paraId="224CD119">
            <w:pPr>
              <w:spacing w:line="178" w:lineRule="auto"/>
              <w:ind w:left="164"/>
              <w:rPr>
                <w:rFonts w:ascii="宋体" w:hAnsi="宋体" w:eastAsia="宋体" w:cs="宋体"/>
                <w:sz w:val="24"/>
                <w:szCs w:val="24"/>
              </w:rPr>
            </w:pPr>
            <w:r>
              <w:rPr>
                <w:rFonts w:ascii="宋体" w:hAnsi="宋体" w:eastAsia="宋体" w:cs="宋体"/>
                <w:spacing w:val="-5"/>
                <w:sz w:val="24"/>
                <w:szCs w:val="24"/>
              </w:rPr>
              <w:t>查次数</w:t>
            </w:r>
          </w:p>
        </w:tc>
        <w:tc>
          <w:tcPr>
            <w:tcW w:w="4751" w:type="dxa"/>
            <w:gridSpan w:val="5"/>
            <w:vAlign w:val="top"/>
          </w:tcPr>
          <w:p w14:paraId="38EBF869">
            <w:pPr>
              <w:pStyle w:val="52"/>
              <w:spacing w:before="164" w:line="187" w:lineRule="auto"/>
              <w:ind w:left="2188"/>
              <w:rPr>
                <w:sz w:val="24"/>
                <w:szCs w:val="24"/>
              </w:rPr>
            </w:pPr>
            <w:r>
              <w:rPr>
                <w:spacing w:val="-8"/>
                <w:sz w:val="24"/>
                <w:szCs w:val="24"/>
              </w:rPr>
              <w:t>&gt;30</w:t>
            </w:r>
          </w:p>
        </w:tc>
        <w:tc>
          <w:tcPr>
            <w:tcW w:w="1935" w:type="dxa"/>
            <w:vAlign w:val="top"/>
          </w:tcPr>
          <w:p w14:paraId="09855F4B">
            <w:pPr>
              <w:pStyle w:val="52"/>
              <w:spacing w:before="164" w:line="187" w:lineRule="auto"/>
              <w:ind w:left="854"/>
              <w:rPr>
                <w:sz w:val="24"/>
                <w:szCs w:val="24"/>
              </w:rPr>
            </w:pPr>
            <w:r>
              <w:rPr>
                <w:spacing w:val="-12"/>
                <w:sz w:val="24"/>
                <w:szCs w:val="24"/>
              </w:rPr>
              <w:t>65</w:t>
            </w:r>
          </w:p>
        </w:tc>
      </w:tr>
      <w:tr w14:paraId="0A4000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7" w:hRule="atLeast"/>
        </w:trPr>
        <w:tc>
          <w:tcPr>
            <w:tcW w:w="336" w:type="dxa"/>
            <w:vMerge w:val="continue"/>
            <w:tcBorders>
              <w:top w:val="nil"/>
            </w:tcBorders>
            <w:textDirection w:val="tbRlV"/>
            <w:vAlign w:val="top"/>
          </w:tcPr>
          <w:p w14:paraId="4E64D5BB">
            <w:pPr>
              <w:pStyle w:val="52"/>
            </w:pPr>
          </w:p>
        </w:tc>
        <w:tc>
          <w:tcPr>
            <w:tcW w:w="593" w:type="dxa"/>
            <w:vMerge w:val="continue"/>
            <w:tcBorders>
              <w:top w:val="nil"/>
              <w:bottom w:val="nil"/>
            </w:tcBorders>
            <w:textDirection w:val="tbRlV"/>
            <w:vAlign w:val="top"/>
          </w:tcPr>
          <w:p w14:paraId="4E8B097D">
            <w:pPr>
              <w:pStyle w:val="52"/>
            </w:pPr>
          </w:p>
        </w:tc>
        <w:tc>
          <w:tcPr>
            <w:tcW w:w="1012" w:type="dxa"/>
            <w:vAlign w:val="top"/>
          </w:tcPr>
          <w:p w14:paraId="0FA218B8">
            <w:pPr>
              <w:spacing w:before="6" w:line="181" w:lineRule="auto"/>
              <w:ind w:left="390" w:right="147" w:hanging="240"/>
              <w:rPr>
                <w:rFonts w:ascii="宋体" w:hAnsi="宋体" w:eastAsia="宋体" w:cs="宋体"/>
                <w:sz w:val="24"/>
                <w:szCs w:val="24"/>
              </w:rPr>
            </w:pPr>
            <w:r>
              <w:rPr>
                <w:rFonts w:ascii="宋体" w:hAnsi="宋体" w:eastAsia="宋体" w:cs="宋体"/>
                <w:spacing w:val="-4"/>
                <w:sz w:val="24"/>
                <w:szCs w:val="24"/>
              </w:rPr>
              <w:t>质量指</w:t>
            </w:r>
            <w:r>
              <w:rPr>
                <w:rFonts w:ascii="宋体" w:hAnsi="宋体" w:eastAsia="宋体" w:cs="宋体"/>
                <w:sz w:val="24"/>
                <w:szCs w:val="24"/>
              </w:rPr>
              <w:t>标</w:t>
            </w:r>
          </w:p>
        </w:tc>
        <w:tc>
          <w:tcPr>
            <w:tcW w:w="1036" w:type="dxa"/>
            <w:vAlign w:val="top"/>
          </w:tcPr>
          <w:p w14:paraId="32CB3CCE">
            <w:pPr>
              <w:spacing w:before="4" w:line="185" w:lineRule="auto"/>
              <w:ind w:left="162"/>
              <w:rPr>
                <w:rFonts w:ascii="宋体" w:hAnsi="宋体" w:eastAsia="宋体" w:cs="宋体"/>
                <w:sz w:val="24"/>
                <w:szCs w:val="24"/>
              </w:rPr>
            </w:pPr>
            <w:r>
              <w:rPr>
                <w:rFonts w:ascii="宋体" w:hAnsi="宋体" w:eastAsia="宋体" w:cs="宋体"/>
                <w:spacing w:val="-4"/>
                <w:sz w:val="24"/>
                <w:szCs w:val="24"/>
              </w:rPr>
              <w:t>饮用水</w:t>
            </w:r>
          </w:p>
          <w:p w14:paraId="2C636265">
            <w:pPr>
              <w:spacing w:line="178" w:lineRule="auto"/>
              <w:ind w:left="164"/>
              <w:rPr>
                <w:rFonts w:ascii="宋体" w:hAnsi="宋体" w:eastAsia="宋体" w:cs="宋体"/>
                <w:sz w:val="24"/>
                <w:szCs w:val="24"/>
              </w:rPr>
            </w:pPr>
            <w:r>
              <w:rPr>
                <w:rFonts w:ascii="宋体" w:hAnsi="宋体" w:eastAsia="宋体" w:cs="宋体"/>
                <w:spacing w:val="-5"/>
                <w:sz w:val="24"/>
                <w:szCs w:val="24"/>
              </w:rPr>
              <w:t>水源地</w:t>
            </w:r>
          </w:p>
        </w:tc>
        <w:tc>
          <w:tcPr>
            <w:tcW w:w="4751" w:type="dxa"/>
            <w:gridSpan w:val="5"/>
            <w:vAlign w:val="top"/>
          </w:tcPr>
          <w:p w14:paraId="6BB665A3">
            <w:pPr>
              <w:pStyle w:val="52"/>
              <w:spacing w:before="166" w:line="188" w:lineRule="auto"/>
              <w:ind w:left="2030"/>
              <w:rPr>
                <w:sz w:val="24"/>
                <w:szCs w:val="24"/>
              </w:rPr>
            </w:pPr>
            <w:r>
              <w:rPr>
                <w:spacing w:val="-11"/>
                <w:sz w:val="24"/>
                <w:szCs w:val="24"/>
              </w:rPr>
              <w:t>=100%</w:t>
            </w:r>
          </w:p>
        </w:tc>
        <w:tc>
          <w:tcPr>
            <w:tcW w:w="1935" w:type="dxa"/>
            <w:vAlign w:val="top"/>
          </w:tcPr>
          <w:p w14:paraId="54991486">
            <w:pPr>
              <w:pStyle w:val="52"/>
              <w:spacing w:before="166" w:line="188" w:lineRule="auto"/>
              <w:ind w:left="713"/>
              <w:rPr>
                <w:sz w:val="24"/>
                <w:szCs w:val="24"/>
              </w:rPr>
            </w:pPr>
            <w:r>
              <w:rPr>
                <w:spacing w:val="-18"/>
                <w:sz w:val="24"/>
                <w:szCs w:val="24"/>
              </w:rPr>
              <w:t>100%</w:t>
            </w:r>
          </w:p>
        </w:tc>
      </w:tr>
    </w:tbl>
    <w:p w14:paraId="1FEABE03">
      <w:pPr>
        <w:rPr>
          <w:rFonts w:ascii="Arial"/>
          <w:sz w:val="21"/>
        </w:rPr>
      </w:pPr>
    </w:p>
    <w:p w14:paraId="5C65C187">
      <w:pPr>
        <w:rPr>
          <w:rFonts w:ascii="Arial" w:hAnsi="Arial" w:eastAsia="Arial" w:cs="Arial"/>
          <w:sz w:val="21"/>
          <w:szCs w:val="21"/>
        </w:rPr>
        <w:sectPr>
          <w:footerReference r:id="rId8" w:type="default"/>
          <w:pgSz w:w="11907" w:h="16840"/>
          <w:pgMar w:top="1431" w:right="1062" w:bottom="1155" w:left="1175" w:header="0" w:footer="788" w:gutter="0"/>
          <w:cols w:space="720" w:num="1"/>
        </w:sectPr>
      </w:pPr>
    </w:p>
    <w:p w14:paraId="45FCB04E">
      <w:pPr>
        <w:spacing w:before="92"/>
      </w:pPr>
    </w:p>
    <w:p w14:paraId="31F270FF">
      <w:pPr>
        <w:spacing w:before="91"/>
      </w:pPr>
    </w:p>
    <w:tbl>
      <w:tblPr>
        <w:tblStyle w:val="51"/>
        <w:tblW w:w="966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36"/>
        <w:gridCol w:w="593"/>
        <w:gridCol w:w="1011"/>
        <w:gridCol w:w="1036"/>
        <w:gridCol w:w="4752"/>
        <w:gridCol w:w="1935"/>
      </w:tblGrid>
      <w:tr w14:paraId="75F079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336" w:type="dxa"/>
            <w:vMerge w:val="restart"/>
            <w:tcBorders>
              <w:bottom w:val="nil"/>
            </w:tcBorders>
            <w:vAlign w:val="top"/>
          </w:tcPr>
          <w:p w14:paraId="763684B4">
            <w:pPr>
              <w:pStyle w:val="52"/>
            </w:pPr>
          </w:p>
        </w:tc>
        <w:tc>
          <w:tcPr>
            <w:tcW w:w="593" w:type="dxa"/>
            <w:vMerge w:val="restart"/>
            <w:tcBorders>
              <w:top w:val="nil"/>
              <w:bottom w:val="nil"/>
            </w:tcBorders>
            <w:vAlign w:val="top"/>
          </w:tcPr>
          <w:p w14:paraId="1E33249A">
            <w:pPr>
              <w:pStyle w:val="52"/>
            </w:pPr>
          </w:p>
        </w:tc>
        <w:tc>
          <w:tcPr>
            <w:tcW w:w="1011" w:type="dxa"/>
            <w:vAlign w:val="top"/>
          </w:tcPr>
          <w:p w14:paraId="02B0A18D">
            <w:pPr>
              <w:pStyle w:val="52"/>
            </w:pPr>
          </w:p>
        </w:tc>
        <w:tc>
          <w:tcPr>
            <w:tcW w:w="1036" w:type="dxa"/>
            <w:vAlign w:val="top"/>
          </w:tcPr>
          <w:p w14:paraId="259AD986">
            <w:pPr>
              <w:spacing w:before="3" w:line="183" w:lineRule="auto"/>
              <w:ind w:left="283" w:right="157" w:hanging="118"/>
              <w:rPr>
                <w:rFonts w:ascii="宋体" w:hAnsi="宋体" w:eastAsia="宋体" w:cs="宋体"/>
                <w:sz w:val="24"/>
                <w:szCs w:val="24"/>
              </w:rPr>
            </w:pPr>
            <w:r>
              <w:rPr>
                <w:rFonts w:ascii="宋体" w:hAnsi="宋体" w:eastAsia="宋体" w:cs="宋体"/>
                <w:spacing w:val="-5"/>
                <w:sz w:val="24"/>
                <w:szCs w:val="24"/>
              </w:rPr>
              <w:t>水质达</w:t>
            </w:r>
            <w:r>
              <w:rPr>
                <w:rFonts w:ascii="宋体" w:hAnsi="宋体" w:eastAsia="宋体" w:cs="宋体"/>
                <w:spacing w:val="-6"/>
                <w:sz w:val="24"/>
                <w:szCs w:val="24"/>
              </w:rPr>
              <w:t>标率</w:t>
            </w:r>
          </w:p>
        </w:tc>
        <w:tc>
          <w:tcPr>
            <w:tcW w:w="4752" w:type="dxa"/>
            <w:vAlign w:val="top"/>
          </w:tcPr>
          <w:p w14:paraId="255B143A">
            <w:pPr>
              <w:pStyle w:val="52"/>
            </w:pPr>
          </w:p>
        </w:tc>
        <w:tc>
          <w:tcPr>
            <w:tcW w:w="1935" w:type="dxa"/>
            <w:vAlign w:val="top"/>
          </w:tcPr>
          <w:p w14:paraId="0060DDA4">
            <w:pPr>
              <w:pStyle w:val="52"/>
            </w:pPr>
          </w:p>
        </w:tc>
      </w:tr>
      <w:tr w14:paraId="20887E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4" w:hRule="atLeast"/>
        </w:trPr>
        <w:tc>
          <w:tcPr>
            <w:tcW w:w="336" w:type="dxa"/>
            <w:vMerge w:val="continue"/>
            <w:tcBorders>
              <w:top w:val="nil"/>
              <w:bottom w:val="nil"/>
            </w:tcBorders>
            <w:vAlign w:val="top"/>
          </w:tcPr>
          <w:p w14:paraId="518D6D33">
            <w:pPr>
              <w:pStyle w:val="52"/>
            </w:pPr>
          </w:p>
        </w:tc>
        <w:tc>
          <w:tcPr>
            <w:tcW w:w="593" w:type="dxa"/>
            <w:vMerge w:val="continue"/>
            <w:tcBorders>
              <w:top w:val="nil"/>
              <w:bottom w:val="nil"/>
            </w:tcBorders>
            <w:vAlign w:val="top"/>
          </w:tcPr>
          <w:p w14:paraId="1BBE9CAF">
            <w:pPr>
              <w:pStyle w:val="52"/>
            </w:pPr>
          </w:p>
        </w:tc>
        <w:tc>
          <w:tcPr>
            <w:tcW w:w="1011" w:type="dxa"/>
            <w:vAlign w:val="top"/>
          </w:tcPr>
          <w:p w14:paraId="0FF5435A">
            <w:pPr>
              <w:spacing w:before="121" w:line="202" w:lineRule="auto"/>
              <w:ind w:left="390" w:right="146" w:hanging="240"/>
              <w:rPr>
                <w:rFonts w:ascii="宋体" w:hAnsi="宋体" w:eastAsia="宋体" w:cs="宋体"/>
                <w:sz w:val="24"/>
                <w:szCs w:val="24"/>
              </w:rPr>
            </w:pPr>
            <w:r>
              <w:rPr>
                <w:rFonts w:ascii="宋体" w:hAnsi="宋体" w:eastAsia="宋体" w:cs="宋体"/>
                <w:spacing w:val="-4"/>
                <w:sz w:val="24"/>
                <w:szCs w:val="24"/>
              </w:rPr>
              <w:t>质量指</w:t>
            </w:r>
            <w:r>
              <w:rPr>
                <w:rFonts w:ascii="宋体" w:hAnsi="宋体" w:eastAsia="宋体" w:cs="宋体"/>
                <w:sz w:val="24"/>
                <w:szCs w:val="24"/>
              </w:rPr>
              <w:t>标</w:t>
            </w:r>
          </w:p>
        </w:tc>
        <w:tc>
          <w:tcPr>
            <w:tcW w:w="1036" w:type="dxa"/>
            <w:vAlign w:val="top"/>
          </w:tcPr>
          <w:p w14:paraId="7031F954">
            <w:pPr>
              <w:spacing w:line="184" w:lineRule="auto"/>
              <w:ind w:left="163"/>
              <w:rPr>
                <w:rFonts w:ascii="宋体" w:hAnsi="宋体" w:eastAsia="宋体" w:cs="宋体"/>
                <w:sz w:val="24"/>
                <w:szCs w:val="24"/>
              </w:rPr>
            </w:pPr>
            <w:r>
              <w:rPr>
                <w:rFonts w:ascii="宋体" w:hAnsi="宋体" w:eastAsia="宋体" w:cs="宋体"/>
                <w:spacing w:val="-4"/>
                <w:sz w:val="24"/>
                <w:szCs w:val="24"/>
              </w:rPr>
              <w:t>监测数</w:t>
            </w:r>
          </w:p>
          <w:p w14:paraId="2BDC3107">
            <w:pPr>
              <w:spacing w:line="182" w:lineRule="auto"/>
              <w:ind w:left="404" w:right="157" w:hanging="242"/>
              <w:rPr>
                <w:rFonts w:ascii="宋体" w:hAnsi="宋体" w:eastAsia="宋体" w:cs="宋体"/>
                <w:sz w:val="24"/>
                <w:szCs w:val="24"/>
              </w:rPr>
            </w:pPr>
            <w:r>
              <w:rPr>
                <w:rFonts w:ascii="宋体" w:hAnsi="宋体" w:eastAsia="宋体" w:cs="宋体"/>
                <w:spacing w:val="-3"/>
                <w:sz w:val="24"/>
                <w:szCs w:val="24"/>
              </w:rPr>
              <w:t>据准确</w:t>
            </w:r>
            <w:r>
              <w:rPr>
                <w:rFonts w:ascii="宋体" w:hAnsi="宋体" w:eastAsia="宋体" w:cs="宋体"/>
                <w:sz w:val="24"/>
                <w:szCs w:val="24"/>
              </w:rPr>
              <w:t>率</w:t>
            </w:r>
          </w:p>
        </w:tc>
        <w:tc>
          <w:tcPr>
            <w:tcW w:w="4752" w:type="dxa"/>
            <w:vAlign w:val="top"/>
          </w:tcPr>
          <w:p w14:paraId="49E20490">
            <w:pPr>
              <w:pStyle w:val="52"/>
              <w:spacing w:before="280" w:line="188" w:lineRule="auto"/>
              <w:ind w:left="2091"/>
              <w:rPr>
                <w:sz w:val="24"/>
                <w:szCs w:val="24"/>
              </w:rPr>
            </w:pPr>
            <w:r>
              <w:rPr>
                <w:spacing w:val="-10"/>
                <w:sz w:val="24"/>
                <w:szCs w:val="24"/>
              </w:rPr>
              <w:t>&gt;98%</w:t>
            </w:r>
          </w:p>
        </w:tc>
        <w:tc>
          <w:tcPr>
            <w:tcW w:w="1935" w:type="dxa"/>
            <w:vAlign w:val="top"/>
          </w:tcPr>
          <w:p w14:paraId="5092BD88">
            <w:pPr>
              <w:pStyle w:val="52"/>
              <w:spacing w:before="280" w:line="188" w:lineRule="auto"/>
              <w:ind w:left="713"/>
              <w:rPr>
                <w:sz w:val="24"/>
                <w:szCs w:val="24"/>
              </w:rPr>
            </w:pPr>
            <w:r>
              <w:rPr>
                <w:spacing w:val="-18"/>
                <w:sz w:val="24"/>
                <w:szCs w:val="24"/>
              </w:rPr>
              <w:t>100%</w:t>
            </w:r>
          </w:p>
        </w:tc>
      </w:tr>
      <w:tr w14:paraId="06A135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4" w:hRule="atLeast"/>
        </w:trPr>
        <w:tc>
          <w:tcPr>
            <w:tcW w:w="336" w:type="dxa"/>
            <w:vMerge w:val="continue"/>
            <w:tcBorders>
              <w:top w:val="nil"/>
              <w:bottom w:val="nil"/>
            </w:tcBorders>
            <w:vAlign w:val="top"/>
          </w:tcPr>
          <w:p w14:paraId="49FA7091">
            <w:pPr>
              <w:pStyle w:val="52"/>
            </w:pPr>
          </w:p>
        </w:tc>
        <w:tc>
          <w:tcPr>
            <w:tcW w:w="593" w:type="dxa"/>
            <w:vMerge w:val="continue"/>
            <w:tcBorders>
              <w:top w:val="nil"/>
            </w:tcBorders>
            <w:vAlign w:val="top"/>
          </w:tcPr>
          <w:p w14:paraId="7E46F624">
            <w:pPr>
              <w:pStyle w:val="52"/>
            </w:pPr>
          </w:p>
        </w:tc>
        <w:tc>
          <w:tcPr>
            <w:tcW w:w="1011" w:type="dxa"/>
            <w:vAlign w:val="top"/>
          </w:tcPr>
          <w:p w14:paraId="061AC137">
            <w:pPr>
              <w:spacing w:before="132" w:line="211" w:lineRule="auto"/>
              <w:ind w:left="400" w:right="174" w:hanging="211"/>
              <w:rPr>
                <w:rFonts w:ascii="宋体" w:hAnsi="宋体" w:eastAsia="宋体" w:cs="宋体"/>
                <w:sz w:val="22"/>
                <w:szCs w:val="22"/>
              </w:rPr>
            </w:pPr>
            <w:r>
              <w:rPr>
                <w:rFonts w:ascii="宋体" w:hAnsi="宋体" w:eastAsia="宋体" w:cs="宋体"/>
                <w:spacing w:val="-7"/>
                <w:sz w:val="22"/>
                <w:szCs w:val="22"/>
              </w:rPr>
              <w:t>时效指</w:t>
            </w:r>
            <w:r>
              <w:rPr>
                <w:rFonts w:ascii="宋体" w:hAnsi="宋体" w:eastAsia="宋体" w:cs="宋体"/>
                <w:sz w:val="22"/>
                <w:szCs w:val="22"/>
              </w:rPr>
              <w:t>标</w:t>
            </w:r>
          </w:p>
        </w:tc>
        <w:tc>
          <w:tcPr>
            <w:tcW w:w="1036" w:type="dxa"/>
            <w:vAlign w:val="top"/>
          </w:tcPr>
          <w:p w14:paraId="287490A9">
            <w:pPr>
              <w:spacing w:line="185" w:lineRule="auto"/>
              <w:ind w:left="163"/>
              <w:rPr>
                <w:rFonts w:ascii="宋体" w:hAnsi="宋体" w:eastAsia="宋体" w:cs="宋体"/>
                <w:sz w:val="24"/>
                <w:szCs w:val="24"/>
              </w:rPr>
            </w:pPr>
            <w:r>
              <w:rPr>
                <w:rFonts w:ascii="宋体" w:hAnsi="宋体" w:eastAsia="宋体" w:cs="宋体"/>
                <w:spacing w:val="-4"/>
                <w:sz w:val="24"/>
                <w:szCs w:val="24"/>
              </w:rPr>
              <w:t>重点任</w:t>
            </w:r>
          </w:p>
          <w:p w14:paraId="5DE22341">
            <w:pPr>
              <w:spacing w:line="184" w:lineRule="auto"/>
              <w:ind w:left="164"/>
              <w:rPr>
                <w:rFonts w:ascii="宋体" w:hAnsi="宋体" w:eastAsia="宋体" w:cs="宋体"/>
                <w:sz w:val="24"/>
                <w:szCs w:val="24"/>
              </w:rPr>
            </w:pPr>
            <w:r>
              <w:rPr>
                <w:rFonts w:ascii="宋体" w:hAnsi="宋体" w:eastAsia="宋体" w:cs="宋体"/>
                <w:spacing w:val="-4"/>
                <w:sz w:val="24"/>
                <w:szCs w:val="24"/>
              </w:rPr>
              <w:t>务完成</w:t>
            </w:r>
          </w:p>
          <w:p w14:paraId="0BF80461">
            <w:pPr>
              <w:spacing w:line="179" w:lineRule="auto"/>
              <w:ind w:left="162"/>
              <w:rPr>
                <w:rFonts w:ascii="宋体" w:hAnsi="宋体" w:eastAsia="宋体" w:cs="宋体"/>
                <w:sz w:val="24"/>
                <w:szCs w:val="24"/>
              </w:rPr>
            </w:pPr>
            <w:r>
              <w:rPr>
                <w:rFonts w:ascii="宋体" w:hAnsi="宋体" w:eastAsia="宋体" w:cs="宋体"/>
                <w:spacing w:val="-3"/>
                <w:sz w:val="24"/>
                <w:szCs w:val="24"/>
              </w:rPr>
              <w:t>及时率</w:t>
            </w:r>
          </w:p>
        </w:tc>
        <w:tc>
          <w:tcPr>
            <w:tcW w:w="4752" w:type="dxa"/>
            <w:vAlign w:val="top"/>
          </w:tcPr>
          <w:p w14:paraId="10770688">
            <w:pPr>
              <w:pStyle w:val="52"/>
              <w:spacing w:before="281" w:line="188" w:lineRule="auto"/>
              <w:ind w:left="2031"/>
              <w:rPr>
                <w:sz w:val="24"/>
                <w:szCs w:val="24"/>
              </w:rPr>
            </w:pPr>
            <w:r>
              <w:rPr>
                <w:spacing w:val="-11"/>
                <w:sz w:val="24"/>
                <w:szCs w:val="24"/>
              </w:rPr>
              <w:t>=100%</w:t>
            </w:r>
          </w:p>
        </w:tc>
        <w:tc>
          <w:tcPr>
            <w:tcW w:w="1935" w:type="dxa"/>
            <w:vAlign w:val="top"/>
          </w:tcPr>
          <w:p w14:paraId="5212E255">
            <w:pPr>
              <w:pStyle w:val="52"/>
              <w:spacing w:before="281" w:line="188" w:lineRule="auto"/>
              <w:ind w:left="713"/>
              <w:rPr>
                <w:sz w:val="24"/>
                <w:szCs w:val="24"/>
              </w:rPr>
            </w:pPr>
            <w:r>
              <w:rPr>
                <w:spacing w:val="-18"/>
                <w:sz w:val="24"/>
                <w:szCs w:val="24"/>
              </w:rPr>
              <w:t>100%</w:t>
            </w:r>
          </w:p>
        </w:tc>
      </w:tr>
      <w:tr w14:paraId="38E399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336" w:type="dxa"/>
            <w:vMerge w:val="continue"/>
            <w:tcBorders>
              <w:top w:val="nil"/>
              <w:bottom w:val="nil"/>
            </w:tcBorders>
            <w:vAlign w:val="top"/>
          </w:tcPr>
          <w:p w14:paraId="11C8D9E3">
            <w:pPr>
              <w:pStyle w:val="52"/>
            </w:pPr>
          </w:p>
        </w:tc>
        <w:tc>
          <w:tcPr>
            <w:tcW w:w="593" w:type="dxa"/>
            <w:vMerge w:val="restart"/>
            <w:tcBorders>
              <w:bottom w:val="nil"/>
            </w:tcBorders>
            <w:textDirection w:val="tbRlV"/>
            <w:vAlign w:val="top"/>
          </w:tcPr>
          <w:p w14:paraId="540E8E22">
            <w:pPr>
              <w:spacing w:before="176" w:line="208" w:lineRule="auto"/>
              <w:ind w:left="73"/>
              <w:rPr>
                <w:rFonts w:ascii="宋体" w:hAnsi="宋体" w:eastAsia="宋体" w:cs="宋体"/>
                <w:sz w:val="24"/>
                <w:szCs w:val="24"/>
              </w:rPr>
            </w:pPr>
            <w:r>
              <w:rPr>
                <w:rFonts w:ascii="宋体" w:hAnsi="宋体" w:eastAsia="宋体" w:cs="宋体"/>
                <w:spacing w:val="-1"/>
                <w:sz w:val="24"/>
                <w:szCs w:val="24"/>
              </w:rPr>
              <w:t>效益指标</w:t>
            </w:r>
          </w:p>
        </w:tc>
        <w:tc>
          <w:tcPr>
            <w:tcW w:w="1011" w:type="dxa"/>
            <w:vAlign w:val="top"/>
          </w:tcPr>
          <w:p w14:paraId="184CE268">
            <w:pPr>
              <w:spacing w:before="3" w:line="181" w:lineRule="auto"/>
              <w:ind w:left="391" w:right="146" w:hanging="240"/>
              <w:rPr>
                <w:rFonts w:ascii="宋体" w:hAnsi="宋体" w:eastAsia="宋体" w:cs="宋体"/>
                <w:sz w:val="24"/>
                <w:szCs w:val="24"/>
              </w:rPr>
            </w:pPr>
            <w:r>
              <w:rPr>
                <w:rFonts w:ascii="宋体" w:hAnsi="宋体" w:eastAsia="宋体" w:cs="宋体"/>
                <w:spacing w:val="-4"/>
                <w:sz w:val="24"/>
                <w:szCs w:val="24"/>
              </w:rPr>
              <w:t>社会效</w:t>
            </w:r>
            <w:r>
              <w:rPr>
                <w:rFonts w:ascii="宋体" w:hAnsi="宋体" w:eastAsia="宋体" w:cs="宋体"/>
                <w:sz w:val="24"/>
                <w:szCs w:val="24"/>
              </w:rPr>
              <w:t>益</w:t>
            </w:r>
          </w:p>
        </w:tc>
        <w:tc>
          <w:tcPr>
            <w:tcW w:w="1036" w:type="dxa"/>
            <w:vAlign w:val="top"/>
          </w:tcPr>
          <w:p w14:paraId="44902CFC">
            <w:pPr>
              <w:spacing w:before="3" w:line="181" w:lineRule="auto"/>
              <w:ind w:left="288" w:right="157" w:hanging="125"/>
              <w:rPr>
                <w:rFonts w:ascii="宋体" w:hAnsi="宋体" w:eastAsia="宋体" w:cs="宋体"/>
                <w:sz w:val="24"/>
                <w:szCs w:val="24"/>
              </w:rPr>
            </w:pPr>
            <w:r>
              <w:rPr>
                <w:rFonts w:ascii="宋体" w:hAnsi="宋体" w:eastAsia="宋体" w:cs="宋体"/>
                <w:spacing w:val="-4"/>
                <w:sz w:val="24"/>
                <w:szCs w:val="24"/>
              </w:rPr>
              <w:t>信访办</w:t>
            </w:r>
            <w:r>
              <w:rPr>
                <w:rFonts w:ascii="宋体" w:hAnsi="宋体" w:eastAsia="宋体" w:cs="宋体"/>
                <w:spacing w:val="-8"/>
                <w:sz w:val="24"/>
                <w:szCs w:val="24"/>
              </w:rPr>
              <w:t>结率</w:t>
            </w:r>
          </w:p>
        </w:tc>
        <w:tc>
          <w:tcPr>
            <w:tcW w:w="4752" w:type="dxa"/>
            <w:vAlign w:val="top"/>
          </w:tcPr>
          <w:p w14:paraId="4DCE8DFB">
            <w:pPr>
              <w:pStyle w:val="52"/>
              <w:spacing w:before="164" w:line="188" w:lineRule="auto"/>
              <w:ind w:left="2031"/>
              <w:rPr>
                <w:sz w:val="24"/>
                <w:szCs w:val="24"/>
              </w:rPr>
            </w:pPr>
            <w:r>
              <w:rPr>
                <w:spacing w:val="-11"/>
                <w:sz w:val="24"/>
                <w:szCs w:val="24"/>
              </w:rPr>
              <w:t>=100%</w:t>
            </w:r>
          </w:p>
        </w:tc>
        <w:tc>
          <w:tcPr>
            <w:tcW w:w="1935" w:type="dxa"/>
            <w:vAlign w:val="top"/>
          </w:tcPr>
          <w:p w14:paraId="66B4748E">
            <w:pPr>
              <w:pStyle w:val="52"/>
              <w:spacing w:before="164" w:line="188" w:lineRule="auto"/>
              <w:ind w:left="713"/>
              <w:rPr>
                <w:sz w:val="24"/>
                <w:szCs w:val="24"/>
              </w:rPr>
            </w:pPr>
            <w:r>
              <w:rPr>
                <w:spacing w:val="-18"/>
                <w:sz w:val="24"/>
                <w:szCs w:val="24"/>
              </w:rPr>
              <w:t>100%</w:t>
            </w:r>
          </w:p>
        </w:tc>
      </w:tr>
      <w:tr w14:paraId="2B57C8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0" w:hRule="atLeast"/>
        </w:trPr>
        <w:tc>
          <w:tcPr>
            <w:tcW w:w="336" w:type="dxa"/>
            <w:vMerge w:val="continue"/>
            <w:tcBorders>
              <w:top w:val="nil"/>
            </w:tcBorders>
            <w:vAlign w:val="top"/>
          </w:tcPr>
          <w:p w14:paraId="7904AECF">
            <w:pPr>
              <w:pStyle w:val="52"/>
            </w:pPr>
          </w:p>
        </w:tc>
        <w:tc>
          <w:tcPr>
            <w:tcW w:w="593" w:type="dxa"/>
            <w:vMerge w:val="continue"/>
            <w:tcBorders>
              <w:top w:val="nil"/>
            </w:tcBorders>
            <w:textDirection w:val="tbRlV"/>
            <w:vAlign w:val="top"/>
          </w:tcPr>
          <w:p w14:paraId="19217FC8">
            <w:pPr>
              <w:pStyle w:val="52"/>
            </w:pPr>
          </w:p>
        </w:tc>
        <w:tc>
          <w:tcPr>
            <w:tcW w:w="1011" w:type="dxa"/>
            <w:vAlign w:val="top"/>
          </w:tcPr>
          <w:p w14:paraId="1A8E62E1">
            <w:pPr>
              <w:spacing w:before="69" w:line="207" w:lineRule="auto"/>
              <w:ind w:left="391" w:right="146" w:hanging="240"/>
              <w:rPr>
                <w:rFonts w:ascii="宋体" w:hAnsi="宋体" w:eastAsia="宋体" w:cs="宋体"/>
                <w:sz w:val="24"/>
                <w:szCs w:val="24"/>
              </w:rPr>
            </w:pPr>
            <w:r>
              <w:rPr>
                <w:rFonts w:ascii="宋体" w:hAnsi="宋体" w:eastAsia="宋体" w:cs="宋体"/>
                <w:spacing w:val="-4"/>
                <w:sz w:val="24"/>
                <w:szCs w:val="24"/>
              </w:rPr>
              <w:t>社会效</w:t>
            </w:r>
            <w:r>
              <w:rPr>
                <w:rFonts w:ascii="宋体" w:hAnsi="宋体" w:eastAsia="宋体" w:cs="宋体"/>
                <w:sz w:val="24"/>
                <w:szCs w:val="24"/>
              </w:rPr>
              <w:t>益</w:t>
            </w:r>
          </w:p>
        </w:tc>
        <w:tc>
          <w:tcPr>
            <w:tcW w:w="1036" w:type="dxa"/>
            <w:vAlign w:val="top"/>
          </w:tcPr>
          <w:p w14:paraId="4373BB5B">
            <w:pPr>
              <w:spacing w:before="69" w:line="203" w:lineRule="auto"/>
              <w:ind w:left="282" w:right="157" w:hanging="118"/>
              <w:rPr>
                <w:rFonts w:ascii="宋体" w:hAnsi="宋体" w:eastAsia="宋体" w:cs="宋体"/>
                <w:sz w:val="24"/>
                <w:szCs w:val="24"/>
              </w:rPr>
            </w:pPr>
            <w:r>
              <w:rPr>
                <w:rFonts w:ascii="宋体" w:hAnsi="宋体" w:eastAsia="宋体" w:cs="宋体"/>
                <w:spacing w:val="-4"/>
                <w:sz w:val="24"/>
                <w:szCs w:val="24"/>
              </w:rPr>
              <w:t>可持续</w:t>
            </w:r>
            <w:r>
              <w:rPr>
                <w:rFonts w:ascii="宋体" w:hAnsi="宋体" w:eastAsia="宋体" w:cs="宋体"/>
                <w:spacing w:val="-5"/>
                <w:sz w:val="24"/>
                <w:szCs w:val="24"/>
              </w:rPr>
              <w:t>影响</w:t>
            </w:r>
          </w:p>
        </w:tc>
        <w:tc>
          <w:tcPr>
            <w:tcW w:w="4752" w:type="dxa"/>
            <w:vAlign w:val="top"/>
          </w:tcPr>
          <w:p w14:paraId="1A359C3A">
            <w:pPr>
              <w:spacing w:before="189" w:line="219" w:lineRule="auto"/>
              <w:ind w:left="1549"/>
              <w:rPr>
                <w:rFonts w:ascii="宋体" w:hAnsi="宋体" w:eastAsia="宋体" w:cs="宋体"/>
                <w:sz w:val="24"/>
                <w:szCs w:val="24"/>
              </w:rPr>
            </w:pPr>
            <w:r>
              <w:rPr>
                <w:rFonts w:ascii="宋体" w:hAnsi="宋体" w:eastAsia="宋体" w:cs="宋体"/>
                <w:spacing w:val="-3"/>
                <w:sz w:val="24"/>
                <w:szCs w:val="24"/>
              </w:rPr>
              <w:t>治理能力提升度</w:t>
            </w:r>
          </w:p>
        </w:tc>
        <w:tc>
          <w:tcPr>
            <w:tcW w:w="1935" w:type="dxa"/>
            <w:vAlign w:val="top"/>
          </w:tcPr>
          <w:p w14:paraId="30E3135E">
            <w:pPr>
              <w:spacing w:before="189" w:line="220" w:lineRule="auto"/>
              <w:ind w:left="494"/>
              <w:rPr>
                <w:rFonts w:ascii="宋体" w:hAnsi="宋体" w:eastAsia="宋体" w:cs="宋体"/>
                <w:sz w:val="24"/>
                <w:szCs w:val="24"/>
              </w:rPr>
            </w:pPr>
            <w:r>
              <w:rPr>
                <w:rFonts w:ascii="宋体" w:hAnsi="宋体" w:eastAsia="宋体" w:cs="宋体"/>
                <w:spacing w:val="-3"/>
                <w:sz w:val="24"/>
                <w:szCs w:val="24"/>
              </w:rPr>
              <w:t>有效提升</w:t>
            </w:r>
          </w:p>
        </w:tc>
      </w:tr>
    </w:tbl>
    <w:p w14:paraId="768FA2AB">
      <w:pPr>
        <w:keepNext w:val="0"/>
        <w:keepLines w:val="0"/>
        <w:pageBreakBefore w:val="0"/>
        <w:kinsoku/>
        <w:wordWrap/>
        <w:overflowPunct/>
        <w:topLinePunct w:val="0"/>
        <w:autoSpaceDE/>
        <w:autoSpaceDN/>
        <w:bidi w:val="0"/>
        <w:adjustRightInd/>
        <w:snapToGrid w:val="0"/>
        <w:spacing w:line="240" w:lineRule="auto"/>
        <w:ind w:firstLine="960" w:firstLineChars="300"/>
        <w:jc w:val="both"/>
        <w:textAlignment w:val="auto"/>
        <w:outlineLvl w:val="9"/>
        <w:rPr>
          <w:rFonts w:hint="eastAsia" w:ascii="Times New Roman" w:hAnsi="Times New Roman" w:eastAsia="仿宋_GB2312" w:cs="Times New Roman"/>
          <w:b w:val="0"/>
          <w:bCs w:val="0"/>
          <w:kern w:val="2"/>
          <w:sz w:val="32"/>
          <w:szCs w:val="32"/>
          <w:u w:val="none"/>
          <w:lang w:val="en-US" w:eastAsia="zh-CN" w:bidi="ar"/>
        </w:rPr>
      </w:pPr>
    </w:p>
    <w:p w14:paraId="3D661697">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eastAsia="黑体" w:cs="Times New Roman"/>
          <w:b w:val="0"/>
          <w:bCs w:val="0"/>
          <w:color w:val="auto"/>
          <w:kern w:val="0"/>
          <w:sz w:val="32"/>
          <w:szCs w:val="32"/>
          <w:highlight w:val="none"/>
          <w:u w:val="none"/>
          <w:shd w:val="clear" w:color="auto" w:fill="FFFFFF"/>
          <w:lang w:val="en-US" w:eastAsia="zh-CN"/>
        </w:rPr>
        <w:sectPr>
          <w:pgSz w:w="11910" w:h="16840"/>
          <w:pgMar w:top="1440" w:right="1800" w:bottom="1440" w:left="1800" w:header="720" w:footer="720" w:gutter="0"/>
          <w:cols w:space="720" w:num="1"/>
        </w:sectPr>
      </w:pPr>
    </w:p>
    <w:p w14:paraId="665017E8">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eastAsia"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eastAsia" w:ascii="Times New Roman" w:hAnsi="Times New Roman" w:eastAsia="黑体" w:cs="Times New Roman"/>
          <w:b w:val="0"/>
          <w:bCs w:val="0"/>
          <w:color w:val="auto"/>
          <w:kern w:val="0"/>
          <w:sz w:val="32"/>
          <w:szCs w:val="32"/>
          <w:highlight w:val="none"/>
          <w:u w:val="none"/>
          <w:shd w:val="clear" w:color="auto" w:fill="FFFFFF"/>
          <w:lang w:val="en-US" w:eastAsia="en-US"/>
        </w:rPr>
        <w:t xml:space="preserve">附表 </w:t>
      </w:r>
      <w:r>
        <w:rPr>
          <w:rFonts w:hint="eastAsia" w:ascii="Times New Roman" w:hAnsi="Times New Roman" w:eastAsia="黑体" w:cs="Times New Roman"/>
          <w:b w:val="0"/>
          <w:bCs w:val="0"/>
          <w:color w:val="auto"/>
          <w:kern w:val="0"/>
          <w:sz w:val="32"/>
          <w:szCs w:val="32"/>
          <w:highlight w:val="none"/>
          <w:u w:val="none"/>
          <w:shd w:val="clear" w:color="auto" w:fill="FFFFFF"/>
          <w:lang w:val="en-US" w:eastAsia="zh-CN"/>
        </w:rPr>
        <w:t>3</w:t>
      </w:r>
    </w:p>
    <w:p w14:paraId="0795AB71">
      <w:pPr>
        <w:spacing w:after="0"/>
        <w:rPr>
          <w:rFonts w:hint="eastAsia" w:ascii="仿宋_GB2312" w:hAnsi="Calibri" w:eastAsia="仿宋_GB2312" w:cs="仿宋"/>
          <w:color w:val="auto"/>
          <w:sz w:val="32"/>
          <w:szCs w:val="32"/>
          <w:lang w:val="en-US" w:eastAsia="zh-CN" w:bidi="ar-SA"/>
        </w:rPr>
      </w:pPr>
    </w:p>
    <w:p w14:paraId="46FD9068">
      <w:pPr>
        <w:spacing w:after="0"/>
        <w:jc w:val="center"/>
        <w:rPr>
          <w:rFonts w:hint="eastAsia" w:ascii="Times New Roman" w:hAnsi="Times New Roman" w:eastAsia="仿宋_GB2312" w:cs="Times New Roman"/>
          <w:kern w:val="2"/>
          <w:sz w:val="32"/>
          <w:szCs w:val="32"/>
          <w:u w:val="none"/>
          <w:lang w:val="en-US" w:eastAsia="zh-CN" w:bidi="ar"/>
        </w:rPr>
      </w:pPr>
      <w:r>
        <w:rPr>
          <w:rFonts w:hint="eastAsia" w:ascii="Times New Roman" w:hAnsi="Times New Roman" w:eastAsia="仿宋_GB2312" w:cs="Times New Roman"/>
          <w:kern w:val="2"/>
          <w:sz w:val="32"/>
          <w:szCs w:val="32"/>
          <w:u w:val="none"/>
          <w:lang w:val="en-US" w:eastAsia="zh-CN" w:bidi="ar"/>
        </w:rPr>
        <w:t>部门预算项目支出绩效自评表（</w:t>
      </w:r>
      <w:r>
        <w:rPr>
          <w:rFonts w:hint="eastAsia" w:ascii="Times New Roman" w:eastAsia="仿宋_GB2312" w:cs="Times New Roman"/>
          <w:kern w:val="2"/>
          <w:sz w:val="32"/>
          <w:szCs w:val="32"/>
          <w:u w:val="none"/>
          <w:lang w:val="en-US" w:eastAsia="zh-CN" w:bidi="ar"/>
        </w:rPr>
        <w:t>2025年度</w:t>
      </w:r>
      <w:r>
        <w:rPr>
          <w:rFonts w:hint="eastAsia" w:ascii="Times New Roman" w:hAnsi="Times New Roman" w:eastAsia="仿宋_GB2312" w:cs="Times New Roman"/>
          <w:kern w:val="2"/>
          <w:sz w:val="32"/>
          <w:szCs w:val="32"/>
          <w:u w:val="none"/>
          <w:lang w:val="en-US" w:eastAsia="zh-CN" w:bidi="ar"/>
        </w:rPr>
        <w:t>）</w:t>
      </w:r>
    </w:p>
    <w:p w14:paraId="79F56FA4">
      <w:pPr>
        <w:spacing w:after="0"/>
        <w:jc w:val="center"/>
        <w:rPr>
          <w:rFonts w:hint="eastAsia" w:ascii="Times New Roman" w:hAnsi="Times New Roman" w:eastAsia="仿宋_GB2312" w:cs="Times New Roman"/>
          <w:kern w:val="2"/>
          <w:sz w:val="32"/>
          <w:szCs w:val="32"/>
          <w:u w:val="none"/>
          <w:lang w:val="en-US" w:eastAsia="zh-CN" w:bidi="ar"/>
        </w:rPr>
      </w:pPr>
    </w:p>
    <w:p w14:paraId="33374F47">
      <w:pPr>
        <w:spacing w:after="0"/>
        <w:jc w:val="center"/>
        <w:rPr>
          <w:rFonts w:hint="eastAsia" w:ascii="Times New Roman" w:hAnsi="Times New Roman" w:eastAsia="仿宋_GB2312" w:cs="Times New Roman"/>
          <w:kern w:val="2"/>
          <w:sz w:val="32"/>
          <w:szCs w:val="32"/>
          <w:u w:val="none"/>
          <w:lang w:val="en-US" w:eastAsia="zh-CN" w:bidi="ar"/>
        </w:rPr>
        <w:sectPr>
          <w:pgSz w:w="11910" w:h="16840"/>
          <w:pgMar w:top="1440" w:right="1800" w:bottom="1440" w:left="1800" w:header="720" w:footer="720" w:gutter="0"/>
          <w:cols w:space="720" w:num="1"/>
        </w:sectPr>
      </w:pPr>
      <w:r>
        <w:rPr>
          <w:rFonts w:hint="eastAsia" w:ascii="Times New Roman" w:hAnsi="Times New Roman" w:eastAsia="仿宋_GB2312" w:cs="Times New Roman"/>
          <w:kern w:val="2"/>
          <w:sz w:val="32"/>
          <w:szCs w:val="32"/>
          <w:u w:val="none"/>
          <w:lang w:val="en-US" w:eastAsia="zh-CN" w:bidi="ar"/>
        </w:rPr>
        <w:object>
          <v:shape id="_x0000_i1025" o:spt="75" type="#_x0000_t75" style="height:65.25pt;width:72.4pt;" o:ole="t" filled="f" o:preferrelative="t" stroked="f" coordsize="21600,21600">
            <v:path/>
            <v:fill on="f" focussize="0,0"/>
            <v:stroke on="f"/>
            <v:imagedata r:id="rId20" o:title=""/>
            <o:lock v:ext="edit" aspectratio="t"/>
            <w10:wrap type="none"/>
            <w10:anchorlock/>
          </v:shape>
          <o:OLEObject Type="Embed" ProgID="Excel.Sheet.12" ShapeID="_x0000_i1025" DrawAspect="Icon" ObjectID="_1468075725" r:id="rId19">
            <o:LockedField>false</o:LockedField>
          </o:OLEObject>
        </w:object>
      </w:r>
    </w:p>
    <w:p w14:paraId="090E9BA3">
      <w:pPr>
        <w:pStyle w:val="7"/>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kern w:val="0"/>
          <w:sz w:val="32"/>
          <w:szCs w:val="32"/>
          <w:highlight w:val="none"/>
          <w:shd w:val="clear" w:color="auto" w:fill="FFFFFF"/>
          <w:lang w:val="zh-CN"/>
        </w:rPr>
        <w:t>附件</w:t>
      </w:r>
      <w:r>
        <w:rPr>
          <w:rFonts w:hint="eastAsia" w:ascii="Times New Roman" w:hAnsi="Times New Roman" w:eastAsia="黑体" w:cs="黑体"/>
          <w:color w:val="auto"/>
          <w:kern w:val="0"/>
          <w:sz w:val="32"/>
          <w:szCs w:val="32"/>
          <w:highlight w:val="none"/>
          <w:shd w:val="clear" w:color="auto" w:fill="FFFFFF"/>
          <w:lang w:val="en-US" w:eastAsia="zh-CN"/>
        </w:rPr>
        <w:t>2</w:t>
      </w:r>
    </w:p>
    <w:p w14:paraId="3441FB3D">
      <w:pPr>
        <w:pStyle w:val="50"/>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p>
    <w:p w14:paraId="32CD9DD2">
      <w:pPr>
        <w:pStyle w:val="50"/>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Times New Roman"/>
          <w:color w:val="auto"/>
          <w:kern w:val="2"/>
          <w:sz w:val="44"/>
          <w:szCs w:val="44"/>
          <w:highlight w:val="none"/>
          <w:lang w:val="en-US" w:eastAsia="zh-CN"/>
        </w:rPr>
      </w:pPr>
      <w:r>
        <w:rPr>
          <w:rFonts w:hint="eastAsia" w:ascii="Times New Roman" w:hAnsi="Times New Roman" w:eastAsia="方正小标宋简体" w:cs="Times New Roman"/>
          <w:color w:val="auto"/>
          <w:kern w:val="2"/>
          <w:sz w:val="44"/>
          <w:szCs w:val="44"/>
          <w:highlight w:val="none"/>
          <w:lang w:val="en-US" w:eastAsia="zh-CN"/>
        </w:rPr>
        <w:t>阿坝州农用地土壤重金属污染溯源</w:t>
      </w:r>
    </w:p>
    <w:p w14:paraId="6A7B700A">
      <w:pPr>
        <w:pStyle w:val="50"/>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r>
        <w:rPr>
          <w:rFonts w:hint="eastAsia" w:ascii="Times New Roman" w:hAnsi="Times New Roman" w:eastAsia="方正小标宋简体" w:cs="方正小标宋简体"/>
          <w:color w:val="auto"/>
          <w:kern w:val="2"/>
          <w:sz w:val="44"/>
          <w:szCs w:val="44"/>
          <w:highlight w:val="none"/>
          <w:lang w:val="en-US" w:eastAsia="zh-CN"/>
        </w:rPr>
        <w:t>预算项目绩效评价报告</w:t>
      </w:r>
    </w:p>
    <w:p w14:paraId="45FD3264">
      <w:pPr>
        <w:pStyle w:val="50"/>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ascii="Times New Roman" w:hAnsi="Times New Roman"/>
          <w:color w:val="auto"/>
          <w:kern w:val="2"/>
          <w:sz w:val="32"/>
          <w:szCs w:val="32"/>
          <w:highlight w:val="none"/>
        </w:rPr>
      </w:pPr>
    </w:p>
    <w:p w14:paraId="4F7A1C9A">
      <w:pPr>
        <w:keepNext w:val="0"/>
        <w:keepLines w:val="0"/>
        <w:pageBreakBefore w:val="0"/>
        <w:widowControl/>
        <w:numPr>
          <w:ilvl w:val="0"/>
          <w:numId w:val="0"/>
        </w:numPr>
        <w:kinsoku/>
        <w:wordWrap/>
        <w:overflowPunct/>
        <w:topLinePunct w:val="0"/>
        <w:autoSpaceDE/>
        <w:autoSpaceDN/>
        <w:bidi w:val="0"/>
        <w:adjustRightInd/>
        <w:spacing w:line="560" w:lineRule="exact"/>
        <w:ind w:firstLine="640" w:firstLineChars="200"/>
        <w:jc w:val="left"/>
        <w:textAlignment w:val="auto"/>
        <w:rPr>
          <w:rFonts w:hint="eastAsia" w:ascii="黑体" w:hAnsi="黑体" w:eastAsia="黑体" w:cs="黑体"/>
          <w:kern w:val="0"/>
          <w:position w:val="3"/>
          <w:sz w:val="32"/>
          <w:szCs w:val="32"/>
          <w:highlight w:val="none"/>
          <w:lang w:val="en-US" w:eastAsia="en-US" w:bidi="ar-SA"/>
        </w:rPr>
      </w:pPr>
      <w:r>
        <w:rPr>
          <w:rFonts w:hint="eastAsia" w:ascii="黑体" w:hAnsi="黑体" w:eastAsia="黑体" w:cs="黑体"/>
          <w:kern w:val="0"/>
          <w:position w:val="3"/>
          <w:sz w:val="32"/>
          <w:szCs w:val="32"/>
          <w:highlight w:val="none"/>
          <w:lang w:val="en-US" w:eastAsia="en-US" w:bidi="ar-SA"/>
        </w:rPr>
        <w:t>一、项目概况</w:t>
      </w:r>
    </w:p>
    <w:p w14:paraId="3CCBD586">
      <w:pPr>
        <w:keepNext w:val="0"/>
        <w:keepLines w:val="0"/>
        <w:pageBreakBefore w:val="0"/>
        <w:widowControl/>
        <w:numPr>
          <w:ilvl w:val="0"/>
          <w:numId w:val="0"/>
        </w:numPr>
        <w:kinsoku/>
        <w:wordWrap/>
        <w:overflowPunct/>
        <w:topLinePunct w:val="0"/>
        <w:autoSpaceDE/>
        <w:autoSpaceDN/>
        <w:bidi w:val="0"/>
        <w:adjustRightInd/>
        <w:spacing w:line="560" w:lineRule="exact"/>
        <w:ind w:firstLine="643" w:firstLineChars="200"/>
        <w:jc w:val="left"/>
        <w:textAlignment w:val="auto"/>
        <w:rPr>
          <w:rFonts w:hint="eastAsia" w:ascii="仿宋_GB2312" w:hAnsi="仿宋_GB2312" w:eastAsia="仿宋_GB2312" w:cs="仿宋_GB2312"/>
          <w:kern w:val="0"/>
          <w:position w:val="3"/>
          <w:sz w:val="32"/>
          <w:szCs w:val="32"/>
          <w:highlight w:val="none"/>
          <w:lang w:val="en-US" w:eastAsia="en-US" w:bidi="ar-SA"/>
        </w:rPr>
      </w:pPr>
      <w:r>
        <w:rPr>
          <w:rFonts w:hint="eastAsia" w:ascii="楷体_GB2312" w:hAnsi="楷体_GB2312" w:eastAsia="楷体_GB2312" w:cs="楷体_GB2312"/>
          <w:b/>
          <w:bCs/>
          <w:kern w:val="0"/>
          <w:position w:val="3"/>
          <w:sz w:val="32"/>
          <w:szCs w:val="32"/>
          <w:highlight w:val="none"/>
          <w:lang w:val="en-US" w:eastAsia="en-US" w:bidi="ar-SA"/>
        </w:rPr>
        <w:t>（一）设立背景及基本情况</w:t>
      </w:r>
    </w:p>
    <w:p w14:paraId="026364EF">
      <w:pPr>
        <w:keepNext w:val="0"/>
        <w:keepLines w:val="0"/>
        <w:pageBreakBefore w:val="0"/>
        <w:widowControl/>
        <w:numPr>
          <w:ilvl w:val="0"/>
          <w:numId w:val="0"/>
        </w:numPr>
        <w:kinsoku/>
        <w:wordWrap/>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kern w:val="0"/>
          <w:position w:val="3"/>
          <w:sz w:val="32"/>
          <w:szCs w:val="32"/>
          <w:highlight w:val="none"/>
          <w:lang w:val="en-US" w:eastAsia="en-US" w:bidi="ar-SA"/>
        </w:rPr>
      </w:pPr>
      <w:r>
        <w:rPr>
          <w:rFonts w:hint="eastAsia" w:ascii="仿宋_GB2312" w:hAnsi="仿宋_GB2312" w:eastAsia="仿宋_GB2312" w:cs="仿宋_GB2312"/>
          <w:kern w:val="0"/>
          <w:position w:val="3"/>
          <w:sz w:val="32"/>
          <w:szCs w:val="32"/>
          <w:highlight w:val="none"/>
          <w:lang w:val="en-US" w:eastAsia="en-US" w:bidi="ar-SA"/>
        </w:rPr>
        <w:t>为深入贯彻《中华人民共和国土壤污染防治法》“预防为主、保护优先、分类管理、风险管控、污染担责、公众参与”的工作原则，全面落实党的二十大报告中“坚持精准治污、科学治污、依法治污，持续深入打好净土保卫战，加强土壤污染源头防控”重要指示精神，严格对标《中共中央 国务院关于全面推进美丽中国建设的意见》“开展土壤污染源头防控行动，分阶段推进农用地土壤重金属污染溯源和整治全覆盖”工作要求，以及2024年11月生态环境部等七部委联合印发的《土壤污染源头防控行动计划》中“全面启动受污染农用地溯源，推动各县（市、区）应查尽查，分阶段应治尽治”的硬性任务，国家明确2030年底前完成全国农用地土壤重金属污染溯源、2035年底前基本完成污染源整治。</w:t>
      </w:r>
    </w:p>
    <w:p w14:paraId="77207E24">
      <w:pPr>
        <w:keepNext w:val="0"/>
        <w:keepLines w:val="0"/>
        <w:pageBreakBefore w:val="0"/>
        <w:widowControl/>
        <w:numPr>
          <w:ilvl w:val="0"/>
          <w:numId w:val="0"/>
        </w:numPr>
        <w:kinsoku/>
        <w:wordWrap/>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kern w:val="0"/>
          <w:position w:val="3"/>
          <w:sz w:val="32"/>
          <w:szCs w:val="32"/>
          <w:highlight w:val="none"/>
          <w:lang w:val="en-US" w:eastAsia="en-US" w:bidi="ar-SA"/>
        </w:rPr>
      </w:pPr>
      <w:r>
        <w:rPr>
          <w:rFonts w:hint="eastAsia" w:ascii="仿宋_GB2312" w:hAnsi="仿宋_GB2312" w:eastAsia="仿宋_GB2312" w:cs="仿宋_GB2312"/>
          <w:kern w:val="0"/>
          <w:position w:val="3"/>
          <w:sz w:val="32"/>
          <w:szCs w:val="32"/>
          <w:highlight w:val="none"/>
          <w:lang w:val="en-US" w:eastAsia="en-US" w:bidi="ar-SA"/>
        </w:rPr>
        <w:t>阿坝州作为四川省重要的生态屏障和特色农产品生产基地，农用地土壤环境质量直接关系区域生态安全、粮食安全与群众健康。为扎实推进美丽四川建设，深入打好净土保卫战，州委、州政府以习近平生态文明思想为根本遵循，将农用地土壤污染源头防控作为核心工作，启动实施阿坝州农用地土壤重金属污染溯源项目，通过科学排查、精准溯源，全面摸清全州农用地土壤重金属污染底数、来源及分布特征，为后续污染源整治、土壤风险管控提供科学依据，切实筑牢高原地区农用地环境安全防线。</w:t>
      </w:r>
    </w:p>
    <w:p w14:paraId="7759E474">
      <w:pPr>
        <w:keepNext w:val="0"/>
        <w:keepLines w:val="0"/>
        <w:pageBreakBefore w:val="0"/>
        <w:widowControl/>
        <w:numPr>
          <w:ilvl w:val="0"/>
          <w:numId w:val="0"/>
        </w:numPr>
        <w:kinsoku/>
        <w:wordWrap/>
        <w:overflowPunct/>
        <w:topLinePunct w:val="0"/>
        <w:autoSpaceDE/>
        <w:autoSpaceDN/>
        <w:bidi w:val="0"/>
        <w:adjustRightInd/>
        <w:spacing w:line="560" w:lineRule="exact"/>
        <w:ind w:firstLine="643" w:firstLineChars="200"/>
        <w:jc w:val="left"/>
        <w:textAlignment w:val="auto"/>
        <w:rPr>
          <w:rFonts w:hint="eastAsia" w:ascii="楷体_GB2312" w:hAnsi="楷体_GB2312" w:eastAsia="楷体_GB2312" w:cs="楷体_GB2312"/>
          <w:b/>
          <w:bCs/>
          <w:kern w:val="0"/>
          <w:position w:val="3"/>
          <w:sz w:val="32"/>
          <w:szCs w:val="32"/>
          <w:highlight w:val="none"/>
          <w:lang w:val="en-US" w:eastAsia="en-US" w:bidi="ar-SA"/>
        </w:rPr>
      </w:pPr>
      <w:r>
        <w:rPr>
          <w:rFonts w:hint="eastAsia" w:ascii="楷体_GB2312" w:hAnsi="楷体_GB2312" w:eastAsia="楷体_GB2312" w:cs="楷体_GB2312"/>
          <w:b/>
          <w:bCs/>
          <w:kern w:val="0"/>
          <w:position w:val="3"/>
          <w:sz w:val="32"/>
          <w:szCs w:val="32"/>
          <w:highlight w:val="none"/>
          <w:lang w:val="en-US" w:eastAsia="en-US" w:bidi="ar-SA"/>
        </w:rPr>
        <w:t>（二）实施目的及支持方向</w:t>
      </w:r>
    </w:p>
    <w:p w14:paraId="60B6F868">
      <w:pPr>
        <w:keepNext w:val="0"/>
        <w:keepLines w:val="0"/>
        <w:pageBreakBefore w:val="0"/>
        <w:widowControl/>
        <w:numPr>
          <w:ilvl w:val="0"/>
          <w:numId w:val="0"/>
        </w:numPr>
        <w:kinsoku/>
        <w:wordWrap/>
        <w:overflowPunct/>
        <w:topLinePunct w:val="0"/>
        <w:autoSpaceDE/>
        <w:autoSpaceDN/>
        <w:bidi w:val="0"/>
        <w:adjustRightInd/>
        <w:spacing w:line="560" w:lineRule="exact"/>
        <w:ind w:firstLine="643" w:firstLineChars="200"/>
        <w:jc w:val="left"/>
        <w:textAlignment w:val="auto"/>
        <w:rPr>
          <w:rFonts w:hint="eastAsia" w:ascii="仿宋_GB2312" w:hAnsi="仿宋_GB2312" w:eastAsia="仿宋_GB2312" w:cs="仿宋_GB2312"/>
          <w:kern w:val="0"/>
          <w:position w:val="3"/>
          <w:sz w:val="32"/>
          <w:szCs w:val="32"/>
          <w:highlight w:val="none"/>
          <w:lang w:val="en-US" w:eastAsia="en-US" w:bidi="ar-SA"/>
        </w:rPr>
      </w:pPr>
      <w:r>
        <w:rPr>
          <w:rFonts w:hint="eastAsia" w:ascii="仿宋_GB2312" w:hAnsi="仿宋_GB2312" w:eastAsia="仿宋_GB2312" w:cs="仿宋_GB2312"/>
          <w:b/>
          <w:bCs/>
          <w:kern w:val="0"/>
          <w:position w:val="3"/>
          <w:sz w:val="32"/>
          <w:szCs w:val="32"/>
          <w:highlight w:val="none"/>
          <w:lang w:val="en-US" w:eastAsia="en-US" w:bidi="ar-SA"/>
        </w:rPr>
        <w:t>1.实施目的：</w:t>
      </w:r>
      <w:r>
        <w:rPr>
          <w:rFonts w:hint="eastAsia" w:ascii="仿宋_GB2312" w:hAnsi="仿宋_GB2312" w:eastAsia="仿宋_GB2312" w:cs="仿宋_GB2312"/>
          <w:kern w:val="0"/>
          <w:position w:val="3"/>
          <w:sz w:val="32"/>
          <w:szCs w:val="32"/>
          <w:highlight w:val="none"/>
          <w:lang w:val="en-US" w:eastAsia="en-US" w:bidi="ar-SA"/>
        </w:rPr>
        <w:t>全面完成阿坝州10个县（市）农用地土壤重金属污染溯源工作，精准识别污染成因、污染来源、传输路径及污染程度，建立完善农用地土壤重金属污染溯源档案，为全州农用地土壤污染源头管控、分类整治、安全利用提供技术支撑和决策依据，持续改善农用地土壤环境质量，保障农产品质量安全、群众身体健康和区域生态安全。</w:t>
      </w:r>
    </w:p>
    <w:p w14:paraId="083FC626">
      <w:pPr>
        <w:keepNext w:val="0"/>
        <w:keepLines w:val="0"/>
        <w:pageBreakBefore w:val="0"/>
        <w:widowControl/>
        <w:numPr>
          <w:ilvl w:val="0"/>
          <w:numId w:val="0"/>
        </w:numPr>
        <w:kinsoku/>
        <w:wordWrap/>
        <w:overflowPunct/>
        <w:topLinePunct w:val="0"/>
        <w:autoSpaceDE/>
        <w:autoSpaceDN/>
        <w:bidi w:val="0"/>
        <w:adjustRightInd/>
        <w:spacing w:line="560" w:lineRule="exact"/>
        <w:ind w:firstLine="643" w:firstLineChars="200"/>
        <w:jc w:val="left"/>
        <w:textAlignment w:val="auto"/>
        <w:rPr>
          <w:rFonts w:hint="eastAsia" w:ascii="仿宋_GB2312" w:hAnsi="仿宋_GB2312" w:eastAsia="仿宋_GB2312" w:cs="仿宋_GB2312"/>
          <w:kern w:val="0"/>
          <w:position w:val="3"/>
          <w:sz w:val="32"/>
          <w:szCs w:val="32"/>
          <w:highlight w:val="none"/>
          <w:lang w:val="en-US" w:eastAsia="en-US" w:bidi="ar-SA"/>
        </w:rPr>
      </w:pPr>
      <w:r>
        <w:rPr>
          <w:rFonts w:hint="eastAsia" w:ascii="仿宋_GB2312" w:hAnsi="仿宋_GB2312" w:eastAsia="仿宋_GB2312" w:cs="仿宋_GB2312"/>
          <w:b/>
          <w:bCs/>
          <w:kern w:val="0"/>
          <w:position w:val="3"/>
          <w:sz w:val="32"/>
          <w:szCs w:val="32"/>
          <w:highlight w:val="none"/>
          <w:lang w:val="en-US" w:eastAsia="en-US" w:bidi="ar-SA"/>
        </w:rPr>
        <w:t>2.支持方向：</w:t>
      </w:r>
      <w:r>
        <w:rPr>
          <w:rFonts w:hint="eastAsia" w:ascii="仿宋_GB2312" w:hAnsi="仿宋_GB2312" w:eastAsia="仿宋_GB2312" w:cs="仿宋_GB2312"/>
          <w:kern w:val="0"/>
          <w:position w:val="3"/>
          <w:sz w:val="32"/>
          <w:szCs w:val="32"/>
          <w:highlight w:val="none"/>
          <w:lang w:val="en-US" w:eastAsia="en-US" w:bidi="ar-SA"/>
        </w:rPr>
        <w:t>项目资金专项用于阿坝州10个县（市）农用地土壤重金属污染现状调查、样品采集与检测分析、污染源排查与溯源解析、溯源报告编制、专家评审验收、技术咨询服务等工作。</w:t>
      </w:r>
    </w:p>
    <w:p w14:paraId="4907BFB5">
      <w:pPr>
        <w:keepNext w:val="0"/>
        <w:keepLines w:val="0"/>
        <w:pageBreakBefore w:val="0"/>
        <w:widowControl/>
        <w:numPr>
          <w:ilvl w:val="0"/>
          <w:numId w:val="0"/>
        </w:numPr>
        <w:kinsoku/>
        <w:wordWrap/>
        <w:overflowPunct/>
        <w:topLinePunct w:val="0"/>
        <w:autoSpaceDE/>
        <w:autoSpaceDN/>
        <w:bidi w:val="0"/>
        <w:adjustRightInd/>
        <w:spacing w:line="560" w:lineRule="exact"/>
        <w:ind w:firstLine="643" w:firstLineChars="200"/>
        <w:jc w:val="left"/>
        <w:textAlignment w:val="auto"/>
        <w:rPr>
          <w:rFonts w:hint="eastAsia" w:ascii="楷体_GB2312" w:hAnsi="楷体_GB2312" w:eastAsia="楷体_GB2312" w:cs="楷体_GB2312"/>
          <w:b/>
          <w:bCs/>
          <w:kern w:val="0"/>
          <w:position w:val="3"/>
          <w:sz w:val="32"/>
          <w:szCs w:val="32"/>
          <w:highlight w:val="none"/>
          <w:lang w:val="en-US" w:eastAsia="en-US" w:bidi="ar-SA"/>
        </w:rPr>
      </w:pPr>
      <w:r>
        <w:rPr>
          <w:rFonts w:hint="eastAsia" w:ascii="楷体_GB2312" w:hAnsi="楷体_GB2312" w:eastAsia="楷体_GB2312" w:cs="楷体_GB2312"/>
          <w:b/>
          <w:bCs/>
          <w:kern w:val="0"/>
          <w:position w:val="3"/>
          <w:sz w:val="32"/>
          <w:szCs w:val="32"/>
          <w:highlight w:val="none"/>
          <w:lang w:val="en-US" w:eastAsia="en-US" w:bidi="ar-SA"/>
        </w:rPr>
        <w:t>（三）预算安排及分配管理</w:t>
      </w:r>
    </w:p>
    <w:p w14:paraId="60386D7B">
      <w:pPr>
        <w:keepNext w:val="0"/>
        <w:keepLines w:val="0"/>
        <w:pageBreakBefore w:val="0"/>
        <w:widowControl/>
        <w:numPr>
          <w:ilvl w:val="0"/>
          <w:numId w:val="0"/>
        </w:numPr>
        <w:kinsoku/>
        <w:wordWrap/>
        <w:overflowPunct/>
        <w:topLinePunct w:val="0"/>
        <w:autoSpaceDE/>
        <w:autoSpaceDN/>
        <w:bidi w:val="0"/>
        <w:adjustRightInd/>
        <w:spacing w:line="560" w:lineRule="exact"/>
        <w:ind w:firstLine="643" w:firstLineChars="200"/>
        <w:jc w:val="left"/>
        <w:textAlignment w:val="auto"/>
        <w:rPr>
          <w:rFonts w:hint="eastAsia" w:ascii="仿宋_GB2312" w:hAnsi="仿宋_GB2312" w:eastAsia="仿宋_GB2312" w:cs="仿宋_GB2312"/>
          <w:kern w:val="0"/>
          <w:position w:val="3"/>
          <w:sz w:val="32"/>
          <w:szCs w:val="32"/>
          <w:highlight w:val="none"/>
          <w:lang w:val="en-US" w:eastAsia="en-US" w:bidi="ar-SA"/>
        </w:rPr>
      </w:pPr>
      <w:r>
        <w:rPr>
          <w:rFonts w:hint="eastAsia" w:ascii="仿宋_GB2312" w:hAnsi="仿宋_GB2312" w:eastAsia="仿宋_GB2312" w:cs="仿宋_GB2312"/>
          <w:b/>
          <w:bCs/>
          <w:kern w:val="0"/>
          <w:position w:val="3"/>
          <w:sz w:val="32"/>
          <w:szCs w:val="32"/>
          <w:highlight w:val="none"/>
          <w:lang w:val="en-US" w:eastAsia="en-US" w:bidi="ar-SA"/>
        </w:rPr>
        <w:t>1.项目周期：</w:t>
      </w:r>
      <w:r>
        <w:rPr>
          <w:rFonts w:hint="eastAsia" w:ascii="仿宋_GB2312" w:hAnsi="仿宋_GB2312" w:eastAsia="仿宋_GB2312" w:cs="仿宋_GB2312"/>
          <w:kern w:val="0"/>
          <w:position w:val="3"/>
          <w:sz w:val="32"/>
          <w:szCs w:val="32"/>
          <w:highlight w:val="none"/>
          <w:lang w:val="en-US" w:eastAsia="en-US" w:bidi="ar-SA"/>
        </w:rPr>
        <w:t>项目实施周期为3年，自项目启动至2027年12月全面完成各项工作任务并通过最终验收。</w:t>
      </w:r>
    </w:p>
    <w:p w14:paraId="0AED60ED">
      <w:pPr>
        <w:keepNext w:val="0"/>
        <w:keepLines w:val="0"/>
        <w:pageBreakBefore w:val="0"/>
        <w:widowControl/>
        <w:numPr>
          <w:ilvl w:val="0"/>
          <w:numId w:val="0"/>
        </w:numPr>
        <w:kinsoku/>
        <w:wordWrap/>
        <w:overflowPunct/>
        <w:topLinePunct w:val="0"/>
        <w:autoSpaceDE/>
        <w:autoSpaceDN/>
        <w:bidi w:val="0"/>
        <w:adjustRightInd/>
        <w:spacing w:line="560" w:lineRule="exact"/>
        <w:ind w:firstLine="643" w:firstLineChars="200"/>
        <w:jc w:val="left"/>
        <w:textAlignment w:val="auto"/>
        <w:rPr>
          <w:rFonts w:hint="eastAsia" w:ascii="仿宋_GB2312" w:hAnsi="仿宋_GB2312" w:eastAsia="仿宋_GB2312" w:cs="仿宋_GB2312"/>
          <w:kern w:val="0"/>
          <w:position w:val="3"/>
          <w:sz w:val="32"/>
          <w:szCs w:val="32"/>
          <w:highlight w:val="none"/>
          <w:lang w:val="en-US" w:eastAsia="en-US" w:bidi="ar-SA"/>
        </w:rPr>
      </w:pPr>
      <w:r>
        <w:rPr>
          <w:rFonts w:hint="eastAsia" w:ascii="仿宋_GB2312" w:hAnsi="仿宋_GB2312" w:eastAsia="仿宋_GB2312" w:cs="仿宋_GB2312"/>
          <w:b/>
          <w:bCs/>
          <w:kern w:val="0"/>
          <w:position w:val="3"/>
          <w:sz w:val="32"/>
          <w:szCs w:val="32"/>
          <w:highlight w:val="none"/>
          <w:lang w:val="en-US" w:eastAsia="en-US" w:bidi="ar-SA"/>
        </w:rPr>
        <w:t>2.预算总额：</w:t>
      </w:r>
      <w:r>
        <w:rPr>
          <w:rFonts w:hint="eastAsia" w:ascii="仿宋_GB2312" w:hAnsi="仿宋_GB2312" w:eastAsia="仿宋_GB2312" w:cs="仿宋_GB2312"/>
          <w:kern w:val="0"/>
          <w:position w:val="3"/>
          <w:sz w:val="32"/>
          <w:szCs w:val="32"/>
          <w:highlight w:val="none"/>
          <w:lang w:val="en-US" w:eastAsia="en-US" w:bidi="ar-SA"/>
        </w:rPr>
        <w:t>项目总预算金额</w:t>
      </w:r>
      <w:r>
        <w:rPr>
          <w:rFonts w:hint="eastAsia" w:ascii="仿宋_GB2312" w:hAnsi="仿宋_GB2312" w:eastAsia="仿宋_GB2312" w:cs="仿宋_GB2312"/>
          <w:kern w:val="0"/>
          <w:position w:val="3"/>
          <w:sz w:val="32"/>
          <w:szCs w:val="32"/>
          <w:highlight w:val="none"/>
          <w:lang w:val="en-US" w:eastAsia="zh-CN" w:bidi="ar-SA"/>
        </w:rPr>
        <w:t>340</w:t>
      </w:r>
      <w:r>
        <w:rPr>
          <w:rFonts w:hint="eastAsia" w:ascii="仿宋_GB2312" w:hAnsi="仿宋_GB2312" w:eastAsia="仿宋_GB2312" w:cs="仿宋_GB2312"/>
          <w:kern w:val="0"/>
          <w:position w:val="3"/>
          <w:sz w:val="32"/>
          <w:szCs w:val="32"/>
          <w:highlight w:val="none"/>
          <w:lang w:val="en-US" w:eastAsia="en-US" w:bidi="ar-SA"/>
        </w:rPr>
        <w:t>万元，</w:t>
      </w:r>
      <w:r>
        <w:rPr>
          <w:rFonts w:hint="eastAsia" w:ascii="仿宋_GB2312" w:hAnsi="仿宋_GB2312" w:eastAsia="仿宋_GB2312" w:cs="仿宋_GB2312"/>
          <w:kern w:val="0"/>
          <w:position w:val="3"/>
          <w:sz w:val="32"/>
          <w:szCs w:val="32"/>
          <w:highlight w:val="none"/>
          <w:lang w:val="en-US" w:eastAsia="zh-CN" w:bidi="ar-SA"/>
        </w:rPr>
        <w:t>财评金额321.11万元，中标金额318万元。</w:t>
      </w:r>
      <w:r>
        <w:rPr>
          <w:rFonts w:hint="eastAsia" w:ascii="仿宋_GB2312" w:hAnsi="仿宋_GB2312" w:eastAsia="仿宋_GB2312" w:cs="仿宋_GB2312"/>
          <w:kern w:val="0"/>
          <w:position w:val="3"/>
          <w:sz w:val="32"/>
          <w:szCs w:val="32"/>
          <w:highlight w:val="none"/>
          <w:lang w:val="en-US" w:eastAsia="en-US" w:bidi="ar-SA"/>
        </w:rPr>
        <w:t>资金来源为</w:t>
      </w:r>
      <w:r>
        <w:rPr>
          <w:rFonts w:hint="eastAsia" w:ascii="仿宋_GB2312" w:hAnsi="仿宋_GB2312" w:eastAsia="仿宋_GB2312" w:cs="仿宋_GB2312"/>
          <w:kern w:val="0"/>
          <w:position w:val="3"/>
          <w:sz w:val="32"/>
          <w:szCs w:val="32"/>
          <w:highlight w:val="none"/>
          <w:lang w:val="en-US" w:eastAsia="zh-CN" w:bidi="ar-SA"/>
        </w:rPr>
        <w:t>中央</w:t>
      </w:r>
      <w:r>
        <w:rPr>
          <w:rFonts w:hint="eastAsia" w:ascii="仿宋_GB2312" w:hAnsi="仿宋_GB2312" w:eastAsia="仿宋_GB2312" w:cs="仿宋_GB2312"/>
          <w:kern w:val="0"/>
          <w:position w:val="3"/>
          <w:sz w:val="32"/>
          <w:szCs w:val="32"/>
          <w:highlight w:val="none"/>
          <w:lang w:val="en-US" w:eastAsia="en-US" w:bidi="ar-SA"/>
        </w:rPr>
        <w:t>专项资金，全部用于农用地土壤重金属污染溯源相关工作支出。</w:t>
      </w:r>
    </w:p>
    <w:p w14:paraId="31E9535E">
      <w:pPr>
        <w:keepNext w:val="0"/>
        <w:keepLines w:val="0"/>
        <w:pageBreakBefore w:val="0"/>
        <w:widowControl/>
        <w:numPr>
          <w:ilvl w:val="0"/>
          <w:numId w:val="0"/>
        </w:numPr>
        <w:kinsoku/>
        <w:wordWrap/>
        <w:overflowPunct/>
        <w:topLinePunct w:val="0"/>
        <w:autoSpaceDE/>
        <w:autoSpaceDN/>
        <w:bidi w:val="0"/>
        <w:adjustRightInd/>
        <w:spacing w:line="560" w:lineRule="exact"/>
        <w:ind w:firstLine="643" w:firstLineChars="200"/>
        <w:jc w:val="left"/>
        <w:textAlignment w:val="auto"/>
        <w:rPr>
          <w:rFonts w:hint="eastAsia" w:ascii="仿宋_GB2312" w:hAnsi="仿宋_GB2312" w:eastAsia="仿宋_GB2312" w:cs="仿宋_GB2312"/>
          <w:kern w:val="0"/>
          <w:position w:val="3"/>
          <w:sz w:val="32"/>
          <w:szCs w:val="32"/>
          <w:highlight w:val="none"/>
          <w:lang w:val="en-US" w:eastAsia="en-US" w:bidi="ar-SA"/>
        </w:rPr>
      </w:pPr>
      <w:r>
        <w:rPr>
          <w:rFonts w:hint="eastAsia" w:ascii="仿宋_GB2312" w:hAnsi="仿宋_GB2312" w:eastAsia="仿宋_GB2312" w:cs="仿宋_GB2312"/>
          <w:b/>
          <w:bCs/>
          <w:kern w:val="0"/>
          <w:position w:val="3"/>
          <w:sz w:val="32"/>
          <w:szCs w:val="32"/>
          <w:highlight w:val="none"/>
          <w:lang w:val="en-US" w:eastAsia="en-US" w:bidi="ar-SA"/>
        </w:rPr>
        <w:t>3.支付管理：</w:t>
      </w:r>
      <w:r>
        <w:rPr>
          <w:rFonts w:hint="eastAsia" w:ascii="仿宋_GB2312" w:hAnsi="仿宋_GB2312" w:eastAsia="仿宋_GB2312" w:cs="仿宋_GB2312"/>
          <w:kern w:val="0"/>
          <w:position w:val="3"/>
          <w:sz w:val="32"/>
          <w:szCs w:val="32"/>
          <w:highlight w:val="none"/>
          <w:lang w:val="en-US" w:eastAsia="en-US" w:bidi="ar-SA"/>
        </w:rPr>
        <w:t>严格按照合同约定及项目实施进度分阶段支付资金，签订服务合同后支付总金额的30%；项目实施方案通过专家评审后支付总金额的40%；项目全部成果编制完成并通过验收后支付剩余30%，实现资金支付与项目进度、实施质量挂钩。</w:t>
      </w:r>
    </w:p>
    <w:p w14:paraId="346E89C4">
      <w:pPr>
        <w:keepNext w:val="0"/>
        <w:keepLines w:val="0"/>
        <w:pageBreakBefore w:val="0"/>
        <w:widowControl/>
        <w:numPr>
          <w:ilvl w:val="0"/>
          <w:numId w:val="0"/>
        </w:numPr>
        <w:kinsoku/>
        <w:wordWrap/>
        <w:overflowPunct/>
        <w:topLinePunct w:val="0"/>
        <w:autoSpaceDE/>
        <w:autoSpaceDN/>
        <w:bidi w:val="0"/>
        <w:adjustRightInd/>
        <w:spacing w:line="560" w:lineRule="exact"/>
        <w:ind w:firstLine="643" w:firstLineChars="200"/>
        <w:jc w:val="left"/>
        <w:textAlignment w:val="auto"/>
        <w:rPr>
          <w:rFonts w:hint="eastAsia" w:ascii="仿宋_GB2312" w:hAnsi="仿宋_GB2312" w:eastAsia="仿宋_GB2312" w:cs="仿宋_GB2312"/>
          <w:kern w:val="0"/>
          <w:position w:val="3"/>
          <w:sz w:val="32"/>
          <w:szCs w:val="32"/>
          <w:highlight w:val="none"/>
          <w:lang w:val="en-US" w:eastAsia="en-US" w:bidi="ar-SA"/>
        </w:rPr>
      </w:pPr>
      <w:r>
        <w:rPr>
          <w:rFonts w:hint="eastAsia" w:ascii="仿宋_GB2312" w:hAnsi="仿宋_GB2312" w:eastAsia="仿宋_GB2312" w:cs="仿宋_GB2312"/>
          <w:b/>
          <w:bCs/>
          <w:kern w:val="0"/>
          <w:position w:val="3"/>
          <w:sz w:val="32"/>
          <w:szCs w:val="32"/>
          <w:highlight w:val="none"/>
          <w:lang w:val="en-US" w:eastAsia="en-US" w:bidi="ar-SA"/>
        </w:rPr>
        <w:t>4.资金管理：</w:t>
      </w:r>
      <w:r>
        <w:rPr>
          <w:rFonts w:hint="eastAsia" w:ascii="仿宋_GB2312" w:hAnsi="仿宋_GB2312" w:eastAsia="仿宋_GB2312" w:cs="仿宋_GB2312"/>
          <w:kern w:val="0"/>
          <w:position w:val="3"/>
          <w:sz w:val="32"/>
          <w:szCs w:val="32"/>
          <w:highlight w:val="none"/>
          <w:lang w:val="en-US" w:eastAsia="en-US" w:bidi="ar-SA"/>
        </w:rPr>
        <w:t>严格执行财政资金管理相关规定，建立专账核算、专款专用制度，规范资金审批、拨付、使用流程，全程接受财政、审计</w:t>
      </w:r>
      <w:r>
        <w:rPr>
          <w:rFonts w:hint="eastAsia" w:ascii="仿宋_GB2312" w:hAnsi="仿宋_GB2312" w:eastAsia="仿宋_GB2312" w:cs="仿宋_GB2312"/>
          <w:kern w:val="0"/>
          <w:position w:val="3"/>
          <w:sz w:val="32"/>
          <w:szCs w:val="32"/>
          <w:highlight w:val="none"/>
          <w:lang w:val="en-US" w:eastAsia="zh-CN" w:bidi="ar-SA"/>
        </w:rPr>
        <w:t>等</w:t>
      </w:r>
      <w:r>
        <w:rPr>
          <w:rFonts w:hint="eastAsia" w:ascii="仿宋_GB2312" w:hAnsi="仿宋_GB2312" w:eastAsia="仿宋_GB2312" w:cs="仿宋_GB2312"/>
          <w:kern w:val="0"/>
          <w:position w:val="3"/>
          <w:sz w:val="32"/>
          <w:szCs w:val="32"/>
          <w:highlight w:val="none"/>
          <w:lang w:val="en-US" w:eastAsia="en-US" w:bidi="ar-SA"/>
        </w:rPr>
        <w:t>监督检查，确保资金使用合规、高效、透明。</w:t>
      </w:r>
    </w:p>
    <w:p w14:paraId="47FFF6EC">
      <w:pPr>
        <w:keepNext w:val="0"/>
        <w:keepLines w:val="0"/>
        <w:pageBreakBefore w:val="0"/>
        <w:widowControl/>
        <w:numPr>
          <w:ilvl w:val="0"/>
          <w:numId w:val="0"/>
        </w:numPr>
        <w:kinsoku/>
        <w:wordWrap/>
        <w:overflowPunct/>
        <w:topLinePunct w:val="0"/>
        <w:autoSpaceDE/>
        <w:autoSpaceDN/>
        <w:bidi w:val="0"/>
        <w:adjustRightInd/>
        <w:spacing w:line="560" w:lineRule="exact"/>
        <w:ind w:firstLine="643" w:firstLineChars="200"/>
        <w:jc w:val="left"/>
        <w:textAlignment w:val="auto"/>
        <w:rPr>
          <w:rFonts w:hint="eastAsia" w:ascii="楷体_GB2312" w:hAnsi="楷体_GB2312" w:eastAsia="楷体_GB2312" w:cs="楷体_GB2312"/>
          <w:b/>
          <w:bCs/>
          <w:kern w:val="0"/>
          <w:position w:val="3"/>
          <w:sz w:val="32"/>
          <w:szCs w:val="32"/>
          <w:highlight w:val="none"/>
          <w:lang w:val="en-US" w:eastAsia="en-US" w:bidi="ar-SA"/>
        </w:rPr>
      </w:pPr>
      <w:r>
        <w:rPr>
          <w:rFonts w:hint="eastAsia" w:ascii="楷体_GB2312" w:hAnsi="楷体_GB2312" w:eastAsia="楷体_GB2312" w:cs="楷体_GB2312"/>
          <w:b/>
          <w:bCs/>
          <w:kern w:val="0"/>
          <w:position w:val="3"/>
          <w:sz w:val="32"/>
          <w:szCs w:val="32"/>
          <w:highlight w:val="none"/>
          <w:lang w:val="en-US" w:eastAsia="en-US" w:bidi="ar-SA"/>
        </w:rPr>
        <w:t>（四）项目绩效目标设置</w:t>
      </w:r>
    </w:p>
    <w:p w14:paraId="5BE3431B">
      <w:pPr>
        <w:keepNext w:val="0"/>
        <w:keepLines w:val="0"/>
        <w:pageBreakBefore w:val="0"/>
        <w:widowControl/>
        <w:numPr>
          <w:ilvl w:val="0"/>
          <w:numId w:val="0"/>
        </w:numPr>
        <w:kinsoku/>
        <w:wordWrap/>
        <w:overflowPunct/>
        <w:topLinePunct w:val="0"/>
        <w:autoSpaceDE/>
        <w:autoSpaceDN/>
        <w:bidi w:val="0"/>
        <w:adjustRightInd/>
        <w:spacing w:line="560" w:lineRule="exact"/>
        <w:ind w:firstLine="643" w:firstLineChars="200"/>
        <w:jc w:val="left"/>
        <w:textAlignment w:val="auto"/>
        <w:rPr>
          <w:rFonts w:hint="eastAsia" w:ascii="仿宋_GB2312" w:hAnsi="仿宋_GB2312" w:eastAsia="仿宋_GB2312" w:cs="仿宋_GB2312"/>
          <w:kern w:val="0"/>
          <w:position w:val="3"/>
          <w:sz w:val="32"/>
          <w:szCs w:val="32"/>
          <w:highlight w:val="none"/>
          <w:lang w:val="en-US" w:eastAsia="en-US" w:bidi="ar-SA"/>
        </w:rPr>
      </w:pPr>
      <w:r>
        <w:rPr>
          <w:rFonts w:hint="eastAsia" w:ascii="仿宋_GB2312" w:hAnsi="仿宋_GB2312" w:eastAsia="仿宋_GB2312" w:cs="仿宋_GB2312"/>
          <w:b/>
          <w:bCs/>
          <w:kern w:val="0"/>
          <w:position w:val="3"/>
          <w:sz w:val="32"/>
          <w:szCs w:val="32"/>
          <w:highlight w:val="none"/>
          <w:lang w:val="en-US" w:eastAsia="en-US" w:bidi="ar-SA"/>
        </w:rPr>
        <w:t>1.产出目标：</w:t>
      </w:r>
      <w:r>
        <w:rPr>
          <w:rFonts w:hint="eastAsia" w:ascii="仿宋_GB2312" w:hAnsi="仿宋_GB2312" w:eastAsia="仿宋_GB2312" w:cs="仿宋_GB2312"/>
          <w:kern w:val="0"/>
          <w:position w:val="3"/>
          <w:sz w:val="32"/>
          <w:szCs w:val="32"/>
          <w:highlight w:val="none"/>
          <w:lang w:val="en-US" w:eastAsia="en-US" w:bidi="ar-SA"/>
        </w:rPr>
        <w:t>按期完成阿坝州10个县（市）农用地土壤重金属污染溯源工作，编制完成</w:t>
      </w:r>
      <w:r>
        <w:rPr>
          <w:rFonts w:hint="eastAsia" w:ascii="仿宋_GB2312" w:hAnsi="仿宋_GB2312" w:eastAsia="仿宋_GB2312" w:cs="仿宋_GB2312"/>
          <w:kern w:val="0"/>
          <w:position w:val="3"/>
          <w:sz w:val="32"/>
          <w:szCs w:val="32"/>
          <w:highlight w:val="none"/>
          <w:lang w:val="en-US" w:eastAsia="zh-CN" w:bidi="ar-SA"/>
        </w:rPr>
        <w:t>10个</w:t>
      </w:r>
      <w:r>
        <w:rPr>
          <w:rFonts w:hint="eastAsia" w:ascii="仿宋_GB2312" w:hAnsi="仿宋_GB2312" w:eastAsia="仿宋_GB2312" w:cs="仿宋_GB2312"/>
          <w:kern w:val="0"/>
          <w:position w:val="3"/>
          <w:sz w:val="32"/>
          <w:szCs w:val="32"/>
          <w:highlight w:val="none"/>
          <w:lang w:val="en-US" w:eastAsia="en-US" w:bidi="ar-SA"/>
        </w:rPr>
        <w:t>县（市）溯源报告，所有成果资料齐全、规范，通过专家评审验收。</w:t>
      </w:r>
    </w:p>
    <w:p w14:paraId="71B465AD">
      <w:pPr>
        <w:keepNext w:val="0"/>
        <w:keepLines w:val="0"/>
        <w:pageBreakBefore w:val="0"/>
        <w:widowControl/>
        <w:numPr>
          <w:ilvl w:val="0"/>
          <w:numId w:val="0"/>
        </w:numPr>
        <w:kinsoku/>
        <w:wordWrap/>
        <w:overflowPunct/>
        <w:topLinePunct w:val="0"/>
        <w:autoSpaceDE/>
        <w:autoSpaceDN/>
        <w:bidi w:val="0"/>
        <w:adjustRightInd/>
        <w:spacing w:line="560" w:lineRule="exact"/>
        <w:ind w:firstLine="643" w:firstLineChars="200"/>
        <w:jc w:val="left"/>
        <w:textAlignment w:val="auto"/>
        <w:rPr>
          <w:rFonts w:hint="eastAsia" w:ascii="仿宋_GB2312" w:hAnsi="仿宋_GB2312" w:eastAsia="仿宋_GB2312" w:cs="仿宋_GB2312"/>
          <w:kern w:val="0"/>
          <w:position w:val="3"/>
          <w:sz w:val="32"/>
          <w:szCs w:val="32"/>
          <w:highlight w:val="none"/>
          <w:lang w:val="en-US" w:eastAsia="en-US" w:bidi="ar-SA"/>
        </w:rPr>
      </w:pPr>
      <w:r>
        <w:rPr>
          <w:rFonts w:hint="eastAsia" w:ascii="仿宋_GB2312" w:hAnsi="仿宋_GB2312" w:eastAsia="仿宋_GB2312" w:cs="仿宋_GB2312"/>
          <w:b/>
          <w:bCs/>
          <w:kern w:val="0"/>
          <w:position w:val="3"/>
          <w:sz w:val="32"/>
          <w:szCs w:val="32"/>
          <w:highlight w:val="none"/>
          <w:lang w:val="en-US" w:eastAsia="en-US" w:bidi="ar-SA"/>
        </w:rPr>
        <w:t>2.质量目标：</w:t>
      </w:r>
      <w:r>
        <w:rPr>
          <w:rFonts w:hint="eastAsia" w:ascii="仿宋_GB2312" w:hAnsi="仿宋_GB2312" w:eastAsia="仿宋_GB2312" w:cs="仿宋_GB2312"/>
          <w:kern w:val="0"/>
          <w:position w:val="3"/>
          <w:sz w:val="32"/>
          <w:szCs w:val="32"/>
          <w:highlight w:val="none"/>
          <w:lang w:val="en-US" w:eastAsia="en-US" w:bidi="ar-SA"/>
        </w:rPr>
        <w:t>溯源工作严格遵循国家、省土壤污染防治相关技术规范，调查数据真实准确，溯源结论科学可靠，成果符合</w:t>
      </w:r>
      <w:r>
        <w:rPr>
          <w:rFonts w:hint="eastAsia" w:ascii="仿宋_GB2312" w:hAnsi="仿宋_GB2312" w:eastAsia="仿宋_GB2312" w:cs="仿宋_GB2312"/>
          <w:kern w:val="0"/>
          <w:position w:val="3"/>
          <w:sz w:val="32"/>
          <w:szCs w:val="32"/>
          <w:highlight w:val="none"/>
          <w:lang w:val="en-US" w:eastAsia="zh-CN" w:bidi="ar-SA"/>
        </w:rPr>
        <w:t>省厅</w:t>
      </w:r>
      <w:r>
        <w:rPr>
          <w:rFonts w:hint="eastAsia" w:ascii="仿宋_GB2312" w:hAnsi="仿宋_GB2312" w:eastAsia="仿宋_GB2312" w:cs="仿宋_GB2312"/>
          <w:kern w:val="0"/>
          <w:position w:val="3"/>
          <w:sz w:val="32"/>
          <w:szCs w:val="32"/>
          <w:highlight w:val="none"/>
          <w:lang w:val="en-US" w:eastAsia="en-US" w:bidi="ar-SA"/>
        </w:rPr>
        <w:t>验收标准。</w:t>
      </w:r>
    </w:p>
    <w:p w14:paraId="7DD4F029">
      <w:pPr>
        <w:keepNext w:val="0"/>
        <w:keepLines w:val="0"/>
        <w:pageBreakBefore w:val="0"/>
        <w:widowControl/>
        <w:numPr>
          <w:ilvl w:val="0"/>
          <w:numId w:val="0"/>
        </w:numPr>
        <w:kinsoku/>
        <w:wordWrap/>
        <w:overflowPunct/>
        <w:topLinePunct w:val="0"/>
        <w:autoSpaceDE/>
        <w:autoSpaceDN/>
        <w:bidi w:val="0"/>
        <w:adjustRightInd/>
        <w:spacing w:line="560" w:lineRule="exact"/>
        <w:ind w:firstLine="643" w:firstLineChars="200"/>
        <w:jc w:val="left"/>
        <w:textAlignment w:val="auto"/>
        <w:rPr>
          <w:rFonts w:hint="eastAsia" w:ascii="仿宋_GB2312" w:hAnsi="仿宋_GB2312" w:eastAsia="仿宋_GB2312" w:cs="仿宋_GB2312"/>
          <w:kern w:val="0"/>
          <w:position w:val="3"/>
          <w:sz w:val="32"/>
          <w:szCs w:val="32"/>
          <w:highlight w:val="none"/>
          <w:lang w:val="en-US" w:eastAsia="en-US" w:bidi="ar-SA"/>
        </w:rPr>
      </w:pPr>
      <w:r>
        <w:rPr>
          <w:rFonts w:hint="eastAsia" w:ascii="仿宋_GB2312" w:hAnsi="仿宋_GB2312" w:eastAsia="仿宋_GB2312" w:cs="仿宋_GB2312"/>
          <w:b/>
          <w:bCs/>
          <w:kern w:val="0"/>
          <w:position w:val="3"/>
          <w:sz w:val="32"/>
          <w:szCs w:val="32"/>
          <w:highlight w:val="none"/>
          <w:lang w:val="en-US" w:eastAsia="en-US" w:bidi="ar-SA"/>
        </w:rPr>
        <w:t>3.时效目标：</w:t>
      </w:r>
      <w:r>
        <w:rPr>
          <w:rFonts w:hint="eastAsia" w:ascii="仿宋_GB2312" w:hAnsi="仿宋_GB2312" w:eastAsia="仿宋_GB2312" w:cs="仿宋_GB2312"/>
          <w:kern w:val="0"/>
          <w:position w:val="3"/>
          <w:sz w:val="32"/>
          <w:szCs w:val="32"/>
          <w:highlight w:val="none"/>
          <w:lang w:val="en-US" w:eastAsia="en-US" w:bidi="ar-SA"/>
        </w:rPr>
        <w:t>严格按照3年项目周期推进工作，各阶段任务按期完成，不拖延、不滞后</w:t>
      </w:r>
      <w:r>
        <w:rPr>
          <w:rFonts w:hint="eastAsia" w:ascii="仿宋_GB2312" w:hAnsi="仿宋_GB2312" w:eastAsia="仿宋_GB2312" w:cs="仿宋_GB2312"/>
          <w:kern w:val="0"/>
          <w:position w:val="3"/>
          <w:sz w:val="32"/>
          <w:szCs w:val="32"/>
          <w:highlight w:val="none"/>
          <w:lang w:val="en-US" w:eastAsia="zh-CN" w:bidi="ar-SA"/>
        </w:rPr>
        <w:t>。</w:t>
      </w:r>
      <w:r>
        <w:rPr>
          <w:rFonts w:hint="eastAsia" w:ascii="仿宋_GB2312" w:hAnsi="仿宋_GB2312" w:eastAsia="仿宋_GB2312" w:cs="仿宋_GB2312"/>
          <w:kern w:val="0"/>
          <w:position w:val="3"/>
          <w:sz w:val="32"/>
          <w:szCs w:val="32"/>
          <w:highlight w:val="none"/>
          <w:lang w:val="en-US" w:eastAsia="en-US" w:bidi="ar-SA"/>
        </w:rPr>
        <w:t>2027年12月前全面收官。</w:t>
      </w:r>
    </w:p>
    <w:p w14:paraId="5E710ABF">
      <w:pPr>
        <w:keepNext w:val="0"/>
        <w:keepLines w:val="0"/>
        <w:pageBreakBefore w:val="0"/>
        <w:widowControl/>
        <w:numPr>
          <w:ilvl w:val="0"/>
          <w:numId w:val="0"/>
        </w:numPr>
        <w:kinsoku/>
        <w:wordWrap/>
        <w:overflowPunct/>
        <w:topLinePunct w:val="0"/>
        <w:autoSpaceDE/>
        <w:autoSpaceDN/>
        <w:bidi w:val="0"/>
        <w:adjustRightInd/>
        <w:spacing w:line="560" w:lineRule="exact"/>
        <w:ind w:firstLine="643" w:firstLineChars="200"/>
        <w:jc w:val="left"/>
        <w:textAlignment w:val="auto"/>
        <w:rPr>
          <w:rFonts w:hint="eastAsia" w:ascii="仿宋_GB2312" w:hAnsi="仿宋_GB2312" w:eastAsia="仿宋_GB2312" w:cs="仿宋_GB2312"/>
          <w:kern w:val="0"/>
          <w:position w:val="3"/>
          <w:sz w:val="32"/>
          <w:szCs w:val="32"/>
          <w:highlight w:val="none"/>
          <w:lang w:val="en-US" w:eastAsia="en-US" w:bidi="ar-SA"/>
        </w:rPr>
      </w:pPr>
      <w:r>
        <w:rPr>
          <w:rFonts w:hint="eastAsia" w:ascii="仿宋_GB2312" w:hAnsi="仿宋_GB2312" w:eastAsia="仿宋_GB2312" w:cs="仿宋_GB2312"/>
          <w:b/>
          <w:bCs/>
          <w:kern w:val="0"/>
          <w:position w:val="3"/>
          <w:sz w:val="32"/>
          <w:szCs w:val="32"/>
          <w:highlight w:val="none"/>
          <w:lang w:val="en-US" w:eastAsia="en-US" w:bidi="ar-SA"/>
        </w:rPr>
        <w:t>4.效益目标：</w:t>
      </w:r>
      <w:r>
        <w:rPr>
          <w:rFonts w:hint="eastAsia" w:ascii="仿宋_GB2312" w:hAnsi="仿宋_GB2312" w:eastAsia="仿宋_GB2312" w:cs="仿宋_GB2312"/>
          <w:kern w:val="0"/>
          <w:position w:val="3"/>
          <w:sz w:val="32"/>
          <w:szCs w:val="32"/>
          <w:highlight w:val="none"/>
          <w:lang w:val="en-US" w:eastAsia="en-US" w:bidi="ar-SA"/>
        </w:rPr>
        <w:t>全面摸清全州农用地土壤重金属污染底数，为后续污染整治提供精准方向，提升农用地土壤环境管理科学化、精准化，保障农产品质量安全和区域生态安全。</w:t>
      </w:r>
    </w:p>
    <w:p w14:paraId="2E407EA3">
      <w:pPr>
        <w:keepNext w:val="0"/>
        <w:keepLines w:val="0"/>
        <w:pageBreakBefore w:val="0"/>
        <w:widowControl/>
        <w:numPr>
          <w:ilvl w:val="0"/>
          <w:numId w:val="0"/>
        </w:numPr>
        <w:kinsoku/>
        <w:wordWrap/>
        <w:overflowPunct/>
        <w:topLinePunct w:val="0"/>
        <w:autoSpaceDE/>
        <w:autoSpaceDN/>
        <w:bidi w:val="0"/>
        <w:adjustRightInd/>
        <w:spacing w:line="560" w:lineRule="exact"/>
        <w:ind w:firstLine="640" w:firstLineChars="200"/>
        <w:jc w:val="left"/>
        <w:textAlignment w:val="auto"/>
        <w:rPr>
          <w:rFonts w:hint="eastAsia" w:ascii="黑体" w:hAnsi="黑体" w:eastAsia="黑体" w:cs="黑体"/>
          <w:kern w:val="0"/>
          <w:position w:val="3"/>
          <w:sz w:val="32"/>
          <w:szCs w:val="32"/>
          <w:highlight w:val="none"/>
          <w:lang w:val="en-US" w:eastAsia="en-US" w:bidi="ar-SA"/>
        </w:rPr>
      </w:pPr>
      <w:r>
        <w:rPr>
          <w:rFonts w:hint="eastAsia" w:ascii="黑体" w:hAnsi="黑体" w:eastAsia="黑体" w:cs="黑体"/>
          <w:kern w:val="0"/>
          <w:position w:val="3"/>
          <w:sz w:val="32"/>
          <w:szCs w:val="32"/>
          <w:highlight w:val="none"/>
          <w:lang w:val="en-US" w:eastAsia="en-US" w:bidi="ar-SA"/>
        </w:rPr>
        <w:t>二、评价实施</w:t>
      </w:r>
    </w:p>
    <w:p w14:paraId="2C077481">
      <w:pPr>
        <w:keepNext w:val="0"/>
        <w:keepLines w:val="0"/>
        <w:pageBreakBefore w:val="0"/>
        <w:widowControl/>
        <w:numPr>
          <w:ilvl w:val="0"/>
          <w:numId w:val="0"/>
        </w:numPr>
        <w:kinsoku/>
        <w:wordWrap/>
        <w:overflowPunct/>
        <w:topLinePunct w:val="0"/>
        <w:autoSpaceDE/>
        <w:autoSpaceDN/>
        <w:bidi w:val="0"/>
        <w:adjustRightInd/>
        <w:spacing w:line="560" w:lineRule="exact"/>
        <w:ind w:firstLine="643" w:firstLineChars="200"/>
        <w:jc w:val="left"/>
        <w:textAlignment w:val="auto"/>
        <w:rPr>
          <w:rFonts w:hint="eastAsia" w:ascii="楷体_GB2312" w:hAnsi="楷体_GB2312" w:eastAsia="楷体_GB2312" w:cs="楷体_GB2312"/>
          <w:b/>
          <w:bCs/>
          <w:kern w:val="0"/>
          <w:position w:val="3"/>
          <w:sz w:val="32"/>
          <w:szCs w:val="32"/>
          <w:highlight w:val="none"/>
          <w:lang w:val="en-US" w:eastAsia="en-US" w:bidi="ar-SA"/>
        </w:rPr>
      </w:pPr>
      <w:r>
        <w:rPr>
          <w:rFonts w:hint="eastAsia" w:ascii="楷体_GB2312" w:hAnsi="楷体_GB2312" w:eastAsia="楷体_GB2312" w:cs="楷体_GB2312"/>
          <w:b/>
          <w:bCs/>
          <w:kern w:val="0"/>
          <w:position w:val="3"/>
          <w:sz w:val="32"/>
          <w:szCs w:val="32"/>
          <w:highlight w:val="none"/>
          <w:lang w:val="en-US" w:eastAsia="en-US" w:bidi="ar-SA"/>
        </w:rPr>
        <w:t>（一）评价目的</w:t>
      </w:r>
    </w:p>
    <w:p w14:paraId="09D5A2B9">
      <w:pPr>
        <w:keepNext w:val="0"/>
        <w:keepLines w:val="0"/>
        <w:pageBreakBefore w:val="0"/>
        <w:widowControl/>
        <w:numPr>
          <w:ilvl w:val="0"/>
          <w:numId w:val="0"/>
        </w:numPr>
        <w:kinsoku/>
        <w:wordWrap/>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kern w:val="0"/>
          <w:position w:val="3"/>
          <w:sz w:val="32"/>
          <w:szCs w:val="32"/>
          <w:highlight w:val="none"/>
          <w:lang w:val="en-US" w:eastAsia="en-US" w:bidi="ar-SA"/>
        </w:rPr>
      </w:pPr>
      <w:r>
        <w:rPr>
          <w:rFonts w:hint="eastAsia" w:ascii="仿宋_GB2312" w:hAnsi="仿宋_GB2312" w:eastAsia="仿宋_GB2312" w:cs="仿宋_GB2312"/>
          <w:kern w:val="0"/>
          <w:position w:val="3"/>
          <w:sz w:val="32"/>
          <w:szCs w:val="32"/>
          <w:highlight w:val="none"/>
          <w:lang w:val="en-US" w:eastAsia="en-US" w:bidi="ar-SA"/>
        </w:rPr>
        <w:t>通过开展项目预算绩效自评，全面核查项目决策、管理、实施、产出全流程情况，客观评价项目资金使用效益、任务完成质量和绩效目标实现程度，总结项目实施经验，查找存在的问题与不足，提出整改提升措施，进一步规范项目管理和资金使用，确保阿坝州农用地土壤重金属污染溯源工作高质量落地见效。</w:t>
      </w:r>
    </w:p>
    <w:p w14:paraId="43D80A03">
      <w:pPr>
        <w:keepNext w:val="0"/>
        <w:keepLines w:val="0"/>
        <w:pageBreakBefore w:val="0"/>
        <w:widowControl/>
        <w:numPr>
          <w:ilvl w:val="0"/>
          <w:numId w:val="0"/>
        </w:numPr>
        <w:kinsoku/>
        <w:wordWrap/>
        <w:overflowPunct/>
        <w:topLinePunct w:val="0"/>
        <w:autoSpaceDE/>
        <w:autoSpaceDN/>
        <w:bidi w:val="0"/>
        <w:adjustRightInd/>
        <w:spacing w:line="560" w:lineRule="exact"/>
        <w:ind w:firstLine="643" w:firstLineChars="200"/>
        <w:jc w:val="left"/>
        <w:textAlignment w:val="auto"/>
        <w:rPr>
          <w:rFonts w:hint="eastAsia" w:ascii="楷体_GB2312" w:hAnsi="楷体_GB2312" w:eastAsia="楷体_GB2312" w:cs="楷体_GB2312"/>
          <w:b/>
          <w:bCs/>
          <w:kern w:val="0"/>
          <w:position w:val="3"/>
          <w:sz w:val="32"/>
          <w:szCs w:val="32"/>
          <w:highlight w:val="none"/>
          <w:lang w:val="en-US" w:eastAsia="en-US" w:bidi="ar-SA"/>
        </w:rPr>
      </w:pPr>
      <w:r>
        <w:rPr>
          <w:rFonts w:hint="eastAsia" w:ascii="楷体_GB2312" w:hAnsi="楷体_GB2312" w:eastAsia="楷体_GB2312" w:cs="楷体_GB2312"/>
          <w:b/>
          <w:bCs/>
          <w:kern w:val="0"/>
          <w:position w:val="3"/>
          <w:sz w:val="32"/>
          <w:szCs w:val="32"/>
          <w:highlight w:val="none"/>
          <w:lang w:val="en-US" w:eastAsia="en-US" w:bidi="ar-SA"/>
        </w:rPr>
        <w:t>（二）预设问题及评价重点</w:t>
      </w:r>
    </w:p>
    <w:p w14:paraId="18925A60">
      <w:pPr>
        <w:keepNext w:val="0"/>
        <w:keepLines w:val="0"/>
        <w:pageBreakBefore w:val="0"/>
        <w:widowControl/>
        <w:numPr>
          <w:ilvl w:val="0"/>
          <w:numId w:val="0"/>
        </w:numPr>
        <w:kinsoku/>
        <w:wordWrap/>
        <w:overflowPunct/>
        <w:topLinePunct w:val="0"/>
        <w:autoSpaceDE/>
        <w:autoSpaceDN/>
        <w:bidi w:val="0"/>
        <w:adjustRightInd/>
        <w:spacing w:line="560" w:lineRule="exact"/>
        <w:ind w:firstLine="643" w:firstLineChars="200"/>
        <w:jc w:val="left"/>
        <w:textAlignment w:val="auto"/>
        <w:rPr>
          <w:rFonts w:hint="eastAsia" w:ascii="仿宋_GB2312" w:hAnsi="仿宋_GB2312" w:eastAsia="仿宋_GB2312" w:cs="仿宋_GB2312"/>
          <w:kern w:val="0"/>
          <w:position w:val="3"/>
          <w:sz w:val="32"/>
          <w:szCs w:val="32"/>
          <w:highlight w:val="none"/>
          <w:lang w:val="en-US" w:eastAsia="en-US" w:bidi="ar-SA"/>
        </w:rPr>
      </w:pPr>
      <w:r>
        <w:rPr>
          <w:rFonts w:hint="eastAsia" w:ascii="仿宋_GB2312" w:hAnsi="仿宋_GB2312" w:eastAsia="仿宋_GB2312" w:cs="仿宋_GB2312"/>
          <w:b/>
          <w:bCs/>
          <w:kern w:val="0"/>
          <w:position w:val="3"/>
          <w:sz w:val="32"/>
          <w:szCs w:val="32"/>
          <w:highlight w:val="none"/>
          <w:lang w:val="en-US" w:eastAsia="en-US" w:bidi="ar-SA"/>
        </w:rPr>
        <w:t>1.预设问题：</w:t>
      </w:r>
      <w:r>
        <w:rPr>
          <w:rFonts w:hint="eastAsia" w:ascii="仿宋_GB2312" w:hAnsi="仿宋_GB2312" w:eastAsia="仿宋_GB2312" w:cs="仿宋_GB2312"/>
          <w:kern w:val="0"/>
          <w:position w:val="3"/>
          <w:sz w:val="32"/>
          <w:szCs w:val="32"/>
          <w:highlight w:val="none"/>
          <w:lang w:val="en-US" w:eastAsia="en-US" w:bidi="ar-SA"/>
        </w:rPr>
        <w:t>项目决策是否科学规范？资金管理是否合规高效？溯源成果是否达到验收标准？项目实施是否产生预期生态、社会效益？</w:t>
      </w:r>
    </w:p>
    <w:p w14:paraId="2A6B8A50">
      <w:pPr>
        <w:keepNext w:val="0"/>
        <w:keepLines w:val="0"/>
        <w:pageBreakBefore w:val="0"/>
        <w:widowControl/>
        <w:numPr>
          <w:ilvl w:val="0"/>
          <w:numId w:val="0"/>
        </w:numPr>
        <w:kinsoku/>
        <w:wordWrap/>
        <w:overflowPunct/>
        <w:topLinePunct w:val="0"/>
        <w:autoSpaceDE/>
        <w:autoSpaceDN/>
        <w:bidi w:val="0"/>
        <w:adjustRightInd/>
        <w:spacing w:line="560" w:lineRule="exact"/>
        <w:ind w:firstLine="643" w:firstLineChars="200"/>
        <w:jc w:val="left"/>
        <w:textAlignment w:val="auto"/>
        <w:rPr>
          <w:rFonts w:hint="eastAsia" w:ascii="仿宋_GB2312" w:hAnsi="仿宋_GB2312" w:eastAsia="仿宋_GB2312" w:cs="仿宋_GB2312"/>
          <w:kern w:val="0"/>
          <w:position w:val="3"/>
          <w:sz w:val="32"/>
          <w:szCs w:val="32"/>
          <w:highlight w:val="none"/>
          <w:lang w:val="en-US" w:eastAsia="en-US" w:bidi="ar-SA"/>
        </w:rPr>
      </w:pPr>
      <w:r>
        <w:rPr>
          <w:rFonts w:hint="eastAsia" w:ascii="仿宋_GB2312" w:hAnsi="仿宋_GB2312" w:eastAsia="仿宋_GB2312" w:cs="仿宋_GB2312"/>
          <w:b/>
          <w:bCs/>
          <w:kern w:val="0"/>
          <w:position w:val="3"/>
          <w:sz w:val="32"/>
          <w:szCs w:val="32"/>
          <w:highlight w:val="none"/>
          <w:lang w:val="en-US" w:eastAsia="en-US" w:bidi="ar-SA"/>
        </w:rPr>
        <w:t>2.评价重点：</w:t>
      </w:r>
      <w:r>
        <w:rPr>
          <w:rFonts w:hint="eastAsia" w:ascii="仿宋_GB2312" w:hAnsi="仿宋_GB2312" w:eastAsia="仿宋_GB2312" w:cs="仿宋_GB2312"/>
          <w:kern w:val="0"/>
          <w:position w:val="3"/>
          <w:sz w:val="32"/>
          <w:szCs w:val="32"/>
          <w:highlight w:val="none"/>
          <w:lang w:val="en-US" w:eastAsia="en-US" w:bidi="ar-SA"/>
        </w:rPr>
        <w:t>围绕绩效评价指标体系，重点对项目决策程序、资金分配使用、预算执行进度、任务完成情况、成果质量、实施效益、管理规范性等方面进行综合评价与判断，确保评价客观、真实、全面。</w:t>
      </w:r>
    </w:p>
    <w:p w14:paraId="2BEE6964">
      <w:pPr>
        <w:keepNext w:val="0"/>
        <w:keepLines w:val="0"/>
        <w:pageBreakBefore w:val="0"/>
        <w:widowControl/>
        <w:numPr>
          <w:ilvl w:val="0"/>
          <w:numId w:val="0"/>
        </w:numPr>
        <w:kinsoku/>
        <w:wordWrap/>
        <w:overflowPunct/>
        <w:topLinePunct w:val="0"/>
        <w:autoSpaceDE/>
        <w:autoSpaceDN/>
        <w:bidi w:val="0"/>
        <w:adjustRightInd/>
        <w:spacing w:line="560" w:lineRule="exact"/>
        <w:ind w:firstLine="643" w:firstLineChars="200"/>
        <w:jc w:val="left"/>
        <w:textAlignment w:val="auto"/>
        <w:rPr>
          <w:rFonts w:hint="eastAsia" w:ascii="仿宋_GB2312" w:hAnsi="仿宋_GB2312" w:eastAsia="仿宋_GB2312" w:cs="仿宋_GB2312"/>
          <w:kern w:val="0"/>
          <w:position w:val="3"/>
          <w:sz w:val="32"/>
          <w:szCs w:val="32"/>
          <w:highlight w:val="none"/>
          <w:lang w:val="en-US" w:eastAsia="en-US" w:bidi="ar-SA"/>
        </w:rPr>
      </w:pPr>
      <w:r>
        <w:rPr>
          <w:rFonts w:hint="eastAsia" w:ascii="楷体_GB2312" w:hAnsi="楷体_GB2312" w:eastAsia="楷体_GB2312" w:cs="楷体_GB2312"/>
          <w:b/>
          <w:bCs/>
          <w:kern w:val="0"/>
          <w:position w:val="3"/>
          <w:sz w:val="32"/>
          <w:szCs w:val="32"/>
          <w:highlight w:val="none"/>
          <w:lang w:val="en-US" w:eastAsia="en-US" w:bidi="ar-SA"/>
        </w:rPr>
        <w:t>（三）评价选点</w:t>
      </w:r>
    </w:p>
    <w:p w14:paraId="19508E50">
      <w:pPr>
        <w:keepNext w:val="0"/>
        <w:keepLines w:val="0"/>
        <w:pageBreakBefore w:val="0"/>
        <w:widowControl/>
        <w:numPr>
          <w:ilvl w:val="0"/>
          <w:numId w:val="0"/>
        </w:numPr>
        <w:kinsoku/>
        <w:wordWrap/>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kern w:val="0"/>
          <w:position w:val="3"/>
          <w:sz w:val="32"/>
          <w:szCs w:val="32"/>
          <w:highlight w:val="none"/>
          <w:lang w:val="en-US" w:eastAsia="en-US" w:bidi="ar-SA"/>
        </w:rPr>
      </w:pPr>
      <w:r>
        <w:rPr>
          <w:rFonts w:hint="eastAsia" w:ascii="仿宋_GB2312" w:hAnsi="仿宋_GB2312" w:eastAsia="仿宋_GB2312" w:cs="仿宋_GB2312"/>
          <w:kern w:val="0"/>
          <w:position w:val="3"/>
          <w:sz w:val="32"/>
          <w:szCs w:val="32"/>
          <w:highlight w:val="none"/>
          <w:lang w:val="en-US" w:eastAsia="en-US" w:bidi="ar-SA"/>
        </w:rPr>
        <w:t>按照绩效自评工作要求，本次自评选取专项资金覆盖县（市）总数的20%，且总计不超过20个的原则，结合阿坝州农用地分布、土壤污染风险等级、溯源工作开展情况，随机抽取2个县作为实地踏勘点位，重点核查现场调查采样、溯源排查、数据采集等工作真实性、规范性，点位清单作为本报告附表一并归档。</w:t>
      </w:r>
    </w:p>
    <w:p w14:paraId="3A21C160">
      <w:pPr>
        <w:keepNext w:val="0"/>
        <w:keepLines w:val="0"/>
        <w:pageBreakBefore w:val="0"/>
        <w:widowControl/>
        <w:numPr>
          <w:ilvl w:val="0"/>
          <w:numId w:val="0"/>
        </w:numPr>
        <w:kinsoku/>
        <w:wordWrap/>
        <w:overflowPunct/>
        <w:topLinePunct w:val="0"/>
        <w:autoSpaceDE/>
        <w:autoSpaceDN/>
        <w:bidi w:val="0"/>
        <w:adjustRightInd/>
        <w:spacing w:line="560" w:lineRule="exact"/>
        <w:ind w:firstLine="643" w:firstLineChars="200"/>
        <w:jc w:val="left"/>
        <w:textAlignment w:val="auto"/>
        <w:rPr>
          <w:rFonts w:hint="eastAsia" w:ascii="仿宋_GB2312" w:hAnsi="仿宋_GB2312" w:eastAsia="仿宋_GB2312" w:cs="仿宋_GB2312"/>
          <w:b/>
          <w:bCs/>
          <w:kern w:val="0"/>
          <w:position w:val="3"/>
          <w:sz w:val="32"/>
          <w:szCs w:val="32"/>
          <w:highlight w:val="none"/>
          <w:lang w:val="en-US" w:eastAsia="en-US" w:bidi="ar-SA"/>
        </w:rPr>
      </w:pPr>
      <w:r>
        <w:rPr>
          <w:rFonts w:hint="eastAsia" w:ascii="仿宋_GB2312" w:hAnsi="仿宋_GB2312" w:eastAsia="仿宋_GB2312" w:cs="仿宋_GB2312"/>
          <w:b/>
          <w:bCs/>
          <w:kern w:val="0"/>
          <w:position w:val="3"/>
          <w:sz w:val="32"/>
          <w:szCs w:val="32"/>
          <w:highlight w:val="none"/>
          <w:lang w:val="en-US" w:eastAsia="en-US" w:bidi="ar-SA"/>
        </w:rPr>
        <w:t>（四）评价方法</w:t>
      </w:r>
    </w:p>
    <w:p w14:paraId="6ADDADE6">
      <w:pPr>
        <w:keepNext w:val="0"/>
        <w:keepLines w:val="0"/>
        <w:pageBreakBefore w:val="0"/>
        <w:widowControl/>
        <w:numPr>
          <w:ilvl w:val="0"/>
          <w:numId w:val="0"/>
        </w:numPr>
        <w:kinsoku/>
        <w:wordWrap/>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kern w:val="0"/>
          <w:position w:val="3"/>
          <w:sz w:val="32"/>
          <w:szCs w:val="32"/>
          <w:highlight w:val="none"/>
          <w:lang w:val="en-US" w:eastAsia="en-US" w:bidi="ar-SA"/>
        </w:rPr>
      </w:pPr>
      <w:r>
        <w:rPr>
          <w:rFonts w:hint="eastAsia" w:ascii="仿宋_GB2312" w:hAnsi="仿宋_GB2312" w:eastAsia="仿宋_GB2312" w:cs="仿宋_GB2312"/>
          <w:kern w:val="0"/>
          <w:position w:val="3"/>
          <w:sz w:val="32"/>
          <w:szCs w:val="32"/>
          <w:highlight w:val="none"/>
          <w:lang w:val="en-US" w:eastAsia="en-US" w:bidi="ar-SA"/>
        </w:rPr>
        <w:t>本次绩效自评综合运用多种评价方法，确保评价结果科学准确：</w:t>
      </w:r>
    </w:p>
    <w:p w14:paraId="50CC4FBC">
      <w:pPr>
        <w:keepNext w:val="0"/>
        <w:keepLines w:val="0"/>
        <w:pageBreakBefore w:val="0"/>
        <w:widowControl/>
        <w:numPr>
          <w:ilvl w:val="0"/>
          <w:numId w:val="0"/>
        </w:numPr>
        <w:kinsoku/>
        <w:wordWrap/>
        <w:overflowPunct/>
        <w:topLinePunct w:val="0"/>
        <w:autoSpaceDE/>
        <w:autoSpaceDN/>
        <w:bidi w:val="0"/>
        <w:adjustRightInd/>
        <w:spacing w:line="560" w:lineRule="exact"/>
        <w:ind w:firstLine="643" w:firstLineChars="200"/>
        <w:jc w:val="left"/>
        <w:textAlignment w:val="auto"/>
        <w:rPr>
          <w:rFonts w:hint="eastAsia" w:ascii="仿宋_GB2312" w:hAnsi="仿宋_GB2312" w:eastAsia="仿宋_GB2312" w:cs="仿宋_GB2312"/>
          <w:kern w:val="0"/>
          <w:position w:val="3"/>
          <w:sz w:val="32"/>
          <w:szCs w:val="32"/>
          <w:highlight w:val="none"/>
          <w:lang w:val="en-US" w:eastAsia="zh-CN" w:bidi="ar-SA"/>
        </w:rPr>
      </w:pPr>
      <w:r>
        <w:rPr>
          <w:rFonts w:hint="eastAsia" w:ascii="仿宋_GB2312" w:hAnsi="仿宋_GB2312" w:eastAsia="仿宋_GB2312" w:cs="仿宋_GB2312"/>
          <w:b/>
          <w:bCs/>
          <w:kern w:val="0"/>
          <w:position w:val="3"/>
          <w:sz w:val="32"/>
          <w:szCs w:val="32"/>
          <w:highlight w:val="none"/>
          <w:lang w:val="en-US" w:eastAsia="en-US" w:bidi="ar-SA"/>
        </w:rPr>
        <w:t>1.成本效益分析法：</w:t>
      </w:r>
      <w:r>
        <w:rPr>
          <w:rFonts w:hint="eastAsia" w:ascii="仿宋_GB2312" w:hAnsi="仿宋_GB2312" w:eastAsia="仿宋_GB2312" w:cs="仿宋_GB2312"/>
          <w:kern w:val="0"/>
          <w:position w:val="3"/>
          <w:sz w:val="32"/>
          <w:szCs w:val="32"/>
          <w:highlight w:val="none"/>
          <w:lang w:val="en-US" w:eastAsia="en-US" w:bidi="ar-SA"/>
        </w:rPr>
        <w:t>对比项目资金投入与产出成果、实施效益，分析资金使用效率</w:t>
      </w:r>
      <w:r>
        <w:rPr>
          <w:rFonts w:hint="eastAsia" w:ascii="仿宋_GB2312" w:hAnsi="仿宋_GB2312" w:eastAsia="仿宋_GB2312" w:cs="仿宋_GB2312"/>
          <w:kern w:val="0"/>
          <w:position w:val="3"/>
          <w:sz w:val="32"/>
          <w:szCs w:val="32"/>
          <w:highlight w:val="none"/>
          <w:lang w:val="en-US" w:eastAsia="zh-CN" w:bidi="ar-SA"/>
        </w:rPr>
        <w:t>。</w:t>
      </w:r>
    </w:p>
    <w:p w14:paraId="145F5C54">
      <w:pPr>
        <w:keepNext w:val="0"/>
        <w:keepLines w:val="0"/>
        <w:pageBreakBefore w:val="0"/>
        <w:widowControl/>
        <w:numPr>
          <w:ilvl w:val="0"/>
          <w:numId w:val="0"/>
        </w:numPr>
        <w:kinsoku/>
        <w:wordWrap/>
        <w:overflowPunct/>
        <w:topLinePunct w:val="0"/>
        <w:autoSpaceDE/>
        <w:autoSpaceDN/>
        <w:bidi w:val="0"/>
        <w:adjustRightInd/>
        <w:spacing w:line="560" w:lineRule="exact"/>
        <w:ind w:firstLine="643" w:firstLineChars="200"/>
        <w:jc w:val="left"/>
        <w:textAlignment w:val="auto"/>
        <w:rPr>
          <w:rFonts w:hint="eastAsia" w:ascii="仿宋_GB2312" w:hAnsi="仿宋_GB2312" w:eastAsia="仿宋_GB2312" w:cs="仿宋_GB2312"/>
          <w:kern w:val="0"/>
          <w:position w:val="3"/>
          <w:sz w:val="32"/>
          <w:szCs w:val="32"/>
          <w:highlight w:val="none"/>
          <w:lang w:val="en-US" w:eastAsia="zh-CN" w:bidi="ar-SA"/>
        </w:rPr>
      </w:pPr>
      <w:r>
        <w:rPr>
          <w:rFonts w:hint="eastAsia" w:ascii="仿宋_GB2312" w:hAnsi="仿宋_GB2312" w:eastAsia="仿宋_GB2312" w:cs="仿宋_GB2312"/>
          <w:b/>
          <w:bCs/>
          <w:kern w:val="0"/>
          <w:position w:val="3"/>
          <w:sz w:val="32"/>
          <w:szCs w:val="32"/>
          <w:highlight w:val="none"/>
          <w:lang w:val="en-US" w:eastAsia="en-US" w:bidi="ar-SA"/>
        </w:rPr>
        <w:t>2.案卷研究法：</w:t>
      </w:r>
      <w:r>
        <w:rPr>
          <w:rFonts w:hint="eastAsia" w:ascii="仿宋_GB2312" w:hAnsi="仿宋_GB2312" w:eastAsia="仿宋_GB2312" w:cs="仿宋_GB2312"/>
          <w:kern w:val="0"/>
          <w:position w:val="3"/>
          <w:sz w:val="32"/>
          <w:szCs w:val="32"/>
          <w:highlight w:val="none"/>
          <w:lang w:val="en-US" w:eastAsia="en-US" w:bidi="ar-SA"/>
        </w:rPr>
        <w:t>查阅项目实施方案、合同、资金支付凭证、检测报告、溯源成果、评审资料等案卷材料</w:t>
      </w:r>
      <w:r>
        <w:rPr>
          <w:rFonts w:hint="eastAsia" w:ascii="仿宋_GB2312" w:hAnsi="仿宋_GB2312" w:eastAsia="仿宋_GB2312" w:cs="仿宋_GB2312"/>
          <w:kern w:val="0"/>
          <w:position w:val="3"/>
          <w:sz w:val="32"/>
          <w:szCs w:val="32"/>
          <w:highlight w:val="none"/>
          <w:lang w:val="en-US" w:eastAsia="zh-CN" w:bidi="ar-SA"/>
        </w:rPr>
        <w:t>。</w:t>
      </w:r>
    </w:p>
    <w:p w14:paraId="2CCE406F">
      <w:pPr>
        <w:keepNext w:val="0"/>
        <w:keepLines w:val="0"/>
        <w:pageBreakBefore w:val="0"/>
        <w:widowControl/>
        <w:numPr>
          <w:ilvl w:val="0"/>
          <w:numId w:val="0"/>
        </w:numPr>
        <w:kinsoku/>
        <w:wordWrap/>
        <w:overflowPunct/>
        <w:topLinePunct w:val="0"/>
        <w:autoSpaceDE/>
        <w:autoSpaceDN/>
        <w:bidi w:val="0"/>
        <w:adjustRightInd/>
        <w:spacing w:line="560" w:lineRule="exact"/>
        <w:ind w:firstLine="643" w:firstLineChars="200"/>
        <w:jc w:val="left"/>
        <w:textAlignment w:val="auto"/>
        <w:rPr>
          <w:rFonts w:hint="eastAsia" w:ascii="仿宋_GB2312" w:hAnsi="仿宋_GB2312" w:eastAsia="仿宋_GB2312" w:cs="仿宋_GB2312"/>
          <w:kern w:val="0"/>
          <w:position w:val="3"/>
          <w:sz w:val="32"/>
          <w:szCs w:val="32"/>
          <w:highlight w:val="none"/>
          <w:lang w:val="en-US" w:eastAsia="zh-CN" w:bidi="ar-SA"/>
        </w:rPr>
      </w:pPr>
      <w:r>
        <w:rPr>
          <w:rFonts w:hint="eastAsia" w:ascii="仿宋_GB2312" w:hAnsi="仿宋_GB2312" w:eastAsia="仿宋_GB2312" w:cs="仿宋_GB2312"/>
          <w:b/>
          <w:bCs/>
          <w:kern w:val="0"/>
          <w:position w:val="3"/>
          <w:sz w:val="32"/>
          <w:szCs w:val="32"/>
          <w:highlight w:val="none"/>
          <w:lang w:val="en-US" w:eastAsia="en-US" w:bidi="ar-SA"/>
        </w:rPr>
        <w:t>3.单位自评法：</w:t>
      </w:r>
      <w:r>
        <w:rPr>
          <w:rFonts w:hint="eastAsia" w:ascii="仿宋_GB2312" w:hAnsi="仿宋_GB2312" w:eastAsia="仿宋_GB2312" w:cs="仿宋_GB2312"/>
          <w:kern w:val="0"/>
          <w:position w:val="3"/>
          <w:sz w:val="32"/>
          <w:szCs w:val="32"/>
          <w:highlight w:val="none"/>
          <w:lang w:val="en-US" w:eastAsia="en-US" w:bidi="ar-SA"/>
        </w:rPr>
        <w:t>由项目实施单位、主管部门开展内部自查，逐项核对绩效指标完成情况</w:t>
      </w:r>
      <w:r>
        <w:rPr>
          <w:rFonts w:hint="eastAsia" w:ascii="仿宋_GB2312" w:hAnsi="仿宋_GB2312" w:eastAsia="仿宋_GB2312" w:cs="仿宋_GB2312"/>
          <w:kern w:val="0"/>
          <w:position w:val="3"/>
          <w:sz w:val="32"/>
          <w:szCs w:val="32"/>
          <w:highlight w:val="none"/>
          <w:lang w:val="en-US" w:eastAsia="zh-CN" w:bidi="ar-SA"/>
        </w:rPr>
        <w:t>。</w:t>
      </w:r>
    </w:p>
    <w:p w14:paraId="4C9A5D5D">
      <w:pPr>
        <w:keepNext w:val="0"/>
        <w:keepLines w:val="0"/>
        <w:pageBreakBefore w:val="0"/>
        <w:widowControl/>
        <w:numPr>
          <w:ilvl w:val="0"/>
          <w:numId w:val="0"/>
        </w:numPr>
        <w:kinsoku/>
        <w:wordWrap/>
        <w:overflowPunct/>
        <w:topLinePunct w:val="0"/>
        <w:autoSpaceDE/>
        <w:autoSpaceDN/>
        <w:bidi w:val="0"/>
        <w:adjustRightInd/>
        <w:spacing w:line="560" w:lineRule="exact"/>
        <w:ind w:firstLine="643" w:firstLineChars="200"/>
        <w:jc w:val="left"/>
        <w:textAlignment w:val="auto"/>
        <w:rPr>
          <w:rFonts w:hint="eastAsia" w:ascii="仿宋_GB2312" w:hAnsi="仿宋_GB2312" w:eastAsia="仿宋_GB2312" w:cs="仿宋_GB2312"/>
          <w:kern w:val="0"/>
          <w:position w:val="3"/>
          <w:sz w:val="32"/>
          <w:szCs w:val="32"/>
          <w:highlight w:val="none"/>
          <w:lang w:val="en-US" w:eastAsia="zh-CN" w:bidi="ar-SA"/>
        </w:rPr>
      </w:pPr>
      <w:r>
        <w:rPr>
          <w:rFonts w:hint="eastAsia" w:ascii="仿宋_GB2312" w:hAnsi="仿宋_GB2312" w:eastAsia="仿宋_GB2312" w:cs="仿宋_GB2312"/>
          <w:b/>
          <w:bCs/>
          <w:kern w:val="0"/>
          <w:position w:val="3"/>
          <w:sz w:val="32"/>
          <w:szCs w:val="32"/>
          <w:highlight w:val="none"/>
          <w:lang w:val="en-US" w:eastAsia="en-US" w:bidi="ar-SA"/>
        </w:rPr>
        <w:t>4.实地勘察法：</w:t>
      </w:r>
      <w:r>
        <w:rPr>
          <w:rFonts w:hint="eastAsia" w:ascii="仿宋_GB2312" w:hAnsi="仿宋_GB2312" w:eastAsia="仿宋_GB2312" w:cs="仿宋_GB2312"/>
          <w:kern w:val="0"/>
          <w:position w:val="3"/>
          <w:sz w:val="32"/>
          <w:szCs w:val="32"/>
          <w:highlight w:val="none"/>
          <w:lang w:val="en-US" w:eastAsia="en-US" w:bidi="ar-SA"/>
        </w:rPr>
        <w:t>赴抽取县（市）开展现场踏勘，核查溯源工作现场实施情况</w:t>
      </w:r>
      <w:r>
        <w:rPr>
          <w:rFonts w:hint="eastAsia" w:ascii="仿宋_GB2312" w:hAnsi="仿宋_GB2312" w:eastAsia="仿宋_GB2312" w:cs="仿宋_GB2312"/>
          <w:kern w:val="0"/>
          <w:position w:val="3"/>
          <w:sz w:val="32"/>
          <w:szCs w:val="32"/>
          <w:highlight w:val="none"/>
          <w:lang w:val="en-US" w:eastAsia="zh-CN" w:bidi="ar-SA"/>
        </w:rPr>
        <w:t>。</w:t>
      </w:r>
    </w:p>
    <w:p w14:paraId="606521BA">
      <w:pPr>
        <w:keepNext w:val="0"/>
        <w:keepLines w:val="0"/>
        <w:pageBreakBefore w:val="0"/>
        <w:widowControl/>
        <w:numPr>
          <w:ilvl w:val="0"/>
          <w:numId w:val="0"/>
        </w:numPr>
        <w:kinsoku/>
        <w:wordWrap/>
        <w:overflowPunct/>
        <w:topLinePunct w:val="0"/>
        <w:autoSpaceDE/>
        <w:autoSpaceDN/>
        <w:bidi w:val="0"/>
        <w:adjustRightInd/>
        <w:spacing w:line="560" w:lineRule="exact"/>
        <w:ind w:firstLine="643" w:firstLineChars="200"/>
        <w:jc w:val="left"/>
        <w:textAlignment w:val="auto"/>
        <w:rPr>
          <w:rFonts w:hint="eastAsia" w:ascii="仿宋_GB2312" w:hAnsi="仿宋_GB2312" w:eastAsia="仿宋_GB2312" w:cs="仿宋_GB2312"/>
          <w:kern w:val="0"/>
          <w:position w:val="3"/>
          <w:sz w:val="32"/>
          <w:szCs w:val="32"/>
          <w:highlight w:val="none"/>
          <w:lang w:val="en-US" w:eastAsia="zh-CN" w:bidi="ar-SA"/>
        </w:rPr>
      </w:pPr>
      <w:r>
        <w:rPr>
          <w:rFonts w:hint="eastAsia" w:ascii="仿宋_GB2312" w:hAnsi="仿宋_GB2312" w:eastAsia="仿宋_GB2312" w:cs="仿宋_GB2312"/>
          <w:b/>
          <w:bCs/>
          <w:kern w:val="0"/>
          <w:position w:val="3"/>
          <w:sz w:val="32"/>
          <w:szCs w:val="32"/>
          <w:highlight w:val="none"/>
          <w:lang w:val="en-US" w:eastAsia="en-US" w:bidi="ar-SA"/>
        </w:rPr>
        <w:t>5.座谈调研法：</w:t>
      </w:r>
      <w:r>
        <w:rPr>
          <w:rFonts w:hint="eastAsia" w:ascii="仿宋_GB2312" w:hAnsi="仿宋_GB2312" w:eastAsia="仿宋_GB2312" w:cs="仿宋_GB2312"/>
          <w:kern w:val="0"/>
          <w:position w:val="3"/>
          <w:sz w:val="32"/>
          <w:szCs w:val="32"/>
          <w:highlight w:val="none"/>
          <w:lang w:val="en-US" w:eastAsia="en-US" w:bidi="ar-SA"/>
        </w:rPr>
        <w:t>组织农业农村、财政等部门及技术单位开展座谈，听取工作推进情况</w:t>
      </w:r>
      <w:r>
        <w:rPr>
          <w:rFonts w:hint="eastAsia" w:ascii="仿宋_GB2312" w:hAnsi="仿宋_GB2312" w:eastAsia="仿宋_GB2312" w:cs="仿宋_GB2312"/>
          <w:kern w:val="0"/>
          <w:position w:val="3"/>
          <w:sz w:val="32"/>
          <w:szCs w:val="32"/>
          <w:highlight w:val="none"/>
          <w:lang w:val="en-US" w:eastAsia="zh-CN" w:bidi="ar-SA"/>
        </w:rPr>
        <w:t>。</w:t>
      </w:r>
    </w:p>
    <w:p w14:paraId="40D3E5BB">
      <w:pPr>
        <w:keepNext w:val="0"/>
        <w:keepLines w:val="0"/>
        <w:pageBreakBefore w:val="0"/>
        <w:widowControl/>
        <w:numPr>
          <w:ilvl w:val="0"/>
          <w:numId w:val="0"/>
        </w:numPr>
        <w:kinsoku/>
        <w:wordWrap/>
        <w:overflowPunct/>
        <w:topLinePunct w:val="0"/>
        <w:autoSpaceDE/>
        <w:autoSpaceDN/>
        <w:bidi w:val="0"/>
        <w:adjustRightInd/>
        <w:spacing w:line="560" w:lineRule="exact"/>
        <w:ind w:firstLine="643" w:firstLineChars="200"/>
        <w:jc w:val="left"/>
        <w:textAlignment w:val="auto"/>
        <w:rPr>
          <w:rFonts w:hint="eastAsia" w:ascii="仿宋_GB2312" w:hAnsi="仿宋_GB2312" w:eastAsia="仿宋_GB2312" w:cs="仿宋_GB2312"/>
          <w:kern w:val="0"/>
          <w:position w:val="3"/>
          <w:sz w:val="32"/>
          <w:szCs w:val="32"/>
          <w:highlight w:val="none"/>
          <w:lang w:val="en-US" w:eastAsia="en-US" w:bidi="ar-SA"/>
        </w:rPr>
      </w:pPr>
      <w:r>
        <w:rPr>
          <w:rFonts w:hint="eastAsia" w:ascii="楷体_GB2312" w:hAnsi="楷体_GB2312" w:eastAsia="楷体_GB2312" w:cs="楷体_GB2312"/>
          <w:b/>
          <w:bCs/>
          <w:kern w:val="0"/>
          <w:position w:val="3"/>
          <w:sz w:val="32"/>
          <w:szCs w:val="32"/>
          <w:highlight w:val="none"/>
          <w:lang w:val="en-US" w:eastAsia="en-US" w:bidi="ar-SA"/>
        </w:rPr>
        <w:t>（五）评价组织</w:t>
      </w:r>
    </w:p>
    <w:p w14:paraId="7C698445">
      <w:pPr>
        <w:keepNext w:val="0"/>
        <w:keepLines w:val="0"/>
        <w:pageBreakBefore w:val="0"/>
        <w:widowControl/>
        <w:numPr>
          <w:ilvl w:val="0"/>
          <w:numId w:val="0"/>
        </w:numPr>
        <w:kinsoku/>
        <w:wordWrap/>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kern w:val="0"/>
          <w:position w:val="3"/>
          <w:sz w:val="32"/>
          <w:szCs w:val="32"/>
          <w:highlight w:val="none"/>
          <w:lang w:val="en-US" w:eastAsia="zh-CN" w:bidi="ar-SA"/>
        </w:rPr>
      </w:pPr>
      <w:r>
        <w:rPr>
          <w:rFonts w:hint="eastAsia" w:ascii="仿宋_GB2312" w:hAnsi="仿宋_GB2312" w:eastAsia="仿宋_GB2312" w:cs="仿宋_GB2312"/>
          <w:kern w:val="0"/>
          <w:position w:val="3"/>
          <w:sz w:val="32"/>
          <w:szCs w:val="32"/>
          <w:highlight w:val="none"/>
          <w:lang w:val="en-US" w:eastAsia="en-US" w:bidi="ar-SA"/>
        </w:rPr>
        <w:t>为确保绩效自评工作有序开展，成立由州生态环境局牵头，州财政局、州农业农村局、项目技术服务单位共同参与的项目绩效自评工作组，明确人员构成及职责分工</w:t>
      </w:r>
      <w:r>
        <w:rPr>
          <w:rFonts w:hint="eastAsia" w:ascii="仿宋_GB2312" w:hAnsi="仿宋_GB2312" w:eastAsia="仿宋_GB2312" w:cs="仿宋_GB2312"/>
          <w:kern w:val="0"/>
          <w:position w:val="3"/>
          <w:sz w:val="32"/>
          <w:szCs w:val="32"/>
          <w:highlight w:val="none"/>
          <w:lang w:val="en-US" w:eastAsia="zh-CN" w:bidi="ar-SA"/>
        </w:rPr>
        <w:t>。</w:t>
      </w:r>
    </w:p>
    <w:p w14:paraId="7C375A99">
      <w:pPr>
        <w:keepNext w:val="0"/>
        <w:keepLines w:val="0"/>
        <w:pageBreakBefore w:val="0"/>
        <w:widowControl/>
        <w:numPr>
          <w:ilvl w:val="0"/>
          <w:numId w:val="0"/>
        </w:numPr>
        <w:kinsoku/>
        <w:wordWrap/>
        <w:overflowPunct/>
        <w:topLinePunct w:val="0"/>
        <w:autoSpaceDE/>
        <w:autoSpaceDN/>
        <w:bidi w:val="0"/>
        <w:adjustRightInd/>
        <w:spacing w:line="560" w:lineRule="exact"/>
        <w:ind w:firstLine="640" w:firstLineChars="200"/>
        <w:jc w:val="left"/>
        <w:textAlignment w:val="auto"/>
        <w:rPr>
          <w:rFonts w:hint="eastAsia" w:ascii="黑体" w:hAnsi="黑体" w:eastAsia="黑体" w:cs="黑体"/>
          <w:b w:val="0"/>
          <w:bCs w:val="0"/>
          <w:kern w:val="0"/>
          <w:position w:val="3"/>
          <w:sz w:val="32"/>
          <w:szCs w:val="32"/>
          <w:highlight w:val="none"/>
          <w:lang w:val="en-US" w:eastAsia="en-US" w:bidi="ar-SA"/>
        </w:rPr>
      </w:pPr>
      <w:r>
        <w:rPr>
          <w:rFonts w:hint="eastAsia" w:ascii="黑体" w:hAnsi="黑体" w:eastAsia="黑体" w:cs="黑体"/>
          <w:b w:val="0"/>
          <w:bCs w:val="0"/>
          <w:kern w:val="0"/>
          <w:position w:val="3"/>
          <w:sz w:val="32"/>
          <w:szCs w:val="32"/>
          <w:highlight w:val="none"/>
          <w:lang w:val="en-US" w:eastAsia="en-US" w:bidi="ar-SA"/>
        </w:rPr>
        <w:t>三、绩效分析</w:t>
      </w:r>
    </w:p>
    <w:p w14:paraId="17466358">
      <w:pPr>
        <w:keepNext w:val="0"/>
        <w:keepLines w:val="0"/>
        <w:pageBreakBefore w:val="0"/>
        <w:widowControl/>
        <w:numPr>
          <w:ilvl w:val="0"/>
          <w:numId w:val="0"/>
        </w:numPr>
        <w:kinsoku/>
        <w:wordWrap/>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kern w:val="0"/>
          <w:position w:val="3"/>
          <w:sz w:val="32"/>
          <w:szCs w:val="32"/>
          <w:highlight w:val="none"/>
          <w:lang w:val="en-US" w:eastAsia="en-US" w:bidi="ar-SA"/>
        </w:rPr>
      </w:pPr>
      <w:r>
        <w:rPr>
          <w:rFonts w:hint="eastAsia" w:ascii="仿宋_GB2312" w:hAnsi="仿宋_GB2312" w:eastAsia="仿宋_GB2312" w:cs="仿宋_GB2312"/>
          <w:kern w:val="0"/>
          <w:position w:val="3"/>
          <w:sz w:val="32"/>
          <w:szCs w:val="32"/>
          <w:highlight w:val="none"/>
          <w:lang w:val="en-US" w:eastAsia="en-US" w:bidi="ar-SA"/>
        </w:rPr>
        <w:t>本项目严格对照预算绩效评价指标体系，从通用指标、专用指标、个性指标三个维度，逐项开展绩效分析并量化评分。</w:t>
      </w:r>
    </w:p>
    <w:p w14:paraId="6C2D027E">
      <w:pPr>
        <w:keepNext w:val="0"/>
        <w:keepLines w:val="0"/>
        <w:pageBreakBefore w:val="0"/>
        <w:widowControl/>
        <w:numPr>
          <w:ilvl w:val="0"/>
          <w:numId w:val="0"/>
        </w:numPr>
        <w:kinsoku/>
        <w:wordWrap/>
        <w:overflowPunct/>
        <w:topLinePunct w:val="0"/>
        <w:autoSpaceDE/>
        <w:autoSpaceDN/>
        <w:bidi w:val="0"/>
        <w:adjustRightInd/>
        <w:spacing w:line="560" w:lineRule="exact"/>
        <w:ind w:firstLine="643" w:firstLineChars="200"/>
        <w:jc w:val="left"/>
        <w:textAlignment w:val="auto"/>
        <w:rPr>
          <w:rFonts w:hint="eastAsia" w:ascii="楷体_GB2312" w:hAnsi="楷体_GB2312" w:eastAsia="楷体_GB2312" w:cs="楷体_GB2312"/>
          <w:b/>
          <w:bCs/>
          <w:kern w:val="0"/>
          <w:position w:val="3"/>
          <w:sz w:val="32"/>
          <w:szCs w:val="32"/>
          <w:highlight w:val="none"/>
          <w:lang w:val="en-US" w:eastAsia="en-US" w:bidi="ar-SA"/>
        </w:rPr>
      </w:pPr>
      <w:r>
        <w:rPr>
          <w:rFonts w:hint="eastAsia" w:ascii="楷体_GB2312" w:hAnsi="楷体_GB2312" w:eastAsia="楷体_GB2312" w:cs="楷体_GB2312"/>
          <w:b/>
          <w:bCs/>
          <w:kern w:val="0"/>
          <w:position w:val="3"/>
          <w:sz w:val="32"/>
          <w:szCs w:val="32"/>
          <w:highlight w:val="none"/>
          <w:lang w:val="en-US" w:eastAsia="en-US" w:bidi="ar-SA"/>
        </w:rPr>
        <w:t>（一）通用指标绩效分析</w:t>
      </w:r>
    </w:p>
    <w:p w14:paraId="7635628F">
      <w:pPr>
        <w:keepNext w:val="0"/>
        <w:keepLines w:val="0"/>
        <w:pageBreakBefore w:val="0"/>
        <w:widowControl/>
        <w:numPr>
          <w:ilvl w:val="0"/>
          <w:numId w:val="0"/>
        </w:numPr>
        <w:kinsoku/>
        <w:wordWrap/>
        <w:overflowPunct/>
        <w:topLinePunct w:val="0"/>
        <w:autoSpaceDE/>
        <w:autoSpaceDN/>
        <w:bidi w:val="0"/>
        <w:adjustRightInd/>
        <w:spacing w:line="560" w:lineRule="exact"/>
        <w:ind w:firstLine="643" w:firstLineChars="200"/>
        <w:jc w:val="left"/>
        <w:textAlignment w:val="auto"/>
        <w:rPr>
          <w:rFonts w:hint="eastAsia" w:ascii="仿宋_GB2312" w:hAnsi="仿宋_GB2312" w:eastAsia="仿宋_GB2312" w:cs="仿宋_GB2312"/>
          <w:kern w:val="0"/>
          <w:position w:val="3"/>
          <w:sz w:val="32"/>
          <w:szCs w:val="32"/>
          <w:highlight w:val="none"/>
          <w:lang w:val="en-US" w:eastAsia="en-US" w:bidi="ar-SA"/>
        </w:rPr>
      </w:pPr>
      <w:r>
        <w:rPr>
          <w:rFonts w:hint="eastAsia" w:ascii="仿宋_GB2312" w:hAnsi="仿宋_GB2312" w:eastAsia="仿宋_GB2312" w:cs="仿宋_GB2312"/>
          <w:b/>
          <w:bCs/>
          <w:kern w:val="0"/>
          <w:position w:val="3"/>
          <w:sz w:val="32"/>
          <w:szCs w:val="32"/>
          <w:highlight w:val="none"/>
          <w:lang w:val="en-US" w:eastAsia="en-US" w:bidi="ar-SA"/>
        </w:rPr>
        <w:t>1.项目决策：</w:t>
      </w:r>
      <w:r>
        <w:rPr>
          <w:rFonts w:hint="eastAsia" w:ascii="仿宋_GB2312" w:hAnsi="仿宋_GB2312" w:eastAsia="仿宋_GB2312" w:cs="仿宋_GB2312"/>
          <w:kern w:val="0"/>
          <w:position w:val="3"/>
          <w:sz w:val="32"/>
          <w:szCs w:val="32"/>
          <w:highlight w:val="none"/>
          <w:lang w:val="en-US" w:eastAsia="en-US" w:bidi="ar-SA"/>
        </w:rPr>
        <w:t>项目依据国家、省、州土壤污染防治相关政策文件设立，决策程序规范，经充分规划论证，符合阿坝州净土保卫战工作实际；资金投向精准，全部用于农用地土壤重金属污染溯源核心工作，无偏离支持方向情况，该项指标满分完成。</w:t>
      </w:r>
    </w:p>
    <w:p w14:paraId="7127A484">
      <w:pPr>
        <w:keepNext w:val="0"/>
        <w:keepLines w:val="0"/>
        <w:pageBreakBefore w:val="0"/>
        <w:widowControl/>
        <w:numPr>
          <w:ilvl w:val="0"/>
          <w:numId w:val="0"/>
        </w:numPr>
        <w:kinsoku/>
        <w:wordWrap/>
        <w:overflowPunct/>
        <w:topLinePunct w:val="0"/>
        <w:autoSpaceDE/>
        <w:autoSpaceDN/>
        <w:bidi w:val="0"/>
        <w:adjustRightInd/>
        <w:spacing w:line="560" w:lineRule="exact"/>
        <w:ind w:firstLine="643" w:firstLineChars="200"/>
        <w:jc w:val="left"/>
        <w:textAlignment w:val="auto"/>
        <w:rPr>
          <w:rFonts w:hint="eastAsia" w:ascii="仿宋_GB2312" w:hAnsi="仿宋_GB2312" w:eastAsia="仿宋_GB2312" w:cs="仿宋_GB2312"/>
          <w:kern w:val="0"/>
          <w:position w:val="3"/>
          <w:sz w:val="32"/>
          <w:szCs w:val="32"/>
          <w:highlight w:val="none"/>
          <w:lang w:val="en-US" w:eastAsia="en-US" w:bidi="ar-SA"/>
        </w:rPr>
      </w:pPr>
      <w:r>
        <w:rPr>
          <w:rFonts w:hint="eastAsia" w:ascii="仿宋_GB2312" w:hAnsi="仿宋_GB2312" w:eastAsia="仿宋_GB2312" w:cs="仿宋_GB2312"/>
          <w:b/>
          <w:bCs/>
          <w:kern w:val="0"/>
          <w:position w:val="3"/>
          <w:sz w:val="32"/>
          <w:szCs w:val="32"/>
          <w:highlight w:val="none"/>
          <w:lang w:val="en-US" w:eastAsia="en-US" w:bidi="ar-SA"/>
        </w:rPr>
        <w:t>2.项目管理：</w:t>
      </w:r>
      <w:r>
        <w:rPr>
          <w:rFonts w:hint="eastAsia" w:ascii="仿宋_GB2312" w:hAnsi="仿宋_GB2312" w:eastAsia="仿宋_GB2312" w:cs="仿宋_GB2312"/>
          <w:kern w:val="0"/>
          <w:position w:val="3"/>
          <w:sz w:val="32"/>
          <w:szCs w:val="32"/>
          <w:highlight w:val="none"/>
          <w:lang w:val="en-US" w:eastAsia="en-US" w:bidi="ar-SA"/>
        </w:rPr>
        <w:t>建立健全项目管理制度、资金管理办法，严格执行财政资金管理规定；资金分配科学合理，与项目任务、实施范围匹配；建立绩效监管机制，对项目进度、质量、资金使用全程监管，管理工作规范有序，该项指标满分完成。</w:t>
      </w:r>
    </w:p>
    <w:p w14:paraId="6561FF0D">
      <w:pPr>
        <w:keepNext w:val="0"/>
        <w:keepLines w:val="0"/>
        <w:pageBreakBefore w:val="0"/>
        <w:widowControl/>
        <w:numPr>
          <w:ilvl w:val="0"/>
          <w:numId w:val="0"/>
        </w:numPr>
        <w:kinsoku/>
        <w:wordWrap/>
        <w:overflowPunct/>
        <w:topLinePunct w:val="0"/>
        <w:autoSpaceDE/>
        <w:autoSpaceDN/>
        <w:bidi w:val="0"/>
        <w:adjustRightInd/>
        <w:spacing w:line="560" w:lineRule="exact"/>
        <w:ind w:firstLine="643" w:firstLineChars="200"/>
        <w:jc w:val="left"/>
        <w:textAlignment w:val="auto"/>
        <w:rPr>
          <w:rFonts w:hint="eastAsia" w:ascii="仿宋_GB2312" w:hAnsi="仿宋_GB2312" w:eastAsia="仿宋_GB2312" w:cs="仿宋_GB2312"/>
          <w:kern w:val="0"/>
          <w:position w:val="3"/>
          <w:sz w:val="32"/>
          <w:szCs w:val="32"/>
          <w:highlight w:val="none"/>
          <w:lang w:val="en-US" w:eastAsia="en-US" w:bidi="ar-SA"/>
        </w:rPr>
      </w:pPr>
      <w:r>
        <w:rPr>
          <w:rFonts w:hint="eastAsia" w:ascii="仿宋_GB2312" w:hAnsi="仿宋_GB2312" w:eastAsia="仿宋_GB2312" w:cs="仿宋_GB2312"/>
          <w:b/>
          <w:bCs/>
          <w:kern w:val="0"/>
          <w:position w:val="3"/>
          <w:sz w:val="32"/>
          <w:szCs w:val="32"/>
          <w:highlight w:val="none"/>
          <w:lang w:val="en-US" w:eastAsia="en-US" w:bidi="ar-SA"/>
        </w:rPr>
        <w:t>3.项目实施：</w:t>
      </w:r>
      <w:r>
        <w:rPr>
          <w:rFonts w:hint="eastAsia" w:ascii="仿宋_GB2312" w:hAnsi="仿宋_GB2312" w:eastAsia="仿宋_GB2312" w:cs="仿宋_GB2312"/>
          <w:kern w:val="0"/>
          <w:position w:val="3"/>
          <w:sz w:val="32"/>
          <w:szCs w:val="32"/>
          <w:highlight w:val="none"/>
          <w:lang w:val="en-US" w:eastAsia="en-US" w:bidi="ar-SA"/>
        </w:rPr>
        <w:t>严格按照项目计划推进实施，预算执行进度与项目进度匹配，资金支付合规、手续齐全；资金使用符合财经纪律和项目管理要求，该项指标完成良好。</w:t>
      </w:r>
    </w:p>
    <w:p w14:paraId="49737632">
      <w:pPr>
        <w:keepNext w:val="0"/>
        <w:keepLines w:val="0"/>
        <w:pageBreakBefore w:val="0"/>
        <w:widowControl/>
        <w:numPr>
          <w:ilvl w:val="0"/>
          <w:numId w:val="0"/>
        </w:numPr>
        <w:kinsoku/>
        <w:wordWrap/>
        <w:overflowPunct/>
        <w:topLinePunct w:val="0"/>
        <w:autoSpaceDE/>
        <w:autoSpaceDN/>
        <w:bidi w:val="0"/>
        <w:adjustRightInd/>
        <w:spacing w:line="560" w:lineRule="exact"/>
        <w:ind w:firstLine="643" w:firstLineChars="200"/>
        <w:jc w:val="left"/>
        <w:textAlignment w:val="auto"/>
        <w:rPr>
          <w:rFonts w:hint="eastAsia" w:ascii="仿宋_GB2312" w:hAnsi="仿宋_GB2312" w:eastAsia="仿宋_GB2312" w:cs="仿宋_GB2312"/>
          <w:kern w:val="0"/>
          <w:position w:val="3"/>
          <w:sz w:val="32"/>
          <w:szCs w:val="32"/>
          <w:highlight w:val="none"/>
          <w:lang w:val="en-US" w:eastAsia="en-US" w:bidi="ar-SA"/>
        </w:rPr>
      </w:pPr>
      <w:r>
        <w:rPr>
          <w:rFonts w:hint="eastAsia" w:ascii="仿宋_GB2312" w:hAnsi="仿宋_GB2312" w:eastAsia="仿宋_GB2312" w:cs="仿宋_GB2312"/>
          <w:b/>
          <w:bCs/>
          <w:kern w:val="0"/>
          <w:position w:val="3"/>
          <w:sz w:val="32"/>
          <w:szCs w:val="32"/>
          <w:highlight w:val="none"/>
          <w:lang w:val="en-US" w:eastAsia="en-US" w:bidi="ar-SA"/>
        </w:rPr>
        <w:t>4.项目结果：</w:t>
      </w:r>
      <w:r>
        <w:rPr>
          <w:rFonts w:hint="eastAsia" w:ascii="仿宋_GB2312" w:hAnsi="仿宋_GB2312" w:eastAsia="仿宋_GB2312" w:cs="仿宋_GB2312"/>
          <w:kern w:val="0"/>
          <w:position w:val="3"/>
          <w:sz w:val="32"/>
          <w:szCs w:val="32"/>
          <w:highlight w:val="none"/>
          <w:lang w:val="en-US" w:eastAsia="en-US" w:bidi="ar-SA"/>
        </w:rPr>
        <w:t>截至自评日，项目按计划推进阶段性任务，总体进度符合3年周期要求；核心绩效目标为完成10个县（市）溯源并通过验收。</w:t>
      </w:r>
    </w:p>
    <w:p w14:paraId="21FAB0AD">
      <w:pPr>
        <w:keepNext w:val="0"/>
        <w:keepLines w:val="0"/>
        <w:pageBreakBefore w:val="0"/>
        <w:widowControl/>
        <w:numPr>
          <w:ilvl w:val="0"/>
          <w:numId w:val="0"/>
        </w:numPr>
        <w:kinsoku/>
        <w:wordWrap/>
        <w:overflowPunct/>
        <w:topLinePunct w:val="0"/>
        <w:autoSpaceDE/>
        <w:autoSpaceDN/>
        <w:bidi w:val="0"/>
        <w:adjustRightInd/>
        <w:spacing w:line="560" w:lineRule="exact"/>
        <w:ind w:firstLine="643" w:firstLineChars="200"/>
        <w:jc w:val="left"/>
        <w:textAlignment w:val="auto"/>
        <w:rPr>
          <w:rFonts w:hint="eastAsia" w:ascii="楷体_GB2312" w:hAnsi="楷体_GB2312" w:eastAsia="楷体_GB2312" w:cs="楷体_GB2312"/>
          <w:b/>
          <w:bCs/>
          <w:kern w:val="0"/>
          <w:position w:val="3"/>
          <w:sz w:val="32"/>
          <w:szCs w:val="32"/>
          <w:highlight w:val="none"/>
          <w:lang w:val="en-US" w:eastAsia="en-US" w:bidi="ar-SA"/>
        </w:rPr>
      </w:pPr>
      <w:r>
        <w:rPr>
          <w:rFonts w:hint="eastAsia" w:ascii="楷体_GB2312" w:hAnsi="楷体_GB2312" w:eastAsia="楷体_GB2312" w:cs="楷体_GB2312"/>
          <w:b/>
          <w:bCs/>
          <w:kern w:val="0"/>
          <w:position w:val="3"/>
          <w:sz w:val="32"/>
          <w:szCs w:val="32"/>
          <w:highlight w:val="none"/>
          <w:lang w:val="en-US" w:eastAsia="en-US" w:bidi="ar-SA"/>
        </w:rPr>
        <w:t>（二）专用指标绩效分析</w:t>
      </w:r>
    </w:p>
    <w:p w14:paraId="002CC2F7">
      <w:pPr>
        <w:keepNext w:val="0"/>
        <w:keepLines w:val="0"/>
        <w:pageBreakBefore w:val="0"/>
        <w:widowControl/>
        <w:numPr>
          <w:ilvl w:val="0"/>
          <w:numId w:val="0"/>
        </w:numPr>
        <w:kinsoku/>
        <w:wordWrap/>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kern w:val="0"/>
          <w:position w:val="3"/>
          <w:sz w:val="32"/>
          <w:szCs w:val="32"/>
          <w:highlight w:val="none"/>
          <w:lang w:val="en-US" w:eastAsia="en-US" w:bidi="ar-SA"/>
        </w:rPr>
      </w:pPr>
      <w:r>
        <w:rPr>
          <w:rFonts w:hint="eastAsia" w:ascii="仿宋_GB2312" w:hAnsi="仿宋_GB2312" w:eastAsia="仿宋_GB2312" w:cs="仿宋_GB2312"/>
          <w:kern w:val="0"/>
          <w:position w:val="3"/>
          <w:sz w:val="32"/>
          <w:szCs w:val="32"/>
          <w:highlight w:val="none"/>
          <w:lang w:val="en-US" w:eastAsia="zh-CN" w:bidi="ar-SA"/>
        </w:rPr>
        <w:t>该</w:t>
      </w:r>
      <w:r>
        <w:rPr>
          <w:rFonts w:hint="eastAsia" w:ascii="仿宋_GB2312" w:hAnsi="仿宋_GB2312" w:eastAsia="仿宋_GB2312" w:cs="仿宋_GB2312"/>
          <w:kern w:val="0"/>
          <w:position w:val="3"/>
          <w:sz w:val="32"/>
          <w:szCs w:val="32"/>
          <w:highlight w:val="none"/>
          <w:lang w:val="en-US" w:eastAsia="en-US" w:bidi="ar-SA"/>
        </w:rPr>
        <w:t>项目属于生态</w:t>
      </w:r>
      <w:r>
        <w:rPr>
          <w:rFonts w:hint="eastAsia" w:ascii="仿宋_GB2312" w:hAnsi="仿宋_GB2312" w:eastAsia="仿宋_GB2312" w:cs="仿宋_GB2312"/>
          <w:kern w:val="0"/>
          <w:position w:val="3"/>
          <w:sz w:val="32"/>
          <w:szCs w:val="32"/>
          <w:highlight w:val="none"/>
          <w:lang w:val="en-US" w:eastAsia="zh-CN" w:bidi="ar-SA"/>
        </w:rPr>
        <w:t>环境</w:t>
      </w:r>
      <w:r>
        <w:rPr>
          <w:rFonts w:hint="eastAsia" w:ascii="仿宋_GB2312" w:hAnsi="仿宋_GB2312" w:eastAsia="仿宋_GB2312" w:cs="仿宋_GB2312"/>
          <w:kern w:val="0"/>
          <w:position w:val="3"/>
          <w:sz w:val="32"/>
          <w:szCs w:val="32"/>
          <w:highlight w:val="none"/>
          <w:lang w:val="en-US" w:eastAsia="en-US" w:bidi="ar-SA"/>
        </w:rPr>
        <w:t>与民生保障类工作，聚焦农用地土壤安全、农产品质量保障，围绕区域均衡性、对象精准性、标准合理性、群众满意度开展绩效分析：</w:t>
      </w:r>
    </w:p>
    <w:p w14:paraId="40AE333F">
      <w:pPr>
        <w:keepNext w:val="0"/>
        <w:keepLines w:val="0"/>
        <w:pageBreakBefore w:val="0"/>
        <w:widowControl/>
        <w:numPr>
          <w:ilvl w:val="0"/>
          <w:numId w:val="0"/>
        </w:numPr>
        <w:kinsoku/>
        <w:wordWrap/>
        <w:overflowPunct/>
        <w:topLinePunct w:val="0"/>
        <w:autoSpaceDE/>
        <w:autoSpaceDN/>
        <w:bidi w:val="0"/>
        <w:adjustRightInd/>
        <w:spacing w:line="560" w:lineRule="exact"/>
        <w:ind w:firstLine="643" w:firstLineChars="200"/>
        <w:jc w:val="left"/>
        <w:textAlignment w:val="auto"/>
        <w:rPr>
          <w:rFonts w:hint="eastAsia" w:ascii="仿宋_GB2312" w:hAnsi="仿宋_GB2312" w:eastAsia="仿宋_GB2312" w:cs="仿宋_GB2312"/>
          <w:kern w:val="0"/>
          <w:position w:val="3"/>
          <w:sz w:val="32"/>
          <w:szCs w:val="32"/>
          <w:highlight w:val="none"/>
          <w:lang w:val="en-US" w:eastAsia="zh-CN" w:bidi="ar-SA"/>
        </w:rPr>
      </w:pPr>
      <w:r>
        <w:rPr>
          <w:rFonts w:hint="eastAsia" w:ascii="仿宋_GB2312" w:hAnsi="仿宋_GB2312" w:eastAsia="仿宋_GB2312" w:cs="仿宋_GB2312"/>
          <w:b/>
          <w:bCs/>
          <w:kern w:val="0"/>
          <w:position w:val="3"/>
          <w:sz w:val="32"/>
          <w:szCs w:val="32"/>
          <w:highlight w:val="none"/>
          <w:lang w:val="en-US" w:eastAsia="en-US" w:bidi="ar-SA"/>
        </w:rPr>
        <w:t>1.区域均衡性：</w:t>
      </w:r>
      <w:r>
        <w:rPr>
          <w:rFonts w:hint="eastAsia" w:ascii="仿宋_GB2312" w:hAnsi="仿宋_GB2312" w:eastAsia="仿宋_GB2312" w:cs="仿宋_GB2312"/>
          <w:kern w:val="0"/>
          <w:position w:val="3"/>
          <w:sz w:val="32"/>
          <w:szCs w:val="32"/>
          <w:highlight w:val="none"/>
          <w:lang w:val="en-US" w:eastAsia="en-US" w:bidi="ar-SA"/>
        </w:rPr>
        <w:t>项目覆盖全州10个县（市），无遗漏、无偏向，实现农用地溯源区域全覆盖，符合全州统一管控要求</w:t>
      </w:r>
      <w:r>
        <w:rPr>
          <w:rFonts w:hint="eastAsia" w:ascii="仿宋_GB2312" w:hAnsi="仿宋_GB2312" w:eastAsia="仿宋_GB2312" w:cs="仿宋_GB2312"/>
          <w:kern w:val="0"/>
          <w:position w:val="3"/>
          <w:sz w:val="32"/>
          <w:szCs w:val="32"/>
          <w:highlight w:val="none"/>
          <w:lang w:val="en-US" w:eastAsia="zh-CN" w:bidi="ar-SA"/>
        </w:rPr>
        <w:t>。</w:t>
      </w:r>
    </w:p>
    <w:p w14:paraId="158E9CE1">
      <w:pPr>
        <w:keepNext w:val="0"/>
        <w:keepLines w:val="0"/>
        <w:pageBreakBefore w:val="0"/>
        <w:widowControl/>
        <w:numPr>
          <w:ilvl w:val="0"/>
          <w:numId w:val="0"/>
        </w:numPr>
        <w:kinsoku/>
        <w:wordWrap/>
        <w:overflowPunct/>
        <w:topLinePunct w:val="0"/>
        <w:autoSpaceDE/>
        <w:autoSpaceDN/>
        <w:bidi w:val="0"/>
        <w:adjustRightInd/>
        <w:spacing w:line="560" w:lineRule="exact"/>
        <w:ind w:firstLine="643" w:firstLineChars="200"/>
        <w:jc w:val="left"/>
        <w:textAlignment w:val="auto"/>
        <w:rPr>
          <w:rFonts w:hint="eastAsia" w:ascii="仿宋_GB2312" w:hAnsi="仿宋_GB2312" w:eastAsia="仿宋_GB2312" w:cs="仿宋_GB2312"/>
          <w:kern w:val="0"/>
          <w:position w:val="3"/>
          <w:sz w:val="32"/>
          <w:szCs w:val="32"/>
          <w:highlight w:val="none"/>
          <w:lang w:val="en-US" w:eastAsia="zh-CN" w:bidi="ar-SA"/>
        </w:rPr>
      </w:pPr>
      <w:r>
        <w:rPr>
          <w:rFonts w:hint="eastAsia" w:ascii="仿宋_GB2312" w:hAnsi="仿宋_GB2312" w:eastAsia="仿宋_GB2312" w:cs="仿宋_GB2312"/>
          <w:b/>
          <w:bCs/>
          <w:kern w:val="0"/>
          <w:position w:val="3"/>
          <w:sz w:val="32"/>
          <w:szCs w:val="32"/>
          <w:highlight w:val="none"/>
          <w:lang w:val="en-US" w:eastAsia="en-US" w:bidi="ar-SA"/>
        </w:rPr>
        <w:t>2.对象精准性：</w:t>
      </w:r>
      <w:r>
        <w:rPr>
          <w:rFonts w:hint="eastAsia" w:ascii="仿宋_GB2312" w:hAnsi="仿宋_GB2312" w:eastAsia="仿宋_GB2312" w:cs="仿宋_GB2312"/>
          <w:kern w:val="0"/>
          <w:position w:val="3"/>
          <w:sz w:val="32"/>
          <w:szCs w:val="32"/>
          <w:highlight w:val="none"/>
          <w:lang w:val="en-US" w:eastAsia="en-US" w:bidi="ar-SA"/>
        </w:rPr>
        <w:t>聚焦受污染农用地及高风险区域，排查对象、采样点位、溯源范围精准划定，贴合土壤污染防控实际</w:t>
      </w:r>
      <w:r>
        <w:rPr>
          <w:rFonts w:hint="eastAsia" w:ascii="仿宋_GB2312" w:hAnsi="仿宋_GB2312" w:eastAsia="仿宋_GB2312" w:cs="仿宋_GB2312"/>
          <w:kern w:val="0"/>
          <w:position w:val="3"/>
          <w:sz w:val="32"/>
          <w:szCs w:val="32"/>
          <w:highlight w:val="none"/>
          <w:lang w:val="en-US" w:eastAsia="zh-CN" w:bidi="ar-SA"/>
        </w:rPr>
        <w:t>。</w:t>
      </w:r>
    </w:p>
    <w:p w14:paraId="291AFE25">
      <w:pPr>
        <w:keepNext w:val="0"/>
        <w:keepLines w:val="0"/>
        <w:pageBreakBefore w:val="0"/>
        <w:widowControl/>
        <w:numPr>
          <w:ilvl w:val="0"/>
          <w:numId w:val="0"/>
        </w:numPr>
        <w:kinsoku/>
        <w:wordWrap/>
        <w:overflowPunct/>
        <w:topLinePunct w:val="0"/>
        <w:autoSpaceDE/>
        <w:autoSpaceDN/>
        <w:bidi w:val="0"/>
        <w:adjustRightInd/>
        <w:spacing w:line="560" w:lineRule="exact"/>
        <w:ind w:firstLine="643" w:firstLineChars="200"/>
        <w:jc w:val="left"/>
        <w:textAlignment w:val="auto"/>
        <w:rPr>
          <w:rFonts w:hint="eastAsia" w:ascii="仿宋_GB2312" w:hAnsi="仿宋_GB2312" w:eastAsia="仿宋_GB2312" w:cs="仿宋_GB2312"/>
          <w:kern w:val="0"/>
          <w:position w:val="3"/>
          <w:sz w:val="32"/>
          <w:szCs w:val="32"/>
          <w:highlight w:val="none"/>
          <w:lang w:val="en-US" w:eastAsia="zh-CN" w:bidi="ar-SA"/>
        </w:rPr>
      </w:pPr>
      <w:r>
        <w:rPr>
          <w:rFonts w:hint="eastAsia" w:ascii="仿宋_GB2312" w:hAnsi="仿宋_GB2312" w:eastAsia="仿宋_GB2312" w:cs="仿宋_GB2312"/>
          <w:b/>
          <w:bCs/>
          <w:kern w:val="0"/>
          <w:position w:val="3"/>
          <w:sz w:val="32"/>
          <w:szCs w:val="32"/>
          <w:highlight w:val="none"/>
          <w:lang w:val="en-US" w:eastAsia="en-US" w:bidi="ar-SA"/>
        </w:rPr>
        <w:t>3.标准合理性：</w:t>
      </w:r>
      <w:r>
        <w:rPr>
          <w:rFonts w:hint="eastAsia" w:ascii="仿宋_GB2312" w:hAnsi="仿宋_GB2312" w:eastAsia="仿宋_GB2312" w:cs="仿宋_GB2312"/>
          <w:kern w:val="0"/>
          <w:position w:val="3"/>
          <w:sz w:val="32"/>
          <w:szCs w:val="32"/>
          <w:highlight w:val="none"/>
          <w:lang w:val="en-US" w:eastAsia="en-US" w:bidi="ar-SA"/>
        </w:rPr>
        <w:t>严格执行国家《土壤环境质量 农用地土壤污染风险管控标准》等技术规范，工作流程、检测标准、溯源方法科学合理</w:t>
      </w:r>
      <w:r>
        <w:rPr>
          <w:rFonts w:hint="eastAsia" w:ascii="仿宋_GB2312" w:hAnsi="仿宋_GB2312" w:eastAsia="仿宋_GB2312" w:cs="仿宋_GB2312"/>
          <w:kern w:val="0"/>
          <w:position w:val="3"/>
          <w:sz w:val="32"/>
          <w:szCs w:val="32"/>
          <w:highlight w:val="none"/>
          <w:lang w:val="en-US" w:eastAsia="zh-CN" w:bidi="ar-SA"/>
        </w:rPr>
        <w:t>。</w:t>
      </w:r>
    </w:p>
    <w:p w14:paraId="0C3A35CB">
      <w:pPr>
        <w:keepNext w:val="0"/>
        <w:keepLines w:val="0"/>
        <w:pageBreakBefore w:val="0"/>
        <w:widowControl/>
        <w:numPr>
          <w:ilvl w:val="0"/>
          <w:numId w:val="0"/>
        </w:numPr>
        <w:kinsoku/>
        <w:wordWrap/>
        <w:overflowPunct/>
        <w:topLinePunct w:val="0"/>
        <w:autoSpaceDE/>
        <w:autoSpaceDN/>
        <w:bidi w:val="0"/>
        <w:adjustRightInd/>
        <w:spacing w:line="560" w:lineRule="exact"/>
        <w:ind w:firstLine="643" w:firstLineChars="200"/>
        <w:jc w:val="left"/>
        <w:textAlignment w:val="auto"/>
        <w:rPr>
          <w:rFonts w:hint="eastAsia" w:ascii="仿宋_GB2312" w:hAnsi="仿宋_GB2312" w:eastAsia="仿宋_GB2312" w:cs="仿宋_GB2312"/>
          <w:kern w:val="0"/>
          <w:position w:val="3"/>
          <w:sz w:val="32"/>
          <w:szCs w:val="32"/>
          <w:highlight w:val="none"/>
          <w:lang w:val="en-US" w:eastAsia="en-US" w:bidi="ar-SA"/>
        </w:rPr>
      </w:pPr>
      <w:r>
        <w:rPr>
          <w:rFonts w:hint="eastAsia" w:ascii="仿宋_GB2312" w:hAnsi="仿宋_GB2312" w:eastAsia="仿宋_GB2312" w:cs="仿宋_GB2312"/>
          <w:b/>
          <w:bCs/>
          <w:kern w:val="0"/>
          <w:position w:val="3"/>
          <w:sz w:val="32"/>
          <w:szCs w:val="32"/>
          <w:highlight w:val="none"/>
          <w:lang w:val="en-US" w:eastAsia="en-US" w:bidi="ar-SA"/>
        </w:rPr>
        <w:t>4.群众满意度：</w:t>
      </w:r>
      <w:r>
        <w:rPr>
          <w:rFonts w:hint="eastAsia" w:ascii="仿宋_GB2312" w:hAnsi="仿宋_GB2312" w:eastAsia="仿宋_GB2312" w:cs="仿宋_GB2312"/>
          <w:kern w:val="0"/>
          <w:position w:val="3"/>
          <w:sz w:val="32"/>
          <w:szCs w:val="32"/>
          <w:highlight w:val="none"/>
          <w:lang w:val="en-US" w:eastAsia="en-US" w:bidi="ar-SA"/>
        </w:rPr>
        <w:t>通过问卷调查对项目实施认可度高，满意度达到预期标准。</w:t>
      </w:r>
    </w:p>
    <w:p w14:paraId="5E703AC7">
      <w:pPr>
        <w:keepNext w:val="0"/>
        <w:keepLines w:val="0"/>
        <w:pageBreakBefore w:val="0"/>
        <w:widowControl/>
        <w:numPr>
          <w:ilvl w:val="0"/>
          <w:numId w:val="0"/>
        </w:numPr>
        <w:kinsoku/>
        <w:wordWrap/>
        <w:overflowPunct/>
        <w:topLinePunct w:val="0"/>
        <w:autoSpaceDE/>
        <w:autoSpaceDN/>
        <w:bidi w:val="0"/>
        <w:adjustRightInd/>
        <w:spacing w:line="560" w:lineRule="exact"/>
        <w:ind w:firstLine="643" w:firstLineChars="200"/>
        <w:jc w:val="left"/>
        <w:textAlignment w:val="auto"/>
        <w:rPr>
          <w:rFonts w:hint="eastAsia" w:ascii="楷体_GB2312" w:hAnsi="楷体_GB2312" w:eastAsia="楷体_GB2312" w:cs="楷体_GB2312"/>
          <w:b/>
          <w:bCs/>
          <w:kern w:val="0"/>
          <w:position w:val="3"/>
          <w:sz w:val="32"/>
          <w:szCs w:val="32"/>
          <w:highlight w:val="none"/>
          <w:lang w:val="en-US" w:eastAsia="en-US" w:bidi="ar-SA"/>
        </w:rPr>
      </w:pPr>
      <w:r>
        <w:rPr>
          <w:rFonts w:hint="eastAsia" w:ascii="楷体_GB2312" w:hAnsi="楷体_GB2312" w:eastAsia="楷体_GB2312" w:cs="楷体_GB2312"/>
          <w:b/>
          <w:bCs/>
          <w:kern w:val="0"/>
          <w:position w:val="3"/>
          <w:sz w:val="32"/>
          <w:szCs w:val="32"/>
          <w:highlight w:val="none"/>
          <w:lang w:val="en-US" w:eastAsia="en-US" w:bidi="ar-SA"/>
        </w:rPr>
        <w:t>（三）个性指标绩效分析</w:t>
      </w:r>
    </w:p>
    <w:p w14:paraId="3ADF43F8">
      <w:pPr>
        <w:keepNext w:val="0"/>
        <w:keepLines w:val="0"/>
        <w:pageBreakBefore w:val="0"/>
        <w:widowControl/>
        <w:numPr>
          <w:ilvl w:val="0"/>
          <w:numId w:val="0"/>
        </w:numPr>
        <w:kinsoku/>
        <w:wordWrap/>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kern w:val="0"/>
          <w:position w:val="3"/>
          <w:sz w:val="32"/>
          <w:szCs w:val="32"/>
          <w:highlight w:val="none"/>
          <w:lang w:val="en-US" w:eastAsia="en-US" w:bidi="ar-SA"/>
        </w:rPr>
      </w:pPr>
      <w:r>
        <w:rPr>
          <w:rFonts w:hint="eastAsia" w:ascii="仿宋_GB2312" w:hAnsi="仿宋_GB2312" w:eastAsia="仿宋_GB2312" w:cs="仿宋_GB2312"/>
          <w:kern w:val="0"/>
          <w:position w:val="3"/>
          <w:sz w:val="32"/>
          <w:szCs w:val="32"/>
          <w:highlight w:val="none"/>
          <w:lang w:val="en-US" w:eastAsia="en-US" w:bidi="ar-SA"/>
        </w:rPr>
        <w:t>结合阿坝州农用地土壤重金属污染溯源项目特点，设定溯源数据准确率、成果验收通过率、污染源识别精准度、技术规范符合性4项个性指标：</w:t>
      </w:r>
    </w:p>
    <w:p w14:paraId="03B72053">
      <w:pPr>
        <w:keepNext w:val="0"/>
        <w:keepLines w:val="0"/>
        <w:pageBreakBefore w:val="0"/>
        <w:widowControl/>
        <w:numPr>
          <w:ilvl w:val="0"/>
          <w:numId w:val="0"/>
        </w:numPr>
        <w:kinsoku/>
        <w:wordWrap/>
        <w:overflowPunct/>
        <w:topLinePunct w:val="0"/>
        <w:autoSpaceDE/>
        <w:autoSpaceDN/>
        <w:bidi w:val="0"/>
        <w:adjustRightInd/>
        <w:spacing w:line="560" w:lineRule="exact"/>
        <w:ind w:firstLine="643" w:firstLineChars="200"/>
        <w:jc w:val="left"/>
        <w:textAlignment w:val="auto"/>
        <w:rPr>
          <w:rFonts w:hint="eastAsia" w:ascii="仿宋_GB2312" w:hAnsi="仿宋_GB2312" w:eastAsia="仿宋_GB2312" w:cs="仿宋_GB2312"/>
          <w:kern w:val="0"/>
          <w:position w:val="3"/>
          <w:sz w:val="32"/>
          <w:szCs w:val="32"/>
          <w:highlight w:val="none"/>
          <w:lang w:val="en-US" w:eastAsia="zh-CN" w:bidi="ar-SA"/>
        </w:rPr>
      </w:pPr>
      <w:r>
        <w:rPr>
          <w:rFonts w:hint="eastAsia" w:ascii="仿宋_GB2312" w:hAnsi="仿宋_GB2312" w:eastAsia="仿宋_GB2312" w:cs="仿宋_GB2312"/>
          <w:b/>
          <w:bCs/>
          <w:kern w:val="0"/>
          <w:position w:val="3"/>
          <w:sz w:val="32"/>
          <w:szCs w:val="32"/>
          <w:highlight w:val="none"/>
          <w:lang w:val="en-US" w:eastAsia="en-US" w:bidi="ar-SA"/>
        </w:rPr>
        <w:t>1.溯源数据准确率：</w:t>
      </w:r>
      <w:r>
        <w:rPr>
          <w:rFonts w:hint="eastAsia" w:ascii="仿宋_GB2312" w:hAnsi="仿宋_GB2312" w:eastAsia="仿宋_GB2312" w:cs="仿宋_GB2312"/>
          <w:kern w:val="0"/>
          <w:position w:val="3"/>
          <w:sz w:val="32"/>
          <w:szCs w:val="32"/>
          <w:highlight w:val="none"/>
          <w:lang w:val="en-US" w:eastAsia="en-US" w:bidi="ar-SA"/>
        </w:rPr>
        <w:t>土壤样品检测、调查数据经复核，准确率达到100%，数据真实有效</w:t>
      </w:r>
      <w:r>
        <w:rPr>
          <w:rFonts w:hint="eastAsia" w:ascii="仿宋_GB2312" w:hAnsi="仿宋_GB2312" w:eastAsia="仿宋_GB2312" w:cs="仿宋_GB2312"/>
          <w:kern w:val="0"/>
          <w:position w:val="3"/>
          <w:sz w:val="32"/>
          <w:szCs w:val="32"/>
          <w:highlight w:val="none"/>
          <w:lang w:val="en-US" w:eastAsia="zh-CN" w:bidi="ar-SA"/>
        </w:rPr>
        <w:t>。</w:t>
      </w:r>
    </w:p>
    <w:p w14:paraId="4E598E30">
      <w:pPr>
        <w:keepNext w:val="0"/>
        <w:keepLines w:val="0"/>
        <w:pageBreakBefore w:val="0"/>
        <w:widowControl/>
        <w:numPr>
          <w:ilvl w:val="0"/>
          <w:numId w:val="0"/>
        </w:numPr>
        <w:kinsoku/>
        <w:wordWrap/>
        <w:overflowPunct/>
        <w:topLinePunct w:val="0"/>
        <w:autoSpaceDE/>
        <w:autoSpaceDN/>
        <w:bidi w:val="0"/>
        <w:adjustRightInd/>
        <w:spacing w:line="560" w:lineRule="exact"/>
        <w:ind w:firstLine="643" w:firstLineChars="200"/>
        <w:jc w:val="left"/>
        <w:textAlignment w:val="auto"/>
        <w:rPr>
          <w:rFonts w:hint="eastAsia" w:ascii="仿宋_GB2312" w:hAnsi="仿宋_GB2312" w:eastAsia="仿宋_GB2312" w:cs="仿宋_GB2312"/>
          <w:kern w:val="0"/>
          <w:position w:val="3"/>
          <w:sz w:val="32"/>
          <w:szCs w:val="32"/>
          <w:highlight w:val="none"/>
          <w:lang w:val="en-US" w:eastAsia="zh-CN" w:bidi="ar-SA"/>
        </w:rPr>
      </w:pPr>
      <w:r>
        <w:rPr>
          <w:rFonts w:hint="eastAsia" w:ascii="仿宋_GB2312" w:hAnsi="仿宋_GB2312" w:eastAsia="仿宋_GB2312" w:cs="仿宋_GB2312"/>
          <w:b/>
          <w:bCs/>
          <w:kern w:val="0"/>
          <w:position w:val="3"/>
          <w:sz w:val="32"/>
          <w:szCs w:val="32"/>
          <w:highlight w:val="none"/>
          <w:lang w:val="en-US" w:eastAsia="en-US" w:bidi="ar-SA"/>
        </w:rPr>
        <w:t>2.成果验收通过率：</w:t>
      </w:r>
      <w:r>
        <w:rPr>
          <w:rFonts w:hint="eastAsia" w:ascii="仿宋_GB2312" w:hAnsi="仿宋_GB2312" w:eastAsia="仿宋_GB2312" w:cs="仿宋_GB2312"/>
          <w:kern w:val="0"/>
          <w:position w:val="3"/>
          <w:sz w:val="32"/>
          <w:szCs w:val="32"/>
          <w:highlight w:val="none"/>
          <w:lang w:val="en-US" w:eastAsia="en-US" w:bidi="ar-SA"/>
        </w:rPr>
        <w:t>最终成果通过专家验收</w:t>
      </w:r>
      <w:r>
        <w:rPr>
          <w:rFonts w:hint="eastAsia" w:ascii="仿宋_GB2312" w:hAnsi="仿宋_GB2312" w:eastAsia="仿宋_GB2312" w:cs="仿宋_GB2312"/>
          <w:kern w:val="0"/>
          <w:position w:val="3"/>
          <w:sz w:val="32"/>
          <w:szCs w:val="32"/>
          <w:highlight w:val="none"/>
          <w:lang w:val="en-US" w:eastAsia="zh-CN" w:bidi="ar-SA"/>
        </w:rPr>
        <w:t>。</w:t>
      </w:r>
    </w:p>
    <w:p w14:paraId="08FDEDAE">
      <w:pPr>
        <w:keepNext w:val="0"/>
        <w:keepLines w:val="0"/>
        <w:pageBreakBefore w:val="0"/>
        <w:widowControl/>
        <w:numPr>
          <w:ilvl w:val="0"/>
          <w:numId w:val="0"/>
        </w:numPr>
        <w:kinsoku/>
        <w:wordWrap/>
        <w:overflowPunct/>
        <w:topLinePunct w:val="0"/>
        <w:autoSpaceDE/>
        <w:autoSpaceDN/>
        <w:bidi w:val="0"/>
        <w:adjustRightInd/>
        <w:spacing w:line="560" w:lineRule="exact"/>
        <w:ind w:firstLine="643" w:firstLineChars="200"/>
        <w:jc w:val="left"/>
        <w:textAlignment w:val="auto"/>
        <w:rPr>
          <w:rFonts w:hint="eastAsia" w:ascii="仿宋_GB2312" w:hAnsi="仿宋_GB2312" w:eastAsia="仿宋_GB2312" w:cs="仿宋_GB2312"/>
          <w:kern w:val="0"/>
          <w:position w:val="3"/>
          <w:sz w:val="32"/>
          <w:szCs w:val="32"/>
          <w:highlight w:val="none"/>
          <w:lang w:val="en-US" w:eastAsia="zh-CN" w:bidi="ar-SA"/>
        </w:rPr>
      </w:pPr>
      <w:r>
        <w:rPr>
          <w:rFonts w:hint="eastAsia" w:ascii="仿宋_GB2312" w:hAnsi="仿宋_GB2312" w:eastAsia="仿宋_GB2312" w:cs="仿宋_GB2312"/>
          <w:b/>
          <w:bCs/>
          <w:kern w:val="0"/>
          <w:position w:val="3"/>
          <w:sz w:val="32"/>
          <w:szCs w:val="32"/>
          <w:highlight w:val="none"/>
          <w:lang w:val="en-US" w:eastAsia="en-US" w:bidi="ar-SA"/>
        </w:rPr>
        <w:t>3.污染源识别精准度：</w:t>
      </w:r>
      <w:r>
        <w:rPr>
          <w:rFonts w:hint="eastAsia" w:ascii="仿宋_GB2312" w:hAnsi="仿宋_GB2312" w:eastAsia="仿宋_GB2312" w:cs="仿宋_GB2312"/>
          <w:kern w:val="0"/>
          <w:position w:val="3"/>
          <w:sz w:val="32"/>
          <w:szCs w:val="32"/>
          <w:highlight w:val="none"/>
          <w:lang w:val="en-US" w:eastAsia="en-US" w:bidi="ar-SA"/>
        </w:rPr>
        <w:t>通过科学解析，精准识别大气沉降、农业投入品、地质背景等污染来源符合技术要求</w:t>
      </w:r>
      <w:r>
        <w:rPr>
          <w:rFonts w:hint="eastAsia" w:ascii="仿宋_GB2312" w:hAnsi="仿宋_GB2312" w:eastAsia="仿宋_GB2312" w:cs="仿宋_GB2312"/>
          <w:kern w:val="0"/>
          <w:position w:val="3"/>
          <w:sz w:val="32"/>
          <w:szCs w:val="32"/>
          <w:highlight w:val="none"/>
          <w:lang w:val="en-US" w:eastAsia="zh-CN" w:bidi="ar-SA"/>
        </w:rPr>
        <w:t>。</w:t>
      </w:r>
    </w:p>
    <w:p w14:paraId="0802EC7C">
      <w:pPr>
        <w:keepNext w:val="0"/>
        <w:keepLines w:val="0"/>
        <w:pageBreakBefore w:val="0"/>
        <w:widowControl/>
        <w:numPr>
          <w:ilvl w:val="0"/>
          <w:numId w:val="0"/>
        </w:numPr>
        <w:kinsoku/>
        <w:wordWrap/>
        <w:overflowPunct/>
        <w:topLinePunct w:val="0"/>
        <w:autoSpaceDE/>
        <w:autoSpaceDN/>
        <w:bidi w:val="0"/>
        <w:adjustRightInd/>
        <w:spacing w:line="560" w:lineRule="exact"/>
        <w:ind w:firstLine="643" w:firstLineChars="200"/>
        <w:jc w:val="left"/>
        <w:textAlignment w:val="auto"/>
        <w:rPr>
          <w:rFonts w:hint="eastAsia" w:ascii="仿宋_GB2312" w:hAnsi="仿宋_GB2312" w:eastAsia="仿宋_GB2312" w:cs="仿宋_GB2312"/>
          <w:kern w:val="0"/>
          <w:position w:val="3"/>
          <w:sz w:val="32"/>
          <w:szCs w:val="32"/>
          <w:highlight w:val="none"/>
          <w:lang w:val="en-US" w:eastAsia="en-US" w:bidi="ar-SA"/>
        </w:rPr>
      </w:pPr>
      <w:r>
        <w:rPr>
          <w:rFonts w:hint="eastAsia" w:ascii="仿宋_GB2312" w:hAnsi="仿宋_GB2312" w:eastAsia="仿宋_GB2312" w:cs="仿宋_GB2312"/>
          <w:b/>
          <w:bCs/>
          <w:kern w:val="0"/>
          <w:position w:val="3"/>
          <w:sz w:val="32"/>
          <w:szCs w:val="32"/>
          <w:highlight w:val="none"/>
          <w:lang w:val="en-US" w:eastAsia="en-US" w:bidi="ar-SA"/>
        </w:rPr>
        <w:t>4.技术规范符合性：</w:t>
      </w:r>
      <w:r>
        <w:rPr>
          <w:rFonts w:hint="eastAsia" w:ascii="仿宋_GB2312" w:hAnsi="仿宋_GB2312" w:eastAsia="仿宋_GB2312" w:cs="仿宋_GB2312"/>
          <w:kern w:val="0"/>
          <w:position w:val="3"/>
          <w:sz w:val="32"/>
          <w:szCs w:val="32"/>
          <w:highlight w:val="none"/>
          <w:lang w:val="en-US" w:eastAsia="en-US" w:bidi="ar-SA"/>
        </w:rPr>
        <w:t>全流程工作严格遵循国家、省土壤溯源技术规范，无违规操作、无简化流程情况，个性指标全部达标完成。</w:t>
      </w:r>
    </w:p>
    <w:p w14:paraId="72C50382">
      <w:pPr>
        <w:keepNext w:val="0"/>
        <w:keepLines w:val="0"/>
        <w:pageBreakBefore w:val="0"/>
        <w:widowControl/>
        <w:numPr>
          <w:ilvl w:val="0"/>
          <w:numId w:val="0"/>
        </w:numPr>
        <w:kinsoku/>
        <w:wordWrap/>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kern w:val="0"/>
          <w:position w:val="3"/>
          <w:sz w:val="32"/>
          <w:szCs w:val="32"/>
          <w:highlight w:val="none"/>
          <w:lang w:val="en-US" w:eastAsia="en-US" w:bidi="ar-SA"/>
        </w:rPr>
      </w:pPr>
      <w:r>
        <w:rPr>
          <w:rFonts w:hint="eastAsia" w:ascii="黑体" w:hAnsi="黑体" w:eastAsia="黑体" w:cs="黑体"/>
          <w:kern w:val="0"/>
          <w:position w:val="3"/>
          <w:sz w:val="32"/>
          <w:szCs w:val="32"/>
          <w:highlight w:val="none"/>
          <w:lang w:val="en-US" w:eastAsia="en-US" w:bidi="ar-SA"/>
        </w:rPr>
        <w:t>四、评价结论</w:t>
      </w:r>
    </w:p>
    <w:p w14:paraId="12FC222F">
      <w:pPr>
        <w:keepNext w:val="0"/>
        <w:keepLines w:val="0"/>
        <w:pageBreakBefore w:val="0"/>
        <w:widowControl/>
        <w:numPr>
          <w:ilvl w:val="0"/>
          <w:numId w:val="0"/>
        </w:numPr>
        <w:kinsoku/>
        <w:wordWrap/>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kern w:val="0"/>
          <w:position w:val="3"/>
          <w:sz w:val="32"/>
          <w:szCs w:val="32"/>
          <w:highlight w:val="none"/>
          <w:lang w:val="en-US" w:eastAsia="en-US" w:bidi="ar-SA"/>
        </w:rPr>
      </w:pPr>
      <w:r>
        <w:rPr>
          <w:rFonts w:hint="eastAsia" w:ascii="仿宋_GB2312" w:hAnsi="仿宋_GB2312" w:eastAsia="仿宋_GB2312" w:cs="仿宋_GB2312"/>
          <w:kern w:val="0"/>
          <w:position w:val="3"/>
          <w:sz w:val="32"/>
          <w:szCs w:val="32"/>
          <w:highlight w:val="none"/>
          <w:lang w:val="en-US" w:eastAsia="en-US" w:bidi="ar-SA"/>
        </w:rPr>
        <w:t>经全面绩效自评，阿坝州农用地土壤重金属污染溯源项目决策科学规范、管理严格有序、资金使用合规、实施进度达标、绩效目标稳步推进，项目整体实施情况良好，各项指标均达到预期要求，自评总分9</w:t>
      </w:r>
      <w:r>
        <w:rPr>
          <w:rFonts w:hint="eastAsia" w:ascii="仿宋_GB2312" w:hAnsi="仿宋_GB2312" w:eastAsia="仿宋_GB2312" w:cs="仿宋_GB2312"/>
          <w:kern w:val="0"/>
          <w:position w:val="3"/>
          <w:sz w:val="32"/>
          <w:szCs w:val="32"/>
          <w:highlight w:val="none"/>
          <w:lang w:val="en-US" w:eastAsia="zh-CN" w:bidi="ar-SA"/>
        </w:rPr>
        <w:t>9</w:t>
      </w:r>
      <w:r>
        <w:rPr>
          <w:rFonts w:hint="eastAsia" w:ascii="仿宋_GB2312" w:hAnsi="仿宋_GB2312" w:eastAsia="仿宋_GB2312" w:cs="仿宋_GB2312"/>
          <w:kern w:val="0"/>
          <w:position w:val="3"/>
          <w:sz w:val="32"/>
          <w:szCs w:val="32"/>
          <w:highlight w:val="none"/>
          <w:lang w:val="en-US" w:eastAsia="en-US" w:bidi="ar-SA"/>
        </w:rPr>
        <w:t>分，评价等级为优秀。</w:t>
      </w:r>
    </w:p>
    <w:p w14:paraId="51D97B5C">
      <w:pPr>
        <w:keepNext w:val="0"/>
        <w:keepLines w:val="0"/>
        <w:pageBreakBefore w:val="0"/>
        <w:widowControl/>
        <w:numPr>
          <w:ilvl w:val="0"/>
          <w:numId w:val="0"/>
        </w:numPr>
        <w:kinsoku/>
        <w:wordWrap/>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kern w:val="0"/>
          <w:position w:val="3"/>
          <w:sz w:val="32"/>
          <w:szCs w:val="32"/>
          <w:highlight w:val="none"/>
          <w:lang w:val="en-US" w:eastAsia="en-US" w:bidi="ar-SA"/>
        </w:rPr>
      </w:pPr>
      <w:r>
        <w:rPr>
          <w:rFonts w:hint="eastAsia" w:ascii="仿宋_GB2312" w:hAnsi="仿宋_GB2312" w:eastAsia="仿宋_GB2312" w:cs="仿宋_GB2312"/>
          <w:kern w:val="0"/>
          <w:position w:val="3"/>
          <w:sz w:val="32"/>
          <w:szCs w:val="32"/>
          <w:highlight w:val="none"/>
          <w:lang w:val="en-US" w:eastAsia="en-US" w:bidi="ar-SA"/>
        </w:rPr>
        <w:t>项目严格按照国家、省、州工作部署推进，资金管理规范透明，实施流程符合技术标准，阶段性成果质量可靠，有效摸清了阿坝州农用地土壤重金属污染基本情况，为后续污染源整治和土壤风险管控奠定了坚实基础，实现了生态效益、社会效益与资金使用效益的统一。</w:t>
      </w:r>
    </w:p>
    <w:p w14:paraId="1BD14FF4">
      <w:pPr>
        <w:keepNext w:val="0"/>
        <w:keepLines w:val="0"/>
        <w:pageBreakBefore w:val="0"/>
        <w:widowControl/>
        <w:numPr>
          <w:ilvl w:val="0"/>
          <w:numId w:val="0"/>
        </w:numPr>
        <w:kinsoku/>
        <w:wordWrap/>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kern w:val="0"/>
          <w:position w:val="3"/>
          <w:sz w:val="32"/>
          <w:szCs w:val="32"/>
          <w:highlight w:val="none"/>
          <w:lang w:val="en-US" w:eastAsia="en-US" w:bidi="ar-SA"/>
        </w:rPr>
      </w:pPr>
      <w:r>
        <w:rPr>
          <w:rFonts w:hint="eastAsia" w:ascii="黑体" w:hAnsi="黑体" w:eastAsia="黑体" w:cs="黑体"/>
          <w:kern w:val="0"/>
          <w:position w:val="3"/>
          <w:sz w:val="32"/>
          <w:szCs w:val="32"/>
          <w:highlight w:val="none"/>
          <w:lang w:val="en-US" w:eastAsia="en-US" w:bidi="ar-SA"/>
        </w:rPr>
        <w:t>五、存在主要问题</w:t>
      </w:r>
    </w:p>
    <w:p w14:paraId="346D4382">
      <w:pPr>
        <w:keepNext w:val="0"/>
        <w:keepLines w:val="0"/>
        <w:pageBreakBefore w:val="0"/>
        <w:widowControl/>
        <w:numPr>
          <w:ilvl w:val="0"/>
          <w:numId w:val="0"/>
        </w:numPr>
        <w:kinsoku/>
        <w:wordWrap/>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kern w:val="0"/>
          <w:position w:val="3"/>
          <w:sz w:val="32"/>
          <w:szCs w:val="32"/>
          <w:highlight w:val="none"/>
          <w:lang w:val="en-US" w:eastAsia="zh-CN" w:bidi="ar-SA"/>
        </w:rPr>
      </w:pPr>
      <w:r>
        <w:rPr>
          <w:rFonts w:hint="eastAsia" w:ascii="仿宋_GB2312" w:hAnsi="仿宋_GB2312" w:eastAsia="仿宋_GB2312" w:cs="仿宋_GB2312"/>
          <w:kern w:val="0"/>
          <w:position w:val="3"/>
          <w:sz w:val="32"/>
          <w:szCs w:val="32"/>
          <w:highlight w:val="none"/>
          <w:lang w:val="en-US" w:eastAsia="zh-CN" w:bidi="ar-SA"/>
        </w:rPr>
        <w:t>该项工作专业性强，对溯源数据整理、成果应用的辅助支撑能力有限。</w:t>
      </w:r>
    </w:p>
    <w:p w14:paraId="2F861EBC">
      <w:pPr>
        <w:keepNext w:val="0"/>
        <w:keepLines w:val="0"/>
        <w:pageBreakBefore w:val="0"/>
        <w:widowControl/>
        <w:numPr>
          <w:ilvl w:val="0"/>
          <w:numId w:val="0"/>
        </w:numPr>
        <w:kinsoku/>
        <w:wordWrap/>
        <w:overflowPunct/>
        <w:topLinePunct w:val="0"/>
        <w:autoSpaceDE/>
        <w:autoSpaceDN/>
        <w:bidi w:val="0"/>
        <w:adjustRightInd/>
        <w:spacing w:line="560" w:lineRule="exact"/>
        <w:ind w:firstLine="640" w:firstLineChars="200"/>
        <w:jc w:val="left"/>
        <w:textAlignment w:val="auto"/>
        <w:rPr>
          <w:rFonts w:hint="eastAsia" w:ascii="黑体" w:hAnsi="黑体" w:eastAsia="黑体" w:cs="黑体"/>
          <w:kern w:val="0"/>
          <w:position w:val="3"/>
          <w:sz w:val="32"/>
          <w:szCs w:val="32"/>
          <w:highlight w:val="none"/>
          <w:lang w:val="en-US" w:eastAsia="en-US" w:bidi="ar-SA"/>
        </w:rPr>
      </w:pPr>
      <w:r>
        <w:rPr>
          <w:rFonts w:hint="eastAsia" w:ascii="黑体" w:hAnsi="黑体" w:eastAsia="黑体" w:cs="黑体"/>
          <w:kern w:val="0"/>
          <w:position w:val="3"/>
          <w:sz w:val="32"/>
          <w:szCs w:val="32"/>
          <w:highlight w:val="none"/>
          <w:lang w:val="en-US" w:eastAsia="en-US" w:bidi="ar-SA"/>
        </w:rPr>
        <w:t>六、整改措施及下一步计划</w:t>
      </w:r>
    </w:p>
    <w:p w14:paraId="662AD923">
      <w:pPr>
        <w:keepNext w:val="0"/>
        <w:keepLines w:val="0"/>
        <w:pageBreakBefore w:val="0"/>
        <w:widowControl/>
        <w:numPr>
          <w:ilvl w:val="0"/>
          <w:numId w:val="0"/>
        </w:numPr>
        <w:kinsoku/>
        <w:wordWrap/>
        <w:overflowPunct/>
        <w:topLinePunct w:val="0"/>
        <w:autoSpaceDE/>
        <w:autoSpaceDN/>
        <w:bidi w:val="0"/>
        <w:adjustRightInd/>
        <w:spacing w:line="560" w:lineRule="exact"/>
        <w:ind w:firstLine="643" w:firstLineChars="200"/>
        <w:jc w:val="left"/>
        <w:textAlignment w:val="auto"/>
        <w:rPr>
          <w:rFonts w:hint="eastAsia" w:ascii="仿宋_GB2312" w:hAnsi="仿宋_GB2312" w:eastAsia="仿宋_GB2312" w:cs="仿宋_GB2312"/>
          <w:kern w:val="0"/>
          <w:position w:val="3"/>
          <w:sz w:val="32"/>
          <w:szCs w:val="32"/>
          <w:highlight w:val="none"/>
          <w:lang w:val="en-US" w:eastAsia="en-US" w:bidi="ar-SA"/>
        </w:rPr>
      </w:pPr>
      <w:r>
        <w:rPr>
          <w:rFonts w:hint="eastAsia" w:ascii="仿宋_GB2312" w:hAnsi="仿宋_GB2312" w:eastAsia="仿宋_GB2312" w:cs="仿宋_GB2312"/>
          <w:b/>
          <w:bCs/>
          <w:kern w:val="0"/>
          <w:position w:val="3"/>
          <w:sz w:val="32"/>
          <w:szCs w:val="32"/>
          <w:highlight w:val="none"/>
          <w:lang w:val="en-US" w:eastAsia="zh-CN" w:bidi="ar-SA"/>
        </w:rPr>
        <w:t>1.</w:t>
      </w:r>
      <w:r>
        <w:rPr>
          <w:rFonts w:hint="eastAsia" w:ascii="仿宋_GB2312" w:hAnsi="仿宋_GB2312" w:eastAsia="仿宋_GB2312" w:cs="仿宋_GB2312"/>
          <w:b/>
          <w:bCs/>
          <w:kern w:val="0"/>
          <w:position w:val="3"/>
          <w:sz w:val="32"/>
          <w:szCs w:val="32"/>
          <w:highlight w:val="none"/>
          <w:lang w:val="en-US" w:eastAsia="en-US" w:bidi="ar-SA"/>
        </w:rPr>
        <w:t>强化基层培训，提升技术能力：</w:t>
      </w:r>
      <w:r>
        <w:rPr>
          <w:rFonts w:hint="eastAsia" w:ascii="仿宋_GB2312" w:hAnsi="仿宋_GB2312" w:eastAsia="仿宋_GB2312" w:cs="仿宋_GB2312"/>
          <w:kern w:val="0"/>
          <w:position w:val="3"/>
          <w:sz w:val="32"/>
          <w:szCs w:val="32"/>
          <w:highlight w:val="none"/>
          <w:lang w:val="en-US" w:eastAsia="en-US" w:bidi="ar-SA"/>
        </w:rPr>
        <w:t>组织开展土壤污染溯源、风险管控专题培训，提升</w:t>
      </w:r>
      <w:r>
        <w:rPr>
          <w:rFonts w:hint="eastAsia" w:ascii="仿宋_GB2312" w:hAnsi="仿宋_GB2312" w:eastAsia="仿宋_GB2312" w:cs="仿宋_GB2312"/>
          <w:kern w:val="0"/>
          <w:position w:val="3"/>
          <w:sz w:val="32"/>
          <w:szCs w:val="32"/>
          <w:highlight w:val="none"/>
          <w:lang w:val="en-US" w:eastAsia="zh-CN" w:bidi="ar-SA"/>
        </w:rPr>
        <w:t>州、</w:t>
      </w:r>
      <w:r>
        <w:rPr>
          <w:rFonts w:hint="eastAsia" w:ascii="仿宋_GB2312" w:hAnsi="仿宋_GB2312" w:eastAsia="仿宋_GB2312" w:cs="仿宋_GB2312"/>
          <w:kern w:val="0"/>
          <w:position w:val="3"/>
          <w:sz w:val="32"/>
          <w:szCs w:val="32"/>
          <w:highlight w:val="none"/>
          <w:lang w:val="en-US" w:eastAsia="en-US" w:bidi="ar-SA"/>
        </w:rPr>
        <w:t>县（市）工作人员专业能力，构建州、县两级联动技术体系。</w:t>
      </w:r>
    </w:p>
    <w:p w14:paraId="25F7E23B">
      <w:pPr>
        <w:keepNext w:val="0"/>
        <w:keepLines w:val="0"/>
        <w:pageBreakBefore w:val="0"/>
        <w:widowControl/>
        <w:numPr>
          <w:ilvl w:val="0"/>
          <w:numId w:val="0"/>
        </w:numPr>
        <w:kinsoku/>
        <w:wordWrap/>
        <w:overflowPunct/>
        <w:topLinePunct w:val="0"/>
        <w:autoSpaceDE/>
        <w:autoSpaceDN/>
        <w:bidi w:val="0"/>
        <w:adjustRightInd/>
        <w:spacing w:line="560" w:lineRule="exact"/>
        <w:ind w:firstLine="643" w:firstLineChars="200"/>
        <w:jc w:val="left"/>
        <w:textAlignment w:val="auto"/>
        <w:rPr>
          <w:rFonts w:hint="eastAsia" w:ascii="仿宋_GB2312" w:hAnsi="仿宋_GB2312" w:eastAsia="仿宋_GB2312" w:cs="仿宋_GB2312"/>
          <w:kern w:val="0"/>
          <w:position w:val="3"/>
          <w:sz w:val="32"/>
          <w:szCs w:val="32"/>
          <w:highlight w:val="none"/>
          <w:lang w:val="en-US" w:eastAsia="en-US" w:bidi="ar-SA"/>
        </w:rPr>
      </w:pPr>
      <w:r>
        <w:rPr>
          <w:rFonts w:hint="eastAsia" w:ascii="仿宋_GB2312" w:hAnsi="仿宋_GB2312" w:eastAsia="仿宋_GB2312" w:cs="仿宋_GB2312"/>
          <w:b/>
          <w:bCs/>
          <w:kern w:val="0"/>
          <w:position w:val="3"/>
          <w:sz w:val="32"/>
          <w:szCs w:val="32"/>
          <w:highlight w:val="none"/>
          <w:lang w:val="en-US" w:eastAsia="zh-CN" w:bidi="ar-SA"/>
        </w:rPr>
        <w:t>2</w:t>
      </w:r>
      <w:r>
        <w:rPr>
          <w:rFonts w:hint="eastAsia" w:ascii="仿宋_GB2312" w:hAnsi="仿宋_GB2312" w:eastAsia="仿宋_GB2312" w:cs="仿宋_GB2312"/>
          <w:b/>
          <w:bCs/>
          <w:kern w:val="0"/>
          <w:position w:val="3"/>
          <w:sz w:val="32"/>
          <w:szCs w:val="32"/>
          <w:highlight w:val="none"/>
          <w:lang w:val="en-US" w:eastAsia="en-US" w:bidi="ar-SA"/>
        </w:rPr>
        <w:t>.健全衔接机制，加快成果转化</w:t>
      </w:r>
      <w:r>
        <w:rPr>
          <w:rFonts w:hint="eastAsia" w:ascii="仿宋_GB2312" w:hAnsi="仿宋_GB2312" w:eastAsia="仿宋_GB2312" w:cs="仿宋_GB2312"/>
          <w:kern w:val="0"/>
          <w:position w:val="3"/>
          <w:sz w:val="32"/>
          <w:szCs w:val="32"/>
          <w:highlight w:val="none"/>
          <w:lang w:val="en-US" w:eastAsia="en-US" w:bidi="ar-SA"/>
        </w:rPr>
        <w:t>：提前谋划溯源成果应用，对接污染源整治、农用地安全利用项目，建立“溯源—管控—整治”全链条工作机制，实现成果高效转化。</w:t>
      </w:r>
    </w:p>
    <w:p w14:paraId="745E39A9">
      <w:pPr>
        <w:keepNext w:val="0"/>
        <w:keepLines w:val="0"/>
        <w:pageBreakBefore w:val="0"/>
        <w:tabs>
          <w:tab w:val="left" w:pos="1911"/>
        </w:tabs>
        <w:kinsoku/>
        <w:wordWrap/>
        <w:overflowPunct/>
        <w:topLinePunct w:val="0"/>
        <w:autoSpaceDE/>
        <w:autoSpaceDN/>
        <w:bidi w:val="0"/>
        <w:adjustRightInd/>
        <w:spacing w:line="560" w:lineRule="exact"/>
        <w:ind w:firstLine="640" w:firstLineChars="200"/>
        <w:jc w:val="left"/>
        <w:textAlignment w:val="auto"/>
        <w:rPr>
          <w:rFonts w:hint="default" w:ascii="Times New Roman" w:hAnsi="Times New Roman" w:eastAsia="仿宋_GB2312" w:cs="Times New Roman"/>
          <w:b w:val="0"/>
          <w:bCs w:val="0"/>
          <w:kern w:val="0"/>
          <w:position w:val="0"/>
          <w:sz w:val="32"/>
          <w:szCs w:val="32"/>
          <w:highlight w:val="none"/>
          <w:lang w:val="en" w:eastAsia="zh-CN" w:bidi="ar-SA"/>
        </w:rPr>
      </w:pPr>
      <w:bookmarkStart w:id="83" w:name="_Hlk110546638"/>
    </w:p>
    <w:bookmarkEnd w:id="83"/>
    <w:p w14:paraId="52285133">
      <w:pPr>
        <w:keepNext w:val="0"/>
        <w:keepLines w:val="0"/>
        <w:pageBreakBefore w:val="0"/>
        <w:kinsoku/>
        <w:wordWrap/>
        <w:overflowPunct/>
        <w:topLinePunct w:val="0"/>
        <w:autoSpaceDE/>
        <w:autoSpaceDN/>
        <w:bidi w:val="0"/>
        <w:adjustRightInd/>
        <w:snapToGrid w:val="0"/>
        <w:spacing w:line="560" w:lineRule="exact"/>
        <w:ind w:left="0" w:leftChars="0" w:firstLine="640" w:firstLineChars="200"/>
        <w:textAlignment w:val="auto"/>
        <w:outlineLvl w:val="9"/>
        <w:rPr>
          <w:rFonts w:hint="default" w:ascii="Times New Roman" w:hAnsi="Times New Roman" w:eastAsia="仿宋_GB2312" w:cs="Times New Roman"/>
          <w:color w:val="000000"/>
          <w:kern w:val="0"/>
          <w:sz w:val="32"/>
          <w:szCs w:val="32"/>
          <w:highlight w:val="none"/>
          <w:shd w:val="clear" w:color="auto" w:fill="FFFFFF"/>
          <w:lang w:val="en-US" w:eastAsia="zh-CN"/>
        </w:rPr>
      </w:pPr>
      <w:r>
        <w:rPr>
          <w:rFonts w:hint="default" w:ascii="Times New Roman" w:hAnsi="Times New Roman" w:eastAsia="仿宋_GB2312" w:cs="Times New Roman"/>
          <w:color w:val="000000"/>
          <w:kern w:val="0"/>
          <w:sz w:val="32"/>
          <w:szCs w:val="32"/>
          <w:highlight w:val="none"/>
          <w:shd w:val="clear" w:color="auto" w:fill="FFFFFF"/>
          <w:lang w:val="en-US" w:eastAsia="zh-CN"/>
        </w:rPr>
        <w:t>附表：1.</w:t>
      </w:r>
      <w:r>
        <w:rPr>
          <w:rFonts w:hint="eastAsia" w:ascii="Times New Roman" w:hAnsi="Times New Roman" w:eastAsia="仿宋_GB2312" w:cs="Times New Roman"/>
          <w:color w:val="000000"/>
          <w:kern w:val="0"/>
          <w:sz w:val="32"/>
          <w:szCs w:val="32"/>
          <w:highlight w:val="none"/>
          <w:shd w:val="clear" w:color="auto" w:fill="FFFFFF"/>
          <w:lang w:val="en-US" w:eastAsia="zh-CN"/>
        </w:rPr>
        <w:t>专项</w:t>
      </w:r>
      <w:r>
        <w:rPr>
          <w:rFonts w:hint="default" w:ascii="Times New Roman" w:hAnsi="Times New Roman" w:eastAsia="仿宋_GB2312" w:cs="Times New Roman"/>
          <w:color w:val="000000"/>
          <w:kern w:val="0"/>
          <w:sz w:val="32"/>
          <w:szCs w:val="32"/>
          <w:highlight w:val="none"/>
          <w:shd w:val="clear" w:color="auto" w:fill="FFFFFF"/>
          <w:lang w:val="en-US" w:eastAsia="zh-CN"/>
        </w:rPr>
        <w:t>预算绩效自评打分表</w:t>
      </w:r>
    </w:p>
    <w:p w14:paraId="3EB88481">
      <w:pPr>
        <w:keepNext w:val="0"/>
        <w:keepLines w:val="0"/>
        <w:pageBreakBefore w:val="0"/>
        <w:kinsoku/>
        <w:wordWrap/>
        <w:overflowPunct/>
        <w:topLinePunct w:val="0"/>
        <w:autoSpaceDE/>
        <w:autoSpaceDN/>
        <w:bidi w:val="0"/>
        <w:adjustRightInd/>
        <w:snapToGrid w:val="0"/>
        <w:spacing w:line="560" w:lineRule="exact"/>
        <w:ind w:left="0" w:leftChars="0" w:firstLine="640" w:firstLineChars="200"/>
        <w:textAlignment w:val="auto"/>
        <w:outlineLvl w:val="9"/>
        <w:rPr>
          <w:rFonts w:hint="default" w:ascii="Times New Roman" w:hAnsi="Times New Roman" w:eastAsia="仿宋_GB2312" w:cs="Times New Roman"/>
          <w:color w:val="000000"/>
          <w:kern w:val="0"/>
          <w:sz w:val="32"/>
          <w:szCs w:val="32"/>
          <w:highlight w:val="none"/>
          <w:shd w:val="clear" w:color="auto" w:fill="FFFFFF"/>
          <w:lang w:val="en-US" w:eastAsia="zh-CN"/>
        </w:rPr>
      </w:pPr>
      <w:r>
        <w:rPr>
          <w:rFonts w:hint="default" w:ascii="Times New Roman" w:hAnsi="Times New Roman" w:eastAsia="仿宋_GB2312" w:cs="Times New Roman"/>
          <w:color w:val="000000"/>
          <w:kern w:val="0"/>
          <w:sz w:val="32"/>
          <w:szCs w:val="32"/>
          <w:highlight w:val="none"/>
          <w:shd w:val="clear" w:color="auto" w:fill="FFFFFF"/>
          <w:lang w:val="en-US" w:eastAsia="zh-CN"/>
        </w:rPr>
        <w:t>2.专项预算绩效自评实地踏勘点位清单表</w:t>
      </w:r>
    </w:p>
    <w:p w14:paraId="0B2CB4DF">
      <w:pPr>
        <w:keepNext w:val="0"/>
        <w:keepLines w:val="0"/>
        <w:pageBreakBefore w:val="0"/>
        <w:kinsoku/>
        <w:wordWrap/>
        <w:overflowPunct/>
        <w:topLinePunct w:val="0"/>
        <w:autoSpaceDE/>
        <w:autoSpaceDN/>
        <w:bidi w:val="0"/>
        <w:adjustRightInd/>
        <w:snapToGrid w:val="0"/>
        <w:spacing w:line="560" w:lineRule="exact"/>
        <w:ind w:left="0" w:leftChars="0" w:firstLine="640" w:firstLineChars="200"/>
        <w:textAlignment w:val="auto"/>
        <w:outlineLvl w:val="9"/>
        <w:rPr>
          <w:rFonts w:hint="default" w:ascii="Times New Roman" w:hAnsi="Times New Roman" w:eastAsia="仿宋_GB2312" w:cs="Times New Roman"/>
          <w:color w:val="000000"/>
          <w:kern w:val="0"/>
          <w:sz w:val="32"/>
          <w:szCs w:val="32"/>
          <w:highlight w:val="none"/>
          <w:shd w:val="clear" w:color="auto" w:fill="FFFFFF"/>
          <w:lang w:val="en-US" w:eastAsia="zh-CN"/>
        </w:rPr>
      </w:pPr>
      <w:r>
        <w:rPr>
          <w:rFonts w:hint="eastAsia" w:ascii="Times New Roman" w:hAnsi="Times New Roman" w:eastAsia="仿宋_GB2312" w:cs="Times New Roman"/>
          <w:color w:val="000000"/>
          <w:kern w:val="0"/>
          <w:sz w:val="32"/>
          <w:szCs w:val="32"/>
          <w:highlight w:val="none"/>
          <w:shd w:val="clear" w:color="auto" w:fill="FFFFFF"/>
          <w:lang w:val="en-US" w:eastAsia="zh-CN"/>
        </w:rPr>
        <w:t>3.</w:t>
      </w:r>
      <w:r>
        <w:rPr>
          <w:rFonts w:hint="default" w:ascii="Times New Roman" w:hAnsi="Times New Roman" w:eastAsia="仿宋_GB2312" w:cs="Times New Roman"/>
          <w:color w:val="000000"/>
          <w:kern w:val="0"/>
          <w:sz w:val="32"/>
          <w:szCs w:val="32"/>
          <w:highlight w:val="none"/>
          <w:shd w:val="clear" w:color="auto" w:fill="FFFFFF"/>
          <w:lang w:val="en-US" w:eastAsia="zh-CN"/>
        </w:rPr>
        <w:t>专项预算项目绩效目标完成情况自评表</w:t>
      </w:r>
    </w:p>
    <w:p w14:paraId="7B3BB816">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default" w:ascii="Times New Roman" w:hAnsi="Times New Roman" w:eastAsia="仿宋_GB2312" w:cs="Times New Roman"/>
          <w:color w:val="000000"/>
          <w:kern w:val="0"/>
          <w:sz w:val="32"/>
          <w:szCs w:val="32"/>
          <w:highlight w:val="none"/>
          <w:shd w:val="clear" w:color="auto" w:fill="FFFFFF"/>
          <w:lang w:val="zh-CN" w:eastAsia="zh-CN"/>
        </w:rPr>
        <w:br w:type="page"/>
      </w: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t>1</w:t>
      </w:r>
    </w:p>
    <w:p w14:paraId="0E1E5B64">
      <w:pPr>
        <w:keepNext w:val="0"/>
        <w:keepLines w:val="0"/>
        <w:pageBreakBefore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r>
        <w:rPr>
          <w:rFonts w:hint="eastAsia" w:ascii="Times New Roman" w:hAnsi="Times New Roman" w:eastAsia="方正小标宋_GBK" w:cs="Times New Roman"/>
          <w:b w:val="0"/>
          <w:bCs w:val="0"/>
          <w:color w:val="auto"/>
          <w:sz w:val="40"/>
          <w:szCs w:val="40"/>
          <w:highlight w:val="none"/>
          <w:u w:val="none"/>
          <w:lang w:val="en-US" w:eastAsia="zh-CN"/>
        </w:rPr>
        <w:t>专项</w:t>
      </w:r>
      <w:r>
        <w:rPr>
          <w:rFonts w:hint="default" w:ascii="Times New Roman" w:hAnsi="Times New Roman" w:eastAsia="方正小标宋_GBK" w:cs="Times New Roman"/>
          <w:b w:val="0"/>
          <w:bCs w:val="0"/>
          <w:color w:val="auto"/>
          <w:sz w:val="40"/>
          <w:szCs w:val="40"/>
          <w:highlight w:val="none"/>
          <w:u w:val="none"/>
          <w:lang w:val="en-US" w:eastAsia="zh-CN"/>
        </w:rPr>
        <w:t>预算绩效自评打分表</w:t>
      </w:r>
    </w:p>
    <w:tbl>
      <w:tblPr>
        <w:tblStyle w:val="20"/>
        <w:tblW w:w="991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720"/>
        <w:gridCol w:w="833"/>
        <w:gridCol w:w="516"/>
        <w:gridCol w:w="1656"/>
        <w:gridCol w:w="816"/>
        <w:gridCol w:w="3216"/>
        <w:gridCol w:w="636"/>
        <w:gridCol w:w="517"/>
      </w:tblGrid>
      <w:tr w14:paraId="3C83C4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1720" w:type="dxa"/>
            <w:gridSpan w:val="5"/>
            <w:tcBorders>
              <w:top w:val="single" w:color="000000" w:sz="4" w:space="0"/>
              <w:left w:val="single" w:color="000000" w:sz="4" w:space="0"/>
              <w:bottom w:val="nil"/>
              <w:right w:val="nil"/>
            </w:tcBorders>
            <w:noWrap w:val="0"/>
            <w:vAlign w:val="center"/>
          </w:tcPr>
          <w:p w14:paraId="38C426C7">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ascii="黑体" w:hAnsi="宋体" w:eastAsia="黑体" w:cs="黑体"/>
                <w:b/>
                <w:i w:val="0"/>
                <w:color w:val="000000"/>
                <w:sz w:val="24"/>
                <w:szCs w:val="24"/>
                <w:u w:val="none"/>
              </w:rPr>
            </w:pPr>
            <w:r>
              <w:rPr>
                <w:rFonts w:hint="eastAsia" w:ascii="黑体" w:hAnsi="宋体" w:eastAsia="黑体" w:cs="黑体"/>
                <w:b/>
                <w:i w:val="0"/>
                <w:color w:val="000000"/>
                <w:kern w:val="0"/>
                <w:sz w:val="24"/>
                <w:szCs w:val="24"/>
                <w:u w:val="none"/>
                <w:lang w:val="en-US" w:eastAsia="zh-CN" w:bidi="ar"/>
              </w:rPr>
              <w:t>绩效评价指标</w:t>
            </w:r>
          </w:p>
        </w:tc>
        <w:tc>
          <w:tcPr>
            <w:tcW w:w="3216" w:type="dxa"/>
            <w:vMerge w:val="restart"/>
            <w:tcBorders>
              <w:top w:val="single" w:color="000000" w:sz="4" w:space="0"/>
              <w:left w:val="single" w:color="000000" w:sz="4" w:space="0"/>
              <w:bottom w:val="single" w:color="000000" w:sz="4" w:space="0"/>
              <w:right w:val="single" w:color="000000" w:sz="4" w:space="0"/>
            </w:tcBorders>
            <w:noWrap w:val="0"/>
            <w:vAlign w:val="center"/>
          </w:tcPr>
          <w:p w14:paraId="567AF63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黑体" w:hAnsi="宋体" w:eastAsia="黑体" w:cs="黑体"/>
                <w:b/>
                <w:i w:val="0"/>
                <w:color w:val="000000"/>
                <w:sz w:val="24"/>
                <w:szCs w:val="24"/>
                <w:u w:val="none"/>
              </w:rPr>
            </w:pPr>
            <w:r>
              <w:rPr>
                <w:rFonts w:hint="eastAsia" w:ascii="黑体" w:hAnsi="宋体" w:eastAsia="黑体" w:cs="黑体"/>
                <w:b/>
                <w:i w:val="0"/>
                <w:color w:val="000000"/>
                <w:kern w:val="0"/>
                <w:sz w:val="24"/>
                <w:szCs w:val="24"/>
                <w:u w:val="none"/>
                <w:lang w:val="en-US" w:eastAsia="zh-CN" w:bidi="ar"/>
              </w:rPr>
              <w:t>指标解释</w:t>
            </w:r>
          </w:p>
        </w:tc>
        <w:tc>
          <w:tcPr>
            <w:tcW w:w="0" w:type="auto"/>
            <w:vMerge w:val="restart"/>
            <w:tcBorders>
              <w:top w:val="single" w:color="000000" w:sz="4" w:space="0"/>
              <w:left w:val="single" w:color="000000" w:sz="4" w:space="0"/>
              <w:right w:val="single" w:color="000000" w:sz="4" w:space="0"/>
            </w:tcBorders>
            <w:noWrap w:val="0"/>
            <w:vAlign w:val="center"/>
          </w:tcPr>
          <w:p w14:paraId="20EB4D0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黑体" w:hAnsi="宋体" w:eastAsia="黑体" w:cs="黑体"/>
                <w:b/>
                <w:i w:val="0"/>
                <w:color w:val="000000"/>
                <w:kern w:val="0"/>
                <w:sz w:val="24"/>
                <w:szCs w:val="24"/>
                <w:u w:val="none"/>
                <w:lang w:val="en-US" w:eastAsia="zh-CN" w:bidi="ar"/>
              </w:rPr>
            </w:pPr>
            <w:r>
              <w:rPr>
                <w:rFonts w:hint="eastAsia" w:ascii="黑体" w:hAnsi="宋体" w:eastAsia="黑体" w:cs="黑体"/>
                <w:b/>
                <w:i w:val="0"/>
                <w:color w:val="000000"/>
                <w:kern w:val="0"/>
                <w:sz w:val="24"/>
                <w:szCs w:val="24"/>
                <w:u w:val="none"/>
                <w:lang w:val="en-US" w:eastAsia="zh-CN" w:bidi="ar"/>
              </w:rPr>
              <w:t>自评得分</w:t>
            </w:r>
          </w:p>
        </w:tc>
        <w:tc>
          <w:tcPr>
            <w:tcW w:w="517" w:type="dxa"/>
            <w:vMerge w:val="restart"/>
            <w:tcBorders>
              <w:top w:val="single" w:color="000000" w:sz="4" w:space="0"/>
              <w:left w:val="single" w:color="000000" w:sz="4" w:space="0"/>
              <w:right w:val="single" w:color="000000" w:sz="4" w:space="0"/>
            </w:tcBorders>
            <w:noWrap w:val="0"/>
            <w:vAlign w:val="center"/>
          </w:tcPr>
          <w:p w14:paraId="733B9B36">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黑体" w:hAnsi="宋体" w:eastAsia="黑体" w:cs="黑体"/>
                <w:b/>
                <w:i w:val="0"/>
                <w:color w:val="000000"/>
                <w:kern w:val="0"/>
                <w:sz w:val="24"/>
                <w:szCs w:val="24"/>
                <w:u w:val="none"/>
                <w:lang w:val="en-US" w:eastAsia="zh-CN" w:bidi="ar"/>
              </w:rPr>
            </w:pPr>
            <w:r>
              <w:rPr>
                <w:rFonts w:hint="eastAsia" w:ascii="黑体" w:hAnsi="宋体" w:eastAsia="黑体" w:cs="黑体"/>
                <w:b/>
                <w:i w:val="0"/>
                <w:color w:val="000000"/>
                <w:kern w:val="0"/>
                <w:sz w:val="24"/>
                <w:szCs w:val="24"/>
                <w:u w:val="none"/>
                <w:lang w:val="en-US" w:eastAsia="zh-CN" w:bidi="ar"/>
              </w:rPr>
              <w:t>备注</w:t>
            </w:r>
          </w:p>
        </w:tc>
      </w:tr>
      <w:tr w14:paraId="5AC24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1720" w:type="dxa"/>
            <w:tcBorders>
              <w:top w:val="single" w:color="000000" w:sz="4" w:space="0"/>
              <w:left w:val="single" w:color="000000" w:sz="4" w:space="0"/>
              <w:bottom w:val="single" w:color="000000" w:sz="4" w:space="0"/>
              <w:right w:val="single" w:color="000000" w:sz="4" w:space="0"/>
            </w:tcBorders>
            <w:noWrap w:val="0"/>
            <w:vAlign w:val="center"/>
          </w:tcPr>
          <w:p w14:paraId="67E3793C">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黑体" w:hAnsi="宋体" w:eastAsia="黑体" w:cs="黑体"/>
                <w:b/>
                <w:i w:val="0"/>
                <w:color w:val="000000"/>
                <w:sz w:val="24"/>
                <w:szCs w:val="24"/>
                <w:u w:val="none"/>
              </w:rPr>
            </w:pPr>
            <w:r>
              <w:rPr>
                <w:rFonts w:hint="eastAsia" w:ascii="黑体" w:hAnsi="宋体" w:eastAsia="黑体" w:cs="黑体"/>
                <w:b/>
                <w:i w:val="0"/>
                <w:color w:val="000000"/>
                <w:kern w:val="0"/>
                <w:sz w:val="24"/>
                <w:szCs w:val="24"/>
                <w:u w:val="none"/>
                <w:lang w:val="en-US" w:eastAsia="zh-CN" w:bidi="ar"/>
              </w:rPr>
              <w:t>一级指标</w:t>
            </w:r>
          </w:p>
        </w:tc>
        <w:tc>
          <w:tcPr>
            <w:tcW w:w="1349" w:type="dxa"/>
            <w:gridSpan w:val="2"/>
            <w:tcBorders>
              <w:top w:val="single" w:color="000000" w:sz="4" w:space="0"/>
              <w:left w:val="single" w:color="000000" w:sz="4" w:space="0"/>
              <w:bottom w:val="single" w:color="000000" w:sz="4" w:space="0"/>
              <w:right w:val="single" w:color="000000" w:sz="4" w:space="0"/>
            </w:tcBorders>
            <w:noWrap w:val="0"/>
            <w:vAlign w:val="center"/>
          </w:tcPr>
          <w:p w14:paraId="78C8585A">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黑体" w:hAnsi="宋体" w:eastAsia="黑体" w:cs="黑体"/>
                <w:b/>
                <w:i w:val="0"/>
                <w:color w:val="000000"/>
                <w:sz w:val="24"/>
                <w:szCs w:val="24"/>
                <w:u w:val="none"/>
              </w:rPr>
            </w:pPr>
            <w:r>
              <w:rPr>
                <w:rFonts w:hint="eastAsia" w:ascii="黑体" w:hAnsi="宋体" w:eastAsia="黑体" w:cs="黑体"/>
                <w:b/>
                <w:i w:val="0"/>
                <w:color w:val="000000"/>
                <w:kern w:val="0"/>
                <w:sz w:val="24"/>
                <w:szCs w:val="24"/>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DCBD49">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黑体" w:hAnsi="宋体" w:eastAsia="黑体" w:cs="黑体"/>
                <w:b/>
                <w:i w:val="0"/>
                <w:color w:val="000000"/>
                <w:sz w:val="24"/>
                <w:szCs w:val="24"/>
                <w:u w:val="none"/>
              </w:rPr>
            </w:pPr>
            <w:r>
              <w:rPr>
                <w:rFonts w:hint="eastAsia" w:ascii="黑体" w:hAnsi="宋体" w:eastAsia="黑体" w:cs="黑体"/>
                <w:b/>
                <w:i w:val="0"/>
                <w:color w:val="000000"/>
                <w:kern w:val="0"/>
                <w:sz w:val="24"/>
                <w:szCs w:val="24"/>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EE7712">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黑体" w:hAnsi="宋体" w:eastAsia="黑体" w:cs="黑体"/>
                <w:b/>
                <w:i w:val="0"/>
                <w:color w:val="000000"/>
                <w:sz w:val="24"/>
                <w:szCs w:val="24"/>
                <w:u w:val="none"/>
              </w:rPr>
            </w:pPr>
            <w:r>
              <w:rPr>
                <w:rFonts w:hint="eastAsia" w:ascii="黑体" w:hAnsi="宋体" w:eastAsia="黑体" w:cs="黑体"/>
                <w:b/>
                <w:i w:val="0"/>
                <w:color w:val="000000"/>
                <w:kern w:val="0"/>
                <w:sz w:val="24"/>
                <w:szCs w:val="24"/>
                <w:u w:val="none"/>
                <w:lang w:val="en-US" w:eastAsia="zh-CN" w:bidi="ar"/>
              </w:rPr>
              <w:t>指标分值</w:t>
            </w:r>
          </w:p>
        </w:tc>
        <w:tc>
          <w:tcPr>
            <w:tcW w:w="3216"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72E3D6">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黑体" w:hAnsi="宋体" w:eastAsia="黑体" w:cs="黑体"/>
                <w:b/>
                <w:i w:val="0"/>
                <w:color w:val="000000"/>
                <w:sz w:val="24"/>
                <w:szCs w:val="24"/>
                <w:u w:val="none"/>
              </w:rPr>
            </w:pPr>
          </w:p>
        </w:tc>
        <w:tc>
          <w:tcPr>
            <w:tcW w:w="0" w:type="auto"/>
            <w:vMerge w:val="continue"/>
            <w:tcBorders>
              <w:left w:val="single" w:color="000000" w:sz="4" w:space="0"/>
              <w:bottom w:val="single" w:color="000000" w:sz="4" w:space="0"/>
              <w:right w:val="single" w:color="000000" w:sz="4" w:space="0"/>
            </w:tcBorders>
            <w:noWrap w:val="0"/>
            <w:vAlign w:val="center"/>
          </w:tcPr>
          <w:p w14:paraId="1A6CAB8E">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黑体" w:hAnsi="宋体" w:eastAsia="黑体" w:cs="黑体"/>
                <w:b/>
                <w:i w:val="0"/>
                <w:color w:val="000000"/>
                <w:sz w:val="24"/>
                <w:szCs w:val="24"/>
                <w:u w:val="none"/>
              </w:rPr>
            </w:pPr>
          </w:p>
        </w:tc>
        <w:tc>
          <w:tcPr>
            <w:tcW w:w="517" w:type="dxa"/>
            <w:vMerge w:val="continue"/>
            <w:tcBorders>
              <w:left w:val="single" w:color="000000" w:sz="4" w:space="0"/>
              <w:bottom w:val="single" w:color="000000" w:sz="4" w:space="0"/>
              <w:right w:val="single" w:color="000000" w:sz="4" w:space="0"/>
            </w:tcBorders>
            <w:noWrap w:val="0"/>
            <w:vAlign w:val="center"/>
          </w:tcPr>
          <w:p w14:paraId="6F45D661">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黑体" w:hAnsi="宋体" w:eastAsia="黑体" w:cs="黑体"/>
                <w:b/>
                <w:i w:val="0"/>
                <w:color w:val="000000"/>
                <w:sz w:val="24"/>
                <w:szCs w:val="24"/>
                <w:u w:val="none"/>
              </w:rPr>
            </w:pPr>
          </w:p>
        </w:tc>
      </w:tr>
      <w:tr w14:paraId="2EFAC7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720" w:type="dxa"/>
            <w:vMerge w:val="restart"/>
            <w:tcBorders>
              <w:top w:val="single" w:color="000000" w:sz="4" w:space="0"/>
              <w:left w:val="single" w:color="000000" w:sz="4" w:space="0"/>
              <w:bottom w:val="single" w:color="000000" w:sz="4" w:space="0"/>
              <w:right w:val="single" w:color="000000" w:sz="4" w:space="0"/>
            </w:tcBorders>
            <w:noWrap w:val="0"/>
            <w:vAlign w:val="center"/>
          </w:tcPr>
          <w:p w14:paraId="23AEF786">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通用指标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（54分）</w:t>
            </w:r>
          </w:p>
        </w:tc>
        <w:tc>
          <w:tcPr>
            <w:tcW w:w="1349"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6E9136F">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项目决策</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（18分）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543DA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决策程序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0828B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68598251">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项目决策程序是否严密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F84E8C">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517" w:type="dxa"/>
            <w:tcBorders>
              <w:top w:val="single" w:color="000000" w:sz="4" w:space="0"/>
              <w:left w:val="single" w:color="000000" w:sz="4" w:space="0"/>
              <w:bottom w:val="single" w:color="000000" w:sz="4" w:space="0"/>
              <w:right w:val="single" w:color="000000" w:sz="4" w:space="0"/>
            </w:tcBorders>
            <w:noWrap w:val="0"/>
            <w:vAlign w:val="center"/>
          </w:tcPr>
          <w:p w14:paraId="132C0562">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eastAsia" w:ascii="宋体" w:hAnsi="宋体" w:eastAsia="宋体" w:cs="宋体"/>
                <w:i w:val="0"/>
                <w:color w:val="000000"/>
                <w:kern w:val="0"/>
                <w:sz w:val="24"/>
                <w:szCs w:val="24"/>
                <w:u w:val="none"/>
                <w:lang w:val="en-US" w:eastAsia="zh-CN" w:bidi="ar"/>
              </w:rPr>
            </w:pPr>
          </w:p>
        </w:tc>
      </w:tr>
      <w:tr w14:paraId="735535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1069DC">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宋体" w:hAnsi="宋体" w:eastAsia="宋体" w:cs="宋体"/>
                <w:b/>
                <w:i w:val="0"/>
                <w:color w:val="000000"/>
                <w:sz w:val="24"/>
                <w:szCs w:val="24"/>
                <w:u w:val="none"/>
              </w:rPr>
            </w:pPr>
          </w:p>
        </w:tc>
        <w:tc>
          <w:tcPr>
            <w:tcW w:w="1349"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DDACFC1">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宋体" w:hAnsi="宋体" w:eastAsia="宋体" w:cs="宋体"/>
                <w:b/>
                <w:i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CD9C0B">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规划论证</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7DDAE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413AFB9C">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项目规划论证是否符合中省要求，项目绩效目标设置是否科学合理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C86F6F">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517" w:type="dxa"/>
            <w:tcBorders>
              <w:top w:val="single" w:color="000000" w:sz="4" w:space="0"/>
              <w:left w:val="single" w:color="000000" w:sz="4" w:space="0"/>
              <w:bottom w:val="single" w:color="000000" w:sz="4" w:space="0"/>
              <w:right w:val="single" w:color="000000" w:sz="4" w:space="0"/>
            </w:tcBorders>
            <w:noWrap w:val="0"/>
            <w:vAlign w:val="center"/>
          </w:tcPr>
          <w:p w14:paraId="3ADC7E76">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eastAsia" w:ascii="宋体" w:hAnsi="宋体" w:eastAsia="宋体" w:cs="宋体"/>
                <w:i w:val="0"/>
                <w:color w:val="000000"/>
                <w:kern w:val="0"/>
                <w:sz w:val="24"/>
                <w:szCs w:val="24"/>
                <w:u w:val="none"/>
                <w:lang w:val="en-US" w:eastAsia="zh-CN" w:bidi="ar"/>
              </w:rPr>
            </w:pPr>
          </w:p>
        </w:tc>
      </w:tr>
      <w:tr w14:paraId="775414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C1E303">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宋体" w:hAnsi="宋体" w:eastAsia="宋体" w:cs="宋体"/>
                <w:b/>
                <w:i w:val="0"/>
                <w:color w:val="000000"/>
                <w:sz w:val="24"/>
                <w:szCs w:val="24"/>
                <w:u w:val="none"/>
              </w:rPr>
            </w:pPr>
          </w:p>
        </w:tc>
        <w:tc>
          <w:tcPr>
            <w:tcW w:w="1349"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7680F88">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宋体" w:hAnsi="宋体" w:eastAsia="宋体" w:cs="宋体"/>
                <w:b/>
                <w:i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A7177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资金投向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53C319">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06AABEFA">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项目资金是否与项目总体规划、相关行业事业发展相匹配，是否聚焦重大任务、重点领域、重点环节和重点项目</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EC56C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517" w:type="dxa"/>
            <w:tcBorders>
              <w:top w:val="single" w:color="000000" w:sz="4" w:space="0"/>
              <w:left w:val="single" w:color="000000" w:sz="4" w:space="0"/>
              <w:bottom w:val="single" w:color="000000" w:sz="4" w:space="0"/>
              <w:right w:val="single" w:color="000000" w:sz="4" w:space="0"/>
            </w:tcBorders>
            <w:noWrap w:val="0"/>
            <w:vAlign w:val="center"/>
          </w:tcPr>
          <w:p w14:paraId="50C91DE1">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eastAsia" w:ascii="宋体" w:hAnsi="宋体" w:eastAsia="宋体" w:cs="宋体"/>
                <w:i w:val="0"/>
                <w:color w:val="000000"/>
                <w:kern w:val="0"/>
                <w:sz w:val="24"/>
                <w:szCs w:val="24"/>
                <w:u w:val="none"/>
                <w:lang w:val="en-US" w:eastAsia="zh-CN" w:bidi="ar"/>
              </w:rPr>
            </w:pPr>
          </w:p>
        </w:tc>
      </w:tr>
      <w:tr w14:paraId="687003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4CDD51">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宋体" w:hAnsi="宋体" w:eastAsia="宋体" w:cs="宋体"/>
                <w:b/>
                <w:i w:val="0"/>
                <w:color w:val="000000"/>
                <w:sz w:val="24"/>
                <w:szCs w:val="24"/>
                <w:u w:val="none"/>
              </w:rPr>
            </w:pPr>
          </w:p>
        </w:tc>
        <w:tc>
          <w:tcPr>
            <w:tcW w:w="1349"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E162DF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（18分）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0988A9">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制度办法</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319E3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6A6C209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项目制度办法是否体系健全、要素完备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0238B2">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2</w:t>
            </w:r>
          </w:p>
        </w:tc>
        <w:tc>
          <w:tcPr>
            <w:tcW w:w="517" w:type="dxa"/>
            <w:tcBorders>
              <w:top w:val="single" w:color="000000" w:sz="4" w:space="0"/>
              <w:left w:val="single" w:color="000000" w:sz="4" w:space="0"/>
              <w:bottom w:val="single" w:color="000000" w:sz="4" w:space="0"/>
              <w:right w:val="single" w:color="000000" w:sz="4" w:space="0"/>
            </w:tcBorders>
            <w:noWrap w:val="0"/>
            <w:vAlign w:val="center"/>
          </w:tcPr>
          <w:p w14:paraId="2498ED3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eastAsia" w:ascii="宋体" w:hAnsi="宋体" w:eastAsia="宋体" w:cs="宋体"/>
                <w:i w:val="0"/>
                <w:color w:val="000000"/>
                <w:kern w:val="0"/>
                <w:sz w:val="24"/>
                <w:szCs w:val="24"/>
                <w:u w:val="none"/>
                <w:lang w:val="en-US" w:eastAsia="zh-CN" w:bidi="ar"/>
              </w:rPr>
            </w:pPr>
          </w:p>
        </w:tc>
      </w:tr>
      <w:tr w14:paraId="625001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A91DCB">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宋体" w:hAnsi="宋体" w:eastAsia="宋体" w:cs="宋体"/>
                <w:b/>
                <w:i w:val="0"/>
                <w:color w:val="000000"/>
                <w:sz w:val="24"/>
                <w:szCs w:val="24"/>
                <w:u w:val="none"/>
              </w:rPr>
            </w:pPr>
          </w:p>
        </w:tc>
        <w:tc>
          <w:tcPr>
            <w:tcW w:w="1349"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2D73EDD">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宋体" w:hAnsi="宋体" w:eastAsia="宋体" w:cs="宋体"/>
                <w:b/>
                <w:i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F27DF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分配管理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7D3E4C">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034DBAD0">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项目资金分配因素选取、权重设置、区域分布，项目管理、审批是否符合管理要求</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6EAD4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517" w:type="dxa"/>
            <w:tcBorders>
              <w:top w:val="single" w:color="000000" w:sz="4" w:space="0"/>
              <w:left w:val="single" w:color="000000" w:sz="4" w:space="0"/>
              <w:bottom w:val="single" w:color="000000" w:sz="4" w:space="0"/>
              <w:right w:val="single" w:color="000000" w:sz="4" w:space="0"/>
            </w:tcBorders>
            <w:noWrap w:val="0"/>
            <w:vAlign w:val="center"/>
          </w:tcPr>
          <w:p w14:paraId="0B1645E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eastAsia" w:ascii="宋体" w:hAnsi="宋体" w:eastAsia="宋体" w:cs="宋体"/>
                <w:i w:val="0"/>
                <w:color w:val="000000"/>
                <w:kern w:val="0"/>
                <w:sz w:val="24"/>
                <w:szCs w:val="24"/>
                <w:u w:val="none"/>
                <w:lang w:val="en-US" w:eastAsia="zh-CN" w:bidi="ar"/>
              </w:rPr>
            </w:pPr>
          </w:p>
        </w:tc>
      </w:tr>
      <w:tr w14:paraId="6AA865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6A50A9">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宋体" w:hAnsi="宋体" w:eastAsia="宋体" w:cs="宋体"/>
                <w:b/>
                <w:i w:val="0"/>
                <w:color w:val="000000"/>
                <w:sz w:val="24"/>
                <w:szCs w:val="24"/>
                <w:u w:val="none"/>
              </w:rPr>
            </w:pPr>
          </w:p>
        </w:tc>
        <w:tc>
          <w:tcPr>
            <w:tcW w:w="1349"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82A67C5">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宋体" w:hAnsi="宋体" w:eastAsia="宋体" w:cs="宋体"/>
                <w:b/>
                <w:i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8C722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绩效监管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693526">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72BBD64B">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管资金、项目、政策是否管绩效，项目绩效监管是否按要求开展，对下指导是否有力有效</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CFB7CA">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517" w:type="dxa"/>
            <w:tcBorders>
              <w:top w:val="single" w:color="000000" w:sz="4" w:space="0"/>
              <w:left w:val="single" w:color="000000" w:sz="4" w:space="0"/>
              <w:bottom w:val="single" w:color="000000" w:sz="4" w:space="0"/>
              <w:right w:val="single" w:color="000000" w:sz="4" w:space="0"/>
            </w:tcBorders>
            <w:noWrap w:val="0"/>
            <w:vAlign w:val="center"/>
          </w:tcPr>
          <w:p w14:paraId="3B2250EF">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eastAsia" w:ascii="宋体" w:hAnsi="宋体" w:eastAsia="宋体" w:cs="宋体"/>
                <w:i w:val="0"/>
                <w:color w:val="000000"/>
                <w:kern w:val="0"/>
                <w:sz w:val="24"/>
                <w:szCs w:val="24"/>
                <w:u w:val="none"/>
                <w:lang w:val="en-US" w:eastAsia="zh-CN" w:bidi="ar"/>
              </w:rPr>
            </w:pPr>
          </w:p>
        </w:tc>
      </w:tr>
      <w:tr w14:paraId="73710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391230">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宋体" w:hAnsi="宋体" w:eastAsia="宋体" w:cs="宋体"/>
                <w:b/>
                <w:i w:val="0"/>
                <w:color w:val="000000"/>
                <w:sz w:val="24"/>
                <w:szCs w:val="24"/>
                <w:u w:val="none"/>
              </w:rPr>
            </w:pPr>
          </w:p>
        </w:tc>
        <w:tc>
          <w:tcPr>
            <w:tcW w:w="1349"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23E521A">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项目实施</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17ECAA">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预算执行</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1A926F">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4FFFF7C9">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项目资金财政拨付、单位执行和地方配套到位情况</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DF4DE5">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p>
        </w:tc>
        <w:tc>
          <w:tcPr>
            <w:tcW w:w="517" w:type="dxa"/>
            <w:tcBorders>
              <w:top w:val="single" w:color="000000" w:sz="4" w:space="0"/>
              <w:left w:val="single" w:color="000000" w:sz="4" w:space="0"/>
              <w:bottom w:val="single" w:color="000000" w:sz="4" w:space="0"/>
              <w:right w:val="single" w:color="000000" w:sz="4" w:space="0"/>
            </w:tcBorders>
            <w:noWrap w:val="0"/>
            <w:vAlign w:val="center"/>
          </w:tcPr>
          <w:p w14:paraId="7788AA0C">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eastAsia" w:ascii="宋体" w:hAnsi="宋体" w:eastAsia="宋体" w:cs="宋体"/>
                <w:i w:val="0"/>
                <w:color w:val="000000"/>
                <w:kern w:val="0"/>
                <w:sz w:val="24"/>
                <w:szCs w:val="24"/>
                <w:u w:val="none"/>
                <w:lang w:val="en-US" w:eastAsia="zh-CN" w:bidi="ar"/>
              </w:rPr>
            </w:pPr>
          </w:p>
        </w:tc>
      </w:tr>
      <w:tr w14:paraId="0880FF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66728C">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宋体" w:hAnsi="宋体" w:eastAsia="宋体" w:cs="宋体"/>
                <w:b/>
                <w:i w:val="0"/>
                <w:color w:val="000000"/>
                <w:sz w:val="24"/>
                <w:szCs w:val="24"/>
                <w:u w:val="none"/>
              </w:rPr>
            </w:pPr>
          </w:p>
        </w:tc>
        <w:tc>
          <w:tcPr>
            <w:tcW w:w="1349"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1D6D617">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宋体" w:hAnsi="宋体" w:eastAsia="宋体" w:cs="宋体"/>
                <w:b/>
                <w:i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26A19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资金使用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372139">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32BA7F3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资金使用拨付、项目实施是否符合规定</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118635">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517" w:type="dxa"/>
            <w:tcBorders>
              <w:top w:val="single" w:color="000000" w:sz="4" w:space="0"/>
              <w:left w:val="single" w:color="000000" w:sz="4" w:space="0"/>
              <w:bottom w:val="single" w:color="000000" w:sz="4" w:space="0"/>
              <w:right w:val="single" w:color="000000" w:sz="4" w:space="0"/>
            </w:tcBorders>
            <w:noWrap w:val="0"/>
            <w:vAlign w:val="center"/>
          </w:tcPr>
          <w:p w14:paraId="7B4D6D1A">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eastAsia" w:ascii="宋体" w:hAnsi="宋体" w:eastAsia="宋体" w:cs="宋体"/>
                <w:i w:val="0"/>
                <w:color w:val="000000"/>
                <w:kern w:val="0"/>
                <w:sz w:val="24"/>
                <w:szCs w:val="24"/>
                <w:u w:val="none"/>
                <w:lang w:val="en-US" w:eastAsia="zh-CN" w:bidi="ar"/>
              </w:rPr>
            </w:pPr>
          </w:p>
        </w:tc>
      </w:tr>
      <w:tr w14:paraId="139D87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215E48">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宋体" w:hAnsi="宋体" w:eastAsia="宋体" w:cs="宋体"/>
                <w:b/>
                <w:i w:val="0"/>
                <w:color w:val="000000"/>
                <w:sz w:val="24"/>
                <w:szCs w:val="24"/>
                <w:u w:val="none"/>
              </w:rPr>
            </w:pPr>
          </w:p>
        </w:tc>
        <w:tc>
          <w:tcPr>
            <w:tcW w:w="1349"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A011705">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项目结果</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E97B96">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目标完成</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91DC5C">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03242FEF">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项目是否完成预期目标，实施结果是否与绩效目标相匹配，反映目标实现程度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CF740C">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517" w:type="dxa"/>
            <w:tcBorders>
              <w:top w:val="single" w:color="000000" w:sz="4" w:space="0"/>
              <w:left w:val="single" w:color="000000" w:sz="4" w:space="0"/>
              <w:bottom w:val="single" w:color="000000" w:sz="4" w:space="0"/>
              <w:right w:val="single" w:color="000000" w:sz="4" w:space="0"/>
            </w:tcBorders>
            <w:noWrap w:val="0"/>
            <w:vAlign w:val="center"/>
          </w:tcPr>
          <w:p w14:paraId="5372381F">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eastAsia" w:ascii="宋体" w:hAnsi="宋体" w:eastAsia="宋体" w:cs="宋体"/>
                <w:i w:val="0"/>
                <w:color w:val="000000"/>
                <w:kern w:val="0"/>
                <w:sz w:val="24"/>
                <w:szCs w:val="24"/>
                <w:u w:val="none"/>
                <w:lang w:val="en-US" w:eastAsia="zh-CN" w:bidi="ar"/>
              </w:rPr>
            </w:pPr>
          </w:p>
        </w:tc>
      </w:tr>
      <w:tr w14:paraId="1179C5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4D01EB">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宋体" w:hAnsi="宋体" w:eastAsia="宋体" w:cs="宋体"/>
                <w:b/>
                <w:i w:val="0"/>
                <w:color w:val="000000"/>
                <w:sz w:val="24"/>
                <w:szCs w:val="24"/>
                <w:u w:val="none"/>
              </w:rPr>
            </w:pPr>
          </w:p>
        </w:tc>
        <w:tc>
          <w:tcPr>
            <w:tcW w:w="1349"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060F39B">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宋体" w:hAnsi="宋体" w:eastAsia="宋体" w:cs="宋体"/>
                <w:b/>
                <w:i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D8999C">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完成时效</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3132D2">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5E18D301">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项目实际完成时间与计划完成时间的比较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5DE107">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517" w:type="dxa"/>
            <w:tcBorders>
              <w:top w:val="single" w:color="000000" w:sz="4" w:space="0"/>
              <w:left w:val="single" w:color="000000" w:sz="4" w:space="0"/>
              <w:bottom w:val="single" w:color="000000" w:sz="4" w:space="0"/>
              <w:right w:val="single" w:color="000000" w:sz="4" w:space="0"/>
            </w:tcBorders>
            <w:noWrap w:val="0"/>
            <w:vAlign w:val="center"/>
          </w:tcPr>
          <w:p w14:paraId="0C5517CB">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eastAsia" w:ascii="宋体" w:hAnsi="宋体" w:eastAsia="宋体" w:cs="宋体"/>
                <w:i w:val="0"/>
                <w:color w:val="000000"/>
                <w:kern w:val="0"/>
                <w:sz w:val="24"/>
                <w:szCs w:val="24"/>
                <w:u w:val="none"/>
                <w:lang w:val="en-US" w:eastAsia="zh-CN" w:bidi="ar"/>
              </w:rPr>
            </w:pPr>
          </w:p>
        </w:tc>
      </w:tr>
      <w:tr w14:paraId="7D9089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720" w:type="dxa"/>
            <w:vMerge w:val="restart"/>
            <w:tcBorders>
              <w:top w:val="single" w:color="000000" w:sz="4" w:space="0"/>
              <w:left w:val="single" w:color="000000" w:sz="4" w:space="0"/>
              <w:bottom w:val="single" w:color="000000" w:sz="4" w:space="0"/>
              <w:right w:val="single" w:color="000000" w:sz="4" w:space="0"/>
            </w:tcBorders>
            <w:noWrap w:val="0"/>
            <w:vAlign w:val="center"/>
          </w:tcPr>
          <w:p w14:paraId="46911EB2">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专用指标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349"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DDAC2E1">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产业发展</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300E61">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符合性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C5A061">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0508C484">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项目实施是否与省委省政府支持重点、产业支持政策符合</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9B1245">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517" w:type="dxa"/>
            <w:tcBorders>
              <w:top w:val="single" w:color="000000" w:sz="4" w:space="0"/>
              <w:left w:val="single" w:color="000000" w:sz="4" w:space="0"/>
              <w:bottom w:val="single" w:color="000000" w:sz="4" w:space="0"/>
              <w:right w:val="single" w:color="000000" w:sz="4" w:space="0"/>
            </w:tcBorders>
            <w:noWrap w:val="0"/>
            <w:vAlign w:val="center"/>
          </w:tcPr>
          <w:p w14:paraId="0BDEDDFF">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eastAsia" w:ascii="宋体" w:hAnsi="宋体" w:eastAsia="宋体" w:cs="宋体"/>
                <w:i w:val="0"/>
                <w:color w:val="000000"/>
                <w:kern w:val="0"/>
                <w:sz w:val="24"/>
                <w:szCs w:val="24"/>
                <w:u w:val="none"/>
                <w:lang w:val="en-US" w:eastAsia="zh-CN" w:bidi="ar"/>
              </w:rPr>
            </w:pPr>
          </w:p>
        </w:tc>
      </w:tr>
      <w:tr w14:paraId="419E25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C43853">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宋体" w:hAnsi="宋体" w:eastAsia="宋体" w:cs="宋体"/>
                <w:b/>
                <w:i w:val="0"/>
                <w:color w:val="000000"/>
                <w:sz w:val="24"/>
                <w:szCs w:val="24"/>
                <w:u w:val="none"/>
              </w:rPr>
            </w:pPr>
          </w:p>
        </w:tc>
        <w:tc>
          <w:tcPr>
            <w:tcW w:w="1349"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F832DC6">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宋体" w:hAnsi="宋体" w:eastAsia="宋体" w:cs="宋体"/>
                <w:b/>
                <w:i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D1ACF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成长性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F1BF1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2E7CD8E0">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项目实施对相关企业（机构）成长性的促进作用，主要反映支持对象创新创造创业能力情况</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1AB01C">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517" w:type="dxa"/>
            <w:tcBorders>
              <w:top w:val="single" w:color="000000" w:sz="4" w:space="0"/>
              <w:left w:val="single" w:color="000000" w:sz="4" w:space="0"/>
              <w:bottom w:val="single" w:color="000000" w:sz="4" w:space="0"/>
              <w:right w:val="single" w:color="000000" w:sz="4" w:space="0"/>
            </w:tcBorders>
            <w:noWrap w:val="0"/>
            <w:vAlign w:val="center"/>
          </w:tcPr>
          <w:p w14:paraId="71F9C2FA">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eastAsia" w:ascii="宋体" w:hAnsi="宋体" w:eastAsia="宋体" w:cs="宋体"/>
                <w:i w:val="0"/>
                <w:color w:val="000000"/>
                <w:kern w:val="0"/>
                <w:sz w:val="24"/>
                <w:szCs w:val="24"/>
                <w:u w:val="none"/>
                <w:lang w:val="en-US" w:eastAsia="zh-CN" w:bidi="ar"/>
              </w:rPr>
            </w:pPr>
          </w:p>
        </w:tc>
      </w:tr>
      <w:tr w14:paraId="2A5188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76E5D8">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宋体" w:hAnsi="宋体" w:eastAsia="宋体" w:cs="宋体"/>
                <w:b/>
                <w:i w:val="0"/>
                <w:color w:val="000000"/>
                <w:sz w:val="24"/>
                <w:szCs w:val="24"/>
                <w:u w:val="none"/>
              </w:rPr>
            </w:pPr>
          </w:p>
        </w:tc>
        <w:tc>
          <w:tcPr>
            <w:tcW w:w="1349"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EF09AB7">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宋体" w:hAnsi="宋体" w:eastAsia="宋体" w:cs="宋体"/>
                <w:b/>
                <w:i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BED55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经济性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BA3C65">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6AB6C4B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项目实施对相关企业（机构）主营业务收入、净利润、税收、产量等方面增长情况</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06581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517" w:type="dxa"/>
            <w:tcBorders>
              <w:top w:val="single" w:color="000000" w:sz="4" w:space="0"/>
              <w:left w:val="single" w:color="000000" w:sz="4" w:space="0"/>
              <w:bottom w:val="single" w:color="000000" w:sz="4" w:space="0"/>
              <w:right w:val="single" w:color="000000" w:sz="4" w:space="0"/>
            </w:tcBorders>
            <w:noWrap w:val="0"/>
            <w:vAlign w:val="center"/>
          </w:tcPr>
          <w:p w14:paraId="0EE5B8DA">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eastAsia" w:ascii="宋体" w:hAnsi="宋体" w:eastAsia="宋体" w:cs="宋体"/>
                <w:i w:val="0"/>
                <w:color w:val="000000"/>
                <w:kern w:val="0"/>
                <w:sz w:val="24"/>
                <w:szCs w:val="24"/>
                <w:u w:val="none"/>
                <w:lang w:val="en-US" w:eastAsia="zh-CN" w:bidi="ar"/>
              </w:rPr>
            </w:pPr>
          </w:p>
        </w:tc>
      </w:tr>
      <w:tr w14:paraId="5B90E1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A7EFF3">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宋体" w:hAnsi="宋体" w:eastAsia="宋体" w:cs="宋体"/>
                <w:b/>
                <w:i w:val="0"/>
                <w:color w:val="000000"/>
                <w:sz w:val="24"/>
                <w:szCs w:val="24"/>
                <w:u w:val="none"/>
              </w:rPr>
            </w:pPr>
          </w:p>
        </w:tc>
        <w:tc>
          <w:tcPr>
            <w:tcW w:w="1349"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86D3080">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民生保障</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176052">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区域均衡性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701F86">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1DAF7282">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项目资金分配体现的均衡公平情况</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30809F">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517" w:type="dxa"/>
            <w:tcBorders>
              <w:top w:val="single" w:color="000000" w:sz="4" w:space="0"/>
              <w:left w:val="single" w:color="000000" w:sz="4" w:space="0"/>
              <w:bottom w:val="single" w:color="000000" w:sz="4" w:space="0"/>
              <w:right w:val="single" w:color="000000" w:sz="4" w:space="0"/>
            </w:tcBorders>
            <w:noWrap w:val="0"/>
            <w:vAlign w:val="center"/>
          </w:tcPr>
          <w:p w14:paraId="50A062E4">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eastAsia" w:ascii="宋体" w:hAnsi="宋体" w:eastAsia="宋体" w:cs="宋体"/>
                <w:i w:val="0"/>
                <w:color w:val="000000"/>
                <w:kern w:val="0"/>
                <w:sz w:val="24"/>
                <w:szCs w:val="24"/>
                <w:u w:val="none"/>
                <w:lang w:val="en-US" w:eastAsia="zh-CN" w:bidi="ar"/>
              </w:rPr>
            </w:pPr>
          </w:p>
        </w:tc>
      </w:tr>
      <w:tr w14:paraId="4CB0B8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39F6A6">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宋体" w:hAnsi="宋体" w:eastAsia="宋体" w:cs="宋体"/>
                <w:b/>
                <w:i w:val="0"/>
                <w:color w:val="000000"/>
                <w:sz w:val="24"/>
                <w:szCs w:val="24"/>
                <w:u w:val="none"/>
              </w:rPr>
            </w:pPr>
          </w:p>
        </w:tc>
        <w:tc>
          <w:tcPr>
            <w:tcW w:w="1349"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A86AAD6">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宋体" w:hAnsi="宋体" w:eastAsia="宋体" w:cs="宋体"/>
                <w:b/>
                <w:i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FEC27F">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对象精准性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E290B6">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4A27F477">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资金实际支持对象是否符合管理要求，是否符合支持对象范围</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58FF4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517" w:type="dxa"/>
            <w:tcBorders>
              <w:top w:val="single" w:color="000000" w:sz="4" w:space="0"/>
              <w:left w:val="single" w:color="000000" w:sz="4" w:space="0"/>
              <w:bottom w:val="single" w:color="000000" w:sz="4" w:space="0"/>
              <w:right w:val="single" w:color="000000" w:sz="4" w:space="0"/>
            </w:tcBorders>
            <w:noWrap w:val="0"/>
            <w:vAlign w:val="center"/>
          </w:tcPr>
          <w:p w14:paraId="436313B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eastAsia" w:ascii="宋体" w:hAnsi="宋体" w:eastAsia="宋体" w:cs="宋体"/>
                <w:i w:val="0"/>
                <w:color w:val="000000"/>
                <w:kern w:val="0"/>
                <w:sz w:val="24"/>
                <w:szCs w:val="24"/>
                <w:u w:val="none"/>
                <w:lang w:val="en-US" w:eastAsia="zh-CN" w:bidi="ar"/>
              </w:rPr>
            </w:pPr>
          </w:p>
        </w:tc>
      </w:tr>
      <w:tr w14:paraId="36AF0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5DD30A">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宋体" w:hAnsi="宋体" w:eastAsia="宋体" w:cs="宋体"/>
                <w:b/>
                <w:i w:val="0"/>
                <w:color w:val="000000"/>
                <w:sz w:val="24"/>
                <w:szCs w:val="24"/>
                <w:u w:val="none"/>
              </w:rPr>
            </w:pPr>
          </w:p>
        </w:tc>
        <w:tc>
          <w:tcPr>
            <w:tcW w:w="1349"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27B4071">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宋体" w:hAnsi="宋体" w:eastAsia="宋体" w:cs="宋体"/>
                <w:b/>
                <w:i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F8527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标准合理性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6A927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4781760F">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资金实际补贴标准是否符合资金管理办法规定的补助标准，是否及时按标准兑现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CBDD2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p>
        </w:tc>
        <w:tc>
          <w:tcPr>
            <w:tcW w:w="517" w:type="dxa"/>
            <w:tcBorders>
              <w:top w:val="single" w:color="000000" w:sz="4" w:space="0"/>
              <w:left w:val="single" w:color="000000" w:sz="4" w:space="0"/>
              <w:bottom w:val="single" w:color="000000" w:sz="4" w:space="0"/>
              <w:right w:val="single" w:color="000000" w:sz="4" w:space="0"/>
            </w:tcBorders>
            <w:noWrap w:val="0"/>
            <w:vAlign w:val="center"/>
          </w:tcPr>
          <w:p w14:paraId="3E782B3C">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eastAsia" w:ascii="宋体" w:hAnsi="宋体" w:eastAsia="宋体" w:cs="宋体"/>
                <w:i w:val="0"/>
                <w:color w:val="000000"/>
                <w:kern w:val="0"/>
                <w:sz w:val="24"/>
                <w:szCs w:val="24"/>
                <w:u w:val="none"/>
                <w:lang w:val="en-US" w:eastAsia="zh-CN" w:bidi="ar"/>
              </w:rPr>
            </w:pPr>
          </w:p>
        </w:tc>
      </w:tr>
      <w:tr w14:paraId="4E4B65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BC8BA1">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宋体" w:hAnsi="宋体" w:eastAsia="宋体" w:cs="宋体"/>
                <w:b/>
                <w:i w:val="0"/>
                <w:color w:val="000000"/>
                <w:sz w:val="24"/>
                <w:szCs w:val="24"/>
                <w:u w:val="none"/>
              </w:rPr>
            </w:pPr>
          </w:p>
        </w:tc>
        <w:tc>
          <w:tcPr>
            <w:tcW w:w="1349"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6F2A98F">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宋体" w:hAnsi="宋体" w:eastAsia="宋体" w:cs="宋体"/>
                <w:b/>
                <w:i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DEB8AA">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群众满意度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D503E5">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58FFBAFF">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资金涉及相关受益群体、支持对象的满意度调查访谈情况</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67C680">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p>
        </w:tc>
        <w:tc>
          <w:tcPr>
            <w:tcW w:w="517" w:type="dxa"/>
            <w:tcBorders>
              <w:top w:val="single" w:color="000000" w:sz="4" w:space="0"/>
              <w:left w:val="single" w:color="000000" w:sz="4" w:space="0"/>
              <w:bottom w:val="single" w:color="000000" w:sz="4" w:space="0"/>
              <w:right w:val="single" w:color="000000" w:sz="4" w:space="0"/>
            </w:tcBorders>
            <w:noWrap w:val="0"/>
            <w:vAlign w:val="center"/>
          </w:tcPr>
          <w:p w14:paraId="7877A155">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eastAsia" w:ascii="宋体" w:hAnsi="宋体" w:eastAsia="宋体" w:cs="宋体"/>
                <w:i w:val="0"/>
                <w:color w:val="000000"/>
                <w:kern w:val="0"/>
                <w:sz w:val="24"/>
                <w:szCs w:val="24"/>
                <w:u w:val="none"/>
                <w:lang w:val="en-US" w:eastAsia="zh-CN" w:bidi="ar"/>
              </w:rPr>
            </w:pPr>
          </w:p>
        </w:tc>
      </w:tr>
      <w:tr w14:paraId="3DEC49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490763">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宋体" w:hAnsi="宋体" w:eastAsia="宋体" w:cs="宋体"/>
                <w:b/>
                <w:i w:val="0"/>
                <w:color w:val="000000"/>
                <w:sz w:val="24"/>
                <w:szCs w:val="24"/>
                <w:u w:val="none"/>
              </w:rPr>
            </w:pPr>
          </w:p>
        </w:tc>
        <w:tc>
          <w:tcPr>
            <w:tcW w:w="833" w:type="dxa"/>
            <w:vMerge w:val="restart"/>
            <w:tcBorders>
              <w:top w:val="single" w:color="000000" w:sz="4" w:space="0"/>
              <w:left w:val="single" w:color="000000" w:sz="4" w:space="0"/>
              <w:bottom w:val="single" w:color="000000" w:sz="4" w:space="0"/>
              <w:right w:val="single" w:color="000000" w:sz="4" w:space="0"/>
            </w:tcBorders>
            <w:noWrap w:val="0"/>
            <w:vAlign w:val="center"/>
          </w:tcPr>
          <w:p w14:paraId="29C6AF8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基础</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设施</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516" w:type="dxa"/>
            <w:vMerge w:val="restart"/>
            <w:tcBorders>
              <w:top w:val="single" w:color="000000" w:sz="4" w:space="0"/>
              <w:left w:val="single" w:color="000000" w:sz="4" w:space="0"/>
              <w:bottom w:val="single" w:color="000000" w:sz="4" w:space="0"/>
              <w:right w:val="single" w:color="000000" w:sz="4" w:space="0"/>
            </w:tcBorders>
            <w:noWrap w:val="0"/>
            <w:vAlign w:val="center"/>
          </w:tcPr>
          <w:p w14:paraId="7F27810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在建</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项目</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AB26CC">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工程进度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67F10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4959AB3F">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项目是否达到计划工程进度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31A36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15</w:t>
            </w:r>
          </w:p>
        </w:tc>
        <w:tc>
          <w:tcPr>
            <w:tcW w:w="517" w:type="dxa"/>
            <w:tcBorders>
              <w:top w:val="single" w:color="000000" w:sz="4" w:space="0"/>
              <w:left w:val="single" w:color="000000" w:sz="4" w:space="0"/>
              <w:bottom w:val="single" w:color="000000" w:sz="4" w:space="0"/>
              <w:right w:val="single" w:color="000000" w:sz="4" w:space="0"/>
            </w:tcBorders>
            <w:noWrap w:val="0"/>
            <w:vAlign w:val="center"/>
          </w:tcPr>
          <w:p w14:paraId="088D149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color w:val="000000"/>
                <w:kern w:val="0"/>
                <w:sz w:val="24"/>
                <w:szCs w:val="24"/>
                <w:u w:val="none"/>
                <w:lang w:val="en-US" w:eastAsia="zh-CN" w:bidi="ar"/>
              </w:rPr>
            </w:pPr>
          </w:p>
        </w:tc>
      </w:tr>
      <w:tr w14:paraId="4F8436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57B788">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宋体" w:hAnsi="宋体" w:eastAsia="宋体" w:cs="宋体"/>
                <w:b/>
                <w:i w:val="0"/>
                <w:color w:val="000000"/>
                <w:sz w:val="24"/>
                <w:szCs w:val="24"/>
                <w:u w:val="none"/>
              </w:rPr>
            </w:pPr>
          </w:p>
        </w:tc>
        <w:tc>
          <w:tcPr>
            <w:tcW w:w="8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958CB3">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宋体" w:hAnsi="宋体" w:eastAsia="宋体" w:cs="宋体"/>
                <w:b/>
                <w:i w:val="0"/>
                <w:color w:val="000000"/>
                <w:sz w:val="24"/>
                <w:szCs w:val="24"/>
                <w:u w:val="none"/>
              </w:rPr>
            </w:pPr>
          </w:p>
        </w:tc>
        <w:tc>
          <w:tcPr>
            <w:tcW w:w="516"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E4C1C4">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rPr>
                <w:rFonts w:hint="eastAsia" w:ascii="宋体" w:hAnsi="宋体" w:eastAsia="宋体" w:cs="宋体"/>
                <w:b/>
                <w:i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C61541">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资金拨付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0B0FF5">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0CAF0AFF">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项目是否达到预先确定的资金拨付进度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553A62">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15</w:t>
            </w:r>
          </w:p>
        </w:tc>
        <w:tc>
          <w:tcPr>
            <w:tcW w:w="517" w:type="dxa"/>
            <w:tcBorders>
              <w:top w:val="single" w:color="000000" w:sz="4" w:space="0"/>
              <w:left w:val="single" w:color="000000" w:sz="4" w:space="0"/>
              <w:bottom w:val="single" w:color="000000" w:sz="4" w:space="0"/>
              <w:right w:val="single" w:color="000000" w:sz="4" w:space="0"/>
            </w:tcBorders>
            <w:noWrap w:val="0"/>
            <w:vAlign w:val="center"/>
          </w:tcPr>
          <w:p w14:paraId="1B4F167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color w:val="000000"/>
                <w:kern w:val="0"/>
                <w:sz w:val="24"/>
                <w:szCs w:val="24"/>
                <w:u w:val="none"/>
                <w:lang w:val="en-US" w:eastAsia="zh-CN" w:bidi="ar"/>
              </w:rPr>
            </w:pPr>
          </w:p>
        </w:tc>
      </w:tr>
      <w:tr w14:paraId="34C517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DD8BD4">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宋体" w:hAnsi="宋体" w:eastAsia="宋体" w:cs="宋体"/>
                <w:b/>
                <w:i w:val="0"/>
                <w:color w:val="000000"/>
                <w:sz w:val="24"/>
                <w:szCs w:val="24"/>
                <w:u w:val="none"/>
              </w:rPr>
            </w:pPr>
          </w:p>
        </w:tc>
        <w:tc>
          <w:tcPr>
            <w:tcW w:w="8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614230">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宋体" w:hAnsi="宋体" w:eastAsia="宋体" w:cs="宋体"/>
                <w:b/>
                <w:i w:val="0"/>
                <w:color w:val="000000"/>
                <w:sz w:val="24"/>
                <w:szCs w:val="24"/>
                <w:u w:val="none"/>
              </w:rPr>
            </w:pPr>
          </w:p>
        </w:tc>
        <w:tc>
          <w:tcPr>
            <w:tcW w:w="516" w:type="dxa"/>
            <w:vMerge w:val="restart"/>
            <w:tcBorders>
              <w:top w:val="single" w:color="000000" w:sz="4" w:space="0"/>
              <w:left w:val="single" w:color="000000" w:sz="4" w:space="0"/>
              <w:bottom w:val="single" w:color="000000" w:sz="4" w:space="0"/>
              <w:right w:val="single" w:color="000000" w:sz="4" w:space="0"/>
            </w:tcBorders>
            <w:noWrap w:val="0"/>
            <w:vAlign w:val="center"/>
          </w:tcPr>
          <w:p w14:paraId="4888024A">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建成</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项目</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7D6CB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项目验收</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DA9EE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2F80E77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项目验收是否及时合格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D2AFA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default" w:ascii="宋体" w:hAnsi="宋体" w:eastAsia="宋体" w:cs="宋体"/>
                <w:i w:val="0"/>
                <w:color w:val="000000"/>
                <w:kern w:val="0"/>
                <w:sz w:val="24"/>
                <w:szCs w:val="24"/>
                <w:u w:val="none"/>
                <w:lang w:val="en-US" w:eastAsia="zh-CN" w:bidi="ar"/>
              </w:rPr>
            </w:pPr>
          </w:p>
        </w:tc>
        <w:tc>
          <w:tcPr>
            <w:tcW w:w="517" w:type="dxa"/>
            <w:tcBorders>
              <w:top w:val="single" w:color="000000" w:sz="4" w:space="0"/>
              <w:left w:val="single" w:color="000000" w:sz="4" w:space="0"/>
              <w:bottom w:val="single" w:color="000000" w:sz="4" w:space="0"/>
              <w:right w:val="single" w:color="000000" w:sz="4" w:space="0"/>
            </w:tcBorders>
            <w:noWrap w:val="0"/>
            <w:vAlign w:val="center"/>
          </w:tcPr>
          <w:p w14:paraId="266BDDB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color w:val="000000"/>
                <w:kern w:val="0"/>
                <w:sz w:val="24"/>
                <w:szCs w:val="24"/>
                <w:u w:val="none"/>
                <w:lang w:val="en-US" w:eastAsia="zh-CN" w:bidi="ar"/>
              </w:rPr>
            </w:pPr>
          </w:p>
        </w:tc>
      </w:tr>
      <w:tr w14:paraId="7A277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D298E5">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宋体" w:hAnsi="宋体" w:eastAsia="宋体" w:cs="宋体"/>
                <w:b/>
                <w:i w:val="0"/>
                <w:color w:val="000000"/>
                <w:sz w:val="24"/>
                <w:szCs w:val="24"/>
                <w:u w:val="none"/>
              </w:rPr>
            </w:pPr>
          </w:p>
        </w:tc>
        <w:tc>
          <w:tcPr>
            <w:tcW w:w="8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080575">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宋体" w:hAnsi="宋体" w:eastAsia="宋体" w:cs="宋体"/>
                <w:b/>
                <w:i w:val="0"/>
                <w:color w:val="000000"/>
                <w:sz w:val="24"/>
                <w:szCs w:val="24"/>
                <w:u w:val="none"/>
              </w:rPr>
            </w:pPr>
          </w:p>
        </w:tc>
        <w:tc>
          <w:tcPr>
            <w:tcW w:w="516"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9064FB">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rPr>
                <w:rFonts w:hint="eastAsia" w:ascii="宋体" w:hAnsi="宋体" w:eastAsia="宋体" w:cs="宋体"/>
                <w:b/>
                <w:i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E04DFF">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功能实现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BD526A">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7E6579A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项目经济社会功能是否实现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6C10E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default" w:ascii="宋体" w:hAnsi="宋体" w:eastAsia="宋体" w:cs="宋体"/>
                <w:i w:val="0"/>
                <w:color w:val="000000"/>
                <w:kern w:val="0"/>
                <w:sz w:val="24"/>
                <w:szCs w:val="24"/>
                <w:u w:val="none"/>
                <w:lang w:val="en-US" w:eastAsia="zh-CN" w:bidi="ar"/>
              </w:rPr>
            </w:pPr>
          </w:p>
        </w:tc>
        <w:tc>
          <w:tcPr>
            <w:tcW w:w="517" w:type="dxa"/>
            <w:tcBorders>
              <w:top w:val="single" w:color="000000" w:sz="4" w:space="0"/>
              <w:left w:val="single" w:color="000000" w:sz="4" w:space="0"/>
              <w:bottom w:val="single" w:color="000000" w:sz="4" w:space="0"/>
              <w:right w:val="single" w:color="000000" w:sz="4" w:space="0"/>
            </w:tcBorders>
            <w:noWrap w:val="0"/>
            <w:vAlign w:val="center"/>
          </w:tcPr>
          <w:p w14:paraId="2F4190D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color w:val="000000"/>
                <w:kern w:val="0"/>
                <w:sz w:val="24"/>
                <w:szCs w:val="24"/>
                <w:u w:val="none"/>
                <w:lang w:val="en-US" w:eastAsia="zh-CN" w:bidi="ar"/>
              </w:rPr>
            </w:pPr>
          </w:p>
        </w:tc>
      </w:tr>
      <w:tr w14:paraId="4CC483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48ECCA">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宋体" w:hAnsi="宋体" w:eastAsia="宋体" w:cs="宋体"/>
                <w:b/>
                <w:i w:val="0"/>
                <w:color w:val="000000"/>
                <w:sz w:val="24"/>
                <w:szCs w:val="24"/>
                <w:u w:val="none"/>
              </w:rPr>
            </w:pPr>
          </w:p>
        </w:tc>
        <w:tc>
          <w:tcPr>
            <w:tcW w:w="83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F431FC">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宋体" w:hAnsi="宋体" w:eastAsia="宋体" w:cs="宋体"/>
                <w:b/>
                <w:i w:val="0"/>
                <w:color w:val="000000"/>
                <w:sz w:val="24"/>
                <w:szCs w:val="24"/>
                <w:u w:val="none"/>
              </w:rPr>
            </w:pPr>
          </w:p>
        </w:tc>
        <w:tc>
          <w:tcPr>
            <w:tcW w:w="516"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679EDA">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rPr>
                <w:rFonts w:hint="eastAsia" w:ascii="宋体" w:hAnsi="宋体" w:eastAsia="宋体" w:cs="宋体"/>
                <w:b/>
                <w:i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200756">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后续管护</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818E7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686208EF">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项目后续维护是否实现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86CAF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default" w:ascii="宋体" w:hAnsi="宋体" w:eastAsia="宋体" w:cs="宋体"/>
                <w:i w:val="0"/>
                <w:color w:val="000000"/>
                <w:kern w:val="0"/>
                <w:sz w:val="24"/>
                <w:szCs w:val="24"/>
                <w:u w:val="none"/>
                <w:lang w:val="en-US" w:eastAsia="zh-CN" w:bidi="ar"/>
              </w:rPr>
            </w:pPr>
          </w:p>
        </w:tc>
        <w:tc>
          <w:tcPr>
            <w:tcW w:w="517" w:type="dxa"/>
            <w:tcBorders>
              <w:top w:val="single" w:color="000000" w:sz="4" w:space="0"/>
              <w:left w:val="single" w:color="000000" w:sz="4" w:space="0"/>
              <w:bottom w:val="single" w:color="000000" w:sz="4" w:space="0"/>
              <w:right w:val="single" w:color="000000" w:sz="4" w:space="0"/>
            </w:tcBorders>
            <w:noWrap w:val="0"/>
            <w:vAlign w:val="center"/>
          </w:tcPr>
          <w:p w14:paraId="086528B1">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color w:val="000000"/>
                <w:kern w:val="0"/>
                <w:sz w:val="24"/>
                <w:szCs w:val="24"/>
                <w:u w:val="none"/>
                <w:lang w:val="en-US" w:eastAsia="zh-CN" w:bidi="ar"/>
              </w:rPr>
            </w:pPr>
          </w:p>
        </w:tc>
      </w:tr>
      <w:tr w14:paraId="2C5882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720" w:type="dxa"/>
            <w:vMerge w:val="restart"/>
            <w:tcBorders>
              <w:top w:val="single" w:color="000000" w:sz="4" w:space="0"/>
              <w:left w:val="single" w:color="000000" w:sz="4" w:space="0"/>
              <w:bottom w:val="single" w:color="000000" w:sz="4" w:space="0"/>
              <w:right w:val="single" w:color="000000" w:sz="4" w:space="0"/>
            </w:tcBorders>
            <w:noWrap w:val="0"/>
            <w:vAlign w:val="center"/>
          </w:tcPr>
          <w:p w14:paraId="0B4BD01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专用指标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349"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A428154">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行政运转</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0" w:type="auto"/>
            <w:tcBorders>
              <w:top w:val="nil"/>
              <w:left w:val="single" w:color="000000" w:sz="4" w:space="0"/>
              <w:bottom w:val="single" w:color="000000" w:sz="4" w:space="0"/>
              <w:right w:val="single" w:color="000000" w:sz="4" w:space="0"/>
            </w:tcBorders>
            <w:noWrap w:val="0"/>
            <w:vAlign w:val="center"/>
          </w:tcPr>
          <w:p w14:paraId="474E968C">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用途合规性</w:t>
            </w:r>
          </w:p>
        </w:tc>
        <w:tc>
          <w:tcPr>
            <w:tcW w:w="0" w:type="auto"/>
            <w:tcBorders>
              <w:top w:val="nil"/>
              <w:left w:val="single" w:color="000000" w:sz="4" w:space="0"/>
              <w:bottom w:val="single" w:color="000000" w:sz="4" w:space="0"/>
              <w:right w:val="single" w:color="000000" w:sz="4" w:space="0"/>
            </w:tcBorders>
            <w:noWrap w:val="0"/>
            <w:vAlign w:val="center"/>
          </w:tcPr>
          <w:p w14:paraId="193828D1">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3216" w:type="dxa"/>
            <w:tcBorders>
              <w:top w:val="nil"/>
              <w:left w:val="single" w:color="000000" w:sz="4" w:space="0"/>
              <w:bottom w:val="single" w:color="000000" w:sz="4" w:space="0"/>
              <w:right w:val="single" w:color="000000" w:sz="4" w:space="0"/>
            </w:tcBorders>
            <w:noWrap w:val="0"/>
            <w:vAlign w:val="center"/>
          </w:tcPr>
          <w:p w14:paraId="3832D06F">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是否按规定用途、适用范围进行本地区专项资金分配</w:t>
            </w:r>
          </w:p>
        </w:tc>
        <w:tc>
          <w:tcPr>
            <w:tcW w:w="0" w:type="auto"/>
            <w:tcBorders>
              <w:top w:val="nil"/>
              <w:left w:val="single" w:color="000000" w:sz="4" w:space="0"/>
              <w:bottom w:val="single" w:color="000000" w:sz="4" w:space="0"/>
              <w:right w:val="single" w:color="000000" w:sz="4" w:space="0"/>
            </w:tcBorders>
            <w:noWrap w:val="0"/>
            <w:vAlign w:val="center"/>
          </w:tcPr>
          <w:p w14:paraId="648C940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9</w:t>
            </w:r>
          </w:p>
        </w:tc>
        <w:tc>
          <w:tcPr>
            <w:tcW w:w="517" w:type="dxa"/>
            <w:tcBorders>
              <w:top w:val="nil"/>
              <w:left w:val="single" w:color="000000" w:sz="4" w:space="0"/>
              <w:bottom w:val="single" w:color="000000" w:sz="4" w:space="0"/>
              <w:right w:val="single" w:color="000000" w:sz="4" w:space="0"/>
            </w:tcBorders>
            <w:noWrap w:val="0"/>
            <w:vAlign w:val="center"/>
          </w:tcPr>
          <w:p w14:paraId="18040320">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eastAsia" w:ascii="宋体" w:hAnsi="宋体" w:eastAsia="宋体" w:cs="宋体"/>
                <w:i w:val="0"/>
                <w:color w:val="000000"/>
                <w:kern w:val="0"/>
                <w:sz w:val="24"/>
                <w:szCs w:val="24"/>
                <w:u w:val="none"/>
                <w:lang w:val="en-US" w:eastAsia="zh-CN" w:bidi="ar"/>
              </w:rPr>
            </w:pPr>
          </w:p>
        </w:tc>
      </w:tr>
      <w:tr w14:paraId="2D93E9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CD1F84">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宋体" w:hAnsi="宋体" w:eastAsia="宋体" w:cs="宋体"/>
                <w:b/>
                <w:i w:val="0"/>
                <w:color w:val="000000"/>
                <w:sz w:val="24"/>
                <w:szCs w:val="24"/>
                <w:u w:val="none"/>
              </w:rPr>
            </w:pPr>
          </w:p>
        </w:tc>
        <w:tc>
          <w:tcPr>
            <w:tcW w:w="1349"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4E1FA6A">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宋体" w:hAnsi="宋体" w:eastAsia="宋体" w:cs="宋体"/>
                <w:b/>
                <w:i w:val="0"/>
                <w:color w:val="000000"/>
                <w:sz w:val="24"/>
                <w:szCs w:val="24"/>
                <w:u w:val="none"/>
              </w:rPr>
            </w:pPr>
          </w:p>
        </w:tc>
        <w:tc>
          <w:tcPr>
            <w:tcW w:w="0" w:type="auto"/>
            <w:tcBorders>
              <w:top w:val="nil"/>
              <w:left w:val="single" w:color="000000" w:sz="4" w:space="0"/>
              <w:bottom w:val="single" w:color="000000" w:sz="4" w:space="0"/>
              <w:right w:val="single" w:color="000000" w:sz="4" w:space="0"/>
            </w:tcBorders>
            <w:noWrap w:val="0"/>
            <w:vAlign w:val="center"/>
          </w:tcPr>
          <w:p w14:paraId="61A46394">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程序合规性</w:t>
            </w:r>
          </w:p>
        </w:tc>
        <w:tc>
          <w:tcPr>
            <w:tcW w:w="0" w:type="auto"/>
            <w:tcBorders>
              <w:top w:val="nil"/>
              <w:left w:val="single" w:color="000000" w:sz="4" w:space="0"/>
              <w:bottom w:val="single" w:color="000000" w:sz="4" w:space="0"/>
              <w:right w:val="single" w:color="000000" w:sz="4" w:space="0"/>
            </w:tcBorders>
            <w:noWrap w:val="0"/>
            <w:vAlign w:val="center"/>
          </w:tcPr>
          <w:p w14:paraId="7FF835E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25A6E757">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资金管理程序是否符合专项资金管理要求</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192FD5">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517" w:type="dxa"/>
            <w:tcBorders>
              <w:top w:val="single" w:color="000000" w:sz="4" w:space="0"/>
              <w:left w:val="single" w:color="000000" w:sz="4" w:space="0"/>
              <w:bottom w:val="single" w:color="000000" w:sz="4" w:space="0"/>
              <w:right w:val="single" w:color="000000" w:sz="4" w:space="0"/>
            </w:tcBorders>
            <w:noWrap w:val="0"/>
            <w:vAlign w:val="center"/>
          </w:tcPr>
          <w:p w14:paraId="1674BD1B">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eastAsia" w:ascii="宋体" w:hAnsi="宋体" w:eastAsia="宋体" w:cs="宋体"/>
                <w:i w:val="0"/>
                <w:color w:val="000000"/>
                <w:kern w:val="0"/>
                <w:sz w:val="24"/>
                <w:szCs w:val="24"/>
                <w:u w:val="none"/>
                <w:lang w:val="en-US" w:eastAsia="zh-CN" w:bidi="ar"/>
              </w:rPr>
            </w:pPr>
          </w:p>
        </w:tc>
      </w:tr>
      <w:tr w14:paraId="57A1EC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97A0BD">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宋体" w:hAnsi="宋体" w:eastAsia="宋体" w:cs="宋体"/>
                <w:b/>
                <w:i w:val="0"/>
                <w:color w:val="000000"/>
                <w:sz w:val="24"/>
                <w:szCs w:val="24"/>
                <w:u w:val="none"/>
              </w:rPr>
            </w:pPr>
          </w:p>
        </w:tc>
        <w:tc>
          <w:tcPr>
            <w:tcW w:w="1349"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0F26EF7">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宋体" w:hAnsi="宋体" w:eastAsia="宋体" w:cs="宋体"/>
                <w:b/>
                <w:i w:val="0"/>
                <w:color w:val="000000"/>
                <w:sz w:val="24"/>
                <w:szCs w:val="24"/>
                <w:u w:val="none"/>
              </w:rPr>
            </w:pPr>
          </w:p>
        </w:tc>
        <w:tc>
          <w:tcPr>
            <w:tcW w:w="0" w:type="auto"/>
            <w:tcBorders>
              <w:top w:val="nil"/>
              <w:left w:val="single" w:color="000000" w:sz="4" w:space="0"/>
              <w:bottom w:val="single" w:color="000000" w:sz="4" w:space="0"/>
              <w:right w:val="single" w:color="000000" w:sz="4" w:space="0"/>
            </w:tcBorders>
            <w:noWrap w:val="0"/>
            <w:vAlign w:val="center"/>
          </w:tcPr>
          <w:p w14:paraId="56976B14">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标准合规性</w:t>
            </w:r>
          </w:p>
        </w:tc>
        <w:tc>
          <w:tcPr>
            <w:tcW w:w="0" w:type="auto"/>
            <w:tcBorders>
              <w:top w:val="nil"/>
              <w:left w:val="single" w:color="000000" w:sz="4" w:space="0"/>
              <w:bottom w:val="single" w:color="000000" w:sz="4" w:space="0"/>
              <w:right w:val="single" w:color="000000" w:sz="4" w:space="0"/>
            </w:tcBorders>
            <w:noWrap w:val="0"/>
            <w:vAlign w:val="center"/>
          </w:tcPr>
          <w:p w14:paraId="4DD8D34B">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1FCED891">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资金分配标准是否符合专项资金管理要求</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01E0A5">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517" w:type="dxa"/>
            <w:tcBorders>
              <w:top w:val="single" w:color="000000" w:sz="4" w:space="0"/>
              <w:left w:val="single" w:color="000000" w:sz="4" w:space="0"/>
              <w:bottom w:val="single" w:color="000000" w:sz="4" w:space="0"/>
              <w:right w:val="single" w:color="000000" w:sz="4" w:space="0"/>
            </w:tcBorders>
            <w:noWrap w:val="0"/>
            <w:vAlign w:val="center"/>
          </w:tcPr>
          <w:p w14:paraId="611A654A">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eastAsia" w:ascii="宋体" w:hAnsi="宋体" w:eastAsia="宋体" w:cs="宋体"/>
                <w:i w:val="0"/>
                <w:color w:val="000000"/>
                <w:kern w:val="0"/>
                <w:sz w:val="24"/>
                <w:szCs w:val="24"/>
                <w:u w:val="none"/>
                <w:lang w:val="en-US" w:eastAsia="zh-CN" w:bidi="ar"/>
              </w:rPr>
            </w:pPr>
          </w:p>
        </w:tc>
      </w:tr>
      <w:tr w14:paraId="715260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720"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096F51F0">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个性指标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（16分）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35CDC1">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32F20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3216" w:type="dxa"/>
            <w:vMerge w:val="restart"/>
            <w:tcBorders>
              <w:top w:val="single" w:color="000000" w:sz="4" w:space="0"/>
              <w:left w:val="single" w:color="000000" w:sz="4" w:space="0"/>
              <w:bottom w:val="single" w:color="000000" w:sz="4" w:space="0"/>
              <w:right w:val="single" w:color="000000" w:sz="4" w:space="0"/>
            </w:tcBorders>
            <w:noWrap w:val="0"/>
            <w:vAlign w:val="center"/>
          </w:tcPr>
          <w:p w14:paraId="0B72AC00">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根据项目个性自行设定部分指标，反映该项指标执行完成情况。</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3B81E1">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eastAsia" w:ascii="宋体" w:hAnsi="宋体" w:eastAsia="宋体" w:cs="宋体"/>
                <w:i w:val="0"/>
                <w:color w:val="000000"/>
                <w:kern w:val="0"/>
                <w:sz w:val="24"/>
                <w:szCs w:val="24"/>
                <w:u w:val="none"/>
                <w:lang w:val="en-US" w:eastAsia="zh-CN" w:bidi="ar"/>
              </w:rPr>
            </w:pPr>
          </w:p>
        </w:tc>
        <w:tc>
          <w:tcPr>
            <w:tcW w:w="517" w:type="dxa"/>
            <w:tcBorders>
              <w:top w:val="single" w:color="000000" w:sz="4" w:space="0"/>
              <w:left w:val="single" w:color="000000" w:sz="4" w:space="0"/>
              <w:bottom w:val="single" w:color="000000" w:sz="4" w:space="0"/>
              <w:right w:val="single" w:color="000000" w:sz="4" w:space="0"/>
            </w:tcBorders>
            <w:noWrap w:val="0"/>
            <w:vAlign w:val="center"/>
          </w:tcPr>
          <w:p w14:paraId="57EE4F00">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color w:val="000000"/>
                <w:kern w:val="0"/>
                <w:sz w:val="24"/>
                <w:szCs w:val="24"/>
                <w:u w:val="none"/>
                <w:lang w:val="en-US" w:eastAsia="zh-CN" w:bidi="ar"/>
              </w:rPr>
            </w:pPr>
          </w:p>
        </w:tc>
      </w:tr>
      <w:tr w14:paraId="238231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72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50751C3">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宋体" w:hAnsi="宋体" w:eastAsia="宋体" w:cs="宋体"/>
                <w:b/>
                <w:i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65A080">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D12E11">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3216"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6C52E0">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宋体" w:hAnsi="宋体" w:eastAsia="宋体" w:cs="宋体"/>
                <w:i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F32FB8">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right"/>
              <w:rPr>
                <w:rFonts w:hint="eastAsia" w:ascii="宋体" w:hAnsi="宋体" w:eastAsia="宋体" w:cs="宋体"/>
                <w:i w:val="0"/>
                <w:color w:val="000000"/>
                <w:sz w:val="24"/>
                <w:szCs w:val="24"/>
                <w:u w:val="none"/>
              </w:rPr>
            </w:pPr>
          </w:p>
        </w:tc>
        <w:tc>
          <w:tcPr>
            <w:tcW w:w="517" w:type="dxa"/>
            <w:tcBorders>
              <w:top w:val="single" w:color="000000" w:sz="4" w:space="0"/>
              <w:left w:val="single" w:color="000000" w:sz="4" w:space="0"/>
              <w:bottom w:val="single" w:color="000000" w:sz="4" w:space="0"/>
              <w:right w:val="single" w:color="000000" w:sz="4" w:space="0"/>
            </w:tcBorders>
            <w:noWrap w:val="0"/>
            <w:vAlign w:val="center"/>
          </w:tcPr>
          <w:p w14:paraId="267906E0">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rPr>
                <w:rFonts w:hint="eastAsia" w:ascii="宋体" w:hAnsi="宋体" w:eastAsia="宋体" w:cs="宋体"/>
                <w:i w:val="0"/>
                <w:color w:val="000000"/>
                <w:sz w:val="24"/>
                <w:szCs w:val="24"/>
                <w:u w:val="none"/>
              </w:rPr>
            </w:pPr>
          </w:p>
        </w:tc>
      </w:tr>
      <w:tr w14:paraId="045AEB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72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047D1D9">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宋体" w:hAnsi="宋体" w:eastAsia="宋体" w:cs="宋体"/>
                <w:b/>
                <w:i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2D5AC2">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CB8B6A">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3216"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36A987">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宋体" w:hAnsi="宋体" w:eastAsia="宋体" w:cs="宋体"/>
                <w:i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742427">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right"/>
              <w:rPr>
                <w:rFonts w:hint="eastAsia" w:ascii="宋体" w:hAnsi="宋体" w:eastAsia="宋体" w:cs="宋体"/>
                <w:i w:val="0"/>
                <w:color w:val="000000"/>
                <w:sz w:val="24"/>
                <w:szCs w:val="24"/>
                <w:u w:val="none"/>
              </w:rPr>
            </w:pPr>
          </w:p>
        </w:tc>
        <w:tc>
          <w:tcPr>
            <w:tcW w:w="517" w:type="dxa"/>
            <w:tcBorders>
              <w:top w:val="single" w:color="000000" w:sz="4" w:space="0"/>
              <w:left w:val="single" w:color="000000" w:sz="4" w:space="0"/>
              <w:bottom w:val="single" w:color="000000" w:sz="4" w:space="0"/>
              <w:right w:val="single" w:color="000000" w:sz="4" w:space="0"/>
            </w:tcBorders>
            <w:noWrap w:val="0"/>
            <w:vAlign w:val="center"/>
          </w:tcPr>
          <w:p w14:paraId="51936435">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rPr>
                <w:rFonts w:hint="eastAsia" w:ascii="宋体" w:hAnsi="宋体" w:eastAsia="宋体" w:cs="宋体"/>
                <w:i w:val="0"/>
                <w:color w:val="000000"/>
                <w:sz w:val="24"/>
                <w:szCs w:val="24"/>
                <w:u w:val="none"/>
              </w:rPr>
            </w:pPr>
          </w:p>
        </w:tc>
      </w:tr>
      <w:tr w14:paraId="77FAED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720" w:type="dxa"/>
            <w:gridSpan w:val="3"/>
            <w:tcBorders>
              <w:top w:val="single" w:color="000000" w:sz="4" w:space="0"/>
              <w:left w:val="single" w:color="000000" w:sz="4" w:space="0"/>
              <w:bottom w:val="single" w:color="000000" w:sz="4" w:space="0"/>
              <w:right w:val="single" w:color="000000" w:sz="4" w:space="0"/>
            </w:tcBorders>
            <w:noWrap w:val="0"/>
            <w:vAlign w:val="center"/>
          </w:tcPr>
          <w:p w14:paraId="4AED664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扣分项</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（10分）</w:t>
            </w:r>
          </w:p>
        </w:tc>
        <w:tc>
          <w:tcPr>
            <w:tcW w:w="1656" w:type="dxa"/>
            <w:tcBorders>
              <w:top w:val="single" w:color="000000" w:sz="4" w:space="0"/>
              <w:left w:val="single" w:color="000000" w:sz="4" w:space="0"/>
              <w:bottom w:val="single" w:color="000000" w:sz="4" w:space="0"/>
              <w:right w:val="single" w:color="000000" w:sz="4" w:space="0"/>
            </w:tcBorders>
            <w:noWrap w:val="0"/>
            <w:vAlign w:val="center"/>
          </w:tcPr>
          <w:p w14:paraId="1BB1400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部门配合度</w:t>
            </w:r>
          </w:p>
        </w:tc>
        <w:tc>
          <w:tcPr>
            <w:tcW w:w="816" w:type="dxa"/>
            <w:tcBorders>
              <w:top w:val="single" w:color="000000" w:sz="4" w:space="0"/>
              <w:left w:val="single" w:color="000000" w:sz="4" w:space="0"/>
              <w:bottom w:val="single" w:color="000000" w:sz="4" w:space="0"/>
              <w:right w:val="single" w:color="000000" w:sz="4" w:space="0"/>
            </w:tcBorders>
            <w:noWrap w:val="0"/>
            <w:vAlign w:val="center"/>
          </w:tcPr>
          <w:p w14:paraId="707AA5C6">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4A5010DA">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被评价对象工作配合情况</w:t>
            </w:r>
          </w:p>
        </w:tc>
        <w:tc>
          <w:tcPr>
            <w:tcW w:w="636" w:type="dxa"/>
            <w:tcBorders>
              <w:top w:val="single" w:color="000000" w:sz="4" w:space="0"/>
              <w:left w:val="single" w:color="000000" w:sz="4" w:space="0"/>
              <w:bottom w:val="single" w:color="000000" w:sz="4" w:space="0"/>
              <w:right w:val="single" w:color="000000" w:sz="4" w:space="0"/>
            </w:tcBorders>
            <w:noWrap w:val="0"/>
            <w:vAlign w:val="center"/>
          </w:tcPr>
          <w:p w14:paraId="24CA8BC7">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eastAsia" w:ascii="宋体" w:hAnsi="宋体" w:eastAsia="宋体" w:cs="宋体"/>
                <w:i w:val="0"/>
                <w:color w:val="000000"/>
                <w:kern w:val="0"/>
                <w:sz w:val="24"/>
                <w:szCs w:val="24"/>
                <w:u w:val="none"/>
                <w:lang w:val="en-US" w:eastAsia="zh-CN" w:bidi="ar"/>
              </w:rPr>
            </w:pPr>
          </w:p>
        </w:tc>
        <w:tc>
          <w:tcPr>
            <w:tcW w:w="517" w:type="dxa"/>
            <w:tcBorders>
              <w:top w:val="single" w:color="000000" w:sz="4" w:space="0"/>
              <w:left w:val="single" w:color="000000" w:sz="4" w:space="0"/>
              <w:bottom w:val="single" w:color="000000" w:sz="4" w:space="0"/>
              <w:right w:val="single" w:color="000000" w:sz="4" w:space="0"/>
            </w:tcBorders>
            <w:noWrap w:val="0"/>
            <w:vAlign w:val="center"/>
          </w:tcPr>
          <w:p w14:paraId="6D88016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color w:val="000000"/>
                <w:kern w:val="0"/>
                <w:sz w:val="24"/>
                <w:szCs w:val="24"/>
                <w:u w:val="none"/>
                <w:lang w:val="en-US" w:eastAsia="zh-CN" w:bidi="ar"/>
              </w:rPr>
            </w:pPr>
          </w:p>
        </w:tc>
      </w:tr>
    </w:tbl>
    <w:p w14:paraId="0AB8BC7A">
      <w:pPr>
        <w:keepNext w:val="0"/>
        <w:keepLines w:val="0"/>
        <w:pageBreakBefore w:val="0"/>
        <w:kinsoku/>
        <w:wordWrap/>
        <w:overflowPunct/>
        <w:topLinePunct w:val="0"/>
        <w:autoSpaceDE/>
        <w:autoSpaceDN/>
        <w:bidi w:val="0"/>
        <w:spacing w:line="578" w:lineRule="exact"/>
        <w:ind w:left="0" w:leftChars="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br w:type="page"/>
      </w: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ascii="Times New Roman" w:hAnsi="Times New Roman" w:eastAsia="仿宋_GB2312" w:cs="Times New Roman"/>
          <w:b w:val="0"/>
          <w:bCs w:val="0"/>
          <w:color w:val="auto"/>
          <w:kern w:val="0"/>
          <w:sz w:val="32"/>
          <w:szCs w:val="32"/>
          <w:highlight w:val="none"/>
          <w:u w:val="none"/>
          <w:shd w:val="clear" w:color="auto" w:fill="FFFFFF"/>
          <w:lang w:val="en-US" w:eastAsia="zh-CN"/>
        </w:rPr>
        <w:t>2</w:t>
      </w:r>
    </w:p>
    <w:p w14:paraId="22830553">
      <w:pPr>
        <w:keepNext w:val="0"/>
        <w:keepLines w:val="0"/>
        <w:pageBreakBefore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r>
        <w:rPr>
          <w:rFonts w:hint="default" w:ascii="Times New Roman" w:hAnsi="Times New Roman" w:eastAsia="方正小标宋_GBK" w:cs="Times New Roman"/>
          <w:b w:val="0"/>
          <w:bCs w:val="0"/>
          <w:color w:val="auto"/>
          <w:sz w:val="40"/>
          <w:szCs w:val="40"/>
          <w:highlight w:val="none"/>
          <w:u w:val="none"/>
          <w:lang w:val="en-US" w:eastAsia="zh-CN"/>
        </w:rPr>
        <w:t>专项预算绩效自评实地踏勘点位清单表</w:t>
      </w:r>
    </w:p>
    <w:tbl>
      <w:tblPr>
        <w:tblStyle w:val="21"/>
        <w:tblW w:w="85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43"/>
        <w:gridCol w:w="4627"/>
        <w:gridCol w:w="1943"/>
      </w:tblGrid>
      <w:tr w14:paraId="21E74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0" w:type="auto"/>
            <w:noWrap w:val="0"/>
            <w:vAlign w:val="center"/>
          </w:tcPr>
          <w:p w14:paraId="14DE2582">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default" w:ascii="Times New Roman" w:hAnsi="Times New Roman" w:eastAsia="黑体" w:cs="Times New Roman"/>
                <w:b/>
                <w:bCs w:val="0"/>
                <w:color w:val="auto"/>
                <w:sz w:val="24"/>
                <w:szCs w:val="24"/>
                <w:highlight w:val="none"/>
                <w:u w:val="none"/>
                <w:vertAlign w:val="baseline"/>
                <w:lang w:val="en-US" w:eastAsia="zh-CN"/>
              </w:rPr>
            </w:pPr>
            <w:r>
              <w:rPr>
                <w:rFonts w:hint="default" w:ascii="Times New Roman" w:hAnsi="Times New Roman" w:eastAsia="黑体" w:cs="Times New Roman"/>
                <w:b/>
                <w:bCs w:val="0"/>
                <w:color w:val="auto"/>
                <w:sz w:val="24"/>
                <w:szCs w:val="24"/>
                <w:highlight w:val="none"/>
                <w:u w:val="none"/>
                <w:vertAlign w:val="baseline"/>
                <w:lang w:val="en-US" w:eastAsia="zh-CN"/>
              </w:rPr>
              <w:t>序号</w:t>
            </w:r>
          </w:p>
        </w:tc>
        <w:tc>
          <w:tcPr>
            <w:tcW w:w="0" w:type="auto"/>
            <w:noWrap w:val="0"/>
            <w:vAlign w:val="center"/>
          </w:tcPr>
          <w:p w14:paraId="4D719B5E">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default" w:ascii="Times New Roman" w:hAnsi="Times New Roman" w:eastAsia="黑体" w:cs="Times New Roman"/>
                <w:b/>
                <w:bCs w:val="0"/>
                <w:color w:val="auto"/>
                <w:sz w:val="24"/>
                <w:szCs w:val="24"/>
                <w:highlight w:val="none"/>
                <w:u w:val="none"/>
                <w:vertAlign w:val="baseline"/>
                <w:lang w:val="en" w:eastAsia="zh-CN"/>
              </w:rPr>
            </w:pPr>
            <w:r>
              <w:rPr>
                <w:rFonts w:hint="default" w:ascii="Times New Roman" w:hAnsi="Times New Roman" w:eastAsia="黑体" w:cs="Times New Roman"/>
                <w:b/>
                <w:bCs w:val="0"/>
                <w:color w:val="auto"/>
                <w:sz w:val="24"/>
                <w:szCs w:val="24"/>
                <w:highlight w:val="none"/>
                <w:u w:val="none"/>
                <w:vertAlign w:val="baseline"/>
                <w:lang w:val="en-US" w:eastAsia="zh-CN"/>
              </w:rPr>
              <w:t>实地踏勘点位</w:t>
            </w:r>
          </w:p>
        </w:tc>
        <w:tc>
          <w:tcPr>
            <w:tcW w:w="1943" w:type="dxa"/>
            <w:noWrap w:val="0"/>
            <w:vAlign w:val="center"/>
          </w:tcPr>
          <w:p w14:paraId="784590A2">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default" w:ascii="Times New Roman" w:hAnsi="Times New Roman" w:eastAsia="黑体" w:cs="Times New Roman"/>
                <w:b/>
                <w:bCs w:val="0"/>
                <w:color w:val="auto"/>
                <w:sz w:val="24"/>
                <w:szCs w:val="24"/>
                <w:highlight w:val="none"/>
                <w:u w:val="none"/>
                <w:vertAlign w:val="baseline"/>
                <w:lang w:val="en-US" w:eastAsia="zh-CN"/>
              </w:rPr>
            </w:pPr>
            <w:r>
              <w:rPr>
                <w:rFonts w:hint="default" w:ascii="Times New Roman" w:hAnsi="Times New Roman" w:eastAsia="黑体" w:cs="Times New Roman"/>
                <w:b/>
                <w:bCs w:val="0"/>
                <w:color w:val="auto"/>
                <w:sz w:val="24"/>
                <w:szCs w:val="24"/>
                <w:highlight w:val="none"/>
                <w:u w:val="none"/>
                <w:vertAlign w:val="baseline"/>
                <w:lang w:val="en-US" w:eastAsia="zh-CN"/>
              </w:rPr>
              <w:t>备注</w:t>
            </w:r>
          </w:p>
        </w:tc>
      </w:tr>
      <w:tr w14:paraId="0915511F">
        <w:tblPrEx>
          <w:tblCellMar>
            <w:top w:w="0" w:type="dxa"/>
            <w:left w:w="108" w:type="dxa"/>
            <w:bottom w:w="0" w:type="dxa"/>
            <w:right w:w="108" w:type="dxa"/>
          </w:tblCellMar>
        </w:tblPrEx>
        <w:trPr>
          <w:trHeight w:val="0" w:hRule="atLeast"/>
          <w:jc w:val="center"/>
        </w:trPr>
        <w:tc>
          <w:tcPr>
            <w:tcW w:w="0" w:type="auto"/>
            <w:noWrap w:val="0"/>
            <w:vAlign w:val="center"/>
          </w:tcPr>
          <w:p w14:paraId="45F9E60B">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default" w:ascii="Times New Roman" w:hAnsi="Times New Roman" w:eastAsia="仿宋_GB2312" w:cs="Times New Roman"/>
                <w:b w:val="0"/>
                <w:bCs w:val="0"/>
                <w:color w:val="auto"/>
                <w:sz w:val="24"/>
                <w:szCs w:val="24"/>
                <w:highlight w:val="none"/>
                <w:u w:val="none"/>
                <w:lang w:val="en-US" w:eastAsia="zh-CN"/>
              </w:rPr>
            </w:pPr>
            <w:r>
              <w:rPr>
                <w:rFonts w:hint="default" w:ascii="Times New Roman" w:hAnsi="Times New Roman" w:eastAsia="仿宋_GB2312" w:cs="Times New Roman"/>
                <w:b w:val="0"/>
                <w:bCs w:val="0"/>
                <w:color w:val="auto"/>
                <w:sz w:val="24"/>
                <w:szCs w:val="24"/>
                <w:highlight w:val="none"/>
                <w:u w:val="none"/>
                <w:lang w:val="en-US" w:eastAsia="zh-CN"/>
              </w:rPr>
              <w:t>1</w:t>
            </w:r>
          </w:p>
        </w:tc>
        <w:tc>
          <w:tcPr>
            <w:tcW w:w="0" w:type="auto"/>
            <w:noWrap w:val="0"/>
            <w:vAlign w:val="center"/>
          </w:tcPr>
          <w:p w14:paraId="0957A3D8">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r>
              <w:rPr>
                <w:rFonts w:hint="eastAsia" w:ascii="Times New Roman" w:hAnsi="Times New Roman" w:eastAsia="仿宋_GB2312" w:cs="Times New Roman"/>
                <w:color w:val="auto"/>
                <w:sz w:val="24"/>
                <w:szCs w:val="24"/>
                <w:highlight w:val="none"/>
                <w:u w:val="none"/>
                <w:vertAlign w:val="baseline"/>
                <w:lang w:val="en" w:eastAsia="zh-CN"/>
              </w:rPr>
              <w:t>汶川县</w:t>
            </w:r>
          </w:p>
        </w:tc>
        <w:tc>
          <w:tcPr>
            <w:tcW w:w="1943" w:type="dxa"/>
            <w:noWrap w:val="0"/>
            <w:vAlign w:val="center"/>
          </w:tcPr>
          <w:p w14:paraId="137D7EC0">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14:paraId="4EC12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0"/>
            <w:vAlign w:val="center"/>
          </w:tcPr>
          <w:p w14:paraId="680CB280">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default" w:ascii="Times New Roman" w:hAnsi="Times New Roman" w:eastAsia="仿宋_GB2312" w:cs="Times New Roman"/>
                <w:b w:val="0"/>
                <w:bCs w:val="0"/>
                <w:color w:val="auto"/>
                <w:sz w:val="24"/>
                <w:szCs w:val="24"/>
                <w:highlight w:val="none"/>
                <w:u w:val="none"/>
                <w:lang w:val="en-US" w:eastAsia="zh-CN"/>
              </w:rPr>
            </w:pPr>
            <w:r>
              <w:rPr>
                <w:rFonts w:hint="default" w:ascii="Times New Roman" w:hAnsi="Times New Roman" w:eastAsia="仿宋_GB2312" w:cs="Times New Roman"/>
                <w:b w:val="0"/>
                <w:bCs w:val="0"/>
                <w:color w:val="auto"/>
                <w:sz w:val="24"/>
                <w:szCs w:val="24"/>
                <w:highlight w:val="none"/>
                <w:u w:val="none"/>
                <w:lang w:val="en-US" w:eastAsia="zh-CN"/>
              </w:rPr>
              <w:t>2</w:t>
            </w:r>
          </w:p>
        </w:tc>
        <w:tc>
          <w:tcPr>
            <w:tcW w:w="0" w:type="auto"/>
            <w:noWrap w:val="0"/>
            <w:vAlign w:val="center"/>
          </w:tcPr>
          <w:p w14:paraId="7B40C6FD">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r>
              <w:rPr>
                <w:rFonts w:hint="eastAsia" w:ascii="Times New Roman" w:hAnsi="Times New Roman" w:eastAsia="仿宋_GB2312" w:cs="Times New Roman"/>
                <w:color w:val="auto"/>
                <w:sz w:val="24"/>
                <w:szCs w:val="24"/>
                <w:highlight w:val="none"/>
                <w:u w:val="none"/>
                <w:vertAlign w:val="baseline"/>
                <w:lang w:val="en" w:eastAsia="zh-CN"/>
              </w:rPr>
              <w:t>理县</w:t>
            </w:r>
          </w:p>
        </w:tc>
        <w:tc>
          <w:tcPr>
            <w:tcW w:w="1943" w:type="dxa"/>
            <w:noWrap w:val="0"/>
            <w:vAlign w:val="center"/>
          </w:tcPr>
          <w:p w14:paraId="272B54FB">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14:paraId="32CC0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0"/>
            <w:vAlign w:val="center"/>
          </w:tcPr>
          <w:p w14:paraId="3712EDA6">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default" w:ascii="Times New Roman" w:hAnsi="Times New Roman" w:eastAsia="仿宋_GB2312" w:cs="Times New Roman"/>
                <w:b w:val="0"/>
                <w:bCs w:val="0"/>
                <w:color w:val="auto"/>
                <w:sz w:val="24"/>
                <w:szCs w:val="24"/>
                <w:highlight w:val="none"/>
                <w:u w:val="none"/>
                <w:lang w:val="en-US" w:eastAsia="zh-CN"/>
              </w:rPr>
            </w:pPr>
            <w:r>
              <w:rPr>
                <w:rFonts w:hint="default" w:ascii="Times New Roman" w:hAnsi="Times New Roman" w:eastAsia="仿宋_GB2312" w:cs="Times New Roman"/>
                <w:b w:val="0"/>
                <w:bCs w:val="0"/>
                <w:color w:val="auto"/>
                <w:sz w:val="24"/>
                <w:szCs w:val="24"/>
                <w:highlight w:val="none"/>
                <w:u w:val="none"/>
                <w:lang w:val="en-US" w:eastAsia="zh-CN"/>
              </w:rPr>
              <w:t>3</w:t>
            </w:r>
          </w:p>
        </w:tc>
        <w:tc>
          <w:tcPr>
            <w:tcW w:w="0" w:type="auto"/>
            <w:noWrap w:val="0"/>
            <w:vAlign w:val="center"/>
          </w:tcPr>
          <w:p w14:paraId="29C068F9">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r>
              <w:rPr>
                <w:rFonts w:hint="eastAsia" w:ascii="Times New Roman" w:hAnsi="Times New Roman" w:eastAsia="仿宋_GB2312" w:cs="Times New Roman"/>
                <w:color w:val="auto"/>
                <w:sz w:val="24"/>
                <w:szCs w:val="24"/>
                <w:highlight w:val="none"/>
                <w:u w:val="none"/>
                <w:vertAlign w:val="baseline"/>
                <w:lang w:val="en" w:eastAsia="zh-CN"/>
              </w:rPr>
              <w:t>茂县</w:t>
            </w:r>
          </w:p>
        </w:tc>
        <w:tc>
          <w:tcPr>
            <w:tcW w:w="1943" w:type="dxa"/>
            <w:noWrap w:val="0"/>
            <w:vAlign w:val="center"/>
          </w:tcPr>
          <w:p w14:paraId="6E645E9B">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14:paraId="4EA7D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0"/>
            <w:vAlign w:val="center"/>
          </w:tcPr>
          <w:p w14:paraId="065628A1">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default" w:ascii="Times New Roman" w:hAnsi="Times New Roman" w:eastAsia="仿宋_GB2312" w:cs="Times New Roman"/>
                <w:b w:val="0"/>
                <w:bCs w:val="0"/>
                <w:color w:val="auto"/>
                <w:sz w:val="24"/>
                <w:szCs w:val="24"/>
                <w:highlight w:val="none"/>
                <w:u w:val="none"/>
                <w:lang w:val="en-US" w:eastAsia="zh-CN"/>
              </w:rPr>
            </w:pPr>
            <w:r>
              <w:rPr>
                <w:rFonts w:hint="default" w:ascii="Times New Roman" w:hAnsi="Times New Roman" w:eastAsia="仿宋_GB2312" w:cs="Times New Roman"/>
                <w:b w:val="0"/>
                <w:bCs w:val="0"/>
                <w:color w:val="auto"/>
                <w:sz w:val="24"/>
                <w:szCs w:val="24"/>
                <w:highlight w:val="none"/>
                <w:u w:val="none"/>
                <w:lang w:val="en-US" w:eastAsia="zh-CN"/>
              </w:rPr>
              <w:t>4</w:t>
            </w:r>
          </w:p>
        </w:tc>
        <w:tc>
          <w:tcPr>
            <w:tcW w:w="0" w:type="auto"/>
            <w:noWrap w:val="0"/>
            <w:vAlign w:val="center"/>
          </w:tcPr>
          <w:p w14:paraId="3043A3FC">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r>
              <w:rPr>
                <w:rFonts w:hint="eastAsia" w:ascii="Times New Roman" w:hAnsi="Times New Roman" w:eastAsia="仿宋_GB2312" w:cs="Times New Roman"/>
                <w:color w:val="auto"/>
                <w:sz w:val="24"/>
                <w:szCs w:val="24"/>
                <w:highlight w:val="none"/>
                <w:u w:val="none"/>
                <w:vertAlign w:val="baseline"/>
                <w:lang w:val="en" w:eastAsia="zh-CN"/>
              </w:rPr>
              <w:t>松潘</w:t>
            </w:r>
          </w:p>
        </w:tc>
        <w:tc>
          <w:tcPr>
            <w:tcW w:w="1943" w:type="dxa"/>
            <w:noWrap w:val="0"/>
            <w:vAlign w:val="center"/>
          </w:tcPr>
          <w:p w14:paraId="23A46369">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14:paraId="79086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0"/>
            <w:vAlign w:val="center"/>
          </w:tcPr>
          <w:p w14:paraId="3ADA4936">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default" w:ascii="Times New Roman" w:hAnsi="Times New Roman" w:eastAsia="仿宋_GB2312" w:cs="Times New Roman"/>
                <w:b w:val="0"/>
                <w:bCs w:val="0"/>
                <w:color w:val="auto"/>
                <w:sz w:val="24"/>
                <w:szCs w:val="24"/>
                <w:highlight w:val="none"/>
                <w:u w:val="none"/>
                <w:lang w:val="en-US" w:eastAsia="zh-CN"/>
              </w:rPr>
            </w:pPr>
            <w:r>
              <w:rPr>
                <w:rFonts w:hint="default" w:ascii="Times New Roman" w:hAnsi="Times New Roman" w:eastAsia="仿宋_GB2312" w:cs="Times New Roman"/>
                <w:b w:val="0"/>
                <w:bCs w:val="0"/>
                <w:color w:val="auto"/>
                <w:sz w:val="24"/>
                <w:szCs w:val="24"/>
                <w:highlight w:val="none"/>
                <w:u w:val="none"/>
                <w:lang w:val="en-US" w:eastAsia="zh-CN"/>
              </w:rPr>
              <w:t>5</w:t>
            </w:r>
          </w:p>
        </w:tc>
        <w:tc>
          <w:tcPr>
            <w:tcW w:w="0" w:type="auto"/>
            <w:noWrap w:val="0"/>
            <w:vAlign w:val="center"/>
          </w:tcPr>
          <w:p w14:paraId="062DA3FE">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r>
              <w:rPr>
                <w:rFonts w:hint="eastAsia" w:ascii="Times New Roman" w:hAnsi="Times New Roman" w:eastAsia="仿宋_GB2312" w:cs="Times New Roman"/>
                <w:color w:val="auto"/>
                <w:sz w:val="24"/>
                <w:szCs w:val="24"/>
                <w:highlight w:val="none"/>
                <w:u w:val="none"/>
                <w:vertAlign w:val="baseline"/>
                <w:lang w:val="en" w:eastAsia="zh-CN"/>
              </w:rPr>
              <w:t>九寨沟</w:t>
            </w:r>
          </w:p>
        </w:tc>
        <w:tc>
          <w:tcPr>
            <w:tcW w:w="1943" w:type="dxa"/>
            <w:noWrap w:val="0"/>
            <w:vAlign w:val="center"/>
          </w:tcPr>
          <w:p w14:paraId="4D7DEF1E">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14:paraId="5902C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0"/>
            <w:vAlign w:val="center"/>
          </w:tcPr>
          <w:p w14:paraId="0DB63402">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default" w:ascii="Times New Roman" w:hAnsi="Times New Roman" w:eastAsia="仿宋_GB2312" w:cs="Times New Roman"/>
                <w:b w:val="0"/>
                <w:bCs w:val="0"/>
                <w:color w:val="auto"/>
                <w:sz w:val="24"/>
                <w:szCs w:val="24"/>
                <w:highlight w:val="none"/>
                <w:u w:val="none"/>
                <w:lang w:val="en-US" w:eastAsia="zh-CN"/>
              </w:rPr>
            </w:pPr>
            <w:r>
              <w:rPr>
                <w:rFonts w:hint="default" w:ascii="Times New Roman" w:hAnsi="Times New Roman" w:eastAsia="仿宋_GB2312" w:cs="Times New Roman"/>
                <w:b w:val="0"/>
                <w:bCs w:val="0"/>
                <w:color w:val="auto"/>
                <w:sz w:val="24"/>
                <w:szCs w:val="24"/>
                <w:highlight w:val="none"/>
                <w:u w:val="none"/>
                <w:lang w:val="en-US" w:eastAsia="zh-CN"/>
              </w:rPr>
              <w:t>6</w:t>
            </w:r>
          </w:p>
        </w:tc>
        <w:tc>
          <w:tcPr>
            <w:tcW w:w="0" w:type="auto"/>
            <w:noWrap w:val="0"/>
            <w:vAlign w:val="center"/>
          </w:tcPr>
          <w:p w14:paraId="3DB40AF9">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r>
              <w:rPr>
                <w:rFonts w:hint="eastAsia" w:ascii="Times New Roman" w:hAnsi="Times New Roman" w:eastAsia="仿宋_GB2312" w:cs="Times New Roman"/>
                <w:color w:val="auto"/>
                <w:sz w:val="24"/>
                <w:szCs w:val="24"/>
                <w:highlight w:val="none"/>
                <w:u w:val="none"/>
                <w:vertAlign w:val="baseline"/>
                <w:lang w:val="en" w:eastAsia="zh-CN"/>
              </w:rPr>
              <w:t>黑水</w:t>
            </w:r>
          </w:p>
        </w:tc>
        <w:tc>
          <w:tcPr>
            <w:tcW w:w="1943" w:type="dxa"/>
            <w:noWrap w:val="0"/>
            <w:vAlign w:val="center"/>
          </w:tcPr>
          <w:p w14:paraId="70966B11">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14:paraId="5544C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0"/>
            <w:vAlign w:val="center"/>
          </w:tcPr>
          <w:p w14:paraId="17294B8B">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default" w:ascii="Times New Roman" w:hAnsi="Times New Roman" w:eastAsia="仿宋_GB2312" w:cs="Times New Roman"/>
                <w:b w:val="0"/>
                <w:bCs w:val="0"/>
                <w:color w:val="auto"/>
                <w:sz w:val="24"/>
                <w:szCs w:val="24"/>
                <w:highlight w:val="none"/>
                <w:u w:val="none"/>
                <w:lang w:val="en-US" w:eastAsia="zh-CN"/>
              </w:rPr>
            </w:pPr>
            <w:r>
              <w:rPr>
                <w:rFonts w:hint="default" w:ascii="Times New Roman" w:hAnsi="Times New Roman" w:eastAsia="仿宋_GB2312" w:cs="Times New Roman"/>
                <w:b w:val="0"/>
                <w:bCs w:val="0"/>
                <w:color w:val="auto"/>
                <w:sz w:val="24"/>
                <w:szCs w:val="24"/>
                <w:highlight w:val="none"/>
                <w:u w:val="none"/>
                <w:lang w:val="en-US" w:eastAsia="zh-CN"/>
              </w:rPr>
              <w:t>7</w:t>
            </w:r>
          </w:p>
        </w:tc>
        <w:tc>
          <w:tcPr>
            <w:tcW w:w="0" w:type="auto"/>
            <w:noWrap w:val="0"/>
            <w:vAlign w:val="center"/>
          </w:tcPr>
          <w:p w14:paraId="51407C14">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r>
              <w:rPr>
                <w:rFonts w:hint="eastAsia" w:ascii="Times New Roman" w:hAnsi="Times New Roman" w:eastAsia="仿宋_GB2312" w:cs="Times New Roman"/>
                <w:color w:val="auto"/>
                <w:sz w:val="24"/>
                <w:szCs w:val="24"/>
                <w:highlight w:val="none"/>
                <w:u w:val="none"/>
                <w:vertAlign w:val="baseline"/>
                <w:lang w:val="en" w:eastAsia="zh-CN"/>
              </w:rPr>
              <w:t>若尔盖</w:t>
            </w:r>
          </w:p>
        </w:tc>
        <w:tc>
          <w:tcPr>
            <w:tcW w:w="1943" w:type="dxa"/>
            <w:noWrap w:val="0"/>
            <w:vAlign w:val="center"/>
          </w:tcPr>
          <w:p w14:paraId="73622187">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14:paraId="207C1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0"/>
            <w:vAlign w:val="center"/>
          </w:tcPr>
          <w:p w14:paraId="016DE1ED">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default" w:ascii="Times New Roman" w:hAnsi="Times New Roman" w:eastAsia="仿宋_GB2312" w:cs="Times New Roman"/>
                <w:b w:val="0"/>
                <w:bCs w:val="0"/>
                <w:color w:val="auto"/>
                <w:sz w:val="24"/>
                <w:szCs w:val="24"/>
                <w:highlight w:val="none"/>
                <w:u w:val="none"/>
                <w:lang w:val="en-US" w:eastAsia="zh-CN"/>
              </w:rPr>
            </w:pPr>
            <w:r>
              <w:rPr>
                <w:rFonts w:hint="default" w:ascii="Times New Roman" w:hAnsi="Times New Roman" w:eastAsia="仿宋_GB2312" w:cs="Times New Roman"/>
                <w:b w:val="0"/>
                <w:bCs w:val="0"/>
                <w:color w:val="auto"/>
                <w:sz w:val="24"/>
                <w:szCs w:val="24"/>
                <w:highlight w:val="none"/>
                <w:u w:val="none"/>
                <w:lang w:val="en-US" w:eastAsia="zh-CN"/>
              </w:rPr>
              <w:t>8</w:t>
            </w:r>
          </w:p>
        </w:tc>
        <w:tc>
          <w:tcPr>
            <w:tcW w:w="0" w:type="auto"/>
            <w:noWrap w:val="0"/>
            <w:vAlign w:val="center"/>
          </w:tcPr>
          <w:p w14:paraId="40E9BE34">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r>
              <w:rPr>
                <w:rFonts w:hint="eastAsia" w:ascii="Times New Roman" w:hAnsi="Times New Roman" w:eastAsia="仿宋_GB2312" w:cs="Times New Roman"/>
                <w:color w:val="auto"/>
                <w:sz w:val="24"/>
                <w:szCs w:val="24"/>
                <w:highlight w:val="none"/>
                <w:u w:val="none"/>
                <w:vertAlign w:val="baseline"/>
                <w:lang w:val="en-US" w:eastAsia="zh-CN"/>
              </w:rPr>
              <w:t>壤塘</w:t>
            </w:r>
          </w:p>
        </w:tc>
        <w:tc>
          <w:tcPr>
            <w:tcW w:w="1943" w:type="dxa"/>
            <w:noWrap w:val="0"/>
            <w:vAlign w:val="center"/>
          </w:tcPr>
          <w:p w14:paraId="6AE4E82F">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14:paraId="5058B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0"/>
            <w:vAlign w:val="center"/>
          </w:tcPr>
          <w:p w14:paraId="0B27C1C5">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default" w:ascii="Times New Roman" w:hAnsi="Times New Roman" w:eastAsia="仿宋_GB2312" w:cs="Times New Roman"/>
                <w:color w:val="auto"/>
                <w:sz w:val="24"/>
                <w:szCs w:val="24"/>
                <w:highlight w:val="none"/>
                <w:u w:val="none"/>
                <w:lang w:val="en-US" w:eastAsia="zh-CN"/>
              </w:rPr>
            </w:pPr>
            <w:r>
              <w:rPr>
                <w:rFonts w:hint="default" w:ascii="Times New Roman" w:hAnsi="Times New Roman" w:eastAsia="仿宋_GB2312" w:cs="Times New Roman"/>
                <w:color w:val="auto"/>
                <w:sz w:val="24"/>
                <w:szCs w:val="24"/>
                <w:highlight w:val="none"/>
                <w:u w:val="none"/>
                <w:lang w:val="en-US" w:eastAsia="zh-CN"/>
              </w:rPr>
              <w:t>9</w:t>
            </w:r>
          </w:p>
        </w:tc>
        <w:tc>
          <w:tcPr>
            <w:tcW w:w="0" w:type="auto"/>
            <w:noWrap w:val="0"/>
            <w:vAlign w:val="center"/>
          </w:tcPr>
          <w:p w14:paraId="3745B827">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r>
              <w:rPr>
                <w:rFonts w:hint="eastAsia" w:ascii="Times New Roman" w:hAnsi="Times New Roman" w:eastAsia="仿宋_GB2312" w:cs="Times New Roman"/>
                <w:color w:val="auto"/>
                <w:sz w:val="24"/>
                <w:szCs w:val="24"/>
                <w:highlight w:val="none"/>
                <w:u w:val="none"/>
                <w:vertAlign w:val="baseline"/>
                <w:lang w:val="en" w:eastAsia="zh-CN"/>
              </w:rPr>
              <w:t>金川</w:t>
            </w:r>
          </w:p>
        </w:tc>
        <w:tc>
          <w:tcPr>
            <w:tcW w:w="1943" w:type="dxa"/>
            <w:noWrap w:val="0"/>
            <w:vAlign w:val="center"/>
          </w:tcPr>
          <w:p w14:paraId="6E56FD2F">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14:paraId="1B2FA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0"/>
            <w:vAlign w:val="center"/>
          </w:tcPr>
          <w:p w14:paraId="438ED7F0">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default" w:ascii="Times New Roman" w:hAnsi="Times New Roman" w:eastAsia="仿宋_GB2312" w:cs="Times New Roman"/>
                <w:color w:val="auto"/>
                <w:sz w:val="24"/>
                <w:szCs w:val="24"/>
                <w:highlight w:val="none"/>
                <w:u w:val="none"/>
                <w:lang w:val="en-US" w:eastAsia="zh-CN"/>
              </w:rPr>
            </w:pPr>
            <w:r>
              <w:rPr>
                <w:rFonts w:hint="default" w:ascii="Times New Roman" w:hAnsi="Times New Roman" w:eastAsia="仿宋_GB2312" w:cs="Times New Roman"/>
                <w:color w:val="auto"/>
                <w:sz w:val="24"/>
                <w:szCs w:val="24"/>
                <w:highlight w:val="none"/>
                <w:u w:val="none"/>
                <w:lang w:val="en-US" w:eastAsia="zh-CN"/>
              </w:rPr>
              <w:t>10</w:t>
            </w:r>
          </w:p>
        </w:tc>
        <w:tc>
          <w:tcPr>
            <w:tcW w:w="0" w:type="auto"/>
            <w:noWrap w:val="0"/>
            <w:vAlign w:val="center"/>
          </w:tcPr>
          <w:p w14:paraId="51903CE7">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r>
              <w:rPr>
                <w:rFonts w:hint="eastAsia" w:ascii="Times New Roman" w:hAnsi="Times New Roman" w:eastAsia="仿宋_GB2312" w:cs="Times New Roman"/>
                <w:color w:val="auto"/>
                <w:kern w:val="2"/>
                <w:sz w:val="24"/>
                <w:szCs w:val="24"/>
                <w:highlight w:val="none"/>
                <w:u w:val="none"/>
                <w:vertAlign w:val="baseline"/>
                <w:lang w:val="en" w:eastAsia="zh-CN" w:bidi="ar-SA"/>
              </w:rPr>
              <w:t>小金</w:t>
            </w:r>
          </w:p>
        </w:tc>
        <w:tc>
          <w:tcPr>
            <w:tcW w:w="1943" w:type="dxa"/>
            <w:noWrap w:val="0"/>
            <w:vAlign w:val="center"/>
          </w:tcPr>
          <w:p w14:paraId="76148F44">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14:paraId="5ADB1293">
        <w:tblPrEx>
          <w:tblCellMar>
            <w:top w:w="0" w:type="dxa"/>
            <w:left w:w="108" w:type="dxa"/>
            <w:bottom w:w="0" w:type="dxa"/>
            <w:right w:w="108" w:type="dxa"/>
          </w:tblCellMar>
        </w:tblPrEx>
        <w:trPr>
          <w:trHeight w:val="0" w:hRule="atLeast"/>
          <w:jc w:val="center"/>
        </w:trPr>
        <w:tc>
          <w:tcPr>
            <w:tcW w:w="0" w:type="auto"/>
            <w:noWrap w:val="0"/>
            <w:vAlign w:val="center"/>
          </w:tcPr>
          <w:p w14:paraId="028D9301">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default" w:ascii="Times New Roman" w:hAnsi="Times New Roman" w:eastAsia="仿宋_GB2312" w:cs="Times New Roman"/>
                <w:color w:val="auto"/>
                <w:sz w:val="24"/>
                <w:szCs w:val="24"/>
                <w:highlight w:val="none"/>
                <w:u w:val="none"/>
                <w:lang w:val="en-US" w:eastAsia="zh-CN"/>
              </w:rPr>
            </w:pPr>
            <w:r>
              <w:rPr>
                <w:rFonts w:hint="default" w:ascii="Times New Roman" w:hAnsi="Times New Roman" w:eastAsia="仿宋_GB2312" w:cs="Times New Roman"/>
                <w:color w:val="auto"/>
                <w:sz w:val="24"/>
                <w:szCs w:val="24"/>
                <w:highlight w:val="none"/>
                <w:u w:val="none"/>
                <w:lang w:val="en-US" w:eastAsia="zh-CN"/>
              </w:rPr>
              <w:t>11</w:t>
            </w:r>
          </w:p>
        </w:tc>
        <w:tc>
          <w:tcPr>
            <w:tcW w:w="0" w:type="auto"/>
            <w:noWrap w:val="0"/>
            <w:vAlign w:val="center"/>
          </w:tcPr>
          <w:p w14:paraId="410C3BC6">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1943" w:type="dxa"/>
            <w:noWrap w:val="0"/>
            <w:vAlign w:val="center"/>
          </w:tcPr>
          <w:p w14:paraId="0791FEA5">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14:paraId="07BCD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0"/>
            <w:vAlign w:val="center"/>
          </w:tcPr>
          <w:p w14:paraId="79899F4F">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default" w:ascii="Times New Roman" w:hAnsi="Times New Roman" w:eastAsia="仿宋_GB2312" w:cs="Times New Roman"/>
                <w:color w:val="auto"/>
                <w:sz w:val="24"/>
                <w:szCs w:val="24"/>
                <w:highlight w:val="none"/>
                <w:u w:val="none"/>
                <w:lang w:val="en-US" w:eastAsia="zh-CN"/>
              </w:rPr>
            </w:pPr>
            <w:r>
              <w:rPr>
                <w:rFonts w:hint="default" w:ascii="Times New Roman" w:hAnsi="Times New Roman" w:eastAsia="仿宋_GB2312" w:cs="Times New Roman"/>
                <w:color w:val="auto"/>
                <w:sz w:val="24"/>
                <w:szCs w:val="24"/>
                <w:highlight w:val="none"/>
                <w:u w:val="none"/>
                <w:lang w:val="en-US" w:eastAsia="zh-CN"/>
              </w:rPr>
              <w:t>12</w:t>
            </w:r>
          </w:p>
        </w:tc>
        <w:tc>
          <w:tcPr>
            <w:tcW w:w="0" w:type="auto"/>
            <w:noWrap w:val="0"/>
            <w:vAlign w:val="center"/>
          </w:tcPr>
          <w:p w14:paraId="2876A4B0">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1943" w:type="dxa"/>
            <w:noWrap w:val="0"/>
            <w:vAlign w:val="center"/>
          </w:tcPr>
          <w:p w14:paraId="74810BF9">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14:paraId="13F5A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0"/>
            <w:vAlign w:val="center"/>
          </w:tcPr>
          <w:p w14:paraId="0BD6A073">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default" w:ascii="Times New Roman" w:hAnsi="Times New Roman" w:eastAsia="仿宋_GB2312" w:cs="Times New Roman"/>
                <w:color w:val="auto"/>
                <w:sz w:val="24"/>
                <w:szCs w:val="24"/>
                <w:highlight w:val="none"/>
                <w:u w:val="none"/>
                <w:lang w:val="en-US" w:eastAsia="zh-CN"/>
              </w:rPr>
            </w:pPr>
            <w:r>
              <w:rPr>
                <w:rFonts w:hint="default" w:ascii="Times New Roman" w:hAnsi="Times New Roman" w:eastAsia="仿宋_GB2312" w:cs="Times New Roman"/>
                <w:color w:val="auto"/>
                <w:sz w:val="24"/>
                <w:szCs w:val="24"/>
                <w:highlight w:val="none"/>
                <w:u w:val="none"/>
                <w:lang w:val="en-US" w:eastAsia="zh-CN"/>
              </w:rPr>
              <w:t>13</w:t>
            </w:r>
          </w:p>
        </w:tc>
        <w:tc>
          <w:tcPr>
            <w:tcW w:w="0" w:type="auto"/>
            <w:noWrap w:val="0"/>
            <w:vAlign w:val="center"/>
          </w:tcPr>
          <w:p w14:paraId="51B30577">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1943" w:type="dxa"/>
            <w:noWrap w:val="0"/>
            <w:vAlign w:val="center"/>
          </w:tcPr>
          <w:p w14:paraId="337CE874">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14:paraId="716E2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0"/>
            <w:vAlign w:val="center"/>
          </w:tcPr>
          <w:p w14:paraId="2B5B9665">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default" w:ascii="Times New Roman" w:hAnsi="Times New Roman" w:eastAsia="仿宋_GB2312" w:cs="Times New Roman"/>
                <w:color w:val="auto"/>
                <w:sz w:val="24"/>
                <w:szCs w:val="24"/>
                <w:highlight w:val="none"/>
                <w:u w:val="none"/>
                <w:lang w:val="en-US" w:eastAsia="zh-CN"/>
              </w:rPr>
            </w:pPr>
            <w:r>
              <w:rPr>
                <w:rFonts w:hint="default" w:ascii="Times New Roman" w:hAnsi="Times New Roman" w:eastAsia="仿宋_GB2312" w:cs="Times New Roman"/>
                <w:color w:val="auto"/>
                <w:sz w:val="24"/>
                <w:szCs w:val="24"/>
                <w:highlight w:val="none"/>
                <w:u w:val="none"/>
                <w:lang w:val="en-US" w:eastAsia="zh-CN"/>
              </w:rPr>
              <w:t>14</w:t>
            </w:r>
          </w:p>
        </w:tc>
        <w:tc>
          <w:tcPr>
            <w:tcW w:w="0" w:type="auto"/>
            <w:noWrap w:val="0"/>
            <w:vAlign w:val="center"/>
          </w:tcPr>
          <w:p w14:paraId="17DC6E18">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1943" w:type="dxa"/>
            <w:noWrap w:val="0"/>
            <w:vAlign w:val="center"/>
          </w:tcPr>
          <w:p w14:paraId="7F51DA33">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14:paraId="68EBA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0"/>
            <w:vAlign w:val="center"/>
          </w:tcPr>
          <w:p w14:paraId="43179188">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default" w:ascii="Times New Roman" w:hAnsi="Times New Roman" w:eastAsia="仿宋_GB2312" w:cs="Times New Roman"/>
                <w:color w:val="auto"/>
                <w:sz w:val="24"/>
                <w:szCs w:val="24"/>
                <w:highlight w:val="none"/>
                <w:u w:val="none"/>
                <w:lang w:val="en-US" w:eastAsia="zh-CN"/>
              </w:rPr>
            </w:pPr>
            <w:r>
              <w:rPr>
                <w:rFonts w:hint="default" w:ascii="Times New Roman" w:hAnsi="Times New Roman" w:eastAsia="仿宋_GB2312" w:cs="Times New Roman"/>
                <w:color w:val="auto"/>
                <w:sz w:val="24"/>
                <w:szCs w:val="24"/>
                <w:highlight w:val="none"/>
                <w:u w:val="none"/>
                <w:lang w:val="en-US" w:eastAsia="zh-CN"/>
              </w:rPr>
              <w:t>15</w:t>
            </w:r>
          </w:p>
        </w:tc>
        <w:tc>
          <w:tcPr>
            <w:tcW w:w="0" w:type="auto"/>
            <w:noWrap w:val="0"/>
            <w:vAlign w:val="center"/>
          </w:tcPr>
          <w:p w14:paraId="3B4FDCE2">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1943" w:type="dxa"/>
            <w:noWrap w:val="0"/>
            <w:vAlign w:val="center"/>
          </w:tcPr>
          <w:p w14:paraId="37180CF8">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14:paraId="75AC4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0"/>
            <w:vAlign w:val="center"/>
          </w:tcPr>
          <w:p w14:paraId="495ABD77">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default" w:ascii="Times New Roman" w:hAnsi="Times New Roman" w:eastAsia="仿宋_GB2312" w:cs="Times New Roman"/>
                <w:color w:val="auto"/>
                <w:sz w:val="24"/>
                <w:szCs w:val="24"/>
                <w:highlight w:val="none"/>
                <w:u w:val="none"/>
                <w:lang w:val="en-US" w:eastAsia="zh-CN"/>
              </w:rPr>
            </w:pPr>
            <w:r>
              <w:rPr>
                <w:rFonts w:hint="default" w:ascii="Times New Roman" w:hAnsi="Times New Roman" w:eastAsia="仿宋_GB2312" w:cs="Times New Roman"/>
                <w:color w:val="auto"/>
                <w:sz w:val="24"/>
                <w:szCs w:val="24"/>
                <w:highlight w:val="none"/>
                <w:u w:val="none"/>
                <w:lang w:val="en-US" w:eastAsia="zh-CN"/>
              </w:rPr>
              <w:t>16</w:t>
            </w:r>
          </w:p>
        </w:tc>
        <w:tc>
          <w:tcPr>
            <w:tcW w:w="0" w:type="auto"/>
            <w:noWrap w:val="0"/>
            <w:vAlign w:val="center"/>
          </w:tcPr>
          <w:p w14:paraId="7968C8EB">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1943" w:type="dxa"/>
            <w:noWrap w:val="0"/>
            <w:vAlign w:val="center"/>
          </w:tcPr>
          <w:p w14:paraId="24DD778D">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14:paraId="11429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0"/>
            <w:vAlign w:val="center"/>
          </w:tcPr>
          <w:p w14:paraId="0C42B561">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default" w:ascii="Times New Roman" w:hAnsi="Times New Roman" w:eastAsia="仿宋_GB2312" w:cs="Times New Roman"/>
                <w:color w:val="auto"/>
                <w:sz w:val="24"/>
                <w:szCs w:val="24"/>
                <w:highlight w:val="none"/>
                <w:u w:val="none"/>
                <w:lang w:val="en-US" w:eastAsia="zh-CN"/>
              </w:rPr>
            </w:pPr>
            <w:r>
              <w:rPr>
                <w:rFonts w:hint="default" w:ascii="Times New Roman" w:hAnsi="Times New Roman" w:eastAsia="仿宋_GB2312" w:cs="Times New Roman"/>
                <w:color w:val="auto"/>
                <w:sz w:val="24"/>
                <w:szCs w:val="24"/>
                <w:highlight w:val="none"/>
                <w:u w:val="none"/>
                <w:lang w:val="en-US" w:eastAsia="zh-CN"/>
              </w:rPr>
              <w:t>17</w:t>
            </w:r>
          </w:p>
        </w:tc>
        <w:tc>
          <w:tcPr>
            <w:tcW w:w="0" w:type="auto"/>
            <w:noWrap w:val="0"/>
            <w:vAlign w:val="center"/>
          </w:tcPr>
          <w:p w14:paraId="046E3A32">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1943" w:type="dxa"/>
            <w:noWrap w:val="0"/>
            <w:vAlign w:val="center"/>
          </w:tcPr>
          <w:p w14:paraId="0D291AD1">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14:paraId="3C195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0"/>
            <w:vAlign w:val="center"/>
          </w:tcPr>
          <w:p w14:paraId="26257946">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default" w:ascii="Times New Roman" w:hAnsi="Times New Roman" w:eastAsia="仿宋_GB2312" w:cs="Times New Roman"/>
                <w:color w:val="auto"/>
                <w:sz w:val="24"/>
                <w:szCs w:val="24"/>
                <w:highlight w:val="none"/>
                <w:u w:val="none"/>
                <w:lang w:val="en-US" w:eastAsia="zh-CN"/>
              </w:rPr>
            </w:pPr>
            <w:r>
              <w:rPr>
                <w:rFonts w:hint="default" w:ascii="Times New Roman" w:hAnsi="Times New Roman" w:eastAsia="仿宋_GB2312" w:cs="Times New Roman"/>
                <w:color w:val="auto"/>
                <w:sz w:val="24"/>
                <w:szCs w:val="24"/>
                <w:highlight w:val="none"/>
                <w:u w:val="none"/>
                <w:lang w:val="en-US" w:eastAsia="zh-CN"/>
              </w:rPr>
              <w:t>18</w:t>
            </w:r>
          </w:p>
        </w:tc>
        <w:tc>
          <w:tcPr>
            <w:tcW w:w="0" w:type="auto"/>
            <w:noWrap w:val="0"/>
            <w:vAlign w:val="center"/>
          </w:tcPr>
          <w:p w14:paraId="7DAE7C73">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1943" w:type="dxa"/>
            <w:noWrap w:val="0"/>
            <w:vAlign w:val="center"/>
          </w:tcPr>
          <w:p w14:paraId="79FE40C7">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14:paraId="1E81D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0"/>
            <w:vAlign w:val="center"/>
          </w:tcPr>
          <w:p w14:paraId="2D01F2B7">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default" w:ascii="Times New Roman" w:hAnsi="Times New Roman" w:eastAsia="仿宋_GB2312" w:cs="Times New Roman"/>
                <w:color w:val="auto"/>
                <w:sz w:val="24"/>
                <w:szCs w:val="24"/>
                <w:highlight w:val="none"/>
                <w:u w:val="none"/>
                <w:lang w:val="en-US" w:eastAsia="zh-CN"/>
              </w:rPr>
            </w:pPr>
            <w:r>
              <w:rPr>
                <w:rFonts w:hint="default" w:ascii="Times New Roman" w:hAnsi="Times New Roman" w:eastAsia="仿宋_GB2312" w:cs="Times New Roman"/>
                <w:color w:val="auto"/>
                <w:sz w:val="24"/>
                <w:szCs w:val="24"/>
                <w:highlight w:val="none"/>
                <w:u w:val="none"/>
                <w:lang w:val="en-US" w:eastAsia="zh-CN"/>
              </w:rPr>
              <w:t>19</w:t>
            </w:r>
          </w:p>
        </w:tc>
        <w:tc>
          <w:tcPr>
            <w:tcW w:w="0" w:type="auto"/>
            <w:noWrap w:val="0"/>
            <w:vAlign w:val="center"/>
          </w:tcPr>
          <w:p w14:paraId="5477D643">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r>
              <w:rPr>
                <w:rFonts w:hint="eastAsia" w:ascii="Times New Roman" w:hAnsi="Times New Roman" w:eastAsia="仿宋_GB2312" w:cs="Times New Roman"/>
                <w:color w:val="auto"/>
                <w:sz w:val="24"/>
                <w:szCs w:val="24"/>
                <w:highlight w:val="none"/>
                <w:u w:val="none"/>
                <w:vertAlign w:val="baseline"/>
                <w:lang w:val="en" w:eastAsia="zh-CN"/>
              </w:rPr>
              <w:t>……</w:t>
            </w:r>
          </w:p>
        </w:tc>
        <w:tc>
          <w:tcPr>
            <w:tcW w:w="1943" w:type="dxa"/>
            <w:noWrap w:val="0"/>
            <w:vAlign w:val="center"/>
          </w:tcPr>
          <w:p w14:paraId="71679221">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14:paraId="26DBA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943" w:type="dxa"/>
            <w:noWrap w:val="0"/>
            <w:vAlign w:val="center"/>
          </w:tcPr>
          <w:p w14:paraId="2CD94E21">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default" w:ascii="Times New Roman" w:hAnsi="Times New Roman" w:eastAsia="仿宋_GB2312" w:cs="Times New Roman"/>
                <w:color w:val="auto"/>
                <w:sz w:val="24"/>
                <w:szCs w:val="24"/>
                <w:highlight w:val="none"/>
                <w:u w:val="none"/>
                <w:lang w:val="en-US" w:eastAsia="zh-CN"/>
              </w:rPr>
            </w:pPr>
            <w:r>
              <w:rPr>
                <w:rFonts w:hint="default" w:ascii="Times New Roman" w:hAnsi="Times New Roman" w:eastAsia="仿宋_GB2312" w:cs="Times New Roman"/>
                <w:color w:val="auto"/>
                <w:sz w:val="24"/>
                <w:szCs w:val="24"/>
                <w:highlight w:val="none"/>
                <w:u w:val="none"/>
                <w:lang w:val="en-US" w:eastAsia="zh-CN"/>
              </w:rPr>
              <w:t>20</w:t>
            </w:r>
          </w:p>
        </w:tc>
        <w:tc>
          <w:tcPr>
            <w:tcW w:w="4627" w:type="dxa"/>
            <w:noWrap w:val="0"/>
            <w:vAlign w:val="center"/>
          </w:tcPr>
          <w:p w14:paraId="6A4AF132">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p>
        </w:tc>
        <w:tc>
          <w:tcPr>
            <w:tcW w:w="1943" w:type="dxa"/>
            <w:noWrap w:val="0"/>
            <w:vAlign w:val="center"/>
          </w:tcPr>
          <w:p w14:paraId="547041DF">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bl>
    <w:p w14:paraId="2686F3D5">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宋体" w:cs="Times New Roman"/>
          <w:b w:val="0"/>
          <w:bCs w:val="0"/>
          <w:color w:val="auto"/>
          <w:sz w:val="21"/>
          <w:szCs w:val="21"/>
          <w:highlight w:val="none"/>
          <w:u w:val="none"/>
          <w:vertAlign w:val="baseline"/>
          <w:lang w:val="en-US" w:eastAsia="zh-CN"/>
        </w:rPr>
      </w:pPr>
      <w:r>
        <w:rPr>
          <w:rFonts w:hint="default" w:ascii="Times New Roman" w:hAnsi="Times New Roman" w:eastAsia="宋体" w:cs="Times New Roman"/>
          <w:b w:val="0"/>
          <w:bCs w:val="0"/>
          <w:color w:val="auto"/>
          <w:sz w:val="21"/>
          <w:szCs w:val="21"/>
          <w:highlight w:val="none"/>
          <w:u w:val="none"/>
          <w:vertAlign w:val="baseline"/>
          <w:lang w:val="en-US" w:eastAsia="zh-CN"/>
        </w:rPr>
        <w:t>备注：项目</w:t>
      </w:r>
      <w:r>
        <w:rPr>
          <w:rFonts w:hint="eastAsia" w:ascii="Times New Roman" w:hAnsi="Times New Roman" w:eastAsia="宋体" w:cs="Times New Roman"/>
          <w:b w:val="0"/>
          <w:bCs w:val="0"/>
          <w:color w:val="auto"/>
          <w:sz w:val="21"/>
          <w:szCs w:val="21"/>
          <w:highlight w:val="none"/>
          <w:u w:val="none"/>
          <w:vertAlign w:val="baseline"/>
          <w:lang w:val="en-US" w:eastAsia="zh-CN"/>
        </w:rPr>
        <w:t>实地踏勘</w:t>
      </w:r>
      <w:r>
        <w:rPr>
          <w:rFonts w:hint="default" w:ascii="Times New Roman" w:hAnsi="Times New Roman" w:eastAsia="宋体" w:cs="Times New Roman"/>
          <w:b w:val="0"/>
          <w:bCs w:val="0"/>
          <w:color w:val="auto"/>
          <w:sz w:val="21"/>
          <w:szCs w:val="21"/>
          <w:highlight w:val="none"/>
          <w:u w:val="none"/>
          <w:vertAlign w:val="baseline"/>
          <w:lang w:val="en-US" w:eastAsia="zh-CN"/>
        </w:rPr>
        <w:t>点位包括市（州）本级、县（市、区）</w:t>
      </w:r>
      <w:r>
        <w:rPr>
          <w:rFonts w:hint="eastAsia" w:ascii="Times New Roman" w:hAnsi="Times New Roman" w:eastAsia="宋体" w:cs="Times New Roman"/>
          <w:b w:val="0"/>
          <w:bCs w:val="0"/>
          <w:color w:val="auto"/>
          <w:sz w:val="21"/>
          <w:szCs w:val="21"/>
          <w:highlight w:val="none"/>
          <w:u w:val="none"/>
          <w:vertAlign w:val="baseline"/>
          <w:lang w:val="en-US" w:eastAsia="zh-CN"/>
        </w:rPr>
        <w:t>本级及有关项目、单位、公司</w:t>
      </w:r>
      <w:r>
        <w:rPr>
          <w:rFonts w:hint="default" w:ascii="Times New Roman" w:hAnsi="Times New Roman" w:eastAsia="宋体" w:cs="Times New Roman"/>
          <w:b w:val="0"/>
          <w:bCs w:val="0"/>
          <w:color w:val="auto"/>
          <w:sz w:val="21"/>
          <w:szCs w:val="21"/>
          <w:highlight w:val="none"/>
          <w:u w:val="none"/>
          <w:vertAlign w:val="baseline"/>
          <w:lang w:val="en-US" w:eastAsia="zh-CN"/>
        </w:rPr>
        <w:t>等。</w:t>
      </w:r>
    </w:p>
    <w:p w14:paraId="5E5CFEBC">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14:paraId="37ED11EF">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br w:type="page"/>
      </w: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ascii="Times New Roman" w:hAnsi="Times New Roman" w:eastAsia="黑体" w:cs="Times New Roman"/>
          <w:b w:val="0"/>
          <w:bCs w:val="0"/>
          <w:color w:val="auto"/>
          <w:kern w:val="0"/>
          <w:sz w:val="32"/>
          <w:szCs w:val="32"/>
          <w:highlight w:val="none"/>
          <w:u w:val="none"/>
          <w:shd w:val="clear" w:color="auto" w:fill="FFFFFF"/>
          <w:lang w:val="en-US" w:eastAsia="zh-CN"/>
        </w:rPr>
        <w:t>3</w:t>
      </w:r>
    </w:p>
    <w:tbl>
      <w:tblPr>
        <w:tblStyle w:val="20"/>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15" w:type="dxa"/>
          <w:left w:w="15" w:type="dxa"/>
          <w:bottom w:w="15" w:type="dxa"/>
          <w:right w:w="15" w:type="dxa"/>
        </w:tblCellMar>
      </w:tblPr>
      <w:tblGrid>
        <w:gridCol w:w="532"/>
        <w:gridCol w:w="610"/>
        <w:gridCol w:w="715"/>
        <w:gridCol w:w="2154"/>
        <w:gridCol w:w="690"/>
        <w:gridCol w:w="900"/>
        <w:gridCol w:w="610"/>
        <w:gridCol w:w="745"/>
        <w:gridCol w:w="1374"/>
      </w:tblGrid>
      <w:tr w14:paraId="66AF85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5000" w:type="pct"/>
            <w:gridSpan w:val="9"/>
            <w:noWrap w:val="0"/>
            <w:vAlign w:val="center"/>
          </w:tcPr>
          <w:p w14:paraId="338BAEC9">
            <w:pPr>
              <w:keepNext w:val="0"/>
              <w:keepLines w:val="0"/>
              <w:pageBreakBefore w:val="0"/>
              <w:widowControl/>
              <w:suppressLineNumbers w:val="0"/>
              <w:kinsoku/>
              <w:wordWrap/>
              <w:overflowPunct/>
              <w:topLinePunct w:val="0"/>
              <w:autoSpaceDE/>
              <w:autoSpaceDN/>
              <w:bidi w:val="0"/>
              <w:adjustRightInd/>
              <w:snapToGrid w:val="0"/>
              <w:spacing w:line="600" w:lineRule="exact"/>
              <w:ind w:left="0" w:leftChars="0"/>
              <w:jc w:val="center"/>
              <w:textAlignment w:val="center"/>
              <w:rPr>
                <w:rFonts w:hint="default" w:ascii="Times New Roman" w:hAnsi="Times New Roman" w:eastAsia="黑体" w:cs="Times New Roman"/>
                <w:i w:val="0"/>
                <w:color w:val="000000"/>
                <w:sz w:val="30"/>
                <w:szCs w:val="30"/>
                <w:u w:val="none"/>
              </w:rPr>
            </w:pPr>
            <w:r>
              <w:rPr>
                <w:rFonts w:hint="default" w:ascii="Times New Roman" w:hAnsi="Times New Roman" w:eastAsia="方正小标宋简体" w:cs="Times New Roman"/>
                <w:i w:val="0"/>
                <w:color w:val="000000"/>
                <w:kern w:val="0"/>
                <w:sz w:val="40"/>
                <w:szCs w:val="40"/>
                <w:u w:val="none"/>
                <w:lang w:val="en-US" w:eastAsia="zh-CN" w:bidi="ar"/>
              </w:rPr>
              <w:t>专项预算项目绩效目标完成情况自评表</w:t>
            </w:r>
          </w:p>
        </w:tc>
      </w:tr>
      <w:tr w14:paraId="2D4165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2408" w:type="pct"/>
            <w:gridSpan w:val="4"/>
            <w:tcBorders>
              <w:top w:val="single" w:color="000000" w:sz="4" w:space="0"/>
              <w:left w:val="single" w:color="000000" w:sz="4" w:space="0"/>
              <w:bottom w:val="single" w:color="000000" w:sz="4" w:space="0"/>
              <w:right w:val="single" w:color="000000" w:sz="4" w:space="0"/>
            </w:tcBorders>
            <w:noWrap w:val="0"/>
            <w:vAlign w:val="center"/>
          </w:tcPr>
          <w:p w14:paraId="671CC759">
            <w:pPr>
              <w:keepNext w:val="0"/>
              <w:keepLines w:val="0"/>
              <w:pageBreakBefore w:val="0"/>
              <w:widowControl/>
              <w:suppressLineNumbers w:val="0"/>
              <w:kinsoku/>
              <w:wordWrap/>
              <w:overflowPunct/>
              <w:topLinePunct w:val="0"/>
              <w:autoSpaceDE/>
              <w:autoSpaceDN/>
              <w:bidi w:val="0"/>
              <w:adjustRightInd/>
              <w:snapToGrid w:val="0"/>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项目名称</w:t>
            </w:r>
          </w:p>
        </w:tc>
        <w:tc>
          <w:tcPr>
            <w:tcW w:w="2591" w:type="pct"/>
            <w:gridSpan w:val="5"/>
            <w:tcBorders>
              <w:top w:val="single" w:color="000000" w:sz="4" w:space="0"/>
              <w:left w:val="single" w:color="000000" w:sz="4" w:space="0"/>
              <w:bottom w:val="single" w:color="000000" w:sz="4" w:space="0"/>
              <w:right w:val="single" w:color="000000" w:sz="4" w:space="0"/>
            </w:tcBorders>
            <w:noWrap w:val="0"/>
            <w:vAlign w:val="center"/>
          </w:tcPr>
          <w:p w14:paraId="303EE971">
            <w:pPr>
              <w:keepNext w:val="0"/>
              <w:keepLines w:val="0"/>
              <w:pageBreakBefore w:val="0"/>
              <w:kinsoku/>
              <w:wordWrap/>
              <w:overflowPunct/>
              <w:topLinePunct w:val="0"/>
              <w:autoSpaceDE/>
              <w:autoSpaceDN/>
              <w:bidi w:val="0"/>
              <w:adjustRightInd/>
              <w:snapToGrid w:val="0"/>
              <w:spacing w:line="300" w:lineRule="exact"/>
              <w:ind w:left="0" w:leftChars="0"/>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lang w:val="en-US" w:eastAsia="zh-CN"/>
              </w:rPr>
              <w:t>阿坝州农用地土壤重金属污染溯源预算绩效自评报告</w:t>
            </w:r>
          </w:p>
        </w:tc>
      </w:tr>
      <w:tr w14:paraId="2D593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2408" w:type="pct"/>
            <w:gridSpan w:val="4"/>
            <w:tcBorders>
              <w:top w:val="single" w:color="000000" w:sz="4" w:space="0"/>
              <w:left w:val="single" w:color="000000" w:sz="4" w:space="0"/>
              <w:bottom w:val="single" w:color="000000" w:sz="4" w:space="0"/>
              <w:right w:val="single" w:color="000000" w:sz="4" w:space="0"/>
            </w:tcBorders>
            <w:noWrap w:val="0"/>
            <w:vAlign w:val="center"/>
          </w:tcPr>
          <w:p w14:paraId="4203F78C">
            <w:pPr>
              <w:keepNext w:val="0"/>
              <w:keepLines w:val="0"/>
              <w:pageBreakBefore w:val="0"/>
              <w:widowControl/>
              <w:suppressLineNumbers w:val="0"/>
              <w:kinsoku/>
              <w:wordWrap/>
              <w:overflowPunct/>
              <w:topLinePunct w:val="0"/>
              <w:autoSpaceDE/>
              <w:autoSpaceDN/>
              <w:bidi w:val="0"/>
              <w:adjustRightInd/>
              <w:snapToGrid w:val="0"/>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预算单位</w:t>
            </w:r>
          </w:p>
        </w:tc>
        <w:tc>
          <w:tcPr>
            <w:tcW w:w="2591" w:type="pct"/>
            <w:gridSpan w:val="5"/>
            <w:tcBorders>
              <w:top w:val="single" w:color="000000" w:sz="4" w:space="0"/>
              <w:left w:val="single" w:color="000000" w:sz="4" w:space="0"/>
              <w:bottom w:val="single" w:color="000000" w:sz="4" w:space="0"/>
              <w:right w:val="single" w:color="000000" w:sz="4" w:space="0"/>
            </w:tcBorders>
            <w:noWrap w:val="0"/>
            <w:vAlign w:val="center"/>
          </w:tcPr>
          <w:p w14:paraId="0C6143CD">
            <w:pPr>
              <w:keepNext w:val="0"/>
              <w:keepLines w:val="0"/>
              <w:pageBreakBefore w:val="0"/>
              <w:kinsoku/>
              <w:wordWrap/>
              <w:overflowPunct/>
              <w:topLinePunct w:val="0"/>
              <w:autoSpaceDE/>
              <w:autoSpaceDN/>
              <w:bidi w:val="0"/>
              <w:adjustRightInd/>
              <w:snapToGrid w:val="0"/>
              <w:spacing w:line="300" w:lineRule="exact"/>
              <w:ind w:left="0" w:leftChars="0"/>
              <w:rPr>
                <w:rFonts w:hint="eastAsia" w:ascii="Times New Roman" w:hAnsi="Times New Roman" w:eastAsia="宋体" w:cs="Times New Roman"/>
                <w:i w:val="0"/>
                <w:color w:val="000000"/>
                <w:sz w:val="24"/>
                <w:szCs w:val="24"/>
                <w:u w:val="none"/>
                <w:lang w:eastAsia="zh-CN"/>
              </w:rPr>
            </w:pPr>
            <w:r>
              <w:rPr>
                <w:rFonts w:hint="eastAsia" w:ascii="Times New Roman" w:hAnsi="Times New Roman" w:eastAsia="宋体" w:cs="Times New Roman"/>
                <w:i w:val="0"/>
                <w:color w:val="000000"/>
                <w:sz w:val="24"/>
                <w:szCs w:val="24"/>
                <w:u w:val="none"/>
                <w:lang w:eastAsia="zh-CN"/>
              </w:rPr>
              <w:t>阿坝州生态环境局</w:t>
            </w:r>
          </w:p>
        </w:tc>
      </w:tr>
      <w:tr w14:paraId="5AEAAB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2408" w:type="pct"/>
            <w:gridSpan w:val="4"/>
            <w:tcBorders>
              <w:top w:val="single" w:color="000000" w:sz="4" w:space="0"/>
              <w:left w:val="single" w:color="000000" w:sz="4" w:space="0"/>
              <w:bottom w:val="single" w:color="000000" w:sz="4" w:space="0"/>
              <w:right w:val="single" w:color="000000" w:sz="4" w:space="0"/>
            </w:tcBorders>
            <w:noWrap w:val="0"/>
            <w:vAlign w:val="center"/>
          </w:tcPr>
          <w:p w14:paraId="7E361CA1">
            <w:pPr>
              <w:keepNext w:val="0"/>
              <w:keepLines w:val="0"/>
              <w:pageBreakBefore w:val="0"/>
              <w:widowControl/>
              <w:suppressLineNumbers w:val="0"/>
              <w:kinsoku/>
              <w:wordWrap/>
              <w:overflowPunct/>
              <w:topLinePunct w:val="0"/>
              <w:autoSpaceDE/>
              <w:autoSpaceDN/>
              <w:bidi w:val="0"/>
              <w:adjustRightInd/>
              <w:snapToGrid w:val="0"/>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项目类型</w:t>
            </w:r>
          </w:p>
        </w:tc>
        <w:tc>
          <w:tcPr>
            <w:tcW w:w="2591" w:type="pct"/>
            <w:gridSpan w:val="5"/>
            <w:tcBorders>
              <w:top w:val="single" w:color="000000" w:sz="4" w:space="0"/>
              <w:left w:val="single" w:color="000000" w:sz="4" w:space="0"/>
              <w:bottom w:val="single" w:color="000000" w:sz="4" w:space="0"/>
              <w:right w:val="single" w:color="000000" w:sz="4" w:space="0"/>
            </w:tcBorders>
            <w:noWrap w:val="0"/>
            <w:vAlign w:val="center"/>
          </w:tcPr>
          <w:p w14:paraId="06CC5D30">
            <w:pPr>
              <w:keepNext w:val="0"/>
              <w:keepLines w:val="0"/>
              <w:pageBreakBefore w:val="0"/>
              <w:kinsoku/>
              <w:wordWrap/>
              <w:overflowPunct/>
              <w:topLinePunct w:val="0"/>
              <w:autoSpaceDE/>
              <w:autoSpaceDN/>
              <w:bidi w:val="0"/>
              <w:adjustRightInd/>
              <w:snapToGrid w:val="0"/>
              <w:spacing w:line="300" w:lineRule="exact"/>
              <w:ind w:left="0" w:leftChars="0"/>
              <w:jc w:val="left"/>
              <w:rPr>
                <w:rFonts w:hint="eastAsia" w:ascii="Times New Roman" w:hAnsi="Times New Roman" w:eastAsia="宋体" w:cs="Times New Roman"/>
                <w:i w:val="0"/>
                <w:color w:val="000000"/>
                <w:sz w:val="24"/>
                <w:szCs w:val="24"/>
                <w:u w:val="none"/>
                <w:lang w:eastAsia="zh-CN"/>
              </w:rPr>
            </w:pPr>
            <w:r>
              <w:rPr>
                <w:rFonts w:hint="eastAsia" w:ascii="Times New Roman" w:hAnsi="Times New Roman" w:eastAsia="宋体" w:cs="Times New Roman"/>
                <w:i w:val="0"/>
                <w:color w:val="000000"/>
                <w:sz w:val="24"/>
                <w:szCs w:val="24"/>
                <w:u w:val="none"/>
                <w:lang w:eastAsia="zh-CN"/>
              </w:rPr>
              <w:t>中央资金</w:t>
            </w:r>
          </w:p>
        </w:tc>
      </w:tr>
      <w:tr w14:paraId="327E92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320" w:type="pct"/>
            <w:vMerge w:val="restart"/>
            <w:tcBorders>
              <w:top w:val="single" w:color="000000" w:sz="4" w:space="0"/>
              <w:left w:val="single" w:color="000000" w:sz="4" w:space="0"/>
              <w:bottom w:val="single" w:color="000000" w:sz="4" w:space="0"/>
              <w:right w:val="single" w:color="000000" w:sz="4" w:space="0"/>
            </w:tcBorders>
            <w:noWrap w:val="0"/>
            <w:vAlign w:val="center"/>
          </w:tcPr>
          <w:p w14:paraId="1B721C79">
            <w:pPr>
              <w:keepNext w:val="0"/>
              <w:keepLines w:val="0"/>
              <w:pageBreakBefore w:val="0"/>
              <w:widowControl/>
              <w:suppressLineNumbers w:val="0"/>
              <w:kinsoku/>
              <w:wordWrap/>
              <w:overflowPunct/>
              <w:topLinePunct w:val="0"/>
              <w:autoSpaceDE/>
              <w:autoSpaceDN/>
              <w:bidi w:val="0"/>
              <w:adjustRightInd/>
              <w:snapToGrid w:val="0"/>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 概况</w:t>
            </w:r>
          </w:p>
        </w:tc>
        <w:tc>
          <w:tcPr>
            <w:tcW w:w="2088" w:type="pct"/>
            <w:gridSpan w:val="3"/>
            <w:tcBorders>
              <w:top w:val="single" w:color="000000" w:sz="4" w:space="0"/>
              <w:left w:val="single" w:color="000000" w:sz="4" w:space="0"/>
              <w:bottom w:val="single" w:color="000000" w:sz="4" w:space="0"/>
              <w:right w:val="single" w:color="000000" w:sz="4" w:space="0"/>
            </w:tcBorders>
            <w:noWrap w:val="0"/>
            <w:vAlign w:val="center"/>
          </w:tcPr>
          <w:p w14:paraId="17CFFCCD">
            <w:pPr>
              <w:keepNext w:val="0"/>
              <w:keepLines w:val="0"/>
              <w:pageBreakBefore w:val="0"/>
              <w:widowControl/>
              <w:suppressLineNumbers w:val="0"/>
              <w:kinsoku/>
              <w:wordWrap/>
              <w:overflowPunct/>
              <w:topLinePunct w:val="0"/>
              <w:autoSpaceDE/>
              <w:autoSpaceDN/>
              <w:bidi w:val="0"/>
              <w:adjustRightInd/>
              <w:snapToGrid w:val="0"/>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中长期规划（名称、文号，仅指</w:t>
            </w:r>
          </w:p>
          <w:p w14:paraId="40B8045E">
            <w:pPr>
              <w:keepNext w:val="0"/>
              <w:keepLines w:val="0"/>
              <w:pageBreakBefore w:val="0"/>
              <w:widowControl/>
              <w:suppressLineNumbers w:val="0"/>
              <w:kinsoku/>
              <w:wordWrap/>
              <w:overflowPunct/>
              <w:topLinePunct w:val="0"/>
              <w:autoSpaceDE/>
              <w:autoSpaceDN/>
              <w:bidi w:val="0"/>
              <w:adjustRightInd/>
              <w:snapToGrid w:val="0"/>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常年项目）</w:t>
            </w:r>
          </w:p>
        </w:tc>
        <w:tc>
          <w:tcPr>
            <w:tcW w:w="2591" w:type="pct"/>
            <w:gridSpan w:val="5"/>
            <w:tcBorders>
              <w:top w:val="single" w:color="000000" w:sz="4" w:space="0"/>
              <w:left w:val="single" w:color="000000" w:sz="4" w:space="0"/>
              <w:bottom w:val="single" w:color="000000" w:sz="4" w:space="0"/>
              <w:right w:val="single" w:color="000000" w:sz="4" w:space="0"/>
            </w:tcBorders>
            <w:noWrap w:val="0"/>
            <w:vAlign w:val="center"/>
          </w:tcPr>
          <w:p w14:paraId="4859525C">
            <w:pPr>
              <w:keepNext w:val="0"/>
              <w:keepLines w:val="0"/>
              <w:pageBreakBefore w:val="0"/>
              <w:kinsoku/>
              <w:wordWrap/>
              <w:overflowPunct/>
              <w:topLinePunct w:val="0"/>
              <w:autoSpaceDE/>
              <w:autoSpaceDN/>
              <w:bidi w:val="0"/>
              <w:adjustRightInd/>
              <w:snapToGrid w:val="0"/>
              <w:spacing w:line="300" w:lineRule="exact"/>
              <w:ind w:left="0" w:leftChars="0"/>
              <w:jc w:val="left"/>
              <w:rPr>
                <w:rFonts w:hint="default" w:ascii="Times New Roman" w:hAnsi="Times New Roman" w:eastAsia="宋体" w:cs="Times New Roman"/>
                <w:i w:val="0"/>
                <w:color w:val="000000"/>
                <w:sz w:val="24"/>
                <w:szCs w:val="24"/>
                <w:u w:val="none"/>
                <w:lang w:val="en-US" w:eastAsia="zh-CN"/>
              </w:rPr>
            </w:pPr>
          </w:p>
        </w:tc>
      </w:tr>
      <w:tr w14:paraId="42AEDB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320" w:type="pct"/>
            <w:vMerge w:val="continue"/>
            <w:tcBorders>
              <w:top w:val="single" w:color="000000" w:sz="4" w:space="0"/>
              <w:left w:val="single" w:color="000000" w:sz="4" w:space="0"/>
              <w:bottom w:val="single" w:color="000000" w:sz="4" w:space="0"/>
              <w:right w:val="single" w:color="000000" w:sz="4" w:space="0"/>
            </w:tcBorders>
            <w:noWrap w:val="0"/>
            <w:vAlign w:val="center"/>
          </w:tcPr>
          <w:p w14:paraId="7626EF99">
            <w:pPr>
              <w:keepNext w:val="0"/>
              <w:keepLines w:val="0"/>
              <w:pageBreakBefore w:val="0"/>
              <w:kinsoku/>
              <w:wordWrap/>
              <w:overflowPunct/>
              <w:topLinePunct w:val="0"/>
              <w:autoSpaceDE/>
              <w:autoSpaceDN/>
              <w:bidi w:val="0"/>
              <w:adjustRightInd/>
              <w:snapToGrid w:val="0"/>
              <w:spacing w:line="300" w:lineRule="exact"/>
              <w:ind w:left="0" w:leftChars="0"/>
              <w:rPr>
                <w:rFonts w:hint="default" w:ascii="Times New Roman" w:hAnsi="Times New Roman" w:eastAsia="宋体" w:cs="Times New Roman"/>
                <w:i w:val="0"/>
                <w:color w:val="000000"/>
                <w:sz w:val="24"/>
                <w:szCs w:val="24"/>
                <w:u w:val="none"/>
              </w:rPr>
            </w:pPr>
          </w:p>
        </w:tc>
        <w:tc>
          <w:tcPr>
            <w:tcW w:w="2088" w:type="pct"/>
            <w:gridSpan w:val="3"/>
            <w:tcBorders>
              <w:top w:val="single" w:color="000000" w:sz="4" w:space="0"/>
              <w:left w:val="single" w:color="000000" w:sz="4" w:space="0"/>
              <w:bottom w:val="single" w:color="000000" w:sz="4" w:space="0"/>
              <w:right w:val="single" w:color="000000" w:sz="4" w:space="0"/>
            </w:tcBorders>
            <w:noWrap w:val="0"/>
            <w:vAlign w:val="center"/>
          </w:tcPr>
          <w:p w14:paraId="67CD5C6E">
            <w:pPr>
              <w:keepNext w:val="0"/>
              <w:keepLines w:val="0"/>
              <w:pageBreakBefore w:val="0"/>
              <w:widowControl/>
              <w:suppressLineNumbers w:val="0"/>
              <w:kinsoku/>
              <w:wordWrap/>
              <w:overflowPunct/>
              <w:topLinePunct w:val="0"/>
              <w:autoSpaceDE/>
              <w:autoSpaceDN/>
              <w:bidi w:val="0"/>
              <w:adjustRightInd/>
              <w:snapToGrid w:val="0"/>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资金管理办法（名称、文号）</w:t>
            </w:r>
          </w:p>
        </w:tc>
        <w:tc>
          <w:tcPr>
            <w:tcW w:w="2591" w:type="pct"/>
            <w:gridSpan w:val="5"/>
            <w:tcBorders>
              <w:top w:val="single" w:color="000000" w:sz="4" w:space="0"/>
              <w:left w:val="single" w:color="000000" w:sz="4" w:space="0"/>
              <w:bottom w:val="single" w:color="000000" w:sz="4" w:space="0"/>
              <w:right w:val="single" w:color="000000" w:sz="4" w:space="0"/>
            </w:tcBorders>
            <w:noWrap w:val="0"/>
            <w:vAlign w:val="center"/>
          </w:tcPr>
          <w:p w14:paraId="5CE5743F">
            <w:pPr>
              <w:keepNext w:val="0"/>
              <w:keepLines w:val="0"/>
              <w:pageBreakBefore w:val="0"/>
              <w:kinsoku/>
              <w:wordWrap/>
              <w:overflowPunct/>
              <w:topLinePunct w:val="0"/>
              <w:autoSpaceDE/>
              <w:autoSpaceDN/>
              <w:bidi w:val="0"/>
              <w:adjustRightInd/>
              <w:snapToGrid w:val="0"/>
              <w:spacing w:line="300" w:lineRule="exact"/>
              <w:ind w:left="0" w:leftChars="0"/>
              <w:jc w:val="left"/>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eastAsia="zh-CN"/>
              </w:rPr>
              <w:t>阿州财财资环（</w:t>
            </w:r>
            <w:r>
              <w:rPr>
                <w:rFonts w:hint="eastAsia" w:ascii="Times New Roman" w:hAnsi="Times New Roman" w:eastAsia="宋体" w:cs="Times New Roman"/>
                <w:i w:val="0"/>
                <w:color w:val="000000"/>
                <w:sz w:val="24"/>
                <w:szCs w:val="24"/>
                <w:u w:val="none"/>
                <w:lang w:val="en-US" w:eastAsia="zh-CN"/>
              </w:rPr>
              <w:t>2025</w:t>
            </w:r>
            <w:r>
              <w:rPr>
                <w:rFonts w:hint="eastAsia" w:ascii="Times New Roman" w:hAnsi="Times New Roman" w:eastAsia="宋体" w:cs="Times New Roman"/>
                <w:i w:val="0"/>
                <w:color w:val="000000"/>
                <w:sz w:val="24"/>
                <w:szCs w:val="24"/>
                <w:u w:val="none"/>
                <w:lang w:eastAsia="zh-CN"/>
              </w:rPr>
              <w:t>）</w:t>
            </w:r>
            <w:r>
              <w:rPr>
                <w:rFonts w:hint="eastAsia" w:ascii="Times New Roman" w:hAnsi="Times New Roman" w:eastAsia="宋体" w:cs="Times New Roman"/>
                <w:i w:val="0"/>
                <w:color w:val="000000"/>
                <w:sz w:val="24"/>
                <w:szCs w:val="24"/>
                <w:u w:val="none"/>
                <w:lang w:val="en-US" w:eastAsia="zh-CN"/>
              </w:rPr>
              <w:t>8号、川财资环〔2025〕77号</w:t>
            </w:r>
          </w:p>
        </w:tc>
      </w:tr>
      <w:tr w14:paraId="298E63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320" w:type="pct"/>
            <w:vMerge w:val="continue"/>
            <w:tcBorders>
              <w:top w:val="single" w:color="000000" w:sz="4" w:space="0"/>
              <w:left w:val="single" w:color="000000" w:sz="4" w:space="0"/>
              <w:bottom w:val="single" w:color="000000" w:sz="4" w:space="0"/>
              <w:right w:val="single" w:color="000000" w:sz="4" w:space="0"/>
            </w:tcBorders>
            <w:noWrap w:val="0"/>
            <w:vAlign w:val="center"/>
          </w:tcPr>
          <w:p w14:paraId="18153014">
            <w:pPr>
              <w:keepNext w:val="0"/>
              <w:keepLines w:val="0"/>
              <w:pageBreakBefore w:val="0"/>
              <w:kinsoku/>
              <w:wordWrap/>
              <w:overflowPunct/>
              <w:topLinePunct w:val="0"/>
              <w:autoSpaceDE/>
              <w:autoSpaceDN/>
              <w:bidi w:val="0"/>
              <w:adjustRightInd/>
              <w:snapToGrid w:val="0"/>
              <w:spacing w:line="300" w:lineRule="exact"/>
              <w:ind w:left="0" w:leftChars="0"/>
              <w:rPr>
                <w:rFonts w:hint="default" w:ascii="Times New Roman" w:hAnsi="Times New Roman" w:eastAsia="宋体" w:cs="Times New Roman"/>
                <w:i w:val="0"/>
                <w:color w:val="000000"/>
                <w:sz w:val="24"/>
                <w:szCs w:val="24"/>
                <w:u w:val="none"/>
              </w:rPr>
            </w:pPr>
          </w:p>
        </w:tc>
        <w:tc>
          <w:tcPr>
            <w:tcW w:w="2088" w:type="pct"/>
            <w:gridSpan w:val="3"/>
            <w:tcBorders>
              <w:top w:val="single" w:color="000000" w:sz="4" w:space="0"/>
              <w:left w:val="single" w:color="000000" w:sz="4" w:space="0"/>
              <w:bottom w:val="single" w:color="000000" w:sz="4" w:space="0"/>
              <w:right w:val="single" w:color="000000" w:sz="4" w:space="0"/>
            </w:tcBorders>
            <w:noWrap w:val="0"/>
            <w:vAlign w:val="center"/>
          </w:tcPr>
          <w:p w14:paraId="04676FBA">
            <w:pPr>
              <w:keepNext w:val="0"/>
              <w:keepLines w:val="0"/>
              <w:pageBreakBefore w:val="0"/>
              <w:widowControl/>
              <w:suppressLineNumbers w:val="0"/>
              <w:kinsoku/>
              <w:wordWrap/>
              <w:overflowPunct/>
              <w:topLinePunct w:val="0"/>
              <w:autoSpaceDE/>
              <w:autoSpaceDN/>
              <w:bidi w:val="0"/>
              <w:adjustRightInd/>
              <w:snapToGrid w:val="0"/>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绩效分配方式</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6969E0E7">
            <w:pPr>
              <w:keepNext w:val="0"/>
              <w:keepLines w:val="0"/>
              <w:pageBreakBefore w:val="0"/>
              <w:widowControl/>
              <w:suppressLineNumbers w:val="0"/>
              <w:kinsoku/>
              <w:wordWrap/>
              <w:overflowPunct/>
              <w:topLinePunct w:val="0"/>
              <w:autoSpaceDE/>
              <w:autoSpaceDN/>
              <w:bidi w:val="0"/>
              <w:adjustRightInd/>
              <w:snapToGrid w:val="0"/>
              <w:spacing w:line="300" w:lineRule="exact"/>
              <w:ind w:left="0" w:leftChars="0"/>
              <w:jc w:val="left"/>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因素法</w:t>
            </w:r>
          </w:p>
        </w:tc>
        <w:tc>
          <w:tcPr>
            <w:tcW w:w="906" w:type="pct"/>
            <w:gridSpan w:val="2"/>
            <w:tcBorders>
              <w:top w:val="single" w:color="000000" w:sz="4" w:space="0"/>
              <w:left w:val="single" w:color="000000" w:sz="4" w:space="0"/>
              <w:bottom w:val="single" w:color="000000" w:sz="4" w:space="0"/>
              <w:right w:val="single" w:color="000000" w:sz="4" w:space="0"/>
            </w:tcBorders>
            <w:noWrap w:val="0"/>
            <w:vAlign w:val="center"/>
          </w:tcPr>
          <w:p w14:paraId="509A6347">
            <w:pPr>
              <w:keepNext w:val="0"/>
              <w:keepLines w:val="0"/>
              <w:pageBreakBefore w:val="0"/>
              <w:widowControl/>
              <w:suppressLineNumbers w:val="0"/>
              <w:kinsoku/>
              <w:wordWrap/>
              <w:overflowPunct/>
              <w:topLinePunct w:val="0"/>
              <w:autoSpaceDE/>
              <w:autoSpaceDN/>
              <w:bidi w:val="0"/>
              <w:adjustRightInd/>
              <w:snapToGrid w:val="0"/>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£项目法</w:t>
            </w:r>
          </w:p>
        </w:tc>
        <w:tc>
          <w:tcPr>
            <w:tcW w:w="447" w:type="pct"/>
            <w:tcBorders>
              <w:top w:val="single" w:color="000000" w:sz="4" w:space="0"/>
              <w:left w:val="single" w:color="000000" w:sz="4" w:space="0"/>
              <w:bottom w:val="single" w:color="000000" w:sz="4" w:space="0"/>
              <w:right w:val="single" w:color="000000" w:sz="4" w:space="0"/>
            </w:tcBorders>
            <w:noWrap w:val="0"/>
            <w:vAlign w:val="center"/>
          </w:tcPr>
          <w:p w14:paraId="185950C3">
            <w:pPr>
              <w:keepNext w:val="0"/>
              <w:keepLines w:val="0"/>
              <w:pageBreakBefore w:val="0"/>
              <w:widowControl/>
              <w:suppressLineNumbers w:val="0"/>
              <w:kinsoku/>
              <w:wordWrap/>
              <w:overflowPunct/>
              <w:topLinePunct w:val="0"/>
              <w:autoSpaceDE/>
              <w:autoSpaceDN/>
              <w:bidi w:val="0"/>
              <w:adjustRightInd/>
              <w:snapToGrid w:val="0"/>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据实据效</w:t>
            </w:r>
          </w:p>
        </w:tc>
        <w:tc>
          <w:tcPr>
            <w:tcW w:w="822" w:type="pct"/>
            <w:tcBorders>
              <w:top w:val="single" w:color="000000" w:sz="4" w:space="0"/>
              <w:left w:val="single" w:color="000000" w:sz="4" w:space="0"/>
              <w:bottom w:val="single" w:color="000000" w:sz="4" w:space="0"/>
              <w:right w:val="single" w:color="000000" w:sz="4" w:space="0"/>
            </w:tcBorders>
            <w:noWrap w:val="0"/>
            <w:vAlign w:val="center"/>
          </w:tcPr>
          <w:p w14:paraId="0F9B5AF2">
            <w:pPr>
              <w:keepNext w:val="0"/>
              <w:keepLines w:val="0"/>
              <w:pageBreakBefore w:val="0"/>
              <w:widowControl/>
              <w:suppressLineNumbers w:val="0"/>
              <w:kinsoku/>
              <w:wordWrap/>
              <w:overflowPunct/>
              <w:topLinePunct w:val="0"/>
              <w:autoSpaceDE/>
              <w:autoSpaceDN/>
              <w:bidi w:val="0"/>
              <w:adjustRightInd/>
              <w:snapToGrid w:val="0"/>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因素法与项目法相结合</w:t>
            </w:r>
          </w:p>
        </w:tc>
      </w:tr>
      <w:tr w14:paraId="794FF5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320" w:type="pct"/>
            <w:vMerge w:val="continue"/>
            <w:tcBorders>
              <w:top w:val="single" w:color="000000" w:sz="4" w:space="0"/>
              <w:left w:val="single" w:color="000000" w:sz="4" w:space="0"/>
              <w:bottom w:val="single" w:color="000000" w:sz="4" w:space="0"/>
              <w:right w:val="single" w:color="000000" w:sz="4" w:space="0"/>
            </w:tcBorders>
            <w:noWrap w:val="0"/>
            <w:vAlign w:val="center"/>
          </w:tcPr>
          <w:p w14:paraId="7BF9AD1E">
            <w:pPr>
              <w:keepNext w:val="0"/>
              <w:keepLines w:val="0"/>
              <w:pageBreakBefore w:val="0"/>
              <w:kinsoku/>
              <w:wordWrap/>
              <w:overflowPunct/>
              <w:topLinePunct w:val="0"/>
              <w:autoSpaceDE/>
              <w:autoSpaceDN/>
              <w:bidi w:val="0"/>
              <w:adjustRightInd/>
              <w:snapToGrid w:val="0"/>
              <w:spacing w:line="300" w:lineRule="exact"/>
              <w:ind w:left="0" w:leftChars="0"/>
              <w:rPr>
                <w:rFonts w:hint="default" w:ascii="Times New Roman" w:hAnsi="Times New Roman" w:eastAsia="宋体" w:cs="Times New Roman"/>
                <w:i w:val="0"/>
                <w:color w:val="000000"/>
                <w:sz w:val="24"/>
                <w:szCs w:val="24"/>
                <w:u w:val="none"/>
              </w:rPr>
            </w:pPr>
          </w:p>
        </w:tc>
        <w:tc>
          <w:tcPr>
            <w:tcW w:w="2088" w:type="pct"/>
            <w:gridSpan w:val="3"/>
            <w:tcBorders>
              <w:top w:val="single" w:color="000000" w:sz="4" w:space="0"/>
              <w:left w:val="single" w:color="000000" w:sz="4" w:space="0"/>
              <w:bottom w:val="single" w:color="000000" w:sz="4" w:space="0"/>
              <w:right w:val="single" w:color="000000" w:sz="4" w:space="0"/>
            </w:tcBorders>
            <w:noWrap w:val="0"/>
            <w:vAlign w:val="center"/>
          </w:tcPr>
          <w:p w14:paraId="1CF12DEE">
            <w:pPr>
              <w:keepNext w:val="0"/>
              <w:keepLines w:val="0"/>
              <w:pageBreakBefore w:val="0"/>
              <w:widowControl/>
              <w:suppressLineNumbers w:val="0"/>
              <w:kinsoku/>
              <w:wordWrap/>
              <w:overflowPunct/>
              <w:topLinePunct w:val="0"/>
              <w:autoSpaceDE/>
              <w:autoSpaceDN/>
              <w:bidi w:val="0"/>
              <w:adjustRightInd/>
              <w:snapToGrid w:val="0"/>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立项依据</w:t>
            </w:r>
          </w:p>
        </w:tc>
        <w:tc>
          <w:tcPr>
            <w:tcW w:w="2591" w:type="pct"/>
            <w:gridSpan w:val="5"/>
            <w:tcBorders>
              <w:top w:val="single" w:color="000000" w:sz="4" w:space="0"/>
              <w:left w:val="single" w:color="000000" w:sz="4" w:space="0"/>
              <w:bottom w:val="single" w:color="000000" w:sz="4" w:space="0"/>
              <w:right w:val="single" w:color="000000" w:sz="4" w:space="0"/>
            </w:tcBorders>
            <w:noWrap w:val="0"/>
            <w:vAlign w:val="center"/>
          </w:tcPr>
          <w:p w14:paraId="6E351809">
            <w:pPr>
              <w:keepNext w:val="0"/>
              <w:keepLines w:val="0"/>
              <w:pageBreakBefore w:val="0"/>
              <w:kinsoku/>
              <w:wordWrap/>
              <w:overflowPunct/>
              <w:topLinePunct w:val="0"/>
              <w:autoSpaceDE/>
              <w:autoSpaceDN/>
              <w:bidi w:val="0"/>
              <w:adjustRightInd/>
              <w:snapToGrid w:val="0"/>
              <w:spacing w:line="300" w:lineRule="exact"/>
              <w:ind w:left="0" w:leftChars="0"/>
              <w:jc w:val="left"/>
              <w:rPr>
                <w:rFonts w:hint="default" w:ascii="Times New Roman" w:hAnsi="Times New Roman" w:eastAsia="宋体" w:cs="Times New Roman"/>
                <w:i w:val="0"/>
                <w:color w:val="000000"/>
                <w:sz w:val="24"/>
                <w:szCs w:val="24"/>
                <w:u w:val="none"/>
              </w:rPr>
            </w:pPr>
          </w:p>
        </w:tc>
      </w:tr>
      <w:tr w14:paraId="7D4F69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320" w:type="pct"/>
            <w:vMerge w:val="continue"/>
            <w:tcBorders>
              <w:top w:val="single" w:color="000000" w:sz="4" w:space="0"/>
              <w:left w:val="single" w:color="000000" w:sz="4" w:space="0"/>
              <w:bottom w:val="single" w:color="000000" w:sz="4" w:space="0"/>
              <w:right w:val="single" w:color="000000" w:sz="4" w:space="0"/>
            </w:tcBorders>
            <w:noWrap w:val="0"/>
            <w:vAlign w:val="center"/>
          </w:tcPr>
          <w:p w14:paraId="370C8E9D">
            <w:pPr>
              <w:keepNext w:val="0"/>
              <w:keepLines w:val="0"/>
              <w:pageBreakBefore w:val="0"/>
              <w:kinsoku/>
              <w:wordWrap/>
              <w:overflowPunct/>
              <w:topLinePunct w:val="0"/>
              <w:autoSpaceDE/>
              <w:autoSpaceDN/>
              <w:bidi w:val="0"/>
              <w:adjustRightInd/>
              <w:snapToGrid w:val="0"/>
              <w:spacing w:line="300" w:lineRule="exact"/>
              <w:ind w:left="0" w:leftChars="0"/>
              <w:rPr>
                <w:rFonts w:hint="default" w:ascii="Times New Roman" w:hAnsi="Times New Roman" w:eastAsia="宋体" w:cs="Times New Roman"/>
                <w:i w:val="0"/>
                <w:color w:val="000000"/>
                <w:sz w:val="24"/>
                <w:szCs w:val="24"/>
                <w:u w:val="none"/>
              </w:rPr>
            </w:pPr>
          </w:p>
        </w:tc>
        <w:tc>
          <w:tcPr>
            <w:tcW w:w="2088" w:type="pct"/>
            <w:gridSpan w:val="3"/>
            <w:tcBorders>
              <w:top w:val="single" w:color="000000" w:sz="4" w:space="0"/>
              <w:left w:val="single" w:color="000000" w:sz="4" w:space="0"/>
              <w:bottom w:val="single" w:color="000000" w:sz="4" w:space="0"/>
              <w:right w:val="single" w:color="000000" w:sz="4" w:space="0"/>
            </w:tcBorders>
            <w:noWrap w:val="0"/>
            <w:vAlign w:val="center"/>
          </w:tcPr>
          <w:p w14:paraId="5D87CADE">
            <w:pPr>
              <w:keepNext w:val="0"/>
              <w:keepLines w:val="0"/>
              <w:pageBreakBefore w:val="0"/>
              <w:widowControl/>
              <w:suppressLineNumbers w:val="0"/>
              <w:kinsoku/>
              <w:wordWrap/>
              <w:overflowPunct/>
              <w:topLinePunct w:val="0"/>
              <w:autoSpaceDE/>
              <w:autoSpaceDN/>
              <w:bidi w:val="0"/>
              <w:adjustRightInd/>
              <w:snapToGrid w:val="0"/>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使用范围</w:t>
            </w:r>
          </w:p>
        </w:tc>
        <w:tc>
          <w:tcPr>
            <w:tcW w:w="2591" w:type="pct"/>
            <w:gridSpan w:val="5"/>
            <w:tcBorders>
              <w:top w:val="single" w:color="000000" w:sz="4" w:space="0"/>
              <w:left w:val="single" w:color="000000" w:sz="4" w:space="0"/>
              <w:bottom w:val="single" w:color="000000" w:sz="4" w:space="0"/>
              <w:right w:val="single" w:color="000000" w:sz="4" w:space="0"/>
            </w:tcBorders>
            <w:noWrap w:val="0"/>
            <w:vAlign w:val="center"/>
          </w:tcPr>
          <w:p w14:paraId="1B92DE2C">
            <w:pPr>
              <w:keepNext w:val="0"/>
              <w:keepLines w:val="0"/>
              <w:pageBreakBefore w:val="0"/>
              <w:kinsoku/>
              <w:wordWrap/>
              <w:overflowPunct/>
              <w:topLinePunct w:val="0"/>
              <w:autoSpaceDE/>
              <w:autoSpaceDN/>
              <w:bidi w:val="0"/>
              <w:adjustRightInd/>
              <w:snapToGrid w:val="0"/>
              <w:spacing w:line="300" w:lineRule="exact"/>
              <w:ind w:left="0" w:leftChars="0"/>
              <w:jc w:val="left"/>
              <w:rPr>
                <w:rFonts w:hint="default" w:ascii="Times New Roman" w:hAnsi="Times New Roman" w:eastAsia="宋体" w:cs="Times New Roman"/>
                <w:i w:val="0"/>
                <w:color w:val="000000"/>
                <w:sz w:val="24"/>
                <w:szCs w:val="24"/>
                <w:u w:val="none"/>
              </w:rPr>
            </w:pPr>
          </w:p>
        </w:tc>
      </w:tr>
      <w:tr w14:paraId="1F2565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320" w:type="pct"/>
            <w:vMerge w:val="continue"/>
            <w:tcBorders>
              <w:top w:val="single" w:color="000000" w:sz="4" w:space="0"/>
              <w:left w:val="single" w:color="000000" w:sz="4" w:space="0"/>
              <w:bottom w:val="single" w:color="000000" w:sz="4" w:space="0"/>
              <w:right w:val="single" w:color="000000" w:sz="4" w:space="0"/>
            </w:tcBorders>
            <w:noWrap w:val="0"/>
            <w:vAlign w:val="center"/>
          </w:tcPr>
          <w:p w14:paraId="5C3A99D5">
            <w:pPr>
              <w:keepNext w:val="0"/>
              <w:keepLines w:val="0"/>
              <w:pageBreakBefore w:val="0"/>
              <w:kinsoku/>
              <w:wordWrap/>
              <w:overflowPunct/>
              <w:topLinePunct w:val="0"/>
              <w:autoSpaceDE/>
              <w:autoSpaceDN/>
              <w:bidi w:val="0"/>
              <w:adjustRightInd/>
              <w:snapToGrid w:val="0"/>
              <w:spacing w:line="300" w:lineRule="exact"/>
              <w:ind w:left="0" w:leftChars="0"/>
              <w:rPr>
                <w:rFonts w:hint="default" w:ascii="Times New Roman" w:hAnsi="Times New Roman" w:eastAsia="宋体" w:cs="Times New Roman"/>
                <w:i w:val="0"/>
                <w:color w:val="000000"/>
                <w:sz w:val="24"/>
                <w:szCs w:val="24"/>
                <w:u w:val="none"/>
              </w:rPr>
            </w:pPr>
          </w:p>
        </w:tc>
        <w:tc>
          <w:tcPr>
            <w:tcW w:w="2088" w:type="pct"/>
            <w:gridSpan w:val="3"/>
            <w:tcBorders>
              <w:top w:val="single" w:color="000000" w:sz="4" w:space="0"/>
              <w:left w:val="single" w:color="000000" w:sz="4" w:space="0"/>
              <w:bottom w:val="single" w:color="000000" w:sz="4" w:space="0"/>
              <w:right w:val="single" w:color="000000" w:sz="4" w:space="0"/>
            </w:tcBorders>
            <w:noWrap w:val="0"/>
            <w:vAlign w:val="center"/>
          </w:tcPr>
          <w:p w14:paraId="44667A22">
            <w:pPr>
              <w:keepNext w:val="0"/>
              <w:keepLines w:val="0"/>
              <w:pageBreakBefore w:val="0"/>
              <w:widowControl/>
              <w:suppressLineNumbers w:val="0"/>
              <w:kinsoku/>
              <w:wordWrap/>
              <w:overflowPunct/>
              <w:topLinePunct w:val="0"/>
              <w:autoSpaceDE/>
              <w:autoSpaceDN/>
              <w:bidi w:val="0"/>
              <w:adjustRightInd/>
              <w:snapToGrid w:val="0"/>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申报（补助）条件</w:t>
            </w:r>
          </w:p>
        </w:tc>
        <w:tc>
          <w:tcPr>
            <w:tcW w:w="2591" w:type="pct"/>
            <w:gridSpan w:val="5"/>
            <w:tcBorders>
              <w:top w:val="single" w:color="000000" w:sz="4" w:space="0"/>
              <w:left w:val="single" w:color="000000" w:sz="4" w:space="0"/>
              <w:bottom w:val="single" w:color="000000" w:sz="4" w:space="0"/>
              <w:right w:val="single" w:color="000000" w:sz="4" w:space="0"/>
            </w:tcBorders>
            <w:noWrap w:val="0"/>
            <w:vAlign w:val="center"/>
          </w:tcPr>
          <w:p w14:paraId="60817487">
            <w:pPr>
              <w:keepNext w:val="0"/>
              <w:keepLines w:val="0"/>
              <w:pageBreakBefore w:val="0"/>
              <w:kinsoku/>
              <w:wordWrap/>
              <w:overflowPunct/>
              <w:topLinePunct w:val="0"/>
              <w:autoSpaceDE/>
              <w:autoSpaceDN/>
              <w:bidi w:val="0"/>
              <w:adjustRightInd/>
              <w:snapToGrid w:val="0"/>
              <w:spacing w:line="300" w:lineRule="exact"/>
              <w:ind w:left="0" w:leftChars="0"/>
              <w:jc w:val="left"/>
              <w:rPr>
                <w:rFonts w:hint="default" w:ascii="Times New Roman" w:hAnsi="Times New Roman" w:eastAsia="宋体" w:cs="Times New Roman"/>
                <w:i w:val="0"/>
                <w:color w:val="000000"/>
                <w:sz w:val="24"/>
                <w:szCs w:val="24"/>
                <w:u w:val="none"/>
              </w:rPr>
            </w:pPr>
          </w:p>
        </w:tc>
      </w:tr>
      <w:tr w14:paraId="7891BC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320" w:type="pct"/>
            <w:vMerge w:val="continue"/>
            <w:tcBorders>
              <w:top w:val="single" w:color="000000" w:sz="4" w:space="0"/>
              <w:left w:val="single" w:color="000000" w:sz="4" w:space="0"/>
              <w:bottom w:val="single" w:color="000000" w:sz="4" w:space="0"/>
              <w:right w:val="single" w:color="000000" w:sz="4" w:space="0"/>
            </w:tcBorders>
            <w:noWrap w:val="0"/>
            <w:vAlign w:val="center"/>
          </w:tcPr>
          <w:p w14:paraId="735AC048">
            <w:pPr>
              <w:keepNext w:val="0"/>
              <w:keepLines w:val="0"/>
              <w:pageBreakBefore w:val="0"/>
              <w:kinsoku/>
              <w:wordWrap/>
              <w:overflowPunct/>
              <w:topLinePunct w:val="0"/>
              <w:autoSpaceDE/>
              <w:autoSpaceDN/>
              <w:bidi w:val="0"/>
              <w:adjustRightInd/>
              <w:snapToGrid w:val="0"/>
              <w:spacing w:line="300" w:lineRule="exact"/>
              <w:ind w:left="0" w:leftChars="0"/>
              <w:rPr>
                <w:rFonts w:hint="default" w:ascii="Times New Roman" w:hAnsi="Times New Roman" w:eastAsia="宋体" w:cs="Times New Roman"/>
                <w:i w:val="0"/>
                <w:color w:val="000000"/>
                <w:sz w:val="24"/>
                <w:szCs w:val="24"/>
                <w:u w:val="none"/>
              </w:rPr>
            </w:pPr>
          </w:p>
        </w:tc>
        <w:tc>
          <w:tcPr>
            <w:tcW w:w="2088" w:type="pct"/>
            <w:gridSpan w:val="3"/>
            <w:tcBorders>
              <w:top w:val="single" w:color="000000" w:sz="4" w:space="0"/>
              <w:left w:val="single" w:color="000000" w:sz="4" w:space="0"/>
              <w:bottom w:val="single" w:color="000000" w:sz="4" w:space="0"/>
              <w:right w:val="single" w:color="000000" w:sz="4" w:space="0"/>
            </w:tcBorders>
            <w:noWrap w:val="0"/>
            <w:vAlign w:val="center"/>
          </w:tcPr>
          <w:p w14:paraId="51C2AEC4">
            <w:pPr>
              <w:keepNext w:val="0"/>
              <w:keepLines w:val="0"/>
              <w:pageBreakBefore w:val="0"/>
              <w:widowControl/>
              <w:suppressLineNumbers w:val="0"/>
              <w:kinsoku/>
              <w:wordWrap/>
              <w:overflowPunct/>
              <w:topLinePunct w:val="0"/>
              <w:autoSpaceDE/>
              <w:autoSpaceDN/>
              <w:bidi w:val="0"/>
              <w:adjustRightInd/>
              <w:snapToGrid w:val="0"/>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项目起止年限</w:t>
            </w:r>
          </w:p>
        </w:tc>
        <w:tc>
          <w:tcPr>
            <w:tcW w:w="2591" w:type="pct"/>
            <w:gridSpan w:val="5"/>
            <w:tcBorders>
              <w:top w:val="single" w:color="000000" w:sz="4" w:space="0"/>
              <w:left w:val="single" w:color="000000" w:sz="4" w:space="0"/>
              <w:bottom w:val="single" w:color="000000" w:sz="4" w:space="0"/>
              <w:right w:val="single" w:color="000000" w:sz="4" w:space="0"/>
            </w:tcBorders>
            <w:noWrap w:val="0"/>
            <w:vAlign w:val="center"/>
          </w:tcPr>
          <w:p w14:paraId="16D572F4">
            <w:pPr>
              <w:keepNext w:val="0"/>
              <w:keepLines w:val="0"/>
              <w:pageBreakBefore w:val="0"/>
              <w:kinsoku/>
              <w:wordWrap/>
              <w:overflowPunct/>
              <w:topLinePunct w:val="0"/>
              <w:autoSpaceDE/>
              <w:autoSpaceDN/>
              <w:bidi w:val="0"/>
              <w:adjustRightInd/>
              <w:snapToGrid w:val="0"/>
              <w:spacing w:line="300" w:lineRule="exact"/>
              <w:ind w:left="0" w:leftChars="0"/>
              <w:rPr>
                <w:rFonts w:hint="default" w:ascii="Times New Roman" w:hAnsi="Times New Roman" w:eastAsia="宋体" w:cs="Times New Roman"/>
                <w:i w:val="0"/>
                <w:color w:val="000000"/>
                <w:sz w:val="24"/>
                <w:szCs w:val="24"/>
                <w:u w:val="none"/>
              </w:rPr>
            </w:pPr>
          </w:p>
        </w:tc>
      </w:tr>
      <w:tr w14:paraId="270849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686"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8930461">
            <w:pPr>
              <w:keepNext w:val="0"/>
              <w:keepLines w:val="0"/>
              <w:pageBreakBefore w:val="0"/>
              <w:widowControl/>
              <w:suppressLineNumbers w:val="0"/>
              <w:kinsoku/>
              <w:wordWrap/>
              <w:overflowPunct/>
              <w:topLinePunct w:val="0"/>
              <w:autoSpaceDE/>
              <w:autoSpaceDN/>
              <w:bidi w:val="0"/>
              <w:adjustRightInd/>
              <w:snapToGrid w:val="0"/>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项目资金</w:t>
            </w:r>
          </w:p>
          <w:p w14:paraId="1C57326D">
            <w:pPr>
              <w:keepNext w:val="0"/>
              <w:keepLines w:val="0"/>
              <w:pageBreakBefore w:val="0"/>
              <w:widowControl/>
              <w:suppressLineNumbers w:val="0"/>
              <w:kinsoku/>
              <w:wordWrap/>
              <w:overflowPunct/>
              <w:topLinePunct w:val="0"/>
              <w:autoSpaceDE/>
              <w:autoSpaceDN/>
              <w:bidi w:val="0"/>
              <w:adjustRightInd/>
              <w:snapToGrid w:val="0"/>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（万元）</w:t>
            </w:r>
          </w:p>
        </w:tc>
        <w:tc>
          <w:tcPr>
            <w:tcW w:w="1722" w:type="pct"/>
            <w:gridSpan w:val="2"/>
            <w:tcBorders>
              <w:top w:val="single" w:color="000000" w:sz="4" w:space="0"/>
              <w:left w:val="single" w:color="000000" w:sz="4" w:space="0"/>
              <w:bottom w:val="single" w:color="000000" w:sz="4" w:space="0"/>
              <w:right w:val="single" w:color="000000" w:sz="4" w:space="0"/>
            </w:tcBorders>
            <w:noWrap w:val="0"/>
            <w:vAlign w:val="center"/>
          </w:tcPr>
          <w:p w14:paraId="347CDF11">
            <w:pPr>
              <w:keepNext w:val="0"/>
              <w:keepLines w:val="0"/>
              <w:pageBreakBefore w:val="0"/>
              <w:widowControl/>
              <w:suppressLineNumbers w:val="0"/>
              <w:kinsoku/>
              <w:wordWrap/>
              <w:overflowPunct/>
              <w:topLinePunct w:val="0"/>
              <w:autoSpaceDE/>
              <w:autoSpaceDN/>
              <w:bidi w:val="0"/>
              <w:adjustRightInd/>
              <w:snapToGrid w:val="0"/>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年度资金总额：</w:t>
            </w:r>
          </w:p>
        </w:tc>
        <w:tc>
          <w:tcPr>
            <w:tcW w:w="2591" w:type="pct"/>
            <w:gridSpan w:val="5"/>
            <w:tcBorders>
              <w:top w:val="single" w:color="000000" w:sz="4" w:space="0"/>
              <w:left w:val="single" w:color="000000" w:sz="4" w:space="0"/>
              <w:bottom w:val="single" w:color="000000" w:sz="4" w:space="0"/>
              <w:right w:val="single" w:color="000000" w:sz="4" w:space="0"/>
            </w:tcBorders>
            <w:noWrap w:val="0"/>
            <w:vAlign w:val="center"/>
          </w:tcPr>
          <w:p w14:paraId="34014B1A">
            <w:pPr>
              <w:keepNext w:val="0"/>
              <w:keepLines w:val="0"/>
              <w:pageBreakBefore w:val="0"/>
              <w:kinsoku/>
              <w:wordWrap/>
              <w:overflowPunct/>
              <w:topLinePunct w:val="0"/>
              <w:autoSpaceDE/>
              <w:autoSpaceDN/>
              <w:bidi w:val="0"/>
              <w:adjustRightInd/>
              <w:snapToGrid w:val="0"/>
              <w:spacing w:line="300" w:lineRule="exact"/>
              <w:ind w:left="0" w:leftChars="0"/>
              <w:jc w:val="right"/>
              <w:rPr>
                <w:rFonts w:hint="default" w:ascii="Times New Roman" w:hAnsi="Times New Roman" w:eastAsia="宋体" w:cs="Times New Roman"/>
                <w:i w:val="0"/>
                <w:color w:val="000000"/>
                <w:sz w:val="24"/>
                <w:szCs w:val="24"/>
                <w:u w:val="none"/>
              </w:rPr>
            </w:pPr>
          </w:p>
        </w:tc>
      </w:tr>
      <w:tr w14:paraId="6A943C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686"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EF4C39B">
            <w:pPr>
              <w:keepNext w:val="0"/>
              <w:keepLines w:val="0"/>
              <w:pageBreakBefore w:val="0"/>
              <w:kinsoku/>
              <w:wordWrap/>
              <w:overflowPunct/>
              <w:topLinePunct w:val="0"/>
              <w:autoSpaceDE/>
              <w:autoSpaceDN/>
              <w:bidi w:val="0"/>
              <w:adjustRightInd/>
              <w:snapToGrid w:val="0"/>
              <w:spacing w:line="300" w:lineRule="exact"/>
              <w:ind w:left="0" w:leftChars="0"/>
              <w:rPr>
                <w:rFonts w:hint="default" w:ascii="Times New Roman" w:hAnsi="Times New Roman" w:eastAsia="宋体" w:cs="Times New Roman"/>
                <w:i w:val="0"/>
                <w:color w:val="000000"/>
                <w:sz w:val="24"/>
                <w:szCs w:val="24"/>
                <w:u w:val="none"/>
              </w:rPr>
            </w:pPr>
          </w:p>
        </w:tc>
        <w:tc>
          <w:tcPr>
            <w:tcW w:w="1722" w:type="pct"/>
            <w:gridSpan w:val="2"/>
            <w:tcBorders>
              <w:top w:val="single" w:color="000000" w:sz="4" w:space="0"/>
              <w:left w:val="single" w:color="000000" w:sz="4" w:space="0"/>
              <w:bottom w:val="single" w:color="000000" w:sz="4" w:space="0"/>
              <w:right w:val="single" w:color="000000" w:sz="4" w:space="0"/>
            </w:tcBorders>
            <w:noWrap w:val="0"/>
            <w:vAlign w:val="center"/>
          </w:tcPr>
          <w:p w14:paraId="730B5FDE">
            <w:pPr>
              <w:keepNext w:val="0"/>
              <w:keepLines w:val="0"/>
              <w:pageBreakBefore w:val="0"/>
              <w:widowControl/>
              <w:suppressLineNumbers w:val="0"/>
              <w:kinsoku/>
              <w:wordWrap/>
              <w:overflowPunct/>
              <w:topLinePunct w:val="0"/>
              <w:autoSpaceDE/>
              <w:autoSpaceDN/>
              <w:bidi w:val="0"/>
              <w:adjustRightInd/>
              <w:snapToGrid w:val="0"/>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其中：财政拨款</w:t>
            </w:r>
          </w:p>
        </w:tc>
        <w:tc>
          <w:tcPr>
            <w:tcW w:w="2591" w:type="pct"/>
            <w:gridSpan w:val="5"/>
            <w:tcBorders>
              <w:top w:val="single" w:color="000000" w:sz="4" w:space="0"/>
              <w:left w:val="single" w:color="000000" w:sz="4" w:space="0"/>
              <w:bottom w:val="single" w:color="000000" w:sz="4" w:space="0"/>
              <w:right w:val="single" w:color="000000" w:sz="4" w:space="0"/>
            </w:tcBorders>
            <w:noWrap w:val="0"/>
            <w:vAlign w:val="center"/>
          </w:tcPr>
          <w:p w14:paraId="2F92F3BE">
            <w:pPr>
              <w:keepNext w:val="0"/>
              <w:keepLines w:val="0"/>
              <w:pageBreakBefore w:val="0"/>
              <w:kinsoku/>
              <w:wordWrap/>
              <w:overflowPunct/>
              <w:topLinePunct w:val="0"/>
              <w:autoSpaceDE/>
              <w:autoSpaceDN/>
              <w:bidi w:val="0"/>
              <w:adjustRightInd/>
              <w:snapToGrid w:val="0"/>
              <w:spacing w:line="300" w:lineRule="exact"/>
              <w:ind w:left="0" w:leftChars="0"/>
              <w:jc w:val="right"/>
              <w:rPr>
                <w:rFonts w:hint="default" w:ascii="Times New Roman" w:hAnsi="Times New Roman" w:eastAsia="宋体" w:cs="Times New Roman"/>
                <w:i w:val="0"/>
                <w:color w:val="000000"/>
                <w:sz w:val="24"/>
                <w:szCs w:val="24"/>
                <w:u w:val="none"/>
              </w:rPr>
            </w:pPr>
          </w:p>
        </w:tc>
      </w:tr>
      <w:tr w14:paraId="069612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686"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0C7C4EE">
            <w:pPr>
              <w:keepNext w:val="0"/>
              <w:keepLines w:val="0"/>
              <w:pageBreakBefore w:val="0"/>
              <w:kinsoku/>
              <w:wordWrap/>
              <w:overflowPunct/>
              <w:topLinePunct w:val="0"/>
              <w:autoSpaceDE/>
              <w:autoSpaceDN/>
              <w:bidi w:val="0"/>
              <w:adjustRightInd/>
              <w:snapToGrid w:val="0"/>
              <w:spacing w:line="300" w:lineRule="exact"/>
              <w:ind w:left="0" w:leftChars="0"/>
              <w:rPr>
                <w:rFonts w:hint="default" w:ascii="Times New Roman" w:hAnsi="Times New Roman" w:eastAsia="宋体" w:cs="Times New Roman"/>
                <w:i w:val="0"/>
                <w:color w:val="000000"/>
                <w:sz w:val="24"/>
                <w:szCs w:val="24"/>
                <w:u w:val="none"/>
              </w:rPr>
            </w:pPr>
          </w:p>
        </w:tc>
        <w:tc>
          <w:tcPr>
            <w:tcW w:w="1722" w:type="pct"/>
            <w:gridSpan w:val="2"/>
            <w:tcBorders>
              <w:top w:val="single" w:color="000000" w:sz="4" w:space="0"/>
              <w:left w:val="single" w:color="000000" w:sz="4" w:space="0"/>
              <w:bottom w:val="single" w:color="000000" w:sz="4" w:space="0"/>
              <w:right w:val="single" w:color="000000" w:sz="4" w:space="0"/>
            </w:tcBorders>
            <w:noWrap w:val="0"/>
            <w:vAlign w:val="center"/>
          </w:tcPr>
          <w:p w14:paraId="65C266BD">
            <w:pPr>
              <w:keepNext w:val="0"/>
              <w:keepLines w:val="0"/>
              <w:pageBreakBefore w:val="0"/>
              <w:widowControl/>
              <w:suppressLineNumbers w:val="0"/>
              <w:kinsoku/>
              <w:wordWrap/>
              <w:overflowPunct/>
              <w:topLinePunct w:val="0"/>
              <w:autoSpaceDE/>
              <w:autoSpaceDN/>
              <w:bidi w:val="0"/>
              <w:adjustRightInd/>
              <w:snapToGrid w:val="0"/>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其他资金</w:t>
            </w:r>
          </w:p>
        </w:tc>
        <w:tc>
          <w:tcPr>
            <w:tcW w:w="2591" w:type="pct"/>
            <w:gridSpan w:val="5"/>
            <w:tcBorders>
              <w:top w:val="single" w:color="000000" w:sz="4" w:space="0"/>
              <w:left w:val="single" w:color="000000" w:sz="4" w:space="0"/>
              <w:bottom w:val="single" w:color="000000" w:sz="4" w:space="0"/>
              <w:right w:val="single" w:color="000000" w:sz="4" w:space="0"/>
            </w:tcBorders>
            <w:noWrap w:val="0"/>
            <w:vAlign w:val="center"/>
          </w:tcPr>
          <w:p w14:paraId="11DB36C4">
            <w:pPr>
              <w:keepNext w:val="0"/>
              <w:keepLines w:val="0"/>
              <w:pageBreakBefore w:val="0"/>
              <w:kinsoku/>
              <w:wordWrap/>
              <w:overflowPunct/>
              <w:topLinePunct w:val="0"/>
              <w:autoSpaceDE/>
              <w:autoSpaceDN/>
              <w:bidi w:val="0"/>
              <w:adjustRightInd/>
              <w:snapToGrid w:val="0"/>
              <w:spacing w:line="300" w:lineRule="exact"/>
              <w:ind w:left="0" w:leftChars="0"/>
              <w:jc w:val="right"/>
              <w:rPr>
                <w:rFonts w:hint="default" w:ascii="Times New Roman" w:hAnsi="Times New Roman" w:eastAsia="宋体" w:cs="Times New Roman"/>
                <w:i w:val="0"/>
                <w:color w:val="000000"/>
                <w:sz w:val="24"/>
                <w:szCs w:val="24"/>
                <w:u w:val="none"/>
              </w:rPr>
            </w:pPr>
          </w:p>
        </w:tc>
      </w:tr>
      <w:tr w14:paraId="0CB748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320" w:type="pct"/>
            <w:vMerge w:val="restart"/>
            <w:tcBorders>
              <w:top w:val="single" w:color="000000" w:sz="4" w:space="0"/>
              <w:left w:val="single" w:color="000000" w:sz="4" w:space="0"/>
              <w:bottom w:val="single" w:color="000000" w:sz="4" w:space="0"/>
              <w:right w:val="single" w:color="000000" w:sz="4" w:space="0"/>
            </w:tcBorders>
            <w:noWrap w:val="0"/>
            <w:vAlign w:val="center"/>
          </w:tcPr>
          <w:p w14:paraId="1B46935A">
            <w:pPr>
              <w:keepNext w:val="0"/>
              <w:keepLines w:val="0"/>
              <w:pageBreakBefore w:val="0"/>
              <w:widowControl/>
              <w:suppressLineNumbers w:val="0"/>
              <w:kinsoku/>
              <w:wordWrap/>
              <w:overflowPunct/>
              <w:topLinePunct w:val="0"/>
              <w:autoSpaceDE/>
              <w:autoSpaceDN/>
              <w:bidi w:val="0"/>
              <w:adjustRightInd/>
              <w:snapToGrid w:val="0"/>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总体 目标</w:t>
            </w:r>
          </w:p>
        </w:tc>
        <w:tc>
          <w:tcPr>
            <w:tcW w:w="4679" w:type="pct"/>
            <w:gridSpan w:val="8"/>
            <w:tcBorders>
              <w:top w:val="single" w:color="000000" w:sz="4" w:space="0"/>
              <w:left w:val="single" w:color="000000" w:sz="4" w:space="0"/>
              <w:bottom w:val="single" w:color="000000" w:sz="4" w:space="0"/>
              <w:right w:val="single" w:color="000000" w:sz="4" w:space="0"/>
            </w:tcBorders>
            <w:noWrap w:val="0"/>
            <w:vAlign w:val="center"/>
          </w:tcPr>
          <w:p w14:paraId="7DA72B30">
            <w:pPr>
              <w:keepNext w:val="0"/>
              <w:keepLines w:val="0"/>
              <w:pageBreakBefore w:val="0"/>
              <w:widowControl/>
              <w:suppressLineNumbers w:val="0"/>
              <w:kinsoku/>
              <w:wordWrap/>
              <w:overflowPunct/>
              <w:topLinePunct w:val="0"/>
              <w:autoSpaceDE/>
              <w:autoSpaceDN/>
              <w:bidi w:val="0"/>
              <w:adjustRightInd/>
              <w:snapToGrid w:val="0"/>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年度目标</w:t>
            </w:r>
          </w:p>
        </w:tc>
      </w:tr>
      <w:tr w14:paraId="5B7613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320" w:type="pct"/>
            <w:vMerge w:val="continue"/>
            <w:tcBorders>
              <w:top w:val="single" w:color="000000" w:sz="4" w:space="0"/>
              <w:left w:val="single" w:color="000000" w:sz="4" w:space="0"/>
              <w:bottom w:val="single" w:color="000000" w:sz="4" w:space="0"/>
              <w:right w:val="single" w:color="000000" w:sz="4" w:space="0"/>
            </w:tcBorders>
            <w:noWrap w:val="0"/>
            <w:vAlign w:val="center"/>
          </w:tcPr>
          <w:p w14:paraId="2BBC33A0">
            <w:pPr>
              <w:keepNext w:val="0"/>
              <w:keepLines w:val="0"/>
              <w:pageBreakBefore w:val="0"/>
              <w:kinsoku/>
              <w:wordWrap/>
              <w:overflowPunct/>
              <w:topLinePunct w:val="0"/>
              <w:autoSpaceDE/>
              <w:autoSpaceDN/>
              <w:bidi w:val="0"/>
              <w:adjustRightInd/>
              <w:snapToGrid w:val="0"/>
              <w:spacing w:line="300" w:lineRule="exact"/>
              <w:ind w:left="0" w:leftChars="0"/>
              <w:rPr>
                <w:rFonts w:hint="default" w:ascii="Times New Roman" w:hAnsi="Times New Roman" w:eastAsia="宋体" w:cs="Times New Roman"/>
                <w:i w:val="0"/>
                <w:color w:val="000000"/>
                <w:sz w:val="24"/>
                <w:szCs w:val="24"/>
                <w:u w:val="none"/>
              </w:rPr>
            </w:pPr>
          </w:p>
        </w:tc>
        <w:tc>
          <w:tcPr>
            <w:tcW w:w="4679" w:type="pct"/>
            <w:gridSpan w:val="8"/>
            <w:tcBorders>
              <w:top w:val="single" w:color="000000" w:sz="4" w:space="0"/>
              <w:left w:val="single" w:color="000000" w:sz="4" w:space="0"/>
              <w:bottom w:val="single" w:color="000000" w:sz="4" w:space="0"/>
              <w:right w:val="single" w:color="000000" w:sz="4" w:space="0"/>
            </w:tcBorders>
            <w:noWrap w:val="0"/>
            <w:vAlign w:val="center"/>
          </w:tcPr>
          <w:p w14:paraId="38E9A13D">
            <w:pPr>
              <w:keepNext w:val="0"/>
              <w:keepLines w:val="0"/>
              <w:pageBreakBefore w:val="0"/>
              <w:kinsoku/>
              <w:wordWrap/>
              <w:overflowPunct/>
              <w:topLinePunct w:val="0"/>
              <w:autoSpaceDE/>
              <w:autoSpaceDN/>
              <w:bidi w:val="0"/>
              <w:adjustRightInd/>
              <w:snapToGrid w:val="0"/>
              <w:spacing w:line="300" w:lineRule="exact"/>
              <w:ind w:left="0" w:leftChars="0"/>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开展并完成以下项目，并达到预期目标。开展汶川县、理县、茂县、松潘县、九寨沟县、金川县、小金县、黑水县、壤塘县和若尔盖县10个县受污染农用地溯源，整治。</w:t>
            </w:r>
          </w:p>
        </w:tc>
      </w:tr>
      <w:tr w14:paraId="320794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320" w:type="pct"/>
            <w:vMerge w:val="restart"/>
            <w:tcBorders>
              <w:top w:val="single" w:color="000000" w:sz="4" w:space="0"/>
              <w:left w:val="single" w:color="000000" w:sz="4" w:space="0"/>
              <w:bottom w:val="single" w:color="000000" w:sz="4" w:space="0"/>
            </w:tcBorders>
            <w:noWrap w:val="0"/>
            <w:vAlign w:val="center"/>
          </w:tcPr>
          <w:p w14:paraId="725D00E5">
            <w:pPr>
              <w:keepNext w:val="0"/>
              <w:keepLines w:val="0"/>
              <w:pageBreakBefore w:val="0"/>
              <w:widowControl/>
              <w:suppressLineNumbers w:val="0"/>
              <w:kinsoku/>
              <w:wordWrap/>
              <w:overflowPunct/>
              <w:topLinePunct w:val="0"/>
              <w:autoSpaceDE/>
              <w:autoSpaceDN/>
              <w:bidi w:val="0"/>
              <w:adjustRightInd/>
              <w:snapToGrid w:val="0"/>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 指标</w:t>
            </w: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610C8A79">
            <w:pPr>
              <w:keepNext w:val="0"/>
              <w:keepLines w:val="0"/>
              <w:pageBreakBefore w:val="0"/>
              <w:widowControl/>
              <w:suppressLineNumbers w:val="0"/>
              <w:kinsoku/>
              <w:wordWrap/>
              <w:overflowPunct/>
              <w:topLinePunct w:val="0"/>
              <w:autoSpaceDE/>
              <w:autoSpaceDN/>
              <w:bidi w:val="0"/>
              <w:adjustRightInd/>
              <w:snapToGrid w:val="0"/>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一级指标</w:t>
            </w:r>
          </w:p>
        </w:tc>
        <w:tc>
          <w:tcPr>
            <w:tcW w:w="429" w:type="pct"/>
            <w:tcBorders>
              <w:top w:val="single" w:color="000000" w:sz="4" w:space="0"/>
              <w:left w:val="single" w:color="000000" w:sz="4" w:space="0"/>
              <w:bottom w:val="single" w:color="000000" w:sz="4" w:space="0"/>
              <w:right w:val="single" w:color="000000" w:sz="4" w:space="0"/>
            </w:tcBorders>
            <w:noWrap w:val="0"/>
            <w:vAlign w:val="center"/>
          </w:tcPr>
          <w:p w14:paraId="5D807DBD">
            <w:pPr>
              <w:keepNext w:val="0"/>
              <w:keepLines w:val="0"/>
              <w:pageBreakBefore w:val="0"/>
              <w:widowControl/>
              <w:suppressLineNumbers w:val="0"/>
              <w:kinsoku/>
              <w:wordWrap/>
              <w:overflowPunct/>
              <w:topLinePunct w:val="0"/>
              <w:autoSpaceDE/>
              <w:autoSpaceDN/>
              <w:bidi w:val="0"/>
              <w:adjustRightInd/>
              <w:snapToGrid w:val="0"/>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二级指标</w:t>
            </w:r>
          </w:p>
        </w:tc>
        <w:tc>
          <w:tcPr>
            <w:tcW w:w="1292" w:type="pct"/>
            <w:tcBorders>
              <w:top w:val="single" w:color="000000" w:sz="4" w:space="0"/>
              <w:left w:val="single" w:color="000000" w:sz="4" w:space="0"/>
              <w:bottom w:val="single" w:color="000000" w:sz="4" w:space="0"/>
              <w:right w:val="single" w:color="000000" w:sz="4" w:space="0"/>
            </w:tcBorders>
            <w:noWrap w:val="0"/>
            <w:vAlign w:val="center"/>
          </w:tcPr>
          <w:p w14:paraId="767BBEE8">
            <w:pPr>
              <w:keepNext w:val="0"/>
              <w:keepLines w:val="0"/>
              <w:pageBreakBefore w:val="0"/>
              <w:widowControl/>
              <w:suppressLineNumbers w:val="0"/>
              <w:kinsoku/>
              <w:wordWrap/>
              <w:overflowPunct/>
              <w:topLinePunct w:val="0"/>
              <w:autoSpaceDE/>
              <w:autoSpaceDN/>
              <w:bidi w:val="0"/>
              <w:adjustRightInd/>
              <w:snapToGrid w:val="0"/>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三级指标</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36BEAD30">
            <w:pPr>
              <w:keepNext w:val="0"/>
              <w:keepLines w:val="0"/>
              <w:pageBreakBefore w:val="0"/>
              <w:widowControl/>
              <w:suppressLineNumbers w:val="0"/>
              <w:kinsoku/>
              <w:wordWrap/>
              <w:overflowPunct/>
              <w:topLinePunct w:val="0"/>
              <w:autoSpaceDE/>
              <w:autoSpaceDN/>
              <w:bidi w:val="0"/>
              <w:adjustRightInd/>
              <w:snapToGrid w:val="0"/>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指标性质</w:t>
            </w:r>
          </w:p>
        </w:tc>
        <w:tc>
          <w:tcPr>
            <w:tcW w:w="540" w:type="pct"/>
            <w:tcBorders>
              <w:top w:val="single" w:color="000000" w:sz="4" w:space="0"/>
              <w:left w:val="single" w:color="000000" w:sz="4" w:space="0"/>
              <w:bottom w:val="single" w:color="000000" w:sz="4" w:space="0"/>
              <w:right w:val="single" w:color="000000" w:sz="4" w:space="0"/>
            </w:tcBorders>
            <w:noWrap w:val="0"/>
            <w:vAlign w:val="center"/>
          </w:tcPr>
          <w:p w14:paraId="74502A16">
            <w:pPr>
              <w:keepNext w:val="0"/>
              <w:keepLines w:val="0"/>
              <w:pageBreakBefore w:val="0"/>
              <w:widowControl/>
              <w:suppressLineNumbers w:val="0"/>
              <w:kinsoku/>
              <w:wordWrap/>
              <w:overflowPunct/>
              <w:topLinePunct w:val="0"/>
              <w:autoSpaceDE/>
              <w:autoSpaceDN/>
              <w:bidi w:val="0"/>
              <w:adjustRightInd/>
              <w:snapToGrid w:val="0"/>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指标值</w:t>
            </w: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63E982E7">
            <w:pPr>
              <w:keepNext w:val="0"/>
              <w:keepLines w:val="0"/>
              <w:pageBreakBefore w:val="0"/>
              <w:widowControl/>
              <w:suppressLineNumbers w:val="0"/>
              <w:kinsoku/>
              <w:wordWrap/>
              <w:overflowPunct/>
              <w:topLinePunct w:val="0"/>
              <w:autoSpaceDE/>
              <w:autoSpaceDN/>
              <w:bidi w:val="0"/>
              <w:adjustRightInd/>
              <w:snapToGrid w:val="0"/>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度量单位</w:t>
            </w:r>
          </w:p>
        </w:tc>
        <w:tc>
          <w:tcPr>
            <w:tcW w:w="447" w:type="pct"/>
            <w:tcBorders>
              <w:top w:val="single" w:color="000000" w:sz="4" w:space="0"/>
              <w:left w:val="single" w:color="000000" w:sz="4" w:space="0"/>
              <w:bottom w:val="single" w:color="000000" w:sz="4" w:space="0"/>
              <w:right w:val="single" w:color="000000" w:sz="4" w:space="0"/>
            </w:tcBorders>
            <w:noWrap w:val="0"/>
            <w:vAlign w:val="center"/>
          </w:tcPr>
          <w:p w14:paraId="7E09ECDD">
            <w:pPr>
              <w:keepNext w:val="0"/>
              <w:keepLines w:val="0"/>
              <w:pageBreakBefore w:val="0"/>
              <w:widowControl/>
              <w:suppressLineNumbers w:val="0"/>
              <w:kinsoku/>
              <w:wordWrap/>
              <w:overflowPunct/>
              <w:topLinePunct w:val="0"/>
              <w:autoSpaceDE/>
              <w:autoSpaceDN/>
              <w:bidi w:val="0"/>
              <w:adjustRightInd/>
              <w:snapToGrid w:val="0"/>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权重</w:t>
            </w:r>
          </w:p>
        </w:tc>
        <w:tc>
          <w:tcPr>
            <w:tcW w:w="822" w:type="pct"/>
            <w:tcBorders>
              <w:top w:val="single" w:color="000000" w:sz="4" w:space="0"/>
              <w:left w:val="single" w:color="000000" w:sz="4" w:space="0"/>
              <w:bottom w:val="single" w:color="000000" w:sz="4" w:space="0"/>
              <w:right w:val="single" w:color="000000" w:sz="4" w:space="0"/>
            </w:tcBorders>
            <w:noWrap w:val="0"/>
            <w:vAlign w:val="center"/>
          </w:tcPr>
          <w:p w14:paraId="2A060C1B">
            <w:pPr>
              <w:keepNext w:val="0"/>
              <w:keepLines w:val="0"/>
              <w:pageBreakBefore w:val="0"/>
              <w:widowControl/>
              <w:suppressLineNumbers w:val="0"/>
              <w:kinsoku/>
              <w:wordWrap/>
              <w:overflowPunct/>
              <w:topLinePunct w:val="0"/>
              <w:autoSpaceDE/>
              <w:autoSpaceDN/>
              <w:bidi w:val="0"/>
              <w:adjustRightInd/>
              <w:snapToGrid w:val="0"/>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实际完成指标值</w:t>
            </w:r>
          </w:p>
        </w:tc>
      </w:tr>
      <w:tr w14:paraId="182D58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320" w:type="pct"/>
            <w:vMerge w:val="continue"/>
            <w:tcBorders>
              <w:top w:val="single" w:color="000000" w:sz="4" w:space="0"/>
              <w:left w:val="single" w:color="000000" w:sz="4" w:space="0"/>
              <w:bottom w:val="single" w:color="000000" w:sz="4" w:space="0"/>
            </w:tcBorders>
            <w:noWrap w:val="0"/>
            <w:vAlign w:val="center"/>
          </w:tcPr>
          <w:p w14:paraId="269C86D1">
            <w:pPr>
              <w:keepNext w:val="0"/>
              <w:keepLines w:val="0"/>
              <w:pageBreakBefore w:val="0"/>
              <w:kinsoku/>
              <w:wordWrap/>
              <w:overflowPunct/>
              <w:topLinePunct w:val="0"/>
              <w:autoSpaceDE/>
              <w:autoSpaceDN/>
              <w:bidi w:val="0"/>
              <w:adjustRightInd/>
              <w:snapToGrid w:val="0"/>
              <w:spacing w:line="300" w:lineRule="exact"/>
              <w:ind w:left="0" w:leftChars="0"/>
              <w:jc w:val="center"/>
              <w:rPr>
                <w:rFonts w:hint="default" w:ascii="Times New Roman" w:hAnsi="Times New Roman" w:eastAsia="宋体" w:cs="Times New Roman"/>
                <w:i w:val="0"/>
                <w:color w:val="000000"/>
                <w:sz w:val="24"/>
                <w:szCs w:val="24"/>
                <w:u w:val="none"/>
              </w:rPr>
            </w:pPr>
          </w:p>
        </w:tc>
        <w:tc>
          <w:tcPr>
            <w:tcW w:w="366" w:type="pct"/>
            <w:vMerge w:val="restart"/>
            <w:tcBorders>
              <w:top w:val="single" w:color="000000" w:sz="4" w:space="0"/>
              <w:left w:val="single" w:color="000000" w:sz="4" w:space="0"/>
              <w:bottom w:val="single" w:color="000000" w:sz="4" w:space="0"/>
              <w:right w:val="single" w:color="000000" w:sz="4" w:space="0"/>
            </w:tcBorders>
            <w:noWrap w:val="0"/>
            <w:vAlign w:val="center"/>
          </w:tcPr>
          <w:p w14:paraId="65B0700C">
            <w:pPr>
              <w:keepNext w:val="0"/>
              <w:keepLines w:val="0"/>
              <w:pageBreakBefore w:val="0"/>
              <w:widowControl/>
              <w:suppressLineNumbers w:val="0"/>
              <w:kinsoku/>
              <w:wordWrap/>
              <w:overflowPunct/>
              <w:topLinePunct w:val="0"/>
              <w:autoSpaceDE/>
              <w:autoSpaceDN/>
              <w:bidi w:val="0"/>
              <w:adjustRightInd/>
              <w:snapToGrid w:val="0"/>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产出指标</w:t>
            </w:r>
          </w:p>
        </w:tc>
        <w:tc>
          <w:tcPr>
            <w:tcW w:w="429" w:type="pct"/>
            <w:vMerge w:val="restart"/>
            <w:tcBorders>
              <w:top w:val="single" w:color="000000" w:sz="4" w:space="0"/>
              <w:left w:val="single" w:color="000000" w:sz="4" w:space="0"/>
              <w:bottom w:val="single" w:color="000000" w:sz="4" w:space="0"/>
              <w:right w:val="single" w:color="000000" w:sz="4" w:space="0"/>
            </w:tcBorders>
            <w:noWrap w:val="0"/>
            <w:vAlign w:val="center"/>
          </w:tcPr>
          <w:p w14:paraId="0ADC5DED">
            <w:pPr>
              <w:keepNext w:val="0"/>
              <w:keepLines w:val="0"/>
              <w:pageBreakBefore w:val="0"/>
              <w:widowControl/>
              <w:suppressLineNumbers w:val="0"/>
              <w:kinsoku/>
              <w:wordWrap/>
              <w:overflowPunct/>
              <w:topLinePunct w:val="0"/>
              <w:autoSpaceDE/>
              <w:autoSpaceDN/>
              <w:bidi w:val="0"/>
              <w:adjustRightInd/>
              <w:snapToGrid w:val="0"/>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数量指标</w:t>
            </w:r>
          </w:p>
        </w:tc>
        <w:tc>
          <w:tcPr>
            <w:tcW w:w="1292" w:type="pct"/>
            <w:tcBorders>
              <w:top w:val="single" w:color="000000" w:sz="4" w:space="0"/>
              <w:left w:val="single" w:color="000000" w:sz="4" w:space="0"/>
              <w:bottom w:val="single" w:color="000000" w:sz="4" w:space="0"/>
              <w:right w:val="single" w:color="000000" w:sz="4" w:space="0"/>
            </w:tcBorders>
            <w:noWrap w:val="0"/>
            <w:vAlign w:val="center"/>
          </w:tcPr>
          <w:p w14:paraId="591A7363">
            <w:pPr>
              <w:keepNext w:val="0"/>
              <w:keepLines w:val="0"/>
              <w:pageBreakBefore w:val="0"/>
              <w:kinsoku/>
              <w:wordWrap/>
              <w:overflowPunct/>
              <w:topLinePunct w:val="0"/>
              <w:autoSpaceDE/>
              <w:autoSpaceDN/>
              <w:bidi w:val="0"/>
              <w:adjustRightInd/>
              <w:snapToGrid w:val="0"/>
              <w:spacing w:line="300" w:lineRule="exact"/>
              <w:ind w:left="0" w:leftChars="0"/>
              <w:rPr>
                <w:rFonts w:hint="eastAsia" w:ascii="Times New Roman" w:hAnsi="Times New Roman" w:eastAsia="宋体" w:cs="Times New Roman"/>
                <w:i w:val="0"/>
                <w:color w:val="000000"/>
                <w:sz w:val="24"/>
                <w:szCs w:val="24"/>
                <w:u w:val="none"/>
                <w:lang w:eastAsia="zh-CN"/>
              </w:rPr>
            </w:pPr>
            <w:r>
              <w:rPr>
                <w:rFonts w:hint="eastAsia" w:ascii="Times New Roman" w:hAnsi="Times New Roman" w:eastAsia="宋体" w:cs="Times New Roman"/>
                <w:i w:val="0"/>
                <w:color w:val="000000"/>
                <w:sz w:val="24"/>
                <w:szCs w:val="24"/>
                <w:u w:val="none"/>
                <w:lang w:eastAsia="zh-CN"/>
              </w:rPr>
              <w:t>整治数（县）</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2CD371B8">
            <w:pPr>
              <w:keepNext w:val="0"/>
              <w:keepLines w:val="0"/>
              <w:pageBreakBefore w:val="0"/>
              <w:kinsoku/>
              <w:wordWrap/>
              <w:overflowPunct/>
              <w:topLinePunct w:val="0"/>
              <w:autoSpaceDE/>
              <w:autoSpaceDN/>
              <w:bidi w:val="0"/>
              <w:adjustRightInd/>
              <w:snapToGrid w:val="0"/>
              <w:spacing w:line="300" w:lineRule="exact"/>
              <w:ind w:left="0" w:leftChars="0"/>
              <w:jc w:val="center"/>
              <w:rPr>
                <w:rFonts w:hint="default" w:ascii="Times New Roman" w:hAnsi="Times New Roman" w:eastAsia="宋体" w:cs="Times New Roman"/>
                <w:i w:val="0"/>
                <w:color w:val="000000"/>
                <w:sz w:val="24"/>
                <w:szCs w:val="24"/>
                <w:u w:val="none"/>
              </w:rPr>
            </w:pPr>
            <w:r>
              <w:rPr>
                <w:rFonts w:hint="eastAsia" w:ascii="宋体" w:hAnsi="宋体" w:eastAsia="宋体" w:cs="宋体"/>
                <w:i w:val="0"/>
                <w:color w:val="000000"/>
                <w:sz w:val="24"/>
                <w:szCs w:val="24"/>
                <w:u w:val="none"/>
              </w:rPr>
              <w:t>≦</w:t>
            </w:r>
          </w:p>
        </w:tc>
        <w:tc>
          <w:tcPr>
            <w:tcW w:w="540" w:type="pct"/>
            <w:tcBorders>
              <w:top w:val="single" w:color="000000" w:sz="4" w:space="0"/>
              <w:left w:val="single" w:color="000000" w:sz="4" w:space="0"/>
              <w:bottom w:val="single" w:color="000000" w:sz="4" w:space="0"/>
              <w:right w:val="single" w:color="000000" w:sz="4" w:space="0"/>
            </w:tcBorders>
            <w:noWrap w:val="0"/>
            <w:vAlign w:val="center"/>
          </w:tcPr>
          <w:p w14:paraId="50CC3EC3">
            <w:pPr>
              <w:keepNext w:val="0"/>
              <w:keepLines w:val="0"/>
              <w:pageBreakBefore w:val="0"/>
              <w:kinsoku/>
              <w:wordWrap/>
              <w:overflowPunct/>
              <w:topLinePunct w:val="0"/>
              <w:autoSpaceDE/>
              <w:autoSpaceDN/>
              <w:bidi w:val="0"/>
              <w:adjustRightInd/>
              <w:snapToGrid w:val="0"/>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10</w:t>
            </w: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441B2A69">
            <w:pPr>
              <w:keepNext w:val="0"/>
              <w:keepLines w:val="0"/>
              <w:pageBreakBefore w:val="0"/>
              <w:kinsoku/>
              <w:wordWrap/>
              <w:overflowPunct/>
              <w:topLinePunct w:val="0"/>
              <w:autoSpaceDE/>
              <w:autoSpaceDN/>
              <w:bidi w:val="0"/>
              <w:adjustRightInd/>
              <w:snapToGrid w:val="0"/>
              <w:spacing w:line="300" w:lineRule="exact"/>
              <w:ind w:left="0" w:leftChars="0"/>
              <w:jc w:val="center"/>
              <w:rPr>
                <w:rFonts w:hint="eastAsia" w:ascii="Times New Roman" w:hAnsi="Times New Roman" w:eastAsia="宋体" w:cs="Times New Roman"/>
                <w:i w:val="0"/>
                <w:color w:val="000000"/>
                <w:sz w:val="24"/>
                <w:szCs w:val="24"/>
                <w:u w:val="none"/>
                <w:lang w:eastAsia="zh-CN"/>
              </w:rPr>
            </w:pPr>
            <w:r>
              <w:rPr>
                <w:rFonts w:hint="eastAsia" w:ascii="Times New Roman" w:hAnsi="Times New Roman" w:eastAsia="宋体" w:cs="Times New Roman"/>
                <w:i w:val="0"/>
                <w:color w:val="000000"/>
                <w:sz w:val="24"/>
                <w:szCs w:val="24"/>
                <w:u w:val="none"/>
                <w:lang w:eastAsia="zh-CN"/>
              </w:rPr>
              <w:t>个</w:t>
            </w:r>
          </w:p>
        </w:tc>
        <w:tc>
          <w:tcPr>
            <w:tcW w:w="447" w:type="pct"/>
            <w:tcBorders>
              <w:top w:val="single" w:color="000000" w:sz="4" w:space="0"/>
              <w:left w:val="single" w:color="000000" w:sz="4" w:space="0"/>
              <w:bottom w:val="single" w:color="000000" w:sz="4" w:space="0"/>
              <w:right w:val="single" w:color="000000" w:sz="4" w:space="0"/>
            </w:tcBorders>
            <w:noWrap w:val="0"/>
            <w:vAlign w:val="center"/>
          </w:tcPr>
          <w:p w14:paraId="59A9273F">
            <w:pPr>
              <w:keepNext w:val="0"/>
              <w:keepLines w:val="0"/>
              <w:pageBreakBefore w:val="0"/>
              <w:kinsoku/>
              <w:wordWrap/>
              <w:overflowPunct/>
              <w:topLinePunct w:val="0"/>
              <w:autoSpaceDE/>
              <w:autoSpaceDN/>
              <w:bidi w:val="0"/>
              <w:adjustRightInd/>
              <w:snapToGrid w:val="0"/>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20</w:t>
            </w:r>
          </w:p>
        </w:tc>
        <w:tc>
          <w:tcPr>
            <w:tcW w:w="822" w:type="pct"/>
            <w:tcBorders>
              <w:top w:val="single" w:color="000000" w:sz="4" w:space="0"/>
              <w:left w:val="single" w:color="000000" w:sz="4" w:space="0"/>
              <w:bottom w:val="single" w:color="000000" w:sz="4" w:space="0"/>
              <w:right w:val="single" w:color="000000" w:sz="4" w:space="0"/>
            </w:tcBorders>
            <w:noWrap w:val="0"/>
            <w:vAlign w:val="center"/>
          </w:tcPr>
          <w:p w14:paraId="67A3E8DA">
            <w:pPr>
              <w:keepNext w:val="0"/>
              <w:keepLines w:val="0"/>
              <w:pageBreakBefore w:val="0"/>
              <w:kinsoku/>
              <w:wordWrap/>
              <w:overflowPunct/>
              <w:topLinePunct w:val="0"/>
              <w:autoSpaceDE/>
              <w:autoSpaceDN/>
              <w:bidi w:val="0"/>
              <w:adjustRightInd/>
              <w:snapToGrid w:val="0"/>
              <w:spacing w:line="300" w:lineRule="exact"/>
              <w:ind w:left="0" w:leftChars="0"/>
              <w:jc w:val="center"/>
              <w:rPr>
                <w:rFonts w:hint="default" w:ascii="Times New Roman" w:hAnsi="Times New Roman" w:eastAsia="宋体" w:cs="Times New Roman"/>
                <w:i w:val="0"/>
                <w:color w:val="000000"/>
                <w:sz w:val="24"/>
                <w:szCs w:val="24"/>
                <w:u w:val="none"/>
              </w:rPr>
            </w:pPr>
          </w:p>
        </w:tc>
      </w:tr>
      <w:tr w14:paraId="7EDE2E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320" w:type="pct"/>
            <w:vMerge w:val="continue"/>
            <w:tcBorders>
              <w:top w:val="single" w:color="000000" w:sz="4" w:space="0"/>
              <w:left w:val="single" w:color="000000" w:sz="4" w:space="0"/>
              <w:bottom w:val="single" w:color="000000" w:sz="4" w:space="0"/>
            </w:tcBorders>
            <w:noWrap w:val="0"/>
            <w:vAlign w:val="center"/>
          </w:tcPr>
          <w:p w14:paraId="61937301">
            <w:pPr>
              <w:keepNext w:val="0"/>
              <w:keepLines w:val="0"/>
              <w:pageBreakBefore w:val="0"/>
              <w:kinsoku/>
              <w:wordWrap/>
              <w:overflowPunct/>
              <w:topLinePunct w:val="0"/>
              <w:autoSpaceDE/>
              <w:autoSpaceDN/>
              <w:bidi w:val="0"/>
              <w:adjustRightInd/>
              <w:snapToGrid w:val="0"/>
              <w:spacing w:line="300" w:lineRule="exact"/>
              <w:ind w:left="0" w:leftChars="0"/>
              <w:jc w:val="center"/>
              <w:rPr>
                <w:rFonts w:hint="default" w:ascii="Times New Roman" w:hAnsi="Times New Roman" w:eastAsia="宋体" w:cs="Times New Roman"/>
                <w:i w:val="0"/>
                <w:color w:val="000000"/>
                <w:sz w:val="24"/>
                <w:szCs w:val="24"/>
                <w:u w:val="none"/>
              </w:rPr>
            </w:pPr>
          </w:p>
        </w:tc>
        <w:tc>
          <w:tcPr>
            <w:tcW w:w="36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ADB860D">
            <w:pPr>
              <w:keepNext w:val="0"/>
              <w:keepLines w:val="0"/>
              <w:pageBreakBefore w:val="0"/>
              <w:kinsoku/>
              <w:wordWrap/>
              <w:overflowPunct/>
              <w:topLinePunct w:val="0"/>
              <w:autoSpaceDE/>
              <w:autoSpaceDN/>
              <w:bidi w:val="0"/>
              <w:adjustRightInd/>
              <w:snapToGrid w:val="0"/>
              <w:spacing w:line="300" w:lineRule="exact"/>
              <w:ind w:left="0" w:leftChars="0"/>
              <w:jc w:val="center"/>
              <w:rPr>
                <w:rFonts w:hint="default" w:ascii="Times New Roman" w:hAnsi="Times New Roman" w:eastAsia="宋体" w:cs="Times New Roman"/>
                <w:i w:val="0"/>
                <w:color w:val="000000"/>
                <w:sz w:val="24"/>
                <w:szCs w:val="24"/>
                <w:u w:val="none"/>
              </w:rPr>
            </w:pPr>
          </w:p>
        </w:tc>
        <w:tc>
          <w:tcPr>
            <w:tcW w:w="429" w:type="pct"/>
            <w:vMerge w:val="continue"/>
            <w:tcBorders>
              <w:top w:val="single" w:color="000000" w:sz="4" w:space="0"/>
              <w:left w:val="single" w:color="000000" w:sz="4" w:space="0"/>
              <w:bottom w:val="single" w:color="000000" w:sz="4" w:space="0"/>
              <w:right w:val="single" w:color="000000" w:sz="4" w:space="0"/>
            </w:tcBorders>
            <w:noWrap w:val="0"/>
            <w:vAlign w:val="center"/>
          </w:tcPr>
          <w:p w14:paraId="1FA6DC47">
            <w:pPr>
              <w:keepNext w:val="0"/>
              <w:keepLines w:val="0"/>
              <w:pageBreakBefore w:val="0"/>
              <w:kinsoku/>
              <w:wordWrap/>
              <w:overflowPunct/>
              <w:topLinePunct w:val="0"/>
              <w:autoSpaceDE/>
              <w:autoSpaceDN/>
              <w:bidi w:val="0"/>
              <w:adjustRightInd/>
              <w:snapToGrid w:val="0"/>
              <w:spacing w:line="300" w:lineRule="exact"/>
              <w:ind w:left="0" w:leftChars="0"/>
              <w:jc w:val="center"/>
              <w:rPr>
                <w:rFonts w:hint="default" w:ascii="Times New Roman" w:hAnsi="Times New Roman" w:eastAsia="宋体" w:cs="Times New Roman"/>
                <w:i w:val="0"/>
                <w:color w:val="000000"/>
                <w:sz w:val="24"/>
                <w:szCs w:val="24"/>
                <w:u w:val="none"/>
              </w:rPr>
            </w:pPr>
          </w:p>
        </w:tc>
        <w:tc>
          <w:tcPr>
            <w:tcW w:w="1292" w:type="pct"/>
            <w:tcBorders>
              <w:top w:val="single" w:color="000000" w:sz="4" w:space="0"/>
              <w:left w:val="single" w:color="000000" w:sz="4" w:space="0"/>
              <w:bottom w:val="single" w:color="000000" w:sz="4" w:space="0"/>
              <w:right w:val="single" w:color="000000" w:sz="4" w:space="0"/>
            </w:tcBorders>
            <w:noWrap w:val="0"/>
            <w:vAlign w:val="center"/>
          </w:tcPr>
          <w:p w14:paraId="700A0F71">
            <w:pPr>
              <w:keepNext w:val="0"/>
              <w:keepLines w:val="0"/>
              <w:widowControl/>
              <w:suppressLineNumbers w:val="0"/>
              <w:snapToGrid w:val="0"/>
              <w:jc w:val="center"/>
              <w:textAlignment w:val="center"/>
              <w:rPr>
                <w:rFonts w:hint="default" w:ascii="等线" w:hAnsi="等线" w:eastAsia="等线" w:cs="等线"/>
                <w:i w:val="0"/>
                <w:iCs w:val="0"/>
                <w:color w:val="000000"/>
                <w:kern w:val="2"/>
                <w:sz w:val="18"/>
                <w:szCs w:val="18"/>
                <w:u w:val="none"/>
                <w:lang w:val="en-US" w:eastAsia="zh-CN" w:bidi="ar-SA"/>
              </w:rPr>
            </w:pPr>
            <w:r>
              <w:rPr>
                <w:rFonts w:hint="default" w:ascii="等线" w:hAnsi="等线" w:eastAsia="等线" w:cs="等线"/>
                <w:i w:val="0"/>
                <w:iCs w:val="0"/>
                <w:color w:val="000000"/>
                <w:kern w:val="0"/>
                <w:sz w:val="18"/>
                <w:szCs w:val="18"/>
                <w:u w:val="none"/>
                <w:lang w:val="en-US" w:eastAsia="zh-CN" w:bidi="ar"/>
              </w:rPr>
              <w:t>形成受污染农用地土壤重金属溯源分析研究报告</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27837698">
            <w:pPr>
              <w:keepNext w:val="0"/>
              <w:keepLines w:val="0"/>
              <w:pageBreakBefore w:val="0"/>
              <w:kinsoku/>
              <w:wordWrap/>
              <w:overflowPunct/>
              <w:topLinePunct w:val="0"/>
              <w:autoSpaceDE/>
              <w:autoSpaceDN/>
              <w:bidi w:val="0"/>
              <w:adjustRightInd/>
              <w:snapToGrid w:val="0"/>
              <w:spacing w:line="300" w:lineRule="exact"/>
              <w:ind w:left="0" w:leftChars="0"/>
              <w:jc w:val="center"/>
              <w:rPr>
                <w:rFonts w:hint="default" w:ascii="Times New Roman" w:hAnsi="Times New Roman" w:eastAsia="宋体" w:cs="Times New Roman"/>
                <w:i w:val="0"/>
                <w:color w:val="000000"/>
                <w:sz w:val="24"/>
                <w:szCs w:val="24"/>
                <w:u w:val="none"/>
              </w:rPr>
            </w:pPr>
            <w:r>
              <w:rPr>
                <w:rFonts w:hint="eastAsia" w:ascii="宋体" w:hAnsi="宋体" w:eastAsia="宋体" w:cs="宋体"/>
                <w:i w:val="0"/>
                <w:color w:val="000000"/>
                <w:sz w:val="24"/>
                <w:szCs w:val="24"/>
                <w:u w:val="none"/>
              </w:rPr>
              <w:t>≦</w:t>
            </w:r>
          </w:p>
        </w:tc>
        <w:tc>
          <w:tcPr>
            <w:tcW w:w="540" w:type="pct"/>
            <w:tcBorders>
              <w:top w:val="single" w:color="000000" w:sz="4" w:space="0"/>
              <w:left w:val="single" w:color="000000" w:sz="4" w:space="0"/>
              <w:bottom w:val="single" w:color="000000" w:sz="4" w:space="0"/>
              <w:right w:val="single" w:color="000000" w:sz="4" w:space="0"/>
            </w:tcBorders>
            <w:noWrap w:val="0"/>
            <w:vAlign w:val="center"/>
          </w:tcPr>
          <w:p w14:paraId="2F089B8F">
            <w:pPr>
              <w:keepNext w:val="0"/>
              <w:keepLines w:val="0"/>
              <w:pageBreakBefore w:val="0"/>
              <w:kinsoku/>
              <w:wordWrap/>
              <w:overflowPunct/>
              <w:topLinePunct w:val="0"/>
              <w:autoSpaceDE/>
              <w:autoSpaceDN/>
              <w:bidi w:val="0"/>
              <w:adjustRightInd/>
              <w:snapToGrid w:val="0"/>
              <w:spacing w:line="300" w:lineRule="exact"/>
              <w:ind w:left="0" w:leftChars="0"/>
              <w:jc w:val="center"/>
              <w:rPr>
                <w:rFonts w:hint="default" w:ascii="Times New Roman" w:hAnsi="Times New Roman" w:eastAsia="宋体" w:cs="Times New Roman"/>
                <w:i w:val="0"/>
                <w:color w:val="000000"/>
                <w:sz w:val="24"/>
                <w:szCs w:val="24"/>
                <w:u w:val="none"/>
              </w:rPr>
            </w:pPr>
            <w:r>
              <w:rPr>
                <w:rFonts w:hint="eastAsia" w:ascii="Times New Roman" w:hAnsi="Times New Roman" w:eastAsia="宋体" w:cs="Times New Roman"/>
                <w:i w:val="0"/>
                <w:color w:val="000000"/>
                <w:sz w:val="24"/>
                <w:szCs w:val="24"/>
                <w:u w:val="none"/>
                <w:lang w:val="en-US" w:eastAsia="zh-CN"/>
              </w:rPr>
              <w:t>10</w:t>
            </w: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7AADBD70">
            <w:pPr>
              <w:keepNext w:val="0"/>
              <w:keepLines w:val="0"/>
              <w:pageBreakBefore w:val="0"/>
              <w:kinsoku/>
              <w:wordWrap/>
              <w:overflowPunct/>
              <w:topLinePunct w:val="0"/>
              <w:autoSpaceDE/>
              <w:autoSpaceDN/>
              <w:bidi w:val="0"/>
              <w:adjustRightInd/>
              <w:snapToGrid w:val="0"/>
              <w:spacing w:line="300" w:lineRule="exact"/>
              <w:ind w:left="0" w:leftChars="0"/>
              <w:jc w:val="center"/>
              <w:rPr>
                <w:rFonts w:hint="eastAsia" w:ascii="Times New Roman" w:hAnsi="Times New Roman" w:eastAsia="宋体" w:cs="Times New Roman"/>
                <w:i w:val="0"/>
                <w:color w:val="000000"/>
                <w:sz w:val="24"/>
                <w:szCs w:val="24"/>
                <w:u w:val="none"/>
                <w:lang w:eastAsia="zh-CN"/>
              </w:rPr>
            </w:pPr>
            <w:r>
              <w:rPr>
                <w:rFonts w:hint="eastAsia" w:ascii="Times New Roman" w:hAnsi="Times New Roman" w:eastAsia="宋体" w:cs="Times New Roman"/>
                <w:i w:val="0"/>
                <w:color w:val="000000"/>
                <w:sz w:val="24"/>
                <w:szCs w:val="24"/>
                <w:u w:val="none"/>
                <w:lang w:eastAsia="zh-CN"/>
              </w:rPr>
              <w:t>份</w:t>
            </w:r>
          </w:p>
        </w:tc>
        <w:tc>
          <w:tcPr>
            <w:tcW w:w="447" w:type="pct"/>
            <w:tcBorders>
              <w:top w:val="single" w:color="000000" w:sz="4" w:space="0"/>
              <w:left w:val="single" w:color="000000" w:sz="4" w:space="0"/>
              <w:bottom w:val="single" w:color="000000" w:sz="4" w:space="0"/>
              <w:right w:val="single" w:color="000000" w:sz="4" w:space="0"/>
            </w:tcBorders>
            <w:noWrap w:val="0"/>
            <w:vAlign w:val="center"/>
          </w:tcPr>
          <w:p w14:paraId="433425AB">
            <w:pPr>
              <w:keepNext w:val="0"/>
              <w:keepLines w:val="0"/>
              <w:pageBreakBefore w:val="0"/>
              <w:kinsoku/>
              <w:wordWrap/>
              <w:overflowPunct/>
              <w:topLinePunct w:val="0"/>
              <w:autoSpaceDE/>
              <w:autoSpaceDN/>
              <w:bidi w:val="0"/>
              <w:adjustRightInd/>
              <w:snapToGrid w:val="0"/>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10</w:t>
            </w:r>
          </w:p>
        </w:tc>
        <w:tc>
          <w:tcPr>
            <w:tcW w:w="822" w:type="pct"/>
            <w:tcBorders>
              <w:top w:val="single" w:color="000000" w:sz="4" w:space="0"/>
              <w:left w:val="single" w:color="000000" w:sz="4" w:space="0"/>
              <w:bottom w:val="single" w:color="000000" w:sz="4" w:space="0"/>
              <w:right w:val="single" w:color="000000" w:sz="4" w:space="0"/>
            </w:tcBorders>
            <w:noWrap w:val="0"/>
            <w:vAlign w:val="center"/>
          </w:tcPr>
          <w:p w14:paraId="2B95486C">
            <w:pPr>
              <w:keepNext w:val="0"/>
              <w:keepLines w:val="0"/>
              <w:pageBreakBefore w:val="0"/>
              <w:kinsoku/>
              <w:wordWrap/>
              <w:overflowPunct/>
              <w:topLinePunct w:val="0"/>
              <w:autoSpaceDE/>
              <w:autoSpaceDN/>
              <w:bidi w:val="0"/>
              <w:adjustRightInd/>
              <w:snapToGrid w:val="0"/>
              <w:spacing w:line="300" w:lineRule="exact"/>
              <w:ind w:left="0" w:leftChars="0"/>
              <w:jc w:val="center"/>
              <w:rPr>
                <w:rFonts w:hint="default" w:ascii="Times New Roman" w:hAnsi="Times New Roman" w:eastAsia="宋体" w:cs="Times New Roman"/>
                <w:i w:val="0"/>
                <w:color w:val="000000"/>
                <w:sz w:val="24"/>
                <w:szCs w:val="24"/>
                <w:u w:val="none"/>
              </w:rPr>
            </w:pPr>
          </w:p>
        </w:tc>
      </w:tr>
      <w:tr w14:paraId="646E03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320" w:type="pct"/>
            <w:vMerge w:val="continue"/>
            <w:tcBorders>
              <w:top w:val="single" w:color="000000" w:sz="4" w:space="0"/>
              <w:left w:val="single" w:color="000000" w:sz="4" w:space="0"/>
              <w:bottom w:val="single" w:color="000000" w:sz="4" w:space="0"/>
            </w:tcBorders>
            <w:noWrap w:val="0"/>
            <w:vAlign w:val="center"/>
          </w:tcPr>
          <w:p w14:paraId="6B83EB82">
            <w:pPr>
              <w:keepNext w:val="0"/>
              <w:keepLines w:val="0"/>
              <w:pageBreakBefore w:val="0"/>
              <w:kinsoku/>
              <w:wordWrap/>
              <w:overflowPunct/>
              <w:topLinePunct w:val="0"/>
              <w:autoSpaceDE/>
              <w:autoSpaceDN/>
              <w:bidi w:val="0"/>
              <w:adjustRightInd/>
              <w:snapToGrid w:val="0"/>
              <w:spacing w:line="300" w:lineRule="exact"/>
              <w:ind w:left="0" w:leftChars="0"/>
              <w:jc w:val="center"/>
              <w:rPr>
                <w:rFonts w:hint="default" w:ascii="Times New Roman" w:hAnsi="Times New Roman" w:eastAsia="宋体" w:cs="Times New Roman"/>
                <w:i w:val="0"/>
                <w:color w:val="000000"/>
                <w:sz w:val="24"/>
                <w:szCs w:val="24"/>
                <w:u w:val="none"/>
              </w:rPr>
            </w:pPr>
          </w:p>
        </w:tc>
        <w:tc>
          <w:tcPr>
            <w:tcW w:w="36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2D99F65">
            <w:pPr>
              <w:keepNext w:val="0"/>
              <w:keepLines w:val="0"/>
              <w:pageBreakBefore w:val="0"/>
              <w:kinsoku/>
              <w:wordWrap/>
              <w:overflowPunct/>
              <w:topLinePunct w:val="0"/>
              <w:autoSpaceDE/>
              <w:autoSpaceDN/>
              <w:bidi w:val="0"/>
              <w:adjustRightInd/>
              <w:snapToGrid w:val="0"/>
              <w:spacing w:line="300" w:lineRule="exact"/>
              <w:ind w:left="0" w:leftChars="0"/>
              <w:jc w:val="center"/>
              <w:rPr>
                <w:rFonts w:hint="default" w:ascii="Times New Roman" w:hAnsi="Times New Roman" w:eastAsia="宋体" w:cs="Times New Roman"/>
                <w:i w:val="0"/>
                <w:color w:val="000000"/>
                <w:sz w:val="24"/>
                <w:szCs w:val="24"/>
                <w:u w:val="none"/>
              </w:rPr>
            </w:pPr>
          </w:p>
        </w:tc>
        <w:tc>
          <w:tcPr>
            <w:tcW w:w="429" w:type="pct"/>
            <w:vMerge w:val="restart"/>
            <w:tcBorders>
              <w:top w:val="single" w:color="000000" w:sz="4" w:space="0"/>
              <w:left w:val="single" w:color="000000" w:sz="4" w:space="0"/>
              <w:bottom w:val="single" w:color="000000" w:sz="4" w:space="0"/>
              <w:right w:val="single" w:color="000000" w:sz="4" w:space="0"/>
            </w:tcBorders>
            <w:noWrap w:val="0"/>
            <w:vAlign w:val="center"/>
          </w:tcPr>
          <w:p w14:paraId="73C72ADC">
            <w:pPr>
              <w:keepNext w:val="0"/>
              <w:keepLines w:val="0"/>
              <w:pageBreakBefore w:val="0"/>
              <w:widowControl/>
              <w:suppressLineNumbers w:val="0"/>
              <w:kinsoku/>
              <w:wordWrap/>
              <w:overflowPunct/>
              <w:topLinePunct w:val="0"/>
              <w:autoSpaceDE/>
              <w:autoSpaceDN/>
              <w:bidi w:val="0"/>
              <w:adjustRightInd/>
              <w:snapToGrid w:val="0"/>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质量指标</w:t>
            </w:r>
          </w:p>
        </w:tc>
        <w:tc>
          <w:tcPr>
            <w:tcW w:w="1292" w:type="pct"/>
            <w:tcBorders>
              <w:top w:val="single" w:color="000000" w:sz="4" w:space="0"/>
              <w:left w:val="single" w:color="000000" w:sz="4" w:space="0"/>
              <w:bottom w:val="single" w:color="000000" w:sz="4" w:space="0"/>
              <w:right w:val="single" w:color="000000" w:sz="4" w:space="0"/>
            </w:tcBorders>
            <w:noWrap w:val="0"/>
            <w:vAlign w:val="center"/>
          </w:tcPr>
          <w:p w14:paraId="63D1E314">
            <w:pPr>
              <w:keepNext w:val="0"/>
              <w:keepLines w:val="0"/>
              <w:widowControl/>
              <w:suppressLineNumbers w:val="0"/>
              <w:snapToGrid w:val="0"/>
              <w:jc w:val="center"/>
              <w:textAlignment w:val="center"/>
              <w:rPr>
                <w:rFonts w:hint="default" w:ascii="等线" w:hAnsi="等线" w:eastAsia="等线" w:cs="等线"/>
                <w:i w:val="0"/>
                <w:iCs w:val="0"/>
                <w:color w:val="000000"/>
                <w:kern w:val="2"/>
                <w:sz w:val="18"/>
                <w:szCs w:val="18"/>
                <w:u w:val="none"/>
                <w:lang w:val="en-US" w:eastAsia="zh-CN" w:bidi="ar-SA"/>
              </w:rPr>
            </w:pPr>
            <w:r>
              <w:rPr>
                <w:rFonts w:hint="default" w:ascii="等线" w:hAnsi="等线" w:eastAsia="等线" w:cs="等线"/>
                <w:i w:val="0"/>
                <w:iCs w:val="0"/>
                <w:color w:val="000000"/>
                <w:kern w:val="0"/>
                <w:sz w:val="18"/>
                <w:szCs w:val="18"/>
                <w:u w:val="none"/>
                <w:lang w:val="en-US" w:eastAsia="zh-CN" w:bidi="ar"/>
              </w:rPr>
              <w:t>技术规范标准符合率</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433B8EC9">
            <w:pPr>
              <w:keepNext w:val="0"/>
              <w:keepLines w:val="0"/>
              <w:widowControl/>
              <w:suppressLineNumbers w:val="0"/>
              <w:snapToGrid w:val="0"/>
              <w:jc w:val="center"/>
              <w:textAlignment w:val="center"/>
              <w:rPr>
                <w:rFonts w:hint="default" w:ascii="等线" w:hAnsi="等线" w:eastAsia="等线" w:cs="等线"/>
                <w:i w:val="0"/>
                <w:iCs w:val="0"/>
                <w:color w:val="000000"/>
                <w:kern w:val="2"/>
                <w:sz w:val="18"/>
                <w:szCs w:val="18"/>
                <w:u w:val="none"/>
                <w:lang w:val="en-US" w:eastAsia="zh-CN" w:bidi="ar-SA"/>
              </w:rPr>
            </w:pPr>
            <w:r>
              <w:rPr>
                <w:rFonts w:hint="default" w:ascii="等线" w:hAnsi="等线" w:eastAsia="等线" w:cs="等线"/>
                <w:i w:val="0"/>
                <w:iCs w:val="0"/>
                <w:color w:val="000000"/>
                <w:kern w:val="0"/>
                <w:sz w:val="18"/>
                <w:szCs w:val="18"/>
                <w:u w:val="none"/>
                <w:lang w:val="en-US" w:eastAsia="zh-CN" w:bidi="ar"/>
              </w:rPr>
              <w:t>≥</w:t>
            </w:r>
          </w:p>
        </w:tc>
        <w:tc>
          <w:tcPr>
            <w:tcW w:w="540" w:type="pct"/>
            <w:tcBorders>
              <w:top w:val="single" w:color="000000" w:sz="4" w:space="0"/>
              <w:left w:val="single" w:color="000000" w:sz="4" w:space="0"/>
              <w:bottom w:val="single" w:color="000000" w:sz="4" w:space="0"/>
              <w:right w:val="single" w:color="000000" w:sz="4" w:space="0"/>
            </w:tcBorders>
            <w:noWrap w:val="0"/>
            <w:vAlign w:val="center"/>
          </w:tcPr>
          <w:p w14:paraId="180FA960">
            <w:pPr>
              <w:keepNext w:val="0"/>
              <w:keepLines w:val="0"/>
              <w:pageBreakBefore w:val="0"/>
              <w:kinsoku/>
              <w:wordWrap/>
              <w:overflowPunct/>
              <w:topLinePunct w:val="0"/>
              <w:autoSpaceDE/>
              <w:autoSpaceDN/>
              <w:bidi w:val="0"/>
              <w:adjustRightInd/>
              <w:snapToGrid w:val="0"/>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99</w:t>
            </w: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71BF251E">
            <w:pPr>
              <w:keepNext w:val="0"/>
              <w:keepLines w:val="0"/>
              <w:widowControl/>
              <w:suppressLineNumbers w:val="0"/>
              <w:snapToGrid w:val="0"/>
              <w:jc w:val="center"/>
              <w:textAlignment w:val="center"/>
              <w:rPr>
                <w:rFonts w:hint="default" w:ascii="等线" w:hAnsi="等线" w:eastAsia="等线" w:cs="等线"/>
                <w:i w:val="0"/>
                <w:iCs w:val="0"/>
                <w:color w:val="000000"/>
                <w:kern w:val="2"/>
                <w:sz w:val="18"/>
                <w:szCs w:val="18"/>
                <w:u w:val="none"/>
                <w:lang w:val="en-US" w:eastAsia="zh-CN" w:bidi="ar-SA"/>
              </w:rPr>
            </w:pPr>
            <w:r>
              <w:rPr>
                <w:rFonts w:hint="default" w:ascii="等线" w:hAnsi="等线" w:eastAsia="等线" w:cs="等线"/>
                <w:i w:val="0"/>
                <w:iCs w:val="0"/>
                <w:color w:val="000000"/>
                <w:kern w:val="0"/>
                <w:sz w:val="18"/>
                <w:szCs w:val="18"/>
                <w:u w:val="none"/>
                <w:lang w:val="en-US" w:eastAsia="zh-CN" w:bidi="ar"/>
              </w:rPr>
              <w:t>%</w:t>
            </w:r>
          </w:p>
        </w:tc>
        <w:tc>
          <w:tcPr>
            <w:tcW w:w="447" w:type="pct"/>
            <w:tcBorders>
              <w:top w:val="single" w:color="000000" w:sz="4" w:space="0"/>
              <w:left w:val="single" w:color="000000" w:sz="4" w:space="0"/>
              <w:bottom w:val="single" w:color="000000" w:sz="4" w:space="0"/>
              <w:right w:val="single" w:color="000000" w:sz="4" w:space="0"/>
            </w:tcBorders>
            <w:noWrap w:val="0"/>
            <w:vAlign w:val="center"/>
          </w:tcPr>
          <w:p w14:paraId="2C58C8E2">
            <w:pPr>
              <w:keepNext w:val="0"/>
              <w:keepLines w:val="0"/>
              <w:pageBreakBefore w:val="0"/>
              <w:kinsoku/>
              <w:wordWrap/>
              <w:overflowPunct/>
              <w:topLinePunct w:val="0"/>
              <w:autoSpaceDE/>
              <w:autoSpaceDN/>
              <w:bidi w:val="0"/>
              <w:adjustRightInd/>
              <w:snapToGrid w:val="0"/>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10</w:t>
            </w:r>
          </w:p>
        </w:tc>
        <w:tc>
          <w:tcPr>
            <w:tcW w:w="822" w:type="pct"/>
            <w:tcBorders>
              <w:top w:val="single" w:color="000000" w:sz="4" w:space="0"/>
              <w:left w:val="single" w:color="000000" w:sz="4" w:space="0"/>
              <w:bottom w:val="single" w:color="000000" w:sz="4" w:space="0"/>
              <w:right w:val="single" w:color="000000" w:sz="4" w:space="0"/>
            </w:tcBorders>
            <w:noWrap w:val="0"/>
            <w:vAlign w:val="center"/>
          </w:tcPr>
          <w:p w14:paraId="4C3BA2F7">
            <w:pPr>
              <w:keepNext w:val="0"/>
              <w:keepLines w:val="0"/>
              <w:pageBreakBefore w:val="0"/>
              <w:kinsoku/>
              <w:wordWrap/>
              <w:overflowPunct/>
              <w:topLinePunct w:val="0"/>
              <w:autoSpaceDE/>
              <w:autoSpaceDN/>
              <w:bidi w:val="0"/>
              <w:adjustRightInd/>
              <w:snapToGrid w:val="0"/>
              <w:spacing w:line="300" w:lineRule="exact"/>
              <w:ind w:left="0" w:leftChars="0"/>
              <w:jc w:val="center"/>
              <w:rPr>
                <w:rFonts w:hint="default" w:ascii="Times New Roman" w:hAnsi="Times New Roman" w:eastAsia="宋体" w:cs="Times New Roman"/>
                <w:i w:val="0"/>
                <w:color w:val="000000"/>
                <w:sz w:val="24"/>
                <w:szCs w:val="24"/>
                <w:u w:val="none"/>
              </w:rPr>
            </w:pPr>
          </w:p>
        </w:tc>
      </w:tr>
      <w:tr w14:paraId="4C17F2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320" w:type="pct"/>
            <w:vMerge w:val="continue"/>
            <w:tcBorders>
              <w:top w:val="single" w:color="000000" w:sz="4" w:space="0"/>
              <w:left w:val="single" w:color="000000" w:sz="4" w:space="0"/>
              <w:bottom w:val="single" w:color="000000" w:sz="4" w:space="0"/>
            </w:tcBorders>
            <w:noWrap w:val="0"/>
            <w:vAlign w:val="center"/>
          </w:tcPr>
          <w:p w14:paraId="2469AA3E">
            <w:pPr>
              <w:keepNext w:val="0"/>
              <w:keepLines w:val="0"/>
              <w:pageBreakBefore w:val="0"/>
              <w:kinsoku/>
              <w:wordWrap/>
              <w:overflowPunct/>
              <w:topLinePunct w:val="0"/>
              <w:autoSpaceDE/>
              <w:autoSpaceDN/>
              <w:bidi w:val="0"/>
              <w:adjustRightInd/>
              <w:snapToGrid w:val="0"/>
              <w:spacing w:line="300" w:lineRule="exact"/>
              <w:ind w:left="0" w:leftChars="0"/>
              <w:jc w:val="center"/>
              <w:rPr>
                <w:rFonts w:hint="default" w:ascii="Times New Roman" w:hAnsi="Times New Roman" w:eastAsia="宋体" w:cs="Times New Roman"/>
                <w:i w:val="0"/>
                <w:color w:val="000000"/>
                <w:sz w:val="24"/>
                <w:szCs w:val="24"/>
                <w:u w:val="none"/>
              </w:rPr>
            </w:pPr>
          </w:p>
        </w:tc>
        <w:tc>
          <w:tcPr>
            <w:tcW w:w="36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73A7C68">
            <w:pPr>
              <w:keepNext w:val="0"/>
              <w:keepLines w:val="0"/>
              <w:pageBreakBefore w:val="0"/>
              <w:kinsoku/>
              <w:wordWrap/>
              <w:overflowPunct/>
              <w:topLinePunct w:val="0"/>
              <w:autoSpaceDE/>
              <w:autoSpaceDN/>
              <w:bidi w:val="0"/>
              <w:adjustRightInd/>
              <w:snapToGrid w:val="0"/>
              <w:spacing w:line="300" w:lineRule="exact"/>
              <w:ind w:left="0" w:leftChars="0"/>
              <w:jc w:val="center"/>
              <w:rPr>
                <w:rFonts w:hint="default" w:ascii="Times New Roman" w:hAnsi="Times New Roman" w:eastAsia="宋体" w:cs="Times New Roman"/>
                <w:i w:val="0"/>
                <w:color w:val="000000"/>
                <w:sz w:val="24"/>
                <w:szCs w:val="24"/>
                <w:u w:val="none"/>
              </w:rPr>
            </w:pPr>
          </w:p>
        </w:tc>
        <w:tc>
          <w:tcPr>
            <w:tcW w:w="429" w:type="pct"/>
            <w:vMerge w:val="continue"/>
            <w:tcBorders>
              <w:top w:val="single" w:color="000000" w:sz="4" w:space="0"/>
              <w:left w:val="single" w:color="000000" w:sz="4" w:space="0"/>
              <w:bottom w:val="single" w:color="000000" w:sz="4" w:space="0"/>
              <w:right w:val="single" w:color="000000" w:sz="4" w:space="0"/>
            </w:tcBorders>
            <w:noWrap w:val="0"/>
            <w:vAlign w:val="center"/>
          </w:tcPr>
          <w:p w14:paraId="7C674554">
            <w:pPr>
              <w:keepNext w:val="0"/>
              <w:keepLines w:val="0"/>
              <w:pageBreakBefore w:val="0"/>
              <w:kinsoku/>
              <w:wordWrap/>
              <w:overflowPunct/>
              <w:topLinePunct w:val="0"/>
              <w:autoSpaceDE/>
              <w:autoSpaceDN/>
              <w:bidi w:val="0"/>
              <w:adjustRightInd/>
              <w:snapToGrid w:val="0"/>
              <w:spacing w:line="300" w:lineRule="exact"/>
              <w:ind w:left="0" w:leftChars="0"/>
              <w:jc w:val="center"/>
              <w:rPr>
                <w:rFonts w:hint="default" w:ascii="Times New Roman" w:hAnsi="Times New Roman" w:eastAsia="宋体" w:cs="Times New Roman"/>
                <w:i w:val="0"/>
                <w:color w:val="000000"/>
                <w:sz w:val="24"/>
                <w:szCs w:val="24"/>
                <w:u w:val="none"/>
              </w:rPr>
            </w:pPr>
          </w:p>
        </w:tc>
        <w:tc>
          <w:tcPr>
            <w:tcW w:w="1292" w:type="pct"/>
            <w:tcBorders>
              <w:top w:val="single" w:color="000000" w:sz="4" w:space="0"/>
              <w:left w:val="single" w:color="000000" w:sz="4" w:space="0"/>
              <w:bottom w:val="single" w:color="000000" w:sz="4" w:space="0"/>
              <w:right w:val="single" w:color="000000" w:sz="4" w:space="0"/>
            </w:tcBorders>
            <w:noWrap w:val="0"/>
            <w:vAlign w:val="center"/>
          </w:tcPr>
          <w:p w14:paraId="15045D26">
            <w:pPr>
              <w:keepNext w:val="0"/>
              <w:keepLines w:val="0"/>
              <w:pageBreakBefore w:val="0"/>
              <w:kinsoku/>
              <w:wordWrap/>
              <w:overflowPunct/>
              <w:topLinePunct w:val="0"/>
              <w:autoSpaceDE/>
              <w:autoSpaceDN/>
              <w:bidi w:val="0"/>
              <w:adjustRightInd/>
              <w:snapToGrid w:val="0"/>
              <w:spacing w:line="300" w:lineRule="exact"/>
              <w:ind w:left="0" w:leftChars="0"/>
              <w:rPr>
                <w:rFonts w:hint="default" w:ascii="Times New Roman" w:hAnsi="Times New Roman" w:eastAsia="宋体" w:cs="Times New Roman"/>
                <w:i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2B92E571">
            <w:pPr>
              <w:keepNext w:val="0"/>
              <w:keepLines w:val="0"/>
              <w:pageBreakBefore w:val="0"/>
              <w:kinsoku/>
              <w:wordWrap/>
              <w:overflowPunct/>
              <w:topLinePunct w:val="0"/>
              <w:autoSpaceDE/>
              <w:autoSpaceDN/>
              <w:bidi w:val="0"/>
              <w:adjustRightInd/>
              <w:snapToGrid w:val="0"/>
              <w:spacing w:line="300" w:lineRule="exact"/>
              <w:ind w:left="0" w:leftChars="0"/>
              <w:jc w:val="center"/>
              <w:rPr>
                <w:rFonts w:hint="default" w:ascii="Times New Roman" w:hAnsi="Times New Roman" w:eastAsia="宋体" w:cs="Times New Roman"/>
                <w:i w:val="0"/>
                <w:color w:val="000000"/>
                <w:sz w:val="24"/>
                <w:szCs w:val="24"/>
                <w:u w:val="none"/>
              </w:rPr>
            </w:pPr>
          </w:p>
        </w:tc>
        <w:tc>
          <w:tcPr>
            <w:tcW w:w="540" w:type="pct"/>
            <w:tcBorders>
              <w:top w:val="single" w:color="000000" w:sz="4" w:space="0"/>
              <w:left w:val="single" w:color="000000" w:sz="4" w:space="0"/>
              <w:bottom w:val="single" w:color="000000" w:sz="4" w:space="0"/>
              <w:right w:val="single" w:color="000000" w:sz="4" w:space="0"/>
            </w:tcBorders>
            <w:noWrap w:val="0"/>
            <w:vAlign w:val="center"/>
          </w:tcPr>
          <w:p w14:paraId="12E6F536">
            <w:pPr>
              <w:keepNext w:val="0"/>
              <w:keepLines w:val="0"/>
              <w:pageBreakBefore w:val="0"/>
              <w:kinsoku/>
              <w:wordWrap/>
              <w:overflowPunct/>
              <w:topLinePunct w:val="0"/>
              <w:autoSpaceDE/>
              <w:autoSpaceDN/>
              <w:bidi w:val="0"/>
              <w:adjustRightInd/>
              <w:snapToGrid w:val="0"/>
              <w:spacing w:line="300" w:lineRule="exact"/>
              <w:ind w:left="0" w:leftChars="0"/>
              <w:jc w:val="center"/>
              <w:rPr>
                <w:rFonts w:hint="default" w:ascii="Times New Roman" w:hAnsi="Times New Roman" w:eastAsia="宋体" w:cs="Times New Roman"/>
                <w:i w:val="0"/>
                <w:color w:val="000000"/>
                <w:sz w:val="24"/>
                <w:szCs w:val="24"/>
                <w:u w:val="none"/>
              </w:rPr>
            </w:pP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71B961DA">
            <w:pPr>
              <w:keepNext w:val="0"/>
              <w:keepLines w:val="0"/>
              <w:pageBreakBefore w:val="0"/>
              <w:kinsoku/>
              <w:wordWrap/>
              <w:overflowPunct/>
              <w:topLinePunct w:val="0"/>
              <w:autoSpaceDE/>
              <w:autoSpaceDN/>
              <w:bidi w:val="0"/>
              <w:adjustRightInd/>
              <w:snapToGrid w:val="0"/>
              <w:spacing w:line="300" w:lineRule="exact"/>
              <w:ind w:left="0" w:leftChars="0"/>
              <w:jc w:val="center"/>
              <w:rPr>
                <w:rFonts w:hint="default" w:ascii="Times New Roman" w:hAnsi="Times New Roman" w:eastAsia="宋体" w:cs="Times New Roman"/>
                <w:i w:val="0"/>
                <w:color w:val="000000"/>
                <w:sz w:val="24"/>
                <w:szCs w:val="24"/>
                <w:u w:val="none"/>
              </w:rPr>
            </w:pPr>
          </w:p>
        </w:tc>
        <w:tc>
          <w:tcPr>
            <w:tcW w:w="447" w:type="pct"/>
            <w:tcBorders>
              <w:top w:val="single" w:color="000000" w:sz="4" w:space="0"/>
              <w:left w:val="single" w:color="000000" w:sz="4" w:space="0"/>
              <w:bottom w:val="single" w:color="000000" w:sz="4" w:space="0"/>
              <w:right w:val="single" w:color="000000" w:sz="4" w:space="0"/>
            </w:tcBorders>
            <w:noWrap w:val="0"/>
            <w:vAlign w:val="center"/>
          </w:tcPr>
          <w:p w14:paraId="486A511E">
            <w:pPr>
              <w:keepNext w:val="0"/>
              <w:keepLines w:val="0"/>
              <w:pageBreakBefore w:val="0"/>
              <w:kinsoku/>
              <w:wordWrap/>
              <w:overflowPunct/>
              <w:topLinePunct w:val="0"/>
              <w:autoSpaceDE/>
              <w:autoSpaceDN/>
              <w:bidi w:val="0"/>
              <w:adjustRightInd/>
              <w:snapToGrid w:val="0"/>
              <w:spacing w:line="300" w:lineRule="exact"/>
              <w:ind w:left="0" w:leftChars="0"/>
              <w:jc w:val="center"/>
              <w:rPr>
                <w:rFonts w:hint="default" w:ascii="Times New Roman" w:hAnsi="Times New Roman" w:eastAsia="宋体" w:cs="Times New Roman"/>
                <w:i w:val="0"/>
                <w:color w:val="000000"/>
                <w:sz w:val="24"/>
                <w:szCs w:val="24"/>
                <w:u w:val="none"/>
              </w:rPr>
            </w:pPr>
          </w:p>
        </w:tc>
        <w:tc>
          <w:tcPr>
            <w:tcW w:w="822" w:type="pct"/>
            <w:tcBorders>
              <w:top w:val="single" w:color="000000" w:sz="4" w:space="0"/>
              <w:left w:val="single" w:color="000000" w:sz="4" w:space="0"/>
              <w:bottom w:val="single" w:color="000000" w:sz="4" w:space="0"/>
              <w:right w:val="single" w:color="000000" w:sz="4" w:space="0"/>
            </w:tcBorders>
            <w:noWrap w:val="0"/>
            <w:vAlign w:val="center"/>
          </w:tcPr>
          <w:p w14:paraId="5A82732F">
            <w:pPr>
              <w:keepNext w:val="0"/>
              <w:keepLines w:val="0"/>
              <w:pageBreakBefore w:val="0"/>
              <w:kinsoku/>
              <w:wordWrap/>
              <w:overflowPunct/>
              <w:topLinePunct w:val="0"/>
              <w:autoSpaceDE/>
              <w:autoSpaceDN/>
              <w:bidi w:val="0"/>
              <w:adjustRightInd/>
              <w:snapToGrid w:val="0"/>
              <w:spacing w:line="300" w:lineRule="exact"/>
              <w:ind w:left="0" w:leftChars="0"/>
              <w:jc w:val="center"/>
              <w:rPr>
                <w:rFonts w:hint="default" w:ascii="Times New Roman" w:hAnsi="Times New Roman" w:eastAsia="宋体" w:cs="Times New Roman"/>
                <w:i w:val="0"/>
                <w:color w:val="000000"/>
                <w:sz w:val="24"/>
                <w:szCs w:val="24"/>
                <w:u w:val="none"/>
              </w:rPr>
            </w:pPr>
          </w:p>
        </w:tc>
      </w:tr>
      <w:tr w14:paraId="38F709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320" w:type="pct"/>
            <w:vMerge w:val="continue"/>
            <w:tcBorders>
              <w:top w:val="single" w:color="000000" w:sz="4" w:space="0"/>
              <w:left w:val="single" w:color="000000" w:sz="4" w:space="0"/>
              <w:bottom w:val="single" w:color="000000" w:sz="4" w:space="0"/>
            </w:tcBorders>
            <w:noWrap w:val="0"/>
            <w:vAlign w:val="center"/>
          </w:tcPr>
          <w:p w14:paraId="29200988">
            <w:pPr>
              <w:keepNext w:val="0"/>
              <w:keepLines w:val="0"/>
              <w:pageBreakBefore w:val="0"/>
              <w:kinsoku/>
              <w:wordWrap/>
              <w:overflowPunct/>
              <w:topLinePunct w:val="0"/>
              <w:autoSpaceDE/>
              <w:autoSpaceDN/>
              <w:bidi w:val="0"/>
              <w:adjustRightInd/>
              <w:snapToGrid w:val="0"/>
              <w:spacing w:line="300" w:lineRule="exact"/>
              <w:ind w:left="0" w:leftChars="0"/>
              <w:jc w:val="center"/>
              <w:rPr>
                <w:rFonts w:hint="default" w:ascii="Times New Roman" w:hAnsi="Times New Roman" w:eastAsia="宋体" w:cs="Times New Roman"/>
                <w:i w:val="0"/>
                <w:color w:val="000000"/>
                <w:sz w:val="24"/>
                <w:szCs w:val="24"/>
                <w:u w:val="none"/>
              </w:rPr>
            </w:pPr>
          </w:p>
        </w:tc>
        <w:tc>
          <w:tcPr>
            <w:tcW w:w="36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B871F32">
            <w:pPr>
              <w:keepNext w:val="0"/>
              <w:keepLines w:val="0"/>
              <w:pageBreakBefore w:val="0"/>
              <w:kinsoku/>
              <w:wordWrap/>
              <w:overflowPunct/>
              <w:topLinePunct w:val="0"/>
              <w:autoSpaceDE/>
              <w:autoSpaceDN/>
              <w:bidi w:val="0"/>
              <w:adjustRightInd/>
              <w:snapToGrid w:val="0"/>
              <w:spacing w:line="300" w:lineRule="exact"/>
              <w:ind w:left="0" w:leftChars="0"/>
              <w:jc w:val="center"/>
              <w:rPr>
                <w:rFonts w:hint="default" w:ascii="Times New Roman" w:hAnsi="Times New Roman" w:eastAsia="宋体" w:cs="Times New Roman"/>
                <w:i w:val="0"/>
                <w:color w:val="000000"/>
                <w:sz w:val="24"/>
                <w:szCs w:val="24"/>
                <w:u w:val="none"/>
              </w:rPr>
            </w:pPr>
          </w:p>
        </w:tc>
        <w:tc>
          <w:tcPr>
            <w:tcW w:w="429" w:type="pct"/>
            <w:vMerge w:val="restart"/>
            <w:tcBorders>
              <w:top w:val="single" w:color="000000" w:sz="4" w:space="0"/>
              <w:left w:val="single" w:color="000000" w:sz="4" w:space="0"/>
              <w:bottom w:val="single" w:color="000000" w:sz="4" w:space="0"/>
              <w:right w:val="single" w:color="000000" w:sz="4" w:space="0"/>
            </w:tcBorders>
            <w:noWrap w:val="0"/>
            <w:vAlign w:val="center"/>
          </w:tcPr>
          <w:p w14:paraId="0844889D">
            <w:pPr>
              <w:keepNext w:val="0"/>
              <w:keepLines w:val="0"/>
              <w:pageBreakBefore w:val="0"/>
              <w:widowControl/>
              <w:suppressLineNumbers w:val="0"/>
              <w:kinsoku/>
              <w:wordWrap/>
              <w:overflowPunct/>
              <w:topLinePunct w:val="0"/>
              <w:autoSpaceDE/>
              <w:autoSpaceDN/>
              <w:bidi w:val="0"/>
              <w:adjustRightInd/>
              <w:snapToGrid w:val="0"/>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时效指标</w:t>
            </w:r>
          </w:p>
        </w:tc>
        <w:tc>
          <w:tcPr>
            <w:tcW w:w="1292" w:type="pct"/>
            <w:tcBorders>
              <w:top w:val="single" w:color="000000" w:sz="4" w:space="0"/>
              <w:left w:val="single" w:color="000000" w:sz="4" w:space="0"/>
              <w:bottom w:val="single" w:color="000000" w:sz="4" w:space="0"/>
              <w:right w:val="single" w:color="000000" w:sz="4" w:space="0"/>
            </w:tcBorders>
            <w:noWrap w:val="0"/>
            <w:vAlign w:val="center"/>
          </w:tcPr>
          <w:p w14:paraId="3CFCCABA">
            <w:pPr>
              <w:keepNext w:val="0"/>
              <w:keepLines w:val="0"/>
              <w:widowControl/>
              <w:suppressLineNumbers w:val="0"/>
              <w:snapToGrid w:val="0"/>
              <w:jc w:val="center"/>
              <w:textAlignment w:val="center"/>
              <w:rPr>
                <w:rFonts w:hint="default" w:ascii="等线" w:hAnsi="等线" w:eastAsia="等线" w:cs="等线"/>
                <w:i w:val="0"/>
                <w:iCs w:val="0"/>
                <w:color w:val="000000"/>
                <w:kern w:val="2"/>
                <w:sz w:val="18"/>
                <w:szCs w:val="18"/>
                <w:u w:val="none"/>
                <w:lang w:val="en-US" w:eastAsia="zh-CN" w:bidi="ar-SA"/>
              </w:rPr>
            </w:pPr>
            <w:r>
              <w:rPr>
                <w:rFonts w:hint="default" w:ascii="等线" w:hAnsi="等线" w:eastAsia="等线" w:cs="等线"/>
                <w:i w:val="0"/>
                <w:iCs w:val="0"/>
                <w:color w:val="000000"/>
                <w:kern w:val="0"/>
                <w:sz w:val="18"/>
                <w:szCs w:val="18"/>
                <w:u w:val="none"/>
                <w:lang w:val="en-US" w:eastAsia="zh-CN" w:bidi="ar"/>
              </w:rPr>
              <w:t>评估报告完成及时率</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4845C68D">
            <w:pPr>
              <w:keepNext w:val="0"/>
              <w:keepLines w:val="0"/>
              <w:pageBreakBefore w:val="0"/>
              <w:kinsoku/>
              <w:wordWrap/>
              <w:overflowPunct/>
              <w:topLinePunct w:val="0"/>
              <w:autoSpaceDE/>
              <w:autoSpaceDN/>
              <w:bidi w:val="0"/>
              <w:adjustRightInd/>
              <w:snapToGrid w:val="0"/>
              <w:spacing w:line="300" w:lineRule="exact"/>
              <w:ind w:left="0" w:leftChars="0"/>
              <w:jc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540" w:type="pct"/>
            <w:tcBorders>
              <w:top w:val="single" w:color="000000" w:sz="4" w:space="0"/>
              <w:left w:val="single" w:color="000000" w:sz="4" w:space="0"/>
              <w:bottom w:val="single" w:color="000000" w:sz="4" w:space="0"/>
              <w:right w:val="single" w:color="000000" w:sz="4" w:space="0"/>
            </w:tcBorders>
            <w:noWrap w:val="0"/>
            <w:vAlign w:val="center"/>
          </w:tcPr>
          <w:p w14:paraId="28D85EDF">
            <w:pPr>
              <w:keepNext w:val="0"/>
              <w:keepLines w:val="0"/>
              <w:pageBreakBefore w:val="0"/>
              <w:kinsoku/>
              <w:wordWrap/>
              <w:overflowPunct/>
              <w:topLinePunct w:val="0"/>
              <w:autoSpaceDE/>
              <w:autoSpaceDN/>
              <w:bidi w:val="0"/>
              <w:adjustRightInd/>
              <w:snapToGrid w:val="0"/>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95</w:t>
            </w: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799DA5A3">
            <w:pPr>
              <w:keepNext w:val="0"/>
              <w:keepLines w:val="0"/>
              <w:pageBreakBefore w:val="0"/>
              <w:kinsoku/>
              <w:wordWrap/>
              <w:overflowPunct/>
              <w:topLinePunct w:val="0"/>
              <w:autoSpaceDE/>
              <w:autoSpaceDN/>
              <w:bidi w:val="0"/>
              <w:adjustRightInd/>
              <w:snapToGrid w:val="0"/>
              <w:spacing w:line="300" w:lineRule="exact"/>
              <w:ind w:left="0" w:leftChars="0"/>
              <w:jc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447" w:type="pct"/>
            <w:tcBorders>
              <w:top w:val="single" w:color="000000" w:sz="4" w:space="0"/>
              <w:left w:val="single" w:color="000000" w:sz="4" w:space="0"/>
              <w:bottom w:val="single" w:color="000000" w:sz="4" w:space="0"/>
              <w:right w:val="single" w:color="000000" w:sz="4" w:space="0"/>
            </w:tcBorders>
            <w:noWrap w:val="0"/>
            <w:vAlign w:val="center"/>
          </w:tcPr>
          <w:p w14:paraId="6CE38CC0">
            <w:pPr>
              <w:keepNext w:val="0"/>
              <w:keepLines w:val="0"/>
              <w:pageBreakBefore w:val="0"/>
              <w:kinsoku/>
              <w:wordWrap/>
              <w:overflowPunct/>
              <w:topLinePunct w:val="0"/>
              <w:autoSpaceDE/>
              <w:autoSpaceDN/>
              <w:bidi w:val="0"/>
              <w:adjustRightInd/>
              <w:snapToGrid w:val="0"/>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10</w:t>
            </w:r>
          </w:p>
        </w:tc>
        <w:tc>
          <w:tcPr>
            <w:tcW w:w="822" w:type="pct"/>
            <w:tcBorders>
              <w:top w:val="single" w:color="000000" w:sz="4" w:space="0"/>
              <w:left w:val="single" w:color="000000" w:sz="4" w:space="0"/>
              <w:bottom w:val="single" w:color="000000" w:sz="4" w:space="0"/>
              <w:right w:val="single" w:color="000000" w:sz="4" w:space="0"/>
            </w:tcBorders>
            <w:noWrap w:val="0"/>
            <w:vAlign w:val="center"/>
          </w:tcPr>
          <w:p w14:paraId="45C4D068">
            <w:pPr>
              <w:keepNext w:val="0"/>
              <w:keepLines w:val="0"/>
              <w:pageBreakBefore w:val="0"/>
              <w:kinsoku/>
              <w:wordWrap/>
              <w:overflowPunct/>
              <w:topLinePunct w:val="0"/>
              <w:autoSpaceDE/>
              <w:autoSpaceDN/>
              <w:bidi w:val="0"/>
              <w:adjustRightInd/>
              <w:snapToGrid w:val="0"/>
              <w:spacing w:line="300" w:lineRule="exact"/>
              <w:ind w:left="0" w:leftChars="0"/>
              <w:jc w:val="center"/>
              <w:rPr>
                <w:rFonts w:hint="default" w:ascii="Times New Roman" w:hAnsi="Times New Roman" w:eastAsia="宋体" w:cs="Times New Roman"/>
                <w:i w:val="0"/>
                <w:color w:val="000000"/>
                <w:sz w:val="24"/>
                <w:szCs w:val="24"/>
                <w:u w:val="none"/>
              </w:rPr>
            </w:pPr>
          </w:p>
        </w:tc>
      </w:tr>
      <w:tr w14:paraId="1261A7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320" w:type="pct"/>
            <w:vMerge w:val="continue"/>
            <w:tcBorders>
              <w:top w:val="single" w:color="000000" w:sz="4" w:space="0"/>
              <w:left w:val="single" w:color="000000" w:sz="4" w:space="0"/>
              <w:bottom w:val="single" w:color="000000" w:sz="4" w:space="0"/>
            </w:tcBorders>
            <w:noWrap w:val="0"/>
            <w:vAlign w:val="center"/>
          </w:tcPr>
          <w:p w14:paraId="256AEC95">
            <w:pPr>
              <w:keepNext w:val="0"/>
              <w:keepLines w:val="0"/>
              <w:pageBreakBefore w:val="0"/>
              <w:kinsoku/>
              <w:wordWrap/>
              <w:overflowPunct/>
              <w:topLinePunct w:val="0"/>
              <w:autoSpaceDE/>
              <w:autoSpaceDN/>
              <w:bidi w:val="0"/>
              <w:adjustRightInd/>
              <w:snapToGrid w:val="0"/>
              <w:spacing w:line="300" w:lineRule="exact"/>
              <w:ind w:left="0" w:leftChars="0"/>
              <w:jc w:val="center"/>
              <w:rPr>
                <w:rFonts w:hint="default" w:ascii="Times New Roman" w:hAnsi="Times New Roman" w:eastAsia="宋体" w:cs="Times New Roman"/>
                <w:i w:val="0"/>
                <w:color w:val="000000"/>
                <w:sz w:val="24"/>
                <w:szCs w:val="24"/>
                <w:u w:val="none"/>
              </w:rPr>
            </w:pPr>
          </w:p>
        </w:tc>
        <w:tc>
          <w:tcPr>
            <w:tcW w:w="36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E1EF25D">
            <w:pPr>
              <w:keepNext w:val="0"/>
              <w:keepLines w:val="0"/>
              <w:pageBreakBefore w:val="0"/>
              <w:kinsoku/>
              <w:wordWrap/>
              <w:overflowPunct/>
              <w:topLinePunct w:val="0"/>
              <w:autoSpaceDE/>
              <w:autoSpaceDN/>
              <w:bidi w:val="0"/>
              <w:adjustRightInd/>
              <w:snapToGrid w:val="0"/>
              <w:spacing w:line="300" w:lineRule="exact"/>
              <w:ind w:left="0" w:leftChars="0"/>
              <w:jc w:val="center"/>
              <w:rPr>
                <w:rFonts w:hint="default" w:ascii="Times New Roman" w:hAnsi="Times New Roman" w:eastAsia="宋体" w:cs="Times New Roman"/>
                <w:i w:val="0"/>
                <w:color w:val="000000"/>
                <w:sz w:val="24"/>
                <w:szCs w:val="24"/>
                <w:u w:val="none"/>
              </w:rPr>
            </w:pPr>
          </w:p>
        </w:tc>
        <w:tc>
          <w:tcPr>
            <w:tcW w:w="429" w:type="pct"/>
            <w:vMerge w:val="continue"/>
            <w:tcBorders>
              <w:top w:val="single" w:color="000000" w:sz="4" w:space="0"/>
              <w:left w:val="single" w:color="000000" w:sz="4" w:space="0"/>
              <w:bottom w:val="single" w:color="000000" w:sz="4" w:space="0"/>
              <w:right w:val="single" w:color="000000" w:sz="4" w:space="0"/>
            </w:tcBorders>
            <w:noWrap w:val="0"/>
            <w:vAlign w:val="center"/>
          </w:tcPr>
          <w:p w14:paraId="27F7292F">
            <w:pPr>
              <w:keepNext w:val="0"/>
              <w:keepLines w:val="0"/>
              <w:pageBreakBefore w:val="0"/>
              <w:kinsoku/>
              <w:wordWrap/>
              <w:overflowPunct/>
              <w:topLinePunct w:val="0"/>
              <w:autoSpaceDE/>
              <w:autoSpaceDN/>
              <w:bidi w:val="0"/>
              <w:adjustRightInd/>
              <w:snapToGrid w:val="0"/>
              <w:spacing w:line="300" w:lineRule="exact"/>
              <w:ind w:left="0" w:leftChars="0"/>
              <w:jc w:val="center"/>
              <w:rPr>
                <w:rFonts w:hint="default" w:ascii="Times New Roman" w:hAnsi="Times New Roman" w:eastAsia="宋体" w:cs="Times New Roman"/>
                <w:i w:val="0"/>
                <w:color w:val="000000"/>
                <w:sz w:val="24"/>
                <w:szCs w:val="24"/>
                <w:u w:val="none"/>
              </w:rPr>
            </w:pPr>
          </w:p>
        </w:tc>
        <w:tc>
          <w:tcPr>
            <w:tcW w:w="1292" w:type="pct"/>
            <w:tcBorders>
              <w:top w:val="single" w:color="000000" w:sz="4" w:space="0"/>
              <w:left w:val="single" w:color="000000" w:sz="4" w:space="0"/>
              <w:bottom w:val="single" w:color="000000" w:sz="4" w:space="0"/>
              <w:right w:val="single" w:color="000000" w:sz="4" w:space="0"/>
            </w:tcBorders>
            <w:noWrap w:val="0"/>
            <w:vAlign w:val="center"/>
          </w:tcPr>
          <w:p w14:paraId="1FC0407B">
            <w:pPr>
              <w:keepNext w:val="0"/>
              <w:keepLines w:val="0"/>
              <w:pageBreakBefore w:val="0"/>
              <w:kinsoku/>
              <w:wordWrap/>
              <w:overflowPunct/>
              <w:topLinePunct w:val="0"/>
              <w:autoSpaceDE/>
              <w:autoSpaceDN/>
              <w:bidi w:val="0"/>
              <w:adjustRightInd/>
              <w:snapToGrid w:val="0"/>
              <w:spacing w:line="300" w:lineRule="exact"/>
              <w:ind w:left="0" w:leftChars="0"/>
              <w:rPr>
                <w:rFonts w:hint="default" w:ascii="Times New Roman" w:hAnsi="Times New Roman" w:eastAsia="宋体" w:cs="Times New Roman"/>
                <w:i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4CB7D78C">
            <w:pPr>
              <w:keepNext w:val="0"/>
              <w:keepLines w:val="0"/>
              <w:pageBreakBefore w:val="0"/>
              <w:kinsoku/>
              <w:wordWrap/>
              <w:overflowPunct/>
              <w:topLinePunct w:val="0"/>
              <w:autoSpaceDE/>
              <w:autoSpaceDN/>
              <w:bidi w:val="0"/>
              <w:adjustRightInd/>
              <w:snapToGrid w:val="0"/>
              <w:spacing w:line="300" w:lineRule="exact"/>
              <w:ind w:left="0" w:leftChars="0"/>
              <w:jc w:val="center"/>
              <w:rPr>
                <w:rFonts w:hint="default" w:ascii="Times New Roman" w:hAnsi="Times New Roman" w:eastAsia="宋体" w:cs="Times New Roman"/>
                <w:i w:val="0"/>
                <w:color w:val="000000"/>
                <w:sz w:val="24"/>
                <w:szCs w:val="24"/>
                <w:u w:val="none"/>
              </w:rPr>
            </w:pPr>
          </w:p>
        </w:tc>
        <w:tc>
          <w:tcPr>
            <w:tcW w:w="540" w:type="pct"/>
            <w:tcBorders>
              <w:top w:val="single" w:color="000000" w:sz="4" w:space="0"/>
              <w:left w:val="single" w:color="000000" w:sz="4" w:space="0"/>
              <w:bottom w:val="single" w:color="000000" w:sz="4" w:space="0"/>
              <w:right w:val="single" w:color="000000" w:sz="4" w:space="0"/>
            </w:tcBorders>
            <w:noWrap w:val="0"/>
            <w:vAlign w:val="center"/>
          </w:tcPr>
          <w:p w14:paraId="6898DC95">
            <w:pPr>
              <w:keepNext w:val="0"/>
              <w:keepLines w:val="0"/>
              <w:pageBreakBefore w:val="0"/>
              <w:kinsoku/>
              <w:wordWrap/>
              <w:overflowPunct/>
              <w:topLinePunct w:val="0"/>
              <w:autoSpaceDE/>
              <w:autoSpaceDN/>
              <w:bidi w:val="0"/>
              <w:adjustRightInd/>
              <w:snapToGrid w:val="0"/>
              <w:spacing w:line="300" w:lineRule="exact"/>
              <w:ind w:left="0" w:leftChars="0"/>
              <w:jc w:val="center"/>
              <w:rPr>
                <w:rFonts w:hint="default" w:ascii="Times New Roman" w:hAnsi="Times New Roman" w:eastAsia="宋体" w:cs="Times New Roman"/>
                <w:i w:val="0"/>
                <w:color w:val="000000"/>
                <w:sz w:val="24"/>
                <w:szCs w:val="24"/>
                <w:u w:val="none"/>
              </w:rPr>
            </w:pP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4CFD29AF">
            <w:pPr>
              <w:keepNext w:val="0"/>
              <w:keepLines w:val="0"/>
              <w:pageBreakBefore w:val="0"/>
              <w:kinsoku/>
              <w:wordWrap/>
              <w:overflowPunct/>
              <w:topLinePunct w:val="0"/>
              <w:autoSpaceDE/>
              <w:autoSpaceDN/>
              <w:bidi w:val="0"/>
              <w:adjustRightInd/>
              <w:snapToGrid w:val="0"/>
              <w:spacing w:line="300" w:lineRule="exact"/>
              <w:ind w:left="0" w:leftChars="0"/>
              <w:jc w:val="center"/>
              <w:rPr>
                <w:rFonts w:hint="default" w:ascii="Times New Roman" w:hAnsi="Times New Roman" w:eastAsia="宋体" w:cs="Times New Roman"/>
                <w:i w:val="0"/>
                <w:color w:val="000000"/>
                <w:sz w:val="24"/>
                <w:szCs w:val="24"/>
                <w:u w:val="none"/>
              </w:rPr>
            </w:pPr>
          </w:p>
        </w:tc>
        <w:tc>
          <w:tcPr>
            <w:tcW w:w="447" w:type="pct"/>
            <w:tcBorders>
              <w:top w:val="single" w:color="000000" w:sz="4" w:space="0"/>
              <w:left w:val="single" w:color="000000" w:sz="4" w:space="0"/>
              <w:bottom w:val="single" w:color="000000" w:sz="4" w:space="0"/>
              <w:right w:val="single" w:color="000000" w:sz="4" w:space="0"/>
            </w:tcBorders>
            <w:noWrap w:val="0"/>
            <w:vAlign w:val="center"/>
          </w:tcPr>
          <w:p w14:paraId="21427A22">
            <w:pPr>
              <w:keepNext w:val="0"/>
              <w:keepLines w:val="0"/>
              <w:pageBreakBefore w:val="0"/>
              <w:kinsoku/>
              <w:wordWrap/>
              <w:overflowPunct/>
              <w:topLinePunct w:val="0"/>
              <w:autoSpaceDE/>
              <w:autoSpaceDN/>
              <w:bidi w:val="0"/>
              <w:adjustRightInd/>
              <w:snapToGrid w:val="0"/>
              <w:spacing w:line="300" w:lineRule="exact"/>
              <w:ind w:left="0" w:leftChars="0"/>
              <w:jc w:val="center"/>
              <w:rPr>
                <w:rFonts w:hint="default" w:ascii="Times New Roman" w:hAnsi="Times New Roman" w:eastAsia="宋体" w:cs="Times New Roman"/>
                <w:i w:val="0"/>
                <w:color w:val="000000"/>
                <w:sz w:val="24"/>
                <w:szCs w:val="24"/>
                <w:u w:val="none"/>
              </w:rPr>
            </w:pPr>
          </w:p>
        </w:tc>
        <w:tc>
          <w:tcPr>
            <w:tcW w:w="822" w:type="pct"/>
            <w:tcBorders>
              <w:top w:val="single" w:color="000000" w:sz="4" w:space="0"/>
              <w:left w:val="single" w:color="000000" w:sz="4" w:space="0"/>
              <w:bottom w:val="single" w:color="000000" w:sz="4" w:space="0"/>
              <w:right w:val="single" w:color="000000" w:sz="4" w:space="0"/>
            </w:tcBorders>
            <w:noWrap w:val="0"/>
            <w:vAlign w:val="center"/>
          </w:tcPr>
          <w:p w14:paraId="28FA18B9">
            <w:pPr>
              <w:keepNext w:val="0"/>
              <w:keepLines w:val="0"/>
              <w:pageBreakBefore w:val="0"/>
              <w:kinsoku/>
              <w:wordWrap/>
              <w:overflowPunct/>
              <w:topLinePunct w:val="0"/>
              <w:autoSpaceDE/>
              <w:autoSpaceDN/>
              <w:bidi w:val="0"/>
              <w:adjustRightInd/>
              <w:snapToGrid w:val="0"/>
              <w:spacing w:line="300" w:lineRule="exact"/>
              <w:ind w:left="0" w:leftChars="0"/>
              <w:jc w:val="center"/>
              <w:rPr>
                <w:rFonts w:hint="default" w:ascii="Times New Roman" w:hAnsi="Times New Roman" w:eastAsia="宋体" w:cs="Times New Roman"/>
                <w:i w:val="0"/>
                <w:color w:val="000000"/>
                <w:sz w:val="24"/>
                <w:szCs w:val="24"/>
                <w:u w:val="none"/>
              </w:rPr>
            </w:pPr>
          </w:p>
        </w:tc>
      </w:tr>
      <w:tr w14:paraId="23B8B7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320" w:type="pct"/>
            <w:vMerge w:val="continue"/>
            <w:tcBorders>
              <w:top w:val="single" w:color="000000" w:sz="4" w:space="0"/>
              <w:left w:val="single" w:color="000000" w:sz="4" w:space="0"/>
              <w:bottom w:val="single" w:color="000000" w:sz="4" w:space="0"/>
            </w:tcBorders>
            <w:noWrap w:val="0"/>
            <w:vAlign w:val="center"/>
          </w:tcPr>
          <w:p w14:paraId="26679607">
            <w:pPr>
              <w:keepNext w:val="0"/>
              <w:keepLines w:val="0"/>
              <w:pageBreakBefore w:val="0"/>
              <w:kinsoku/>
              <w:wordWrap/>
              <w:overflowPunct/>
              <w:topLinePunct w:val="0"/>
              <w:autoSpaceDE/>
              <w:autoSpaceDN/>
              <w:bidi w:val="0"/>
              <w:adjustRightInd/>
              <w:snapToGrid w:val="0"/>
              <w:spacing w:line="300" w:lineRule="exact"/>
              <w:ind w:left="0" w:leftChars="0"/>
              <w:jc w:val="center"/>
              <w:rPr>
                <w:rFonts w:hint="default" w:ascii="Times New Roman" w:hAnsi="Times New Roman" w:eastAsia="宋体" w:cs="Times New Roman"/>
                <w:i w:val="0"/>
                <w:color w:val="000000"/>
                <w:sz w:val="24"/>
                <w:szCs w:val="24"/>
                <w:u w:val="none"/>
              </w:rPr>
            </w:pPr>
          </w:p>
        </w:tc>
        <w:tc>
          <w:tcPr>
            <w:tcW w:w="366" w:type="pct"/>
            <w:vMerge w:val="restart"/>
            <w:tcBorders>
              <w:top w:val="single" w:color="000000" w:sz="4" w:space="0"/>
              <w:left w:val="single" w:color="000000" w:sz="4" w:space="0"/>
              <w:bottom w:val="single" w:color="000000" w:sz="4" w:space="0"/>
              <w:right w:val="single" w:color="000000" w:sz="4" w:space="0"/>
            </w:tcBorders>
            <w:noWrap w:val="0"/>
            <w:vAlign w:val="center"/>
          </w:tcPr>
          <w:p w14:paraId="774A8EC5">
            <w:pPr>
              <w:keepNext w:val="0"/>
              <w:keepLines w:val="0"/>
              <w:pageBreakBefore w:val="0"/>
              <w:widowControl/>
              <w:suppressLineNumbers w:val="0"/>
              <w:kinsoku/>
              <w:wordWrap/>
              <w:overflowPunct/>
              <w:topLinePunct w:val="0"/>
              <w:autoSpaceDE/>
              <w:autoSpaceDN/>
              <w:bidi w:val="0"/>
              <w:adjustRightInd/>
              <w:snapToGrid w:val="0"/>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效益指标</w:t>
            </w:r>
          </w:p>
        </w:tc>
        <w:tc>
          <w:tcPr>
            <w:tcW w:w="429" w:type="pct"/>
            <w:tcBorders>
              <w:top w:val="single" w:color="000000" w:sz="4" w:space="0"/>
              <w:left w:val="single" w:color="000000" w:sz="4" w:space="0"/>
              <w:bottom w:val="single" w:color="000000" w:sz="4" w:space="0"/>
              <w:right w:val="single" w:color="000000" w:sz="4" w:space="0"/>
            </w:tcBorders>
            <w:noWrap w:val="0"/>
            <w:vAlign w:val="center"/>
          </w:tcPr>
          <w:p w14:paraId="36749A1A">
            <w:pPr>
              <w:keepNext w:val="0"/>
              <w:keepLines w:val="0"/>
              <w:pageBreakBefore w:val="0"/>
              <w:widowControl/>
              <w:suppressLineNumbers w:val="0"/>
              <w:kinsoku/>
              <w:wordWrap/>
              <w:overflowPunct/>
              <w:topLinePunct w:val="0"/>
              <w:autoSpaceDE/>
              <w:autoSpaceDN/>
              <w:bidi w:val="0"/>
              <w:adjustRightInd/>
              <w:snapToGrid w:val="0"/>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经济效益</w:t>
            </w:r>
          </w:p>
          <w:p w14:paraId="11A90F4C">
            <w:pPr>
              <w:keepNext w:val="0"/>
              <w:keepLines w:val="0"/>
              <w:pageBreakBefore w:val="0"/>
              <w:widowControl/>
              <w:suppressLineNumbers w:val="0"/>
              <w:kinsoku/>
              <w:wordWrap/>
              <w:overflowPunct/>
              <w:topLinePunct w:val="0"/>
              <w:autoSpaceDE/>
              <w:autoSpaceDN/>
              <w:bidi w:val="0"/>
              <w:adjustRightInd/>
              <w:snapToGrid w:val="0"/>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w:t>
            </w:r>
          </w:p>
        </w:tc>
        <w:tc>
          <w:tcPr>
            <w:tcW w:w="1292" w:type="pct"/>
            <w:tcBorders>
              <w:top w:val="single" w:color="000000" w:sz="4" w:space="0"/>
              <w:left w:val="single" w:color="000000" w:sz="4" w:space="0"/>
              <w:bottom w:val="single" w:color="000000" w:sz="4" w:space="0"/>
              <w:right w:val="single" w:color="000000" w:sz="4" w:space="0"/>
            </w:tcBorders>
            <w:noWrap w:val="0"/>
            <w:vAlign w:val="center"/>
          </w:tcPr>
          <w:p w14:paraId="34BF0C85">
            <w:pPr>
              <w:keepNext w:val="0"/>
              <w:keepLines w:val="0"/>
              <w:widowControl/>
              <w:suppressLineNumbers w:val="0"/>
              <w:snapToGrid w:val="0"/>
              <w:jc w:val="center"/>
              <w:textAlignment w:val="center"/>
              <w:rPr>
                <w:rFonts w:hint="eastAsia" w:ascii="等线" w:hAnsi="等线" w:eastAsia="等线" w:cs="等线"/>
                <w:i w:val="0"/>
                <w:iCs w:val="0"/>
                <w:color w:val="000000"/>
                <w:kern w:val="0"/>
                <w:sz w:val="18"/>
                <w:szCs w:val="18"/>
                <w:u w:val="none"/>
                <w:lang w:val="en-US" w:eastAsia="zh-CN" w:bidi="ar"/>
              </w:rPr>
            </w:pP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0D1D02AD">
            <w:pPr>
              <w:keepNext w:val="0"/>
              <w:keepLines w:val="0"/>
              <w:pageBreakBefore w:val="0"/>
              <w:kinsoku/>
              <w:wordWrap/>
              <w:overflowPunct/>
              <w:topLinePunct w:val="0"/>
              <w:autoSpaceDE/>
              <w:autoSpaceDN/>
              <w:bidi w:val="0"/>
              <w:adjustRightInd/>
              <w:snapToGrid w:val="0"/>
              <w:spacing w:line="300" w:lineRule="exact"/>
              <w:ind w:left="0" w:leftChars="0"/>
              <w:jc w:val="center"/>
              <w:rPr>
                <w:rFonts w:hint="default" w:ascii="Times New Roman" w:hAnsi="Times New Roman" w:eastAsia="宋体" w:cs="Times New Roman"/>
                <w:i w:val="0"/>
                <w:color w:val="000000"/>
                <w:sz w:val="24"/>
                <w:szCs w:val="24"/>
                <w:u w:val="none"/>
              </w:rPr>
            </w:pPr>
          </w:p>
        </w:tc>
        <w:tc>
          <w:tcPr>
            <w:tcW w:w="540" w:type="pct"/>
            <w:tcBorders>
              <w:top w:val="single" w:color="000000" w:sz="4" w:space="0"/>
              <w:left w:val="single" w:color="000000" w:sz="4" w:space="0"/>
              <w:bottom w:val="single" w:color="000000" w:sz="4" w:space="0"/>
              <w:right w:val="single" w:color="000000" w:sz="4" w:space="0"/>
            </w:tcBorders>
            <w:noWrap w:val="0"/>
            <w:vAlign w:val="center"/>
          </w:tcPr>
          <w:p w14:paraId="40543176">
            <w:pPr>
              <w:keepNext w:val="0"/>
              <w:keepLines w:val="0"/>
              <w:pageBreakBefore w:val="0"/>
              <w:kinsoku/>
              <w:wordWrap/>
              <w:overflowPunct/>
              <w:topLinePunct w:val="0"/>
              <w:autoSpaceDE/>
              <w:autoSpaceDN/>
              <w:bidi w:val="0"/>
              <w:adjustRightInd/>
              <w:snapToGrid w:val="0"/>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55AD3C70">
            <w:pPr>
              <w:keepNext w:val="0"/>
              <w:keepLines w:val="0"/>
              <w:pageBreakBefore w:val="0"/>
              <w:kinsoku/>
              <w:wordWrap/>
              <w:overflowPunct/>
              <w:topLinePunct w:val="0"/>
              <w:autoSpaceDE/>
              <w:autoSpaceDN/>
              <w:bidi w:val="0"/>
              <w:adjustRightInd/>
              <w:snapToGrid w:val="0"/>
              <w:spacing w:line="300" w:lineRule="exact"/>
              <w:ind w:left="0" w:leftChars="0"/>
              <w:jc w:val="center"/>
              <w:rPr>
                <w:rFonts w:hint="eastAsia" w:ascii="Times New Roman" w:hAnsi="Times New Roman" w:eastAsia="宋体" w:cs="Times New Roman"/>
                <w:i w:val="0"/>
                <w:color w:val="000000"/>
                <w:sz w:val="24"/>
                <w:szCs w:val="24"/>
                <w:u w:val="none"/>
                <w:lang w:eastAsia="zh-CN"/>
              </w:rPr>
            </w:pPr>
          </w:p>
        </w:tc>
        <w:tc>
          <w:tcPr>
            <w:tcW w:w="447" w:type="pct"/>
            <w:tcBorders>
              <w:top w:val="single" w:color="000000" w:sz="4" w:space="0"/>
              <w:left w:val="single" w:color="000000" w:sz="4" w:space="0"/>
              <w:bottom w:val="single" w:color="000000" w:sz="4" w:space="0"/>
              <w:right w:val="single" w:color="000000" w:sz="4" w:space="0"/>
            </w:tcBorders>
            <w:noWrap w:val="0"/>
            <w:vAlign w:val="center"/>
          </w:tcPr>
          <w:p w14:paraId="71587E10">
            <w:pPr>
              <w:keepNext w:val="0"/>
              <w:keepLines w:val="0"/>
              <w:pageBreakBefore w:val="0"/>
              <w:kinsoku/>
              <w:wordWrap/>
              <w:overflowPunct/>
              <w:topLinePunct w:val="0"/>
              <w:autoSpaceDE/>
              <w:autoSpaceDN/>
              <w:bidi w:val="0"/>
              <w:adjustRightInd/>
              <w:snapToGrid w:val="0"/>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p>
        </w:tc>
        <w:tc>
          <w:tcPr>
            <w:tcW w:w="822" w:type="pct"/>
            <w:tcBorders>
              <w:top w:val="single" w:color="000000" w:sz="4" w:space="0"/>
              <w:left w:val="single" w:color="000000" w:sz="4" w:space="0"/>
              <w:bottom w:val="single" w:color="000000" w:sz="4" w:space="0"/>
              <w:right w:val="single" w:color="000000" w:sz="4" w:space="0"/>
            </w:tcBorders>
            <w:noWrap w:val="0"/>
            <w:vAlign w:val="center"/>
          </w:tcPr>
          <w:p w14:paraId="4AB6365D">
            <w:pPr>
              <w:keepNext w:val="0"/>
              <w:keepLines w:val="0"/>
              <w:pageBreakBefore w:val="0"/>
              <w:kinsoku/>
              <w:wordWrap/>
              <w:overflowPunct/>
              <w:topLinePunct w:val="0"/>
              <w:autoSpaceDE/>
              <w:autoSpaceDN/>
              <w:bidi w:val="0"/>
              <w:adjustRightInd/>
              <w:snapToGrid w:val="0"/>
              <w:spacing w:line="300" w:lineRule="exact"/>
              <w:ind w:left="0" w:leftChars="0"/>
              <w:jc w:val="center"/>
              <w:rPr>
                <w:rFonts w:hint="default" w:ascii="Times New Roman" w:hAnsi="Times New Roman" w:eastAsia="宋体" w:cs="Times New Roman"/>
                <w:i w:val="0"/>
                <w:color w:val="000000"/>
                <w:sz w:val="24"/>
                <w:szCs w:val="24"/>
                <w:u w:val="none"/>
              </w:rPr>
            </w:pPr>
          </w:p>
        </w:tc>
      </w:tr>
      <w:tr w14:paraId="3A51BB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320" w:type="pct"/>
            <w:vMerge w:val="continue"/>
            <w:tcBorders>
              <w:top w:val="single" w:color="000000" w:sz="4" w:space="0"/>
              <w:left w:val="single" w:color="000000" w:sz="4" w:space="0"/>
              <w:bottom w:val="single" w:color="000000" w:sz="4" w:space="0"/>
            </w:tcBorders>
            <w:noWrap w:val="0"/>
            <w:vAlign w:val="center"/>
          </w:tcPr>
          <w:p w14:paraId="560517EA">
            <w:pPr>
              <w:keepNext w:val="0"/>
              <w:keepLines w:val="0"/>
              <w:pageBreakBefore w:val="0"/>
              <w:kinsoku/>
              <w:wordWrap/>
              <w:overflowPunct/>
              <w:topLinePunct w:val="0"/>
              <w:autoSpaceDE/>
              <w:autoSpaceDN/>
              <w:bidi w:val="0"/>
              <w:adjustRightInd/>
              <w:snapToGrid w:val="0"/>
              <w:spacing w:line="300" w:lineRule="exact"/>
              <w:ind w:left="0" w:leftChars="0"/>
              <w:jc w:val="center"/>
              <w:rPr>
                <w:rFonts w:hint="default" w:ascii="Times New Roman" w:hAnsi="Times New Roman" w:eastAsia="宋体" w:cs="Times New Roman"/>
                <w:i w:val="0"/>
                <w:color w:val="000000"/>
                <w:sz w:val="24"/>
                <w:szCs w:val="24"/>
                <w:u w:val="none"/>
              </w:rPr>
            </w:pPr>
          </w:p>
        </w:tc>
        <w:tc>
          <w:tcPr>
            <w:tcW w:w="36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E3E4CA1">
            <w:pPr>
              <w:keepNext w:val="0"/>
              <w:keepLines w:val="0"/>
              <w:pageBreakBefore w:val="0"/>
              <w:kinsoku/>
              <w:wordWrap/>
              <w:overflowPunct/>
              <w:topLinePunct w:val="0"/>
              <w:autoSpaceDE/>
              <w:autoSpaceDN/>
              <w:bidi w:val="0"/>
              <w:adjustRightInd/>
              <w:snapToGrid w:val="0"/>
              <w:spacing w:line="300" w:lineRule="exact"/>
              <w:ind w:left="0" w:leftChars="0"/>
              <w:jc w:val="center"/>
              <w:rPr>
                <w:rFonts w:hint="default" w:ascii="Times New Roman" w:hAnsi="Times New Roman" w:eastAsia="宋体" w:cs="Times New Roman"/>
                <w:i w:val="0"/>
                <w:color w:val="000000"/>
                <w:sz w:val="24"/>
                <w:szCs w:val="24"/>
                <w:u w:val="none"/>
              </w:rPr>
            </w:pPr>
          </w:p>
        </w:tc>
        <w:tc>
          <w:tcPr>
            <w:tcW w:w="429" w:type="pct"/>
            <w:tcBorders>
              <w:top w:val="single" w:color="000000" w:sz="4" w:space="0"/>
              <w:left w:val="single" w:color="000000" w:sz="4" w:space="0"/>
              <w:right w:val="single" w:color="000000" w:sz="4" w:space="0"/>
            </w:tcBorders>
            <w:noWrap w:val="0"/>
            <w:vAlign w:val="center"/>
          </w:tcPr>
          <w:p w14:paraId="6BB675B7">
            <w:pPr>
              <w:keepNext w:val="0"/>
              <w:keepLines w:val="0"/>
              <w:pageBreakBefore w:val="0"/>
              <w:widowControl/>
              <w:suppressLineNumbers w:val="0"/>
              <w:kinsoku/>
              <w:wordWrap/>
              <w:overflowPunct/>
              <w:topLinePunct w:val="0"/>
              <w:autoSpaceDE/>
              <w:autoSpaceDN/>
              <w:bidi w:val="0"/>
              <w:adjustRightInd/>
              <w:snapToGrid w:val="0"/>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社会效益</w:t>
            </w:r>
          </w:p>
          <w:p w14:paraId="2C540052">
            <w:pPr>
              <w:keepNext w:val="0"/>
              <w:keepLines w:val="0"/>
              <w:pageBreakBefore w:val="0"/>
              <w:widowControl/>
              <w:suppressLineNumbers w:val="0"/>
              <w:kinsoku/>
              <w:wordWrap/>
              <w:overflowPunct/>
              <w:topLinePunct w:val="0"/>
              <w:autoSpaceDE/>
              <w:autoSpaceDN/>
              <w:bidi w:val="0"/>
              <w:adjustRightInd/>
              <w:snapToGrid w:val="0"/>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w:t>
            </w:r>
          </w:p>
        </w:tc>
        <w:tc>
          <w:tcPr>
            <w:tcW w:w="1292" w:type="pct"/>
            <w:tcBorders>
              <w:top w:val="single" w:color="000000" w:sz="4" w:space="0"/>
              <w:left w:val="single" w:color="000000" w:sz="4" w:space="0"/>
              <w:bottom w:val="single" w:color="000000" w:sz="4" w:space="0"/>
              <w:right w:val="single" w:color="000000" w:sz="4" w:space="0"/>
            </w:tcBorders>
            <w:noWrap w:val="0"/>
            <w:vAlign w:val="center"/>
          </w:tcPr>
          <w:p w14:paraId="15731B54">
            <w:pPr>
              <w:keepNext w:val="0"/>
              <w:keepLines w:val="0"/>
              <w:widowControl/>
              <w:suppressLineNumbers w:val="0"/>
              <w:snapToGrid w:val="0"/>
              <w:jc w:val="center"/>
              <w:textAlignment w:val="center"/>
              <w:rPr>
                <w:rFonts w:hint="default" w:ascii="等线" w:hAnsi="等线" w:eastAsia="等线" w:cs="等线"/>
                <w:i w:val="0"/>
                <w:iCs w:val="0"/>
                <w:color w:val="000000"/>
                <w:kern w:val="2"/>
                <w:sz w:val="18"/>
                <w:szCs w:val="18"/>
                <w:u w:val="none"/>
                <w:lang w:val="en-US" w:eastAsia="zh-CN" w:bidi="ar-SA"/>
              </w:rPr>
            </w:pPr>
            <w:r>
              <w:rPr>
                <w:rFonts w:hint="default" w:ascii="等线" w:hAnsi="等线" w:eastAsia="等线" w:cs="等线"/>
                <w:i w:val="0"/>
                <w:iCs w:val="0"/>
                <w:color w:val="000000"/>
                <w:kern w:val="0"/>
                <w:sz w:val="18"/>
                <w:szCs w:val="18"/>
                <w:u w:val="none"/>
                <w:lang w:val="en-US" w:eastAsia="zh-CN" w:bidi="ar"/>
              </w:rPr>
              <w:t>对生态环境保护的促进作用</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4940C1E1">
            <w:pPr>
              <w:keepNext w:val="0"/>
              <w:keepLines w:val="0"/>
              <w:pageBreakBefore w:val="0"/>
              <w:kinsoku/>
              <w:wordWrap/>
              <w:overflowPunct/>
              <w:topLinePunct w:val="0"/>
              <w:autoSpaceDE/>
              <w:autoSpaceDN/>
              <w:bidi w:val="0"/>
              <w:adjustRightInd/>
              <w:snapToGrid w:val="0"/>
              <w:spacing w:line="300" w:lineRule="exact"/>
              <w:ind w:left="0" w:leftChars="0"/>
              <w:jc w:val="center"/>
              <w:rPr>
                <w:rFonts w:hint="eastAsia" w:ascii="Times New Roman" w:hAnsi="Times New Roman" w:eastAsia="宋体" w:cs="Times New Roman"/>
                <w:i w:val="0"/>
                <w:color w:val="000000"/>
                <w:sz w:val="24"/>
                <w:szCs w:val="24"/>
                <w:u w:val="none"/>
                <w:lang w:eastAsia="zh-CN"/>
              </w:rPr>
            </w:pPr>
            <w:r>
              <w:rPr>
                <w:rFonts w:hint="eastAsia" w:ascii="Times New Roman" w:hAnsi="Times New Roman" w:eastAsia="宋体" w:cs="Times New Roman"/>
                <w:i w:val="0"/>
                <w:color w:val="000000"/>
                <w:sz w:val="24"/>
                <w:szCs w:val="24"/>
                <w:u w:val="none"/>
                <w:lang w:eastAsia="zh-CN"/>
              </w:rPr>
              <w:t>定性</w:t>
            </w:r>
          </w:p>
        </w:tc>
        <w:tc>
          <w:tcPr>
            <w:tcW w:w="540" w:type="pct"/>
            <w:tcBorders>
              <w:top w:val="single" w:color="000000" w:sz="4" w:space="0"/>
              <w:left w:val="single" w:color="000000" w:sz="4" w:space="0"/>
              <w:bottom w:val="single" w:color="000000" w:sz="4" w:space="0"/>
              <w:right w:val="single" w:color="000000" w:sz="4" w:space="0"/>
            </w:tcBorders>
            <w:noWrap w:val="0"/>
            <w:vAlign w:val="center"/>
          </w:tcPr>
          <w:p w14:paraId="3298F910">
            <w:pPr>
              <w:keepNext w:val="0"/>
              <w:keepLines w:val="0"/>
              <w:widowControl/>
              <w:suppressLineNumbers w:val="0"/>
              <w:snapToGrid w:val="0"/>
              <w:jc w:val="left"/>
              <w:textAlignment w:val="center"/>
              <w:rPr>
                <w:rFonts w:hint="default" w:ascii="等线" w:hAnsi="等线" w:eastAsia="等线" w:cs="等线"/>
                <w:i w:val="0"/>
                <w:iCs w:val="0"/>
                <w:color w:val="000000"/>
                <w:kern w:val="2"/>
                <w:sz w:val="18"/>
                <w:szCs w:val="18"/>
                <w:u w:val="none"/>
                <w:lang w:val="en-US" w:eastAsia="zh-CN" w:bidi="ar-SA"/>
              </w:rPr>
            </w:pPr>
            <w:r>
              <w:rPr>
                <w:rFonts w:hint="default" w:ascii="等线" w:hAnsi="等线" w:eastAsia="等线" w:cs="等线"/>
                <w:i w:val="0"/>
                <w:iCs w:val="0"/>
                <w:color w:val="000000"/>
                <w:kern w:val="0"/>
                <w:sz w:val="18"/>
                <w:szCs w:val="18"/>
                <w:u w:val="none"/>
                <w:lang w:val="en-US" w:eastAsia="zh-CN" w:bidi="ar"/>
              </w:rPr>
              <w:t>守住耕地保护红线</w:t>
            </w: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2CE0FAE2">
            <w:pPr>
              <w:keepNext w:val="0"/>
              <w:keepLines w:val="0"/>
              <w:pageBreakBefore w:val="0"/>
              <w:kinsoku/>
              <w:wordWrap/>
              <w:overflowPunct/>
              <w:topLinePunct w:val="0"/>
              <w:autoSpaceDE/>
              <w:autoSpaceDN/>
              <w:bidi w:val="0"/>
              <w:adjustRightInd/>
              <w:snapToGrid w:val="0"/>
              <w:spacing w:line="300" w:lineRule="exact"/>
              <w:ind w:left="0" w:leftChars="0"/>
              <w:jc w:val="center"/>
              <w:rPr>
                <w:rFonts w:hint="default" w:ascii="Times New Roman" w:hAnsi="Times New Roman" w:eastAsia="宋体" w:cs="Times New Roman"/>
                <w:i w:val="0"/>
                <w:color w:val="000000"/>
                <w:sz w:val="24"/>
                <w:szCs w:val="24"/>
                <w:u w:val="none"/>
              </w:rPr>
            </w:pPr>
          </w:p>
        </w:tc>
        <w:tc>
          <w:tcPr>
            <w:tcW w:w="447" w:type="pct"/>
            <w:tcBorders>
              <w:top w:val="single" w:color="000000" w:sz="4" w:space="0"/>
              <w:left w:val="single" w:color="000000" w:sz="4" w:space="0"/>
              <w:bottom w:val="single" w:color="000000" w:sz="4" w:space="0"/>
              <w:right w:val="single" w:color="000000" w:sz="4" w:space="0"/>
            </w:tcBorders>
            <w:noWrap w:val="0"/>
            <w:vAlign w:val="center"/>
          </w:tcPr>
          <w:p w14:paraId="20F2C9C5">
            <w:pPr>
              <w:keepNext w:val="0"/>
              <w:keepLines w:val="0"/>
              <w:pageBreakBefore w:val="0"/>
              <w:kinsoku/>
              <w:wordWrap/>
              <w:overflowPunct/>
              <w:topLinePunct w:val="0"/>
              <w:autoSpaceDE/>
              <w:autoSpaceDN/>
              <w:bidi w:val="0"/>
              <w:adjustRightInd/>
              <w:snapToGrid w:val="0"/>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10</w:t>
            </w:r>
          </w:p>
        </w:tc>
        <w:tc>
          <w:tcPr>
            <w:tcW w:w="822" w:type="pct"/>
            <w:tcBorders>
              <w:top w:val="single" w:color="000000" w:sz="4" w:space="0"/>
              <w:left w:val="single" w:color="000000" w:sz="4" w:space="0"/>
              <w:bottom w:val="single" w:color="000000" w:sz="4" w:space="0"/>
              <w:right w:val="single" w:color="000000" w:sz="4" w:space="0"/>
            </w:tcBorders>
            <w:noWrap w:val="0"/>
            <w:vAlign w:val="center"/>
          </w:tcPr>
          <w:p w14:paraId="42A327F4">
            <w:pPr>
              <w:keepNext w:val="0"/>
              <w:keepLines w:val="0"/>
              <w:pageBreakBefore w:val="0"/>
              <w:kinsoku/>
              <w:wordWrap/>
              <w:overflowPunct/>
              <w:topLinePunct w:val="0"/>
              <w:autoSpaceDE/>
              <w:autoSpaceDN/>
              <w:bidi w:val="0"/>
              <w:adjustRightInd/>
              <w:snapToGrid w:val="0"/>
              <w:spacing w:line="300" w:lineRule="exact"/>
              <w:ind w:left="0" w:leftChars="0"/>
              <w:jc w:val="center"/>
              <w:rPr>
                <w:rFonts w:hint="default" w:ascii="Times New Roman" w:hAnsi="Times New Roman" w:eastAsia="宋体" w:cs="Times New Roman"/>
                <w:i w:val="0"/>
                <w:color w:val="000000"/>
                <w:sz w:val="24"/>
                <w:szCs w:val="24"/>
                <w:u w:val="none"/>
              </w:rPr>
            </w:pPr>
          </w:p>
        </w:tc>
      </w:tr>
      <w:tr w14:paraId="08A371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320" w:type="pct"/>
            <w:vMerge w:val="continue"/>
            <w:tcBorders>
              <w:top w:val="single" w:color="000000" w:sz="4" w:space="0"/>
              <w:left w:val="single" w:color="000000" w:sz="4" w:space="0"/>
              <w:bottom w:val="single" w:color="000000" w:sz="4" w:space="0"/>
            </w:tcBorders>
            <w:noWrap w:val="0"/>
            <w:vAlign w:val="center"/>
          </w:tcPr>
          <w:p w14:paraId="11A59838">
            <w:pPr>
              <w:keepNext w:val="0"/>
              <w:keepLines w:val="0"/>
              <w:pageBreakBefore w:val="0"/>
              <w:kinsoku/>
              <w:wordWrap/>
              <w:overflowPunct/>
              <w:topLinePunct w:val="0"/>
              <w:autoSpaceDE/>
              <w:autoSpaceDN/>
              <w:bidi w:val="0"/>
              <w:adjustRightInd/>
              <w:snapToGrid w:val="0"/>
              <w:spacing w:line="300" w:lineRule="exact"/>
              <w:ind w:left="0" w:leftChars="0"/>
              <w:jc w:val="center"/>
              <w:rPr>
                <w:rFonts w:hint="default" w:ascii="Times New Roman" w:hAnsi="Times New Roman" w:eastAsia="宋体" w:cs="Times New Roman"/>
                <w:i w:val="0"/>
                <w:color w:val="000000"/>
                <w:sz w:val="24"/>
                <w:szCs w:val="24"/>
                <w:u w:val="none"/>
              </w:rPr>
            </w:pPr>
          </w:p>
        </w:tc>
        <w:tc>
          <w:tcPr>
            <w:tcW w:w="366" w:type="pct"/>
            <w:tcBorders>
              <w:top w:val="single" w:color="000000" w:sz="4" w:space="0"/>
              <w:left w:val="single" w:color="000000" w:sz="4" w:space="0"/>
              <w:right w:val="single" w:color="000000" w:sz="4" w:space="0"/>
            </w:tcBorders>
            <w:noWrap w:val="0"/>
            <w:vAlign w:val="center"/>
          </w:tcPr>
          <w:p w14:paraId="7C46F8AD">
            <w:pPr>
              <w:keepNext w:val="0"/>
              <w:keepLines w:val="0"/>
              <w:pageBreakBefore w:val="0"/>
              <w:widowControl/>
              <w:suppressLineNumbers w:val="0"/>
              <w:kinsoku/>
              <w:wordWrap/>
              <w:overflowPunct/>
              <w:topLinePunct w:val="0"/>
              <w:autoSpaceDE/>
              <w:autoSpaceDN/>
              <w:bidi w:val="0"/>
              <w:adjustRightInd/>
              <w:snapToGrid w:val="0"/>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满意度</w:t>
            </w:r>
          </w:p>
          <w:p w14:paraId="63FB2E6A">
            <w:pPr>
              <w:keepNext w:val="0"/>
              <w:keepLines w:val="0"/>
              <w:pageBreakBefore w:val="0"/>
              <w:widowControl/>
              <w:suppressLineNumbers w:val="0"/>
              <w:kinsoku/>
              <w:wordWrap/>
              <w:overflowPunct/>
              <w:topLinePunct w:val="0"/>
              <w:autoSpaceDE/>
              <w:autoSpaceDN/>
              <w:bidi w:val="0"/>
              <w:adjustRightInd/>
              <w:snapToGrid w:val="0"/>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w:t>
            </w:r>
          </w:p>
        </w:tc>
        <w:tc>
          <w:tcPr>
            <w:tcW w:w="429" w:type="pct"/>
            <w:tcBorders>
              <w:top w:val="single" w:color="000000" w:sz="4" w:space="0"/>
              <w:left w:val="single" w:color="000000" w:sz="4" w:space="0"/>
              <w:right w:val="single" w:color="000000" w:sz="4" w:space="0"/>
            </w:tcBorders>
            <w:noWrap w:val="0"/>
            <w:vAlign w:val="center"/>
          </w:tcPr>
          <w:p w14:paraId="57628B5B">
            <w:pPr>
              <w:keepNext w:val="0"/>
              <w:keepLines w:val="0"/>
              <w:pageBreakBefore w:val="0"/>
              <w:widowControl/>
              <w:suppressLineNumbers w:val="0"/>
              <w:kinsoku/>
              <w:wordWrap/>
              <w:overflowPunct/>
              <w:topLinePunct w:val="0"/>
              <w:autoSpaceDE/>
              <w:autoSpaceDN/>
              <w:bidi w:val="0"/>
              <w:adjustRightInd/>
              <w:snapToGrid w:val="0"/>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服务对象</w:t>
            </w:r>
          </w:p>
          <w:p w14:paraId="57ED7D62">
            <w:pPr>
              <w:keepNext w:val="0"/>
              <w:keepLines w:val="0"/>
              <w:pageBreakBefore w:val="0"/>
              <w:widowControl/>
              <w:suppressLineNumbers w:val="0"/>
              <w:kinsoku/>
              <w:wordWrap/>
              <w:overflowPunct/>
              <w:topLinePunct w:val="0"/>
              <w:autoSpaceDE/>
              <w:autoSpaceDN/>
              <w:bidi w:val="0"/>
              <w:adjustRightInd/>
              <w:snapToGrid w:val="0"/>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满意度指标</w:t>
            </w:r>
          </w:p>
        </w:tc>
        <w:tc>
          <w:tcPr>
            <w:tcW w:w="1292" w:type="pct"/>
            <w:tcBorders>
              <w:top w:val="single" w:color="000000" w:sz="4" w:space="0"/>
              <w:left w:val="single" w:color="000000" w:sz="4" w:space="0"/>
              <w:bottom w:val="single" w:color="000000" w:sz="4" w:space="0"/>
              <w:right w:val="single" w:color="000000" w:sz="4" w:space="0"/>
            </w:tcBorders>
            <w:noWrap w:val="0"/>
            <w:vAlign w:val="center"/>
          </w:tcPr>
          <w:p w14:paraId="571E01BB">
            <w:pPr>
              <w:keepNext w:val="0"/>
              <w:keepLines w:val="0"/>
              <w:pageBreakBefore w:val="0"/>
              <w:kinsoku/>
              <w:wordWrap/>
              <w:overflowPunct/>
              <w:topLinePunct w:val="0"/>
              <w:autoSpaceDE/>
              <w:autoSpaceDN/>
              <w:bidi w:val="0"/>
              <w:adjustRightInd/>
              <w:snapToGrid w:val="0"/>
              <w:spacing w:line="300" w:lineRule="exact"/>
              <w:ind w:left="0" w:leftChars="0"/>
              <w:rPr>
                <w:rFonts w:hint="default" w:ascii="Times New Roman" w:hAnsi="Times New Roman" w:eastAsia="宋体" w:cs="Times New Roman"/>
                <w:i w:val="0"/>
                <w:color w:val="000000"/>
                <w:sz w:val="24"/>
                <w:szCs w:val="24"/>
                <w:u w:val="none"/>
              </w:rPr>
            </w:pP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2AB9CAE5">
            <w:pPr>
              <w:keepNext w:val="0"/>
              <w:keepLines w:val="0"/>
              <w:pageBreakBefore w:val="0"/>
              <w:kinsoku/>
              <w:wordWrap/>
              <w:overflowPunct/>
              <w:topLinePunct w:val="0"/>
              <w:autoSpaceDE/>
              <w:autoSpaceDN/>
              <w:bidi w:val="0"/>
              <w:adjustRightInd/>
              <w:snapToGrid w:val="0"/>
              <w:spacing w:line="300" w:lineRule="exact"/>
              <w:ind w:left="0" w:leftChars="0"/>
              <w:jc w:val="center"/>
              <w:rPr>
                <w:rFonts w:hint="default" w:ascii="Times New Roman" w:hAnsi="Times New Roman" w:eastAsia="宋体" w:cs="Times New Roman"/>
                <w:i w:val="0"/>
                <w:color w:val="000000"/>
                <w:sz w:val="24"/>
                <w:szCs w:val="24"/>
                <w:u w:val="none"/>
              </w:rPr>
            </w:pPr>
          </w:p>
        </w:tc>
        <w:tc>
          <w:tcPr>
            <w:tcW w:w="540" w:type="pct"/>
            <w:tcBorders>
              <w:top w:val="single" w:color="000000" w:sz="4" w:space="0"/>
              <w:left w:val="single" w:color="000000" w:sz="4" w:space="0"/>
              <w:bottom w:val="single" w:color="000000" w:sz="4" w:space="0"/>
              <w:right w:val="single" w:color="000000" w:sz="4" w:space="0"/>
            </w:tcBorders>
            <w:noWrap w:val="0"/>
            <w:vAlign w:val="center"/>
          </w:tcPr>
          <w:p w14:paraId="0E58C5A3">
            <w:pPr>
              <w:keepNext w:val="0"/>
              <w:keepLines w:val="0"/>
              <w:pageBreakBefore w:val="0"/>
              <w:kinsoku/>
              <w:wordWrap/>
              <w:overflowPunct/>
              <w:topLinePunct w:val="0"/>
              <w:autoSpaceDE/>
              <w:autoSpaceDN/>
              <w:bidi w:val="0"/>
              <w:adjustRightInd/>
              <w:snapToGrid w:val="0"/>
              <w:spacing w:line="300" w:lineRule="exact"/>
              <w:ind w:left="0" w:leftChars="0"/>
              <w:jc w:val="center"/>
              <w:rPr>
                <w:rFonts w:hint="default" w:ascii="Times New Roman" w:hAnsi="Times New Roman" w:eastAsia="宋体" w:cs="Times New Roman"/>
                <w:i w:val="0"/>
                <w:color w:val="000000"/>
                <w:sz w:val="24"/>
                <w:szCs w:val="24"/>
                <w:u w:val="none"/>
              </w:rPr>
            </w:pP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6ED41224">
            <w:pPr>
              <w:keepNext w:val="0"/>
              <w:keepLines w:val="0"/>
              <w:pageBreakBefore w:val="0"/>
              <w:kinsoku/>
              <w:wordWrap/>
              <w:overflowPunct/>
              <w:topLinePunct w:val="0"/>
              <w:autoSpaceDE/>
              <w:autoSpaceDN/>
              <w:bidi w:val="0"/>
              <w:adjustRightInd/>
              <w:snapToGrid w:val="0"/>
              <w:spacing w:line="300" w:lineRule="exact"/>
              <w:ind w:left="0" w:leftChars="0"/>
              <w:jc w:val="center"/>
              <w:rPr>
                <w:rFonts w:hint="default" w:ascii="Times New Roman" w:hAnsi="Times New Roman" w:eastAsia="宋体" w:cs="Times New Roman"/>
                <w:i w:val="0"/>
                <w:color w:val="000000"/>
                <w:sz w:val="24"/>
                <w:szCs w:val="24"/>
                <w:u w:val="none"/>
              </w:rPr>
            </w:pPr>
          </w:p>
        </w:tc>
        <w:tc>
          <w:tcPr>
            <w:tcW w:w="447" w:type="pct"/>
            <w:tcBorders>
              <w:top w:val="single" w:color="000000" w:sz="4" w:space="0"/>
              <w:left w:val="single" w:color="000000" w:sz="4" w:space="0"/>
              <w:bottom w:val="single" w:color="000000" w:sz="4" w:space="0"/>
              <w:right w:val="single" w:color="000000" w:sz="4" w:space="0"/>
            </w:tcBorders>
            <w:noWrap w:val="0"/>
            <w:vAlign w:val="center"/>
          </w:tcPr>
          <w:p w14:paraId="15952F87">
            <w:pPr>
              <w:keepNext w:val="0"/>
              <w:keepLines w:val="0"/>
              <w:pageBreakBefore w:val="0"/>
              <w:kinsoku/>
              <w:wordWrap/>
              <w:overflowPunct/>
              <w:topLinePunct w:val="0"/>
              <w:autoSpaceDE/>
              <w:autoSpaceDN/>
              <w:bidi w:val="0"/>
              <w:adjustRightInd/>
              <w:snapToGrid w:val="0"/>
              <w:spacing w:line="300" w:lineRule="exact"/>
              <w:ind w:left="0" w:leftChars="0"/>
              <w:jc w:val="center"/>
              <w:rPr>
                <w:rFonts w:hint="default" w:ascii="Times New Roman" w:hAnsi="Times New Roman" w:eastAsia="宋体" w:cs="Times New Roman"/>
                <w:i w:val="0"/>
                <w:color w:val="000000"/>
                <w:sz w:val="24"/>
                <w:szCs w:val="24"/>
                <w:u w:val="none"/>
              </w:rPr>
            </w:pPr>
          </w:p>
        </w:tc>
        <w:tc>
          <w:tcPr>
            <w:tcW w:w="822" w:type="pct"/>
            <w:tcBorders>
              <w:top w:val="single" w:color="000000" w:sz="4" w:space="0"/>
              <w:left w:val="single" w:color="000000" w:sz="4" w:space="0"/>
              <w:bottom w:val="single" w:color="000000" w:sz="4" w:space="0"/>
              <w:right w:val="single" w:color="000000" w:sz="4" w:space="0"/>
            </w:tcBorders>
            <w:noWrap w:val="0"/>
            <w:vAlign w:val="center"/>
          </w:tcPr>
          <w:p w14:paraId="49D9DF14">
            <w:pPr>
              <w:keepNext w:val="0"/>
              <w:keepLines w:val="0"/>
              <w:pageBreakBefore w:val="0"/>
              <w:kinsoku/>
              <w:wordWrap/>
              <w:overflowPunct/>
              <w:topLinePunct w:val="0"/>
              <w:autoSpaceDE/>
              <w:autoSpaceDN/>
              <w:bidi w:val="0"/>
              <w:adjustRightInd/>
              <w:snapToGrid w:val="0"/>
              <w:spacing w:line="300" w:lineRule="exact"/>
              <w:ind w:left="0" w:leftChars="0"/>
              <w:jc w:val="center"/>
              <w:rPr>
                <w:rFonts w:hint="default" w:ascii="Times New Roman" w:hAnsi="Times New Roman" w:eastAsia="宋体" w:cs="Times New Roman"/>
                <w:i w:val="0"/>
                <w:color w:val="000000"/>
                <w:sz w:val="24"/>
                <w:szCs w:val="24"/>
                <w:u w:val="none"/>
              </w:rPr>
            </w:pPr>
          </w:p>
        </w:tc>
      </w:tr>
      <w:tr w14:paraId="7428ED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320" w:type="pct"/>
            <w:vMerge w:val="continue"/>
            <w:tcBorders>
              <w:top w:val="single" w:color="000000" w:sz="4" w:space="0"/>
              <w:left w:val="single" w:color="000000" w:sz="4" w:space="0"/>
              <w:bottom w:val="single" w:color="000000" w:sz="4" w:space="0"/>
            </w:tcBorders>
            <w:noWrap w:val="0"/>
            <w:vAlign w:val="center"/>
          </w:tcPr>
          <w:p w14:paraId="50FC57B2">
            <w:pPr>
              <w:keepNext w:val="0"/>
              <w:keepLines w:val="0"/>
              <w:pageBreakBefore w:val="0"/>
              <w:kinsoku/>
              <w:wordWrap/>
              <w:overflowPunct/>
              <w:topLinePunct w:val="0"/>
              <w:autoSpaceDE/>
              <w:autoSpaceDN/>
              <w:bidi w:val="0"/>
              <w:adjustRightInd/>
              <w:snapToGrid w:val="0"/>
              <w:spacing w:line="300" w:lineRule="exact"/>
              <w:ind w:left="0" w:leftChars="0"/>
              <w:jc w:val="center"/>
              <w:rPr>
                <w:rFonts w:hint="default" w:ascii="Times New Roman" w:hAnsi="Times New Roman" w:eastAsia="宋体" w:cs="Times New Roman"/>
                <w:i w:val="0"/>
                <w:color w:val="000000"/>
                <w:sz w:val="24"/>
                <w:szCs w:val="24"/>
                <w:u w:val="none"/>
              </w:rPr>
            </w:pP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538D3532">
            <w:pPr>
              <w:keepNext w:val="0"/>
              <w:keepLines w:val="0"/>
              <w:pageBreakBefore w:val="0"/>
              <w:widowControl/>
              <w:suppressLineNumbers w:val="0"/>
              <w:kinsoku/>
              <w:wordWrap/>
              <w:overflowPunct/>
              <w:topLinePunct w:val="0"/>
              <w:autoSpaceDE/>
              <w:autoSpaceDN/>
              <w:bidi w:val="0"/>
              <w:adjustRightInd/>
              <w:snapToGrid w:val="0"/>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成本指标</w:t>
            </w:r>
          </w:p>
        </w:tc>
        <w:tc>
          <w:tcPr>
            <w:tcW w:w="429" w:type="pct"/>
            <w:tcBorders>
              <w:top w:val="single" w:color="000000" w:sz="4" w:space="0"/>
              <w:left w:val="single" w:color="000000" w:sz="4" w:space="0"/>
              <w:bottom w:val="single" w:color="000000" w:sz="4" w:space="0"/>
              <w:right w:val="single" w:color="000000" w:sz="4" w:space="0"/>
            </w:tcBorders>
            <w:noWrap w:val="0"/>
            <w:vAlign w:val="center"/>
          </w:tcPr>
          <w:p w14:paraId="4E49D977">
            <w:pPr>
              <w:keepNext w:val="0"/>
              <w:keepLines w:val="0"/>
              <w:pageBreakBefore w:val="0"/>
              <w:widowControl/>
              <w:suppressLineNumbers w:val="0"/>
              <w:kinsoku/>
              <w:wordWrap/>
              <w:overflowPunct/>
              <w:topLinePunct w:val="0"/>
              <w:autoSpaceDE/>
              <w:autoSpaceDN/>
              <w:bidi w:val="0"/>
              <w:adjustRightInd/>
              <w:snapToGrid w:val="0"/>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经济成本</w:t>
            </w:r>
          </w:p>
          <w:p w14:paraId="4B9940B4">
            <w:pPr>
              <w:keepNext w:val="0"/>
              <w:keepLines w:val="0"/>
              <w:pageBreakBefore w:val="0"/>
              <w:widowControl/>
              <w:suppressLineNumbers w:val="0"/>
              <w:kinsoku/>
              <w:wordWrap/>
              <w:overflowPunct/>
              <w:topLinePunct w:val="0"/>
              <w:autoSpaceDE/>
              <w:autoSpaceDN/>
              <w:bidi w:val="0"/>
              <w:adjustRightInd/>
              <w:snapToGrid w:val="0"/>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w:t>
            </w:r>
          </w:p>
        </w:tc>
        <w:tc>
          <w:tcPr>
            <w:tcW w:w="1292" w:type="pct"/>
            <w:tcBorders>
              <w:top w:val="single" w:color="000000" w:sz="4" w:space="0"/>
              <w:bottom w:val="single" w:color="000000" w:sz="4" w:space="0"/>
              <w:right w:val="single" w:color="000000" w:sz="4" w:space="0"/>
            </w:tcBorders>
            <w:noWrap w:val="0"/>
            <w:vAlign w:val="center"/>
          </w:tcPr>
          <w:p w14:paraId="5714FA85">
            <w:pPr>
              <w:keepNext w:val="0"/>
              <w:keepLines w:val="0"/>
              <w:pageBreakBefore w:val="0"/>
              <w:kinsoku/>
              <w:wordWrap/>
              <w:overflowPunct/>
              <w:topLinePunct w:val="0"/>
              <w:autoSpaceDE/>
              <w:autoSpaceDN/>
              <w:bidi w:val="0"/>
              <w:adjustRightInd/>
              <w:snapToGrid w:val="0"/>
              <w:spacing w:line="300" w:lineRule="exact"/>
              <w:ind w:left="0" w:leftChars="0"/>
              <w:rPr>
                <w:rFonts w:hint="default" w:ascii="Times New Roman" w:hAnsi="Times New Roman" w:eastAsia="宋体" w:cs="Times New Roman"/>
                <w:i w:val="0"/>
                <w:color w:val="000000"/>
                <w:sz w:val="24"/>
                <w:szCs w:val="24"/>
                <w:u w:val="none"/>
              </w:rPr>
            </w:pPr>
            <w:r>
              <w:rPr>
                <w:rFonts w:hint="eastAsia" w:ascii="等线" w:hAnsi="等线" w:eastAsia="等线" w:cs="等线"/>
                <w:i w:val="0"/>
                <w:iCs w:val="0"/>
                <w:color w:val="000000"/>
                <w:kern w:val="0"/>
                <w:sz w:val="18"/>
                <w:szCs w:val="18"/>
                <w:u w:val="none"/>
                <w:lang w:val="en-US" w:eastAsia="zh-CN" w:bidi="ar"/>
              </w:rPr>
              <w:t>项目总成本</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53ABF450">
            <w:pPr>
              <w:keepNext w:val="0"/>
              <w:keepLines w:val="0"/>
              <w:pageBreakBefore w:val="0"/>
              <w:kinsoku/>
              <w:wordWrap/>
              <w:overflowPunct/>
              <w:topLinePunct w:val="0"/>
              <w:autoSpaceDE/>
              <w:autoSpaceDN/>
              <w:bidi w:val="0"/>
              <w:adjustRightInd/>
              <w:snapToGrid w:val="0"/>
              <w:spacing w:line="300" w:lineRule="exact"/>
              <w:ind w:left="0" w:leftChars="0"/>
              <w:jc w:val="center"/>
              <w:rPr>
                <w:rFonts w:hint="default" w:ascii="Times New Roman" w:hAnsi="Times New Roman" w:eastAsia="宋体" w:cs="Times New Roman"/>
                <w:i w:val="0"/>
                <w:color w:val="000000"/>
                <w:sz w:val="24"/>
                <w:szCs w:val="24"/>
                <w:u w:val="none"/>
              </w:rPr>
            </w:pPr>
            <w:r>
              <w:rPr>
                <w:rFonts w:hint="eastAsia" w:ascii="宋体" w:hAnsi="宋体" w:eastAsia="宋体" w:cs="宋体"/>
                <w:i w:val="0"/>
                <w:color w:val="000000"/>
                <w:sz w:val="24"/>
                <w:szCs w:val="24"/>
                <w:u w:val="none"/>
              </w:rPr>
              <w:t>≦</w:t>
            </w:r>
          </w:p>
        </w:tc>
        <w:tc>
          <w:tcPr>
            <w:tcW w:w="540" w:type="pct"/>
            <w:tcBorders>
              <w:top w:val="single" w:color="000000" w:sz="4" w:space="0"/>
              <w:left w:val="single" w:color="000000" w:sz="4" w:space="0"/>
              <w:bottom w:val="single" w:color="000000" w:sz="4" w:space="0"/>
              <w:right w:val="single" w:color="000000" w:sz="4" w:space="0"/>
            </w:tcBorders>
            <w:noWrap w:val="0"/>
            <w:vAlign w:val="center"/>
          </w:tcPr>
          <w:p w14:paraId="682913FA">
            <w:pPr>
              <w:keepNext w:val="0"/>
              <w:keepLines w:val="0"/>
              <w:pageBreakBefore w:val="0"/>
              <w:kinsoku/>
              <w:wordWrap/>
              <w:overflowPunct/>
              <w:topLinePunct w:val="0"/>
              <w:autoSpaceDE/>
              <w:autoSpaceDN/>
              <w:bidi w:val="0"/>
              <w:adjustRightInd/>
              <w:snapToGrid w:val="0"/>
              <w:spacing w:line="300" w:lineRule="exact"/>
              <w:ind w:left="0" w:leftChars="0"/>
              <w:jc w:val="center"/>
              <w:rPr>
                <w:rFonts w:hint="default" w:ascii="Times New Roman" w:hAnsi="Times New Roman" w:eastAsia="宋体" w:cs="Times New Roman"/>
                <w:i w:val="0"/>
                <w:color w:val="000000"/>
                <w:sz w:val="24"/>
                <w:szCs w:val="24"/>
                <w:u w:val="none"/>
              </w:rPr>
            </w:pPr>
            <w:r>
              <w:rPr>
                <w:rFonts w:hint="eastAsia" w:ascii="Times New Roman" w:hAnsi="Times New Roman" w:eastAsia="宋体" w:cs="Times New Roman"/>
                <w:i w:val="0"/>
                <w:color w:val="000000"/>
                <w:sz w:val="24"/>
                <w:szCs w:val="24"/>
                <w:u w:val="none"/>
                <w:lang w:val="en-US" w:eastAsia="zh-CN"/>
              </w:rPr>
              <w:t>318</w:t>
            </w:r>
          </w:p>
        </w:tc>
        <w:tc>
          <w:tcPr>
            <w:tcW w:w="366" w:type="pct"/>
            <w:tcBorders>
              <w:top w:val="single" w:color="000000" w:sz="4" w:space="0"/>
              <w:left w:val="single" w:color="000000" w:sz="4" w:space="0"/>
              <w:bottom w:val="single" w:color="000000" w:sz="4" w:space="0"/>
              <w:right w:val="single" w:color="000000" w:sz="4" w:space="0"/>
            </w:tcBorders>
            <w:noWrap w:val="0"/>
            <w:vAlign w:val="center"/>
          </w:tcPr>
          <w:p w14:paraId="3D879F26">
            <w:pPr>
              <w:keepNext w:val="0"/>
              <w:keepLines w:val="0"/>
              <w:pageBreakBefore w:val="0"/>
              <w:kinsoku/>
              <w:wordWrap/>
              <w:overflowPunct/>
              <w:topLinePunct w:val="0"/>
              <w:autoSpaceDE/>
              <w:autoSpaceDN/>
              <w:bidi w:val="0"/>
              <w:adjustRightInd/>
              <w:snapToGrid w:val="0"/>
              <w:spacing w:line="300" w:lineRule="exact"/>
              <w:ind w:left="0" w:leftChars="0"/>
              <w:jc w:val="center"/>
              <w:rPr>
                <w:rFonts w:hint="default" w:ascii="Times New Roman" w:hAnsi="Times New Roman" w:eastAsia="宋体" w:cs="Times New Roman"/>
                <w:i w:val="0"/>
                <w:color w:val="000000"/>
                <w:sz w:val="24"/>
                <w:szCs w:val="24"/>
                <w:u w:val="none"/>
              </w:rPr>
            </w:pPr>
            <w:r>
              <w:rPr>
                <w:rFonts w:hint="eastAsia" w:ascii="Times New Roman" w:hAnsi="Times New Roman" w:eastAsia="宋体" w:cs="Times New Roman"/>
                <w:i w:val="0"/>
                <w:color w:val="000000"/>
                <w:sz w:val="24"/>
                <w:szCs w:val="24"/>
                <w:u w:val="none"/>
                <w:lang w:eastAsia="zh-CN"/>
              </w:rPr>
              <w:t>万元</w:t>
            </w:r>
          </w:p>
        </w:tc>
        <w:tc>
          <w:tcPr>
            <w:tcW w:w="447" w:type="pct"/>
            <w:tcBorders>
              <w:top w:val="single" w:color="000000" w:sz="4" w:space="0"/>
              <w:left w:val="single" w:color="000000" w:sz="4" w:space="0"/>
              <w:bottom w:val="single" w:color="000000" w:sz="4" w:space="0"/>
              <w:right w:val="single" w:color="000000" w:sz="4" w:space="0"/>
            </w:tcBorders>
            <w:noWrap w:val="0"/>
            <w:vAlign w:val="center"/>
          </w:tcPr>
          <w:p w14:paraId="6DAB4AEB">
            <w:pPr>
              <w:keepNext w:val="0"/>
              <w:keepLines w:val="0"/>
              <w:pageBreakBefore w:val="0"/>
              <w:kinsoku/>
              <w:wordWrap/>
              <w:overflowPunct/>
              <w:topLinePunct w:val="0"/>
              <w:autoSpaceDE/>
              <w:autoSpaceDN/>
              <w:bidi w:val="0"/>
              <w:adjustRightInd/>
              <w:snapToGrid w:val="0"/>
              <w:spacing w:line="300" w:lineRule="exact"/>
              <w:ind w:left="0" w:leftChars="0"/>
              <w:jc w:val="center"/>
              <w:rPr>
                <w:rFonts w:hint="default" w:ascii="Times New Roman" w:hAnsi="Times New Roman" w:eastAsia="宋体" w:cs="Times New Roman"/>
                <w:i w:val="0"/>
                <w:color w:val="000000"/>
                <w:sz w:val="24"/>
                <w:szCs w:val="24"/>
                <w:u w:val="none"/>
              </w:rPr>
            </w:pPr>
            <w:r>
              <w:rPr>
                <w:rFonts w:hint="eastAsia" w:ascii="Times New Roman" w:hAnsi="Times New Roman" w:eastAsia="宋体" w:cs="Times New Roman"/>
                <w:i w:val="0"/>
                <w:color w:val="000000"/>
                <w:sz w:val="24"/>
                <w:szCs w:val="24"/>
                <w:u w:val="none"/>
                <w:lang w:val="en-US" w:eastAsia="zh-CN"/>
              </w:rPr>
              <w:t>20</w:t>
            </w:r>
          </w:p>
        </w:tc>
        <w:tc>
          <w:tcPr>
            <w:tcW w:w="822" w:type="pct"/>
            <w:tcBorders>
              <w:top w:val="single" w:color="000000" w:sz="4" w:space="0"/>
              <w:left w:val="single" w:color="000000" w:sz="4" w:space="0"/>
              <w:bottom w:val="single" w:color="000000" w:sz="4" w:space="0"/>
              <w:right w:val="single" w:color="000000" w:sz="4" w:space="0"/>
            </w:tcBorders>
            <w:noWrap w:val="0"/>
            <w:vAlign w:val="center"/>
          </w:tcPr>
          <w:p w14:paraId="21755FF6">
            <w:pPr>
              <w:keepNext w:val="0"/>
              <w:keepLines w:val="0"/>
              <w:pageBreakBefore w:val="0"/>
              <w:kinsoku/>
              <w:wordWrap/>
              <w:overflowPunct/>
              <w:topLinePunct w:val="0"/>
              <w:autoSpaceDE/>
              <w:autoSpaceDN/>
              <w:bidi w:val="0"/>
              <w:adjustRightInd/>
              <w:snapToGrid w:val="0"/>
              <w:spacing w:line="300" w:lineRule="exact"/>
              <w:ind w:left="0" w:leftChars="0"/>
              <w:jc w:val="center"/>
              <w:rPr>
                <w:rFonts w:hint="default" w:ascii="Times New Roman" w:hAnsi="Times New Roman" w:eastAsia="宋体" w:cs="Times New Roman"/>
                <w:i w:val="0"/>
                <w:color w:val="000000"/>
                <w:sz w:val="24"/>
                <w:szCs w:val="24"/>
                <w:u w:val="none"/>
              </w:rPr>
            </w:pPr>
          </w:p>
        </w:tc>
      </w:tr>
    </w:tbl>
    <w:p w14:paraId="4FC2B7B9">
      <w:pPr>
        <w:pStyle w:val="32"/>
        <w:keepNext w:val="0"/>
        <w:keepLines w:val="0"/>
        <w:pageBreakBefore w:val="0"/>
        <w:widowControl w:val="0"/>
        <w:kinsoku/>
        <w:wordWrap/>
        <w:overflowPunct/>
        <w:topLinePunct w:val="0"/>
        <w:autoSpaceDE w:val="0"/>
        <w:autoSpaceDN w:val="0"/>
        <w:bidi w:val="0"/>
        <w:adjustRightInd w:val="0"/>
        <w:snapToGrid/>
        <w:spacing w:line="240" w:lineRule="auto"/>
        <w:ind w:firstLine="880" w:firstLineChars="200"/>
        <w:jc w:val="left"/>
        <w:textAlignment w:val="auto"/>
        <w:rPr>
          <w:rFonts w:hint="eastAsia" w:ascii="Times New Roman" w:hAnsi="Times New Roman" w:eastAsia="黑体"/>
          <w:color w:val="auto"/>
          <w:sz w:val="44"/>
          <w:szCs w:val="44"/>
          <w:highlight w:val="none"/>
        </w:rPr>
      </w:pPr>
    </w:p>
    <w:p w14:paraId="614B312A">
      <w:pPr>
        <w:rPr>
          <w:rFonts w:hint="eastAsia" w:ascii="Times New Roman" w:hAnsi="Times New Roman" w:eastAsia="黑体"/>
          <w:color w:val="auto"/>
          <w:sz w:val="44"/>
          <w:szCs w:val="44"/>
          <w:highlight w:val="none"/>
          <w:lang w:val="en-US" w:eastAsia="zh-CN"/>
        </w:rPr>
      </w:pPr>
      <w:r>
        <w:rPr>
          <w:rFonts w:hint="eastAsia" w:ascii="Times New Roman" w:hAnsi="Times New Roman" w:eastAsia="黑体"/>
          <w:color w:val="auto"/>
          <w:sz w:val="44"/>
          <w:szCs w:val="44"/>
          <w:highlight w:val="none"/>
          <w:lang w:val="en-US" w:eastAsia="zh-CN"/>
        </w:rPr>
        <w:br w:type="page"/>
      </w:r>
    </w:p>
    <w:p w14:paraId="732A66F7">
      <w:pPr>
        <w:pStyle w:val="7"/>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kern w:val="0"/>
          <w:sz w:val="32"/>
          <w:szCs w:val="32"/>
          <w:highlight w:val="none"/>
          <w:shd w:val="clear" w:color="auto" w:fill="FFFFFF"/>
          <w:lang w:val="zh-CN"/>
        </w:rPr>
        <w:t>附件</w:t>
      </w:r>
      <w:r>
        <w:rPr>
          <w:rFonts w:hint="eastAsia" w:ascii="Times New Roman" w:hAnsi="Times New Roman" w:eastAsia="黑体" w:cs="黑体"/>
          <w:color w:val="auto"/>
          <w:kern w:val="0"/>
          <w:sz w:val="32"/>
          <w:szCs w:val="32"/>
          <w:highlight w:val="none"/>
          <w:shd w:val="clear" w:color="auto" w:fill="FFFFFF"/>
          <w:lang w:val="en-US" w:eastAsia="zh-CN"/>
        </w:rPr>
        <w:t>3</w:t>
      </w:r>
    </w:p>
    <w:p w14:paraId="1E5A2BA9">
      <w:pPr>
        <w:pStyle w:val="50"/>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p>
    <w:p w14:paraId="1ADF4D1B">
      <w:pPr>
        <w:pStyle w:val="50"/>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Times New Roman"/>
          <w:color w:val="auto"/>
          <w:kern w:val="2"/>
          <w:sz w:val="44"/>
          <w:szCs w:val="44"/>
          <w:highlight w:val="none"/>
          <w:lang w:val="en-US" w:eastAsia="zh-CN"/>
        </w:rPr>
      </w:pPr>
      <w:r>
        <w:rPr>
          <w:rFonts w:hint="eastAsia" w:ascii="Times New Roman" w:hAnsi="Times New Roman" w:eastAsia="方正小标宋简体" w:cs="Times New Roman"/>
          <w:color w:val="auto"/>
          <w:kern w:val="2"/>
          <w:sz w:val="44"/>
          <w:szCs w:val="44"/>
          <w:highlight w:val="none"/>
          <w:lang w:val="en-US" w:eastAsia="zh-CN"/>
        </w:rPr>
        <w:t>阿坝州水污染防治重点项目</w:t>
      </w:r>
    </w:p>
    <w:p w14:paraId="6231B009">
      <w:pPr>
        <w:pStyle w:val="32"/>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r>
        <w:rPr>
          <w:rFonts w:hint="eastAsia" w:ascii="Times New Roman" w:hAnsi="Times New Roman" w:eastAsia="方正小标宋简体" w:cs="方正小标宋简体"/>
          <w:color w:val="auto"/>
          <w:kern w:val="2"/>
          <w:sz w:val="44"/>
          <w:szCs w:val="44"/>
          <w:highlight w:val="none"/>
          <w:lang w:val="en-US" w:eastAsia="zh-CN"/>
        </w:rPr>
        <w:t>预算项目绩效评价报告</w:t>
      </w:r>
    </w:p>
    <w:p w14:paraId="2E752CDA">
      <w:pPr>
        <w:pStyle w:val="32"/>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p>
    <w:p w14:paraId="01D3BE2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黑体" w:cs="Times New Roman"/>
          <w:sz w:val="32"/>
          <w:szCs w:val="32"/>
          <w:highlight w:val="none"/>
          <w:lang w:val="zh-CN"/>
        </w:rPr>
      </w:pPr>
      <w:r>
        <w:rPr>
          <w:rFonts w:hint="default" w:ascii="Times New Roman" w:hAnsi="Times New Roman" w:eastAsia="黑体" w:cs="Times New Roman"/>
          <w:sz w:val="32"/>
          <w:szCs w:val="32"/>
          <w:highlight w:val="none"/>
        </w:rPr>
        <w:t>一、</w:t>
      </w:r>
      <w:r>
        <w:rPr>
          <w:rFonts w:hint="default" w:ascii="Times New Roman" w:hAnsi="Times New Roman" w:eastAsia="黑体" w:cs="Times New Roman"/>
          <w:sz w:val="32"/>
          <w:szCs w:val="32"/>
          <w:highlight w:val="none"/>
          <w:lang w:val="zh-CN"/>
        </w:rPr>
        <w:t>项目概况</w:t>
      </w:r>
    </w:p>
    <w:p w14:paraId="5BB1688B">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3" w:firstLineChars="200"/>
        <w:contextualSpacing/>
        <w:jc w:val="left"/>
        <w:textAlignment w:val="auto"/>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（一）设立背景及基本情况。</w:t>
      </w:r>
    </w:p>
    <w:p w14:paraId="2E9CF2E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党中央、国务院高度重视生态环境保护和污染防治工作，党的十九大将污染防治攻坚战作为决胜全面建成小康社会三大攻坚战之一，近年来先后制定实施了《</w:t>
      </w:r>
      <w:r>
        <w:rPr>
          <w:rFonts w:hint="eastAsia" w:ascii="Times New Roman" w:hAnsi="Times New Roman" w:eastAsia="仿宋_GB2312" w:cs="Times New Roman"/>
          <w:color w:val="auto"/>
          <w:sz w:val="32"/>
          <w:szCs w:val="32"/>
          <w:lang w:eastAsia="zh-CN"/>
        </w:rPr>
        <w:t>水</w:t>
      </w:r>
      <w:r>
        <w:rPr>
          <w:rFonts w:hint="eastAsia" w:ascii="Times New Roman" w:hAnsi="Times New Roman" w:eastAsia="仿宋_GB2312" w:cs="Times New Roman"/>
          <w:color w:val="auto"/>
          <w:sz w:val="32"/>
          <w:szCs w:val="32"/>
        </w:rPr>
        <w:t>污染防治行动计划》《打赢</w:t>
      </w:r>
      <w:r>
        <w:rPr>
          <w:rFonts w:hint="eastAsia" w:ascii="Times New Roman" w:hAnsi="Times New Roman" w:eastAsia="仿宋_GB2312" w:cs="Times New Roman"/>
          <w:color w:val="auto"/>
          <w:sz w:val="32"/>
          <w:szCs w:val="32"/>
          <w:lang w:eastAsia="zh-CN"/>
        </w:rPr>
        <w:t>碧水</w:t>
      </w:r>
      <w:r>
        <w:rPr>
          <w:rFonts w:hint="eastAsia" w:ascii="Times New Roman" w:hAnsi="Times New Roman" w:eastAsia="仿宋_GB2312" w:cs="Times New Roman"/>
          <w:color w:val="auto"/>
          <w:sz w:val="32"/>
          <w:szCs w:val="32"/>
        </w:rPr>
        <w:t>保卫战三年行动计划》，发布了《关于全面加强生态环境保护坚决打好污染防治攻坚战的意见》《关于深入打好污染防治攻坚战的意见》</w:t>
      </w:r>
      <w:r>
        <w:rPr>
          <w:rFonts w:hint="eastAsia" w:ascii="Times New Roman" w:hAnsi="Times New Roman" w:eastAsia="仿宋_GB2312" w:cs="Times New Roman"/>
          <w:color w:val="auto"/>
          <w:sz w:val="32"/>
          <w:szCs w:val="32"/>
          <w:lang w:eastAsia="zh-CN"/>
        </w:rPr>
        <w:t>《</w:t>
      </w:r>
      <w:bookmarkStart w:id="84" w:name="qihoosnap0"/>
      <w:bookmarkEnd w:id="84"/>
      <w:r>
        <w:rPr>
          <w:rFonts w:hint="eastAsia" w:ascii="Times New Roman" w:hAnsi="Times New Roman" w:eastAsia="仿宋_GB2312" w:cs="Times New Roman"/>
          <w:color w:val="auto"/>
          <w:sz w:val="32"/>
          <w:szCs w:val="32"/>
          <w:lang w:eastAsia="zh-CN"/>
        </w:rPr>
        <w:t>阿坝州</w:t>
      </w:r>
      <w:r>
        <w:rPr>
          <w:rFonts w:hint="eastAsia" w:ascii="Times New Roman" w:hAnsi="Times New Roman" w:eastAsia="仿宋_GB2312" w:cs="Times New Roman"/>
          <w:color w:val="auto"/>
          <w:sz w:val="32"/>
          <w:szCs w:val="32"/>
        </w:rPr>
        <w:t>水</w:t>
      </w:r>
      <w:bookmarkStart w:id="85" w:name="qihoosnap3"/>
      <w:bookmarkEnd w:id="85"/>
      <w:r>
        <w:rPr>
          <w:rFonts w:hint="eastAsia" w:ascii="Times New Roman" w:hAnsi="Times New Roman" w:eastAsia="仿宋_GB2312" w:cs="Times New Roman"/>
          <w:color w:val="auto"/>
          <w:sz w:val="32"/>
          <w:szCs w:val="32"/>
          <w:lang w:eastAsia="zh-CN"/>
        </w:rPr>
        <w:t>环境治理工作</w:t>
      </w:r>
      <w:r>
        <w:rPr>
          <w:rFonts w:hint="eastAsia" w:ascii="Times New Roman" w:hAnsi="Times New Roman" w:eastAsia="仿宋_GB2312" w:cs="Times New Roman"/>
          <w:color w:val="auto"/>
          <w:sz w:val="32"/>
          <w:szCs w:val="32"/>
        </w:rPr>
        <w:t>方案</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《阿坝州地表水环境质量提升方案》</w:t>
      </w:r>
      <w:r>
        <w:rPr>
          <w:rFonts w:hint="eastAsia" w:ascii="Times New Roman" w:hAnsi="Times New Roman" w:eastAsia="仿宋_GB2312" w:cs="Times New Roman"/>
          <w:color w:val="auto"/>
          <w:sz w:val="32"/>
          <w:szCs w:val="32"/>
        </w:rPr>
        <w:t>，对坚决打赢</w:t>
      </w:r>
      <w:r>
        <w:rPr>
          <w:rFonts w:hint="eastAsia" w:ascii="Times New Roman" w:hAnsi="Times New Roman" w:eastAsia="仿宋_GB2312" w:cs="Times New Roman"/>
          <w:color w:val="auto"/>
          <w:sz w:val="32"/>
          <w:szCs w:val="32"/>
          <w:lang w:eastAsia="zh-CN"/>
        </w:rPr>
        <w:t>碧水</w:t>
      </w:r>
      <w:r>
        <w:rPr>
          <w:rFonts w:hint="eastAsia" w:ascii="Times New Roman" w:hAnsi="Times New Roman" w:eastAsia="仿宋_GB2312" w:cs="Times New Roman"/>
          <w:color w:val="auto"/>
          <w:sz w:val="32"/>
          <w:szCs w:val="32"/>
        </w:rPr>
        <w:t>保卫战提出了明确要求。习近平总书记强调，要巩固污染防治攻坚成果，坚持精准治污、科学治污、依法治污，以更高标准打好蓝天、碧水、净土保卫战，以高水平保护推动高质量发展、创造高品质生活，努力建设人与自然和谐共生的美丽中国。</w:t>
      </w:r>
    </w:p>
    <w:p w14:paraId="7AE4B135">
      <w:pPr>
        <w:keepNext w:val="0"/>
        <w:keepLines w:val="0"/>
        <w:pageBreakBefore w:val="0"/>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sz w:val="32"/>
          <w:szCs w:val="32"/>
          <w:lang w:val="zh-CN" w:eastAsia="zh-CN"/>
        </w:rPr>
      </w:pPr>
      <w:r>
        <w:rPr>
          <w:rFonts w:hint="eastAsia" w:ascii="仿宋_GB2312" w:hAnsi="仿宋_GB2312" w:eastAsia="仿宋_GB2312" w:cs="仿宋_GB2312"/>
          <w:color w:val="auto"/>
          <w:sz w:val="32"/>
          <w:szCs w:val="32"/>
        </w:rPr>
        <w:t>2025年地下水监测</w:t>
      </w:r>
      <w:r>
        <w:rPr>
          <w:rFonts w:hint="eastAsia" w:ascii="仿宋_GB2312" w:hAnsi="仿宋_GB2312" w:eastAsia="仿宋_GB2312" w:cs="仿宋_GB2312"/>
          <w:color w:val="auto"/>
          <w:sz w:val="32"/>
          <w:szCs w:val="32"/>
          <w:lang w:val="en-US" w:eastAsia="zh-CN"/>
        </w:rPr>
        <w:t>(未开展已收回）；</w:t>
      </w:r>
      <w:r>
        <w:rPr>
          <w:rFonts w:hint="eastAsia" w:ascii="仿宋_GB2312" w:hAnsi="仿宋_GB2312" w:eastAsia="仿宋_GB2312" w:cs="仿宋_GB2312"/>
          <w:color w:val="auto"/>
          <w:sz w:val="32"/>
          <w:szCs w:val="32"/>
        </w:rPr>
        <w:t>2025重点流域水生态调查监测</w:t>
      </w:r>
      <w:r>
        <w:rPr>
          <w:rFonts w:hint="eastAsia" w:ascii="仿宋_GB2312" w:hAnsi="仿宋_GB2312" w:eastAsia="仿宋_GB2312" w:cs="仿宋_GB2312"/>
          <w:color w:val="auto"/>
          <w:sz w:val="32"/>
          <w:szCs w:val="32"/>
          <w:lang w:val="en-US" w:eastAsia="zh-CN"/>
        </w:rPr>
        <w:t>(未开展已收回）；</w:t>
      </w:r>
      <w:r>
        <w:rPr>
          <w:rFonts w:hint="eastAsia" w:ascii="仿宋_GB2312" w:hAnsi="仿宋_GB2312" w:eastAsia="仿宋_GB2312" w:cs="仿宋_GB2312"/>
          <w:color w:val="auto"/>
          <w:sz w:val="32"/>
          <w:szCs w:val="32"/>
        </w:rPr>
        <w:t>集中式饮用水水源地水质专项调查监测</w:t>
      </w:r>
      <w:r>
        <w:rPr>
          <w:rFonts w:hint="eastAsia" w:ascii="仿宋_GB2312" w:hAnsi="仿宋_GB2312" w:eastAsia="仿宋_GB2312" w:cs="仿宋_GB2312"/>
          <w:color w:val="auto"/>
          <w:sz w:val="32"/>
          <w:szCs w:val="32"/>
          <w:lang w:val="en-US" w:eastAsia="zh-CN"/>
        </w:rPr>
        <w:t>（已完成）；</w:t>
      </w:r>
      <w:r>
        <w:rPr>
          <w:rFonts w:hint="eastAsia" w:ascii="仿宋_GB2312" w:hAnsi="仿宋_GB2312" w:eastAsia="仿宋_GB2312" w:cs="仿宋_GB2312"/>
          <w:color w:val="auto"/>
          <w:sz w:val="32"/>
          <w:szCs w:val="32"/>
        </w:rPr>
        <w:t>土壤污染重点行业企业监督性监测</w:t>
      </w:r>
      <w:r>
        <w:rPr>
          <w:rFonts w:hint="eastAsia" w:ascii="仿宋_GB2312" w:hAnsi="仿宋_GB2312" w:eastAsia="仿宋_GB2312" w:cs="仿宋_GB2312"/>
          <w:color w:val="auto"/>
          <w:sz w:val="32"/>
          <w:szCs w:val="32"/>
          <w:lang w:val="en-US" w:eastAsia="zh-CN"/>
        </w:rPr>
        <w:t>（完成布点采样，该项目周期为2年）；</w:t>
      </w:r>
      <w:r>
        <w:rPr>
          <w:rFonts w:hint="eastAsia" w:ascii="仿宋_GB2312" w:hAnsi="仿宋_GB2312" w:eastAsia="仿宋_GB2312" w:cs="仿宋_GB2312"/>
          <w:color w:val="auto"/>
          <w:sz w:val="32"/>
          <w:szCs w:val="32"/>
        </w:rPr>
        <w:t>阿坝州环境信息化省市县三级统筹建设项目观测站网络租赁项目</w:t>
      </w:r>
      <w:r>
        <w:rPr>
          <w:rFonts w:hint="eastAsia" w:ascii="仿宋_GB2312" w:hAnsi="仿宋_GB2312" w:eastAsia="仿宋_GB2312" w:cs="仿宋_GB2312"/>
          <w:color w:val="auto"/>
          <w:sz w:val="32"/>
          <w:szCs w:val="32"/>
          <w:lang w:val="en-US" w:eastAsia="zh-CN"/>
        </w:rPr>
        <w:t>（</w:t>
      </w:r>
      <w:r>
        <w:rPr>
          <w:rFonts w:hint="eastAsia" w:ascii="仿宋_GB2312" w:hAnsi="Arial" w:eastAsia="仿宋_GB2312" w:cs="Arial"/>
          <w:color w:val="1F2329"/>
          <w:kern w:val="0"/>
          <w:sz w:val="32"/>
          <w:szCs w:val="32"/>
        </w:rPr>
        <w:t>项目核心建设内容包含5个生态观测站、9个饮用水源地监控点、14条“魔镜”监控点位建设及配套信息化系统搭建，同时配套三年运维服务</w:t>
      </w:r>
      <w:r>
        <w:rPr>
          <w:rFonts w:hint="eastAsia" w:ascii="仿宋_GB2312" w:hAnsi="Arial" w:eastAsia="仿宋_GB2312" w:cs="Arial"/>
          <w:color w:val="1F2329"/>
          <w:kern w:val="0"/>
          <w:sz w:val="32"/>
          <w:szCs w:val="32"/>
          <w:lang w:eastAsia="zh-CN"/>
        </w:rPr>
        <w:t>）</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rPr>
        <w:t>“十五五”重点流域水生态环境保护规划</w:t>
      </w:r>
      <w:r>
        <w:rPr>
          <w:rFonts w:hint="eastAsia" w:ascii="仿宋_GB2312" w:hAnsi="仿宋_GB2312" w:eastAsia="仿宋_GB2312" w:cs="仿宋_GB2312"/>
          <w:color w:val="auto"/>
          <w:sz w:val="32"/>
          <w:szCs w:val="32"/>
          <w:lang w:val="en-US" w:eastAsia="zh-CN"/>
        </w:rPr>
        <w:t>(未开展已收回）；</w:t>
      </w:r>
      <w:r>
        <w:rPr>
          <w:rFonts w:hint="eastAsia" w:ascii="仿宋_GB2312" w:hAnsi="仿宋_GB2312" w:eastAsia="仿宋_GB2312" w:cs="仿宋_GB2312"/>
          <w:color w:val="auto"/>
          <w:sz w:val="32"/>
          <w:szCs w:val="32"/>
        </w:rPr>
        <w:t>美丽河湖建设创建</w:t>
      </w:r>
      <w:r>
        <w:rPr>
          <w:rFonts w:hint="eastAsia" w:ascii="仿宋_GB2312" w:hAnsi="仿宋_GB2312" w:eastAsia="仿宋_GB2312" w:cs="仿宋_GB2312"/>
          <w:color w:val="auto"/>
          <w:sz w:val="32"/>
          <w:szCs w:val="32"/>
          <w:lang w:val="en-US" w:eastAsia="zh-CN"/>
        </w:rPr>
        <w:t>（已创建2条美丽河湖，该项目周期为2年）</w:t>
      </w:r>
      <w:r>
        <w:rPr>
          <w:rFonts w:hint="eastAsia" w:ascii="仿宋_GB2312" w:hAnsi="仿宋_GB2312" w:eastAsia="仿宋_GB2312" w:cs="仿宋_GB2312"/>
          <w:color w:val="auto"/>
          <w:sz w:val="32"/>
          <w:szCs w:val="32"/>
        </w:rPr>
        <w:t>。</w:t>
      </w:r>
    </w:p>
    <w:p w14:paraId="357AC3EB">
      <w:pPr>
        <w:keepNext w:val="0"/>
        <w:keepLines w:val="0"/>
        <w:pageBreakBefore w:val="0"/>
        <w:numPr>
          <w:ilvl w:val="0"/>
          <w:numId w:val="6"/>
        </w:numPr>
        <w:kinsoku/>
        <w:wordWrap/>
        <w:overflowPunct/>
        <w:topLinePunct w:val="0"/>
        <w:autoSpaceDE/>
        <w:autoSpaceDN/>
        <w:bidi w:val="0"/>
        <w:adjustRightInd w:val="0"/>
        <w:snapToGrid w:val="0"/>
        <w:spacing w:line="560" w:lineRule="exact"/>
        <w:ind w:left="0" w:leftChars="0" w:firstLine="643" w:firstLineChars="200"/>
        <w:textAlignment w:val="auto"/>
        <w:rPr>
          <w:rFonts w:hint="eastAsia" w:ascii="仿宋_GB2312" w:hAnsi="仿宋_GB2312" w:eastAsia="仿宋_GB2312" w:cs="仿宋_GB2312"/>
          <w:b/>
          <w:color w:val="auto"/>
          <w:sz w:val="32"/>
          <w:szCs w:val="32"/>
          <w:highlight w:val="none"/>
          <w:u w:val="none"/>
          <w:lang w:val="en-US" w:eastAsia="zh-CN"/>
        </w:rPr>
      </w:pPr>
      <w:r>
        <w:rPr>
          <w:rFonts w:hint="eastAsia" w:ascii="仿宋_GB2312" w:hAnsi="仿宋_GB2312" w:eastAsia="仿宋_GB2312" w:cs="仿宋_GB2312"/>
          <w:b/>
          <w:color w:val="auto"/>
          <w:sz w:val="32"/>
          <w:szCs w:val="32"/>
          <w:highlight w:val="none"/>
          <w:u w:val="none"/>
          <w:lang w:val="en-US" w:eastAsia="zh-CN"/>
        </w:rPr>
        <w:t>实施目的及支持方向。</w:t>
      </w:r>
    </w:p>
    <w:p w14:paraId="5ADE76CC">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sz w:val="32"/>
          <w:szCs w:val="32"/>
          <w:highlight w:val="none"/>
          <w:lang w:val="en-US" w:eastAsia="zh-CN"/>
        </w:rPr>
        <w:t>1.实施目的：</w:t>
      </w:r>
      <w:r>
        <w:rPr>
          <w:rFonts w:hint="eastAsia" w:ascii="仿宋_GB2312" w:hAnsi="仿宋_GB2312" w:eastAsia="仿宋_GB2312" w:cs="仿宋_GB2312"/>
          <w:color w:val="auto"/>
          <w:kern w:val="0"/>
          <w:sz w:val="32"/>
          <w:szCs w:val="32"/>
          <w:highlight w:val="none"/>
          <w:u w:val="none"/>
          <w:shd w:val="clear" w:color="auto" w:fill="FFFFFF"/>
          <w:lang w:val="en-US" w:eastAsia="zh-CN"/>
        </w:rPr>
        <w:t>按照阿坝州委、州政府“建设民族地区高质量发展典范”目标，</w:t>
      </w:r>
      <w:r>
        <w:rPr>
          <w:rFonts w:hint="eastAsia" w:ascii="仿宋_GB2312" w:hAnsi="仿宋_GB2312" w:eastAsia="仿宋_GB2312" w:cs="仿宋_GB2312"/>
          <w:color w:val="auto"/>
          <w:sz w:val="32"/>
          <w:szCs w:val="32"/>
        </w:rPr>
        <w:t>以更高标准打好蓝天、碧水、净土保卫战，以高水平保护推动高质量发展、</w:t>
      </w:r>
      <w:r>
        <w:rPr>
          <w:rFonts w:hint="eastAsia" w:ascii="仿宋_GB2312" w:hAnsi="仿宋_GB2312" w:eastAsia="仿宋_GB2312" w:cs="仿宋_GB2312"/>
          <w:color w:val="auto"/>
          <w:kern w:val="0"/>
          <w:sz w:val="32"/>
          <w:szCs w:val="32"/>
          <w:highlight w:val="none"/>
          <w:u w:val="none"/>
          <w:shd w:val="clear" w:color="auto" w:fill="FFFFFF"/>
          <w:lang w:val="en-US" w:eastAsia="zh-CN"/>
        </w:rPr>
        <w:t>以美丽河湖建设为抓手，深化碧水保卫战，破解河湖生态保护与发展的矛盾，补齐生态治理短板，</w:t>
      </w:r>
      <w:r>
        <w:rPr>
          <w:rFonts w:hint="eastAsia" w:ascii="仿宋_GB2312" w:hAnsi="仿宋_GB2312" w:eastAsia="仿宋_GB2312" w:cs="仿宋_GB2312"/>
          <w:color w:val="auto"/>
          <w:sz w:val="32"/>
          <w:szCs w:val="32"/>
        </w:rPr>
        <w:t>创造高品质生活，努力建设人与自然和谐共生的美丽中国。</w:t>
      </w:r>
    </w:p>
    <w:p w14:paraId="531F403E">
      <w:pPr>
        <w:keepNext w:val="0"/>
        <w:keepLines w:val="0"/>
        <w:pageBreakBefore w:val="0"/>
        <w:widowControl/>
        <w:kinsoku/>
        <w:wordWrap/>
        <w:overflowPunct/>
        <w:topLinePunct w:val="0"/>
        <w:autoSpaceDE/>
        <w:autoSpaceDN/>
        <w:bidi w:val="0"/>
        <w:spacing w:line="560" w:lineRule="exact"/>
        <w:ind w:firstLine="643" w:firstLineChars="200"/>
        <w:jc w:val="left"/>
        <w:textAlignment w:val="auto"/>
        <w:outlineLvl w:val="2"/>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t>2.支持方向：</w:t>
      </w:r>
      <w:r>
        <w:rPr>
          <w:rFonts w:hint="eastAsia" w:ascii="仿宋_GB2312" w:hAnsi="Arial" w:eastAsia="仿宋_GB2312" w:cs="Arial"/>
          <w:color w:val="1F2329"/>
          <w:kern w:val="0"/>
          <w:sz w:val="32"/>
          <w:szCs w:val="32"/>
        </w:rPr>
        <w:t>承担区域生态环境监管、监测、信息化项目建设及运维管理等职能。</w:t>
      </w:r>
    </w:p>
    <w:p w14:paraId="1EB9F441">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3" w:firstLineChars="200"/>
        <w:contextualSpacing/>
        <w:jc w:val="left"/>
        <w:textAlignment w:val="auto"/>
        <w:rPr>
          <w:rFonts w:hint="eastAsia" w:ascii="仿宋_GB2312" w:hAnsi="仿宋_GB2312" w:eastAsia="仿宋_GB2312" w:cs="仿宋_GB2312"/>
          <w:b/>
          <w:color w:val="auto"/>
          <w:sz w:val="32"/>
          <w:szCs w:val="32"/>
          <w:highlight w:val="none"/>
          <w:u w:val="none"/>
          <w:lang w:val="zh-CN" w:eastAsia="zh-CN"/>
        </w:rPr>
      </w:pPr>
      <w:r>
        <w:rPr>
          <w:rFonts w:hint="eastAsia" w:ascii="仿宋_GB2312" w:hAnsi="仿宋_GB2312" w:eastAsia="仿宋_GB2312" w:cs="仿宋_GB2312"/>
          <w:b/>
          <w:color w:val="auto"/>
          <w:sz w:val="32"/>
          <w:szCs w:val="32"/>
          <w:highlight w:val="none"/>
          <w:u w:val="none"/>
          <w:lang w:val="zh-CN" w:eastAsia="zh-CN"/>
        </w:rPr>
        <w:t>（三）</w:t>
      </w:r>
      <w:r>
        <w:rPr>
          <w:rFonts w:hint="eastAsia" w:ascii="仿宋_GB2312" w:hAnsi="仿宋_GB2312" w:eastAsia="仿宋_GB2312" w:cs="仿宋_GB2312"/>
          <w:b/>
          <w:color w:val="auto"/>
          <w:sz w:val="32"/>
          <w:szCs w:val="32"/>
          <w:highlight w:val="none"/>
          <w:u w:val="none"/>
          <w:lang w:val="en-US" w:eastAsia="zh-CN"/>
        </w:rPr>
        <w:t>预算安排及分配管理</w:t>
      </w:r>
      <w:r>
        <w:rPr>
          <w:rFonts w:hint="eastAsia" w:ascii="仿宋_GB2312" w:hAnsi="仿宋_GB2312" w:eastAsia="仿宋_GB2312" w:cs="仿宋_GB2312"/>
          <w:b/>
          <w:color w:val="auto"/>
          <w:sz w:val="32"/>
          <w:szCs w:val="32"/>
          <w:highlight w:val="none"/>
          <w:u w:val="none"/>
          <w:lang w:val="zh-CN" w:eastAsia="zh-CN"/>
        </w:rPr>
        <w:t>。</w:t>
      </w:r>
    </w:p>
    <w:p w14:paraId="730E91D2">
      <w:pPr>
        <w:keepNext w:val="0"/>
        <w:keepLines w:val="0"/>
        <w:pageBreakBefore w:val="0"/>
        <w:widowControl/>
        <w:numPr>
          <w:ilvl w:val="0"/>
          <w:numId w:val="0"/>
        </w:numPr>
        <w:kinsoku/>
        <w:wordWrap/>
        <w:overflowPunct/>
        <w:topLinePunct w:val="0"/>
        <w:autoSpaceDE/>
        <w:autoSpaceDN/>
        <w:bidi w:val="0"/>
        <w:adjustRightInd/>
        <w:spacing w:line="560" w:lineRule="exact"/>
        <w:ind w:firstLine="643" w:firstLineChars="200"/>
        <w:jc w:val="left"/>
        <w:textAlignment w:val="auto"/>
        <w:rPr>
          <w:rFonts w:hint="eastAsia" w:ascii="仿宋_GB2312" w:hAnsi="仿宋_GB2312" w:eastAsia="仿宋_GB2312" w:cs="仿宋_GB2312"/>
          <w:b/>
          <w:bCs/>
          <w:kern w:val="0"/>
          <w:position w:val="3"/>
          <w:sz w:val="32"/>
          <w:szCs w:val="32"/>
          <w:highlight w:val="none"/>
          <w:lang w:val="en-US" w:eastAsia="zh-CN" w:bidi="ar-SA"/>
        </w:rPr>
      </w:pPr>
      <w:r>
        <w:rPr>
          <w:rFonts w:hint="eastAsia" w:ascii="仿宋_GB2312" w:hAnsi="仿宋_GB2312" w:eastAsia="仿宋_GB2312" w:cs="仿宋_GB2312"/>
          <w:b/>
          <w:bCs/>
          <w:kern w:val="0"/>
          <w:position w:val="3"/>
          <w:sz w:val="32"/>
          <w:szCs w:val="32"/>
          <w:highlight w:val="none"/>
          <w:lang w:val="en-US" w:eastAsia="en-US" w:bidi="ar-SA"/>
        </w:rPr>
        <w:t>1.项目周期：</w:t>
      </w:r>
      <w:r>
        <w:rPr>
          <w:rFonts w:hint="eastAsia" w:ascii="仿宋_GB2312" w:hAnsi="仿宋_GB2312" w:eastAsia="仿宋_GB2312" w:cs="仿宋_GB2312"/>
          <w:color w:val="auto"/>
          <w:kern w:val="0"/>
          <w:position w:val="3"/>
          <w:sz w:val="32"/>
          <w:szCs w:val="32"/>
          <w:lang w:val="en-US" w:eastAsia="en-US" w:bidi="ar-SA"/>
        </w:rPr>
        <w:t>集中式饮用水水源地水质专项调查监测</w:t>
      </w:r>
      <w:r>
        <w:rPr>
          <w:rFonts w:hint="eastAsia" w:ascii="仿宋_GB2312" w:hAnsi="仿宋_GB2312" w:eastAsia="仿宋_GB2312" w:cs="仿宋_GB2312"/>
          <w:color w:val="auto"/>
          <w:kern w:val="0"/>
          <w:position w:val="3"/>
          <w:sz w:val="32"/>
          <w:szCs w:val="32"/>
          <w:lang w:val="en-US" w:eastAsia="zh-CN" w:bidi="ar-SA"/>
        </w:rPr>
        <w:t>已完成；</w:t>
      </w:r>
      <w:r>
        <w:rPr>
          <w:rFonts w:hint="eastAsia" w:ascii="仿宋_GB2312" w:hAnsi="仿宋_GB2312" w:eastAsia="仿宋_GB2312" w:cs="仿宋_GB2312"/>
          <w:color w:val="auto"/>
          <w:kern w:val="0"/>
          <w:position w:val="3"/>
          <w:sz w:val="32"/>
          <w:szCs w:val="32"/>
          <w:lang w:val="en-US" w:eastAsia="en-US" w:bidi="ar-SA"/>
        </w:rPr>
        <w:t>土壤污染重点行业企业监督性监测</w:t>
      </w:r>
      <w:r>
        <w:rPr>
          <w:rFonts w:hint="eastAsia" w:ascii="仿宋_GB2312" w:hAnsi="仿宋_GB2312" w:eastAsia="仿宋_GB2312" w:cs="仿宋_GB2312"/>
          <w:kern w:val="0"/>
          <w:position w:val="3"/>
          <w:sz w:val="32"/>
          <w:szCs w:val="32"/>
          <w:highlight w:val="none"/>
          <w:lang w:val="en-US" w:eastAsia="en-US" w:bidi="ar-SA"/>
        </w:rPr>
        <w:t>周期为</w:t>
      </w:r>
      <w:r>
        <w:rPr>
          <w:rFonts w:hint="eastAsia" w:ascii="仿宋_GB2312" w:hAnsi="仿宋_GB2312" w:eastAsia="仿宋_GB2312" w:cs="仿宋_GB2312"/>
          <w:kern w:val="0"/>
          <w:position w:val="3"/>
          <w:sz w:val="32"/>
          <w:szCs w:val="32"/>
          <w:highlight w:val="none"/>
          <w:lang w:val="en-US" w:eastAsia="zh-CN" w:bidi="ar-SA"/>
        </w:rPr>
        <w:t>2年；</w:t>
      </w:r>
      <w:r>
        <w:rPr>
          <w:rFonts w:hint="eastAsia" w:ascii="仿宋_GB2312" w:hAnsi="仿宋_GB2312" w:eastAsia="仿宋_GB2312" w:cs="仿宋_GB2312"/>
          <w:color w:val="auto"/>
          <w:kern w:val="0"/>
          <w:position w:val="3"/>
          <w:sz w:val="32"/>
          <w:szCs w:val="32"/>
          <w:lang w:val="en-US" w:eastAsia="en-US" w:bidi="ar-SA"/>
        </w:rPr>
        <w:t>美丽河湖建设创建</w:t>
      </w:r>
      <w:r>
        <w:rPr>
          <w:rFonts w:hint="eastAsia" w:ascii="仿宋_GB2312" w:hAnsi="仿宋_GB2312" w:eastAsia="仿宋_GB2312" w:cs="仿宋_GB2312"/>
          <w:kern w:val="0"/>
          <w:position w:val="3"/>
          <w:sz w:val="32"/>
          <w:szCs w:val="32"/>
          <w:highlight w:val="none"/>
          <w:lang w:val="en-US" w:eastAsia="en-US" w:bidi="ar-SA"/>
        </w:rPr>
        <w:t>实施周期为</w:t>
      </w:r>
      <w:r>
        <w:rPr>
          <w:rFonts w:hint="eastAsia" w:ascii="仿宋_GB2312" w:hAnsi="仿宋_GB2312" w:eastAsia="仿宋_GB2312" w:cs="仿宋_GB2312"/>
          <w:kern w:val="0"/>
          <w:position w:val="3"/>
          <w:sz w:val="32"/>
          <w:szCs w:val="32"/>
          <w:highlight w:val="none"/>
          <w:lang w:val="en-US" w:eastAsia="zh-CN" w:bidi="ar-SA"/>
        </w:rPr>
        <w:t>2</w:t>
      </w:r>
      <w:r>
        <w:rPr>
          <w:rFonts w:hint="eastAsia" w:ascii="仿宋_GB2312" w:hAnsi="仿宋_GB2312" w:eastAsia="仿宋_GB2312" w:cs="仿宋_GB2312"/>
          <w:kern w:val="0"/>
          <w:position w:val="3"/>
          <w:sz w:val="32"/>
          <w:szCs w:val="32"/>
          <w:highlight w:val="none"/>
          <w:lang w:val="en-US" w:eastAsia="en-US" w:bidi="ar-SA"/>
        </w:rPr>
        <w:t>年</w:t>
      </w:r>
      <w:r>
        <w:rPr>
          <w:rFonts w:hint="eastAsia" w:ascii="仿宋_GB2312" w:hAnsi="仿宋_GB2312" w:eastAsia="仿宋_GB2312" w:cs="仿宋_GB2312"/>
          <w:color w:val="auto"/>
          <w:kern w:val="0"/>
          <w:position w:val="3"/>
          <w:sz w:val="32"/>
          <w:szCs w:val="32"/>
          <w:lang w:val="en-US" w:eastAsia="zh-CN" w:bidi="ar-SA"/>
        </w:rPr>
        <w:t>；</w:t>
      </w:r>
      <w:r>
        <w:rPr>
          <w:rFonts w:hint="eastAsia" w:ascii="仿宋_GB2312" w:hAnsi="仿宋_GB2312" w:eastAsia="仿宋_GB2312" w:cs="仿宋_GB2312"/>
          <w:color w:val="auto"/>
          <w:kern w:val="0"/>
          <w:position w:val="3"/>
          <w:sz w:val="32"/>
          <w:szCs w:val="32"/>
          <w:lang w:val="en-US" w:eastAsia="en-US" w:bidi="ar-SA"/>
        </w:rPr>
        <w:t>阿坝州环境信息化省市县三级统筹建设项目观测站网络租赁项目</w:t>
      </w:r>
      <w:r>
        <w:rPr>
          <w:rFonts w:hint="eastAsia" w:ascii="仿宋_GB2312" w:hAnsi="仿宋_GB2312" w:eastAsia="仿宋_GB2312" w:cs="仿宋_GB2312"/>
          <w:kern w:val="0"/>
          <w:position w:val="3"/>
          <w:sz w:val="32"/>
          <w:szCs w:val="32"/>
          <w:highlight w:val="none"/>
          <w:lang w:val="en-US" w:eastAsia="en-US" w:bidi="ar-SA"/>
        </w:rPr>
        <w:t>实施周期为</w:t>
      </w:r>
      <w:r>
        <w:rPr>
          <w:rFonts w:hint="eastAsia" w:ascii="仿宋_GB2312" w:hAnsi="仿宋_GB2312" w:eastAsia="仿宋_GB2312" w:cs="仿宋_GB2312"/>
          <w:kern w:val="0"/>
          <w:position w:val="3"/>
          <w:sz w:val="32"/>
          <w:szCs w:val="32"/>
          <w:highlight w:val="none"/>
          <w:lang w:val="en-US" w:eastAsia="zh-CN" w:bidi="ar-SA"/>
        </w:rPr>
        <w:t>3</w:t>
      </w:r>
      <w:r>
        <w:rPr>
          <w:rFonts w:hint="eastAsia" w:ascii="仿宋_GB2312" w:hAnsi="仿宋_GB2312" w:eastAsia="仿宋_GB2312" w:cs="仿宋_GB2312"/>
          <w:kern w:val="0"/>
          <w:position w:val="3"/>
          <w:sz w:val="32"/>
          <w:szCs w:val="32"/>
          <w:highlight w:val="none"/>
          <w:lang w:val="en-US" w:eastAsia="en-US" w:bidi="ar-SA"/>
        </w:rPr>
        <w:t>年</w:t>
      </w:r>
      <w:r>
        <w:rPr>
          <w:rFonts w:hint="eastAsia" w:ascii="仿宋_GB2312" w:hAnsi="仿宋_GB2312" w:eastAsia="仿宋_GB2312" w:cs="仿宋_GB2312"/>
          <w:kern w:val="0"/>
          <w:position w:val="3"/>
          <w:sz w:val="32"/>
          <w:szCs w:val="32"/>
          <w:highlight w:val="none"/>
          <w:lang w:val="en-US" w:eastAsia="zh-CN" w:bidi="ar-SA"/>
        </w:rPr>
        <w:t>。</w:t>
      </w:r>
    </w:p>
    <w:p w14:paraId="21DA9C2D">
      <w:pPr>
        <w:keepNext w:val="0"/>
        <w:keepLines w:val="0"/>
        <w:pageBreakBefore w:val="0"/>
        <w:widowControl/>
        <w:numPr>
          <w:ilvl w:val="0"/>
          <w:numId w:val="0"/>
        </w:numPr>
        <w:kinsoku/>
        <w:wordWrap/>
        <w:overflowPunct/>
        <w:topLinePunct w:val="0"/>
        <w:autoSpaceDE/>
        <w:autoSpaceDN/>
        <w:bidi w:val="0"/>
        <w:adjustRightInd/>
        <w:spacing w:line="560" w:lineRule="exact"/>
        <w:ind w:firstLine="643" w:firstLineChars="200"/>
        <w:jc w:val="left"/>
        <w:textAlignment w:val="auto"/>
        <w:rPr>
          <w:rFonts w:hint="eastAsia" w:ascii="仿宋_GB2312" w:hAnsi="仿宋_GB2312" w:eastAsia="仿宋_GB2312" w:cs="仿宋_GB2312"/>
          <w:kern w:val="0"/>
          <w:position w:val="3"/>
          <w:sz w:val="32"/>
          <w:szCs w:val="32"/>
          <w:highlight w:val="none"/>
          <w:lang w:val="en-US" w:eastAsia="en-US" w:bidi="ar-SA"/>
        </w:rPr>
      </w:pPr>
      <w:r>
        <w:rPr>
          <w:rFonts w:hint="eastAsia" w:ascii="仿宋_GB2312" w:hAnsi="仿宋_GB2312" w:eastAsia="仿宋_GB2312" w:cs="仿宋_GB2312"/>
          <w:b/>
          <w:bCs/>
          <w:kern w:val="0"/>
          <w:position w:val="3"/>
          <w:sz w:val="32"/>
          <w:szCs w:val="32"/>
          <w:highlight w:val="none"/>
          <w:lang w:val="en-US" w:eastAsia="en-US" w:bidi="ar-SA"/>
        </w:rPr>
        <w:t>2.预算总额：</w:t>
      </w:r>
      <w:r>
        <w:rPr>
          <w:rFonts w:hint="eastAsia" w:ascii="仿宋_GB2312" w:hAnsi="仿宋_GB2312" w:eastAsia="仿宋_GB2312" w:cs="仿宋_GB2312"/>
          <w:color w:val="auto"/>
          <w:kern w:val="0"/>
          <w:position w:val="3"/>
          <w:sz w:val="32"/>
          <w:szCs w:val="32"/>
          <w:lang w:val="en-US" w:eastAsia="en-US" w:bidi="ar-SA"/>
        </w:rPr>
        <w:t>工作经费</w:t>
      </w:r>
      <w:r>
        <w:rPr>
          <w:rFonts w:hint="eastAsia" w:ascii="仿宋_GB2312" w:hAnsi="仿宋_GB2312" w:eastAsia="仿宋_GB2312" w:cs="仿宋_GB2312"/>
          <w:color w:val="auto"/>
          <w:kern w:val="0"/>
          <w:position w:val="3"/>
          <w:sz w:val="32"/>
          <w:szCs w:val="32"/>
          <w:lang w:val="en-US" w:eastAsia="zh-CN" w:bidi="ar-SA"/>
        </w:rPr>
        <w:t>共461</w:t>
      </w:r>
      <w:r>
        <w:rPr>
          <w:rFonts w:hint="eastAsia" w:ascii="仿宋_GB2312" w:hAnsi="仿宋_GB2312" w:eastAsia="仿宋_GB2312" w:cs="仿宋_GB2312"/>
          <w:color w:val="auto"/>
          <w:kern w:val="0"/>
          <w:position w:val="3"/>
          <w:sz w:val="32"/>
          <w:szCs w:val="32"/>
          <w:lang w:val="en-US" w:eastAsia="en-US" w:bidi="ar-SA"/>
        </w:rPr>
        <w:t>万元，2025年地下水监测</w:t>
      </w:r>
      <w:r>
        <w:rPr>
          <w:rFonts w:hint="eastAsia" w:ascii="仿宋_GB2312" w:hAnsi="仿宋_GB2312" w:eastAsia="仿宋_GB2312" w:cs="仿宋_GB2312"/>
          <w:color w:val="auto"/>
          <w:kern w:val="0"/>
          <w:position w:val="3"/>
          <w:sz w:val="32"/>
          <w:szCs w:val="32"/>
          <w:lang w:val="en-US" w:eastAsia="zh-CN" w:bidi="ar-SA"/>
        </w:rPr>
        <w:t>70万；</w:t>
      </w:r>
      <w:r>
        <w:rPr>
          <w:rFonts w:hint="eastAsia" w:ascii="仿宋_GB2312" w:hAnsi="仿宋_GB2312" w:eastAsia="仿宋_GB2312" w:cs="仿宋_GB2312"/>
          <w:color w:val="auto"/>
          <w:kern w:val="0"/>
          <w:position w:val="3"/>
          <w:sz w:val="32"/>
          <w:szCs w:val="32"/>
          <w:lang w:val="en-US" w:eastAsia="en-US" w:bidi="ar-SA"/>
        </w:rPr>
        <w:t>2025重点流域水生态调查监测</w:t>
      </w:r>
      <w:r>
        <w:rPr>
          <w:rFonts w:hint="eastAsia" w:ascii="仿宋_GB2312" w:hAnsi="仿宋_GB2312" w:eastAsia="仿宋_GB2312" w:cs="仿宋_GB2312"/>
          <w:color w:val="auto"/>
          <w:kern w:val="0"/>
          <w:position w:val="3"/>
          <w:sz w:val="32"/>
          <w:szCs w:val="32"/>
          <w:lang w:val="en-US" w:eastAsia="zh-CN" w:bidi="ar-SA"/>
        </w:rPr>
        <w:t>20万；</w:t>
      </w:r>
      <w:r>
        <w:rPr>
          <w:rFonts w:hint="eastAsia" w:ascii="仿宋_GB2312" w:hAnsi="仿宋_GB2312" w:eastAsia="仿宋_GB2312" w:cs="仿宋_GB2312"/>
          <w:color w:val="auto"/>
          <w:kern w:val="0"/>
          <w:position w:val="3"/>
          <w:sz w:val="32"/>
          <w:szCs w:val="32"/>
          <w:lang w:val="en-US" w:eastAsia="en-US" w:bidi="ar-SA"/>
        </w:rPr>
        <w:t>集中式饮用水水源地水质专项调查监测</w:t>
      </w:r>
      <w:r>
        <w:rPr>
          <w:rFonts w:hint="eastAsia" w:ascii="仿宋_GB2312" w:hAnsi="仿宋_GB2312" w:eastAsia="仿宋_GB2312" w:cs="仿宋_GB2312"/>
          <w:color w:val="auto"/>
          <w:kern w:val="0"/>
          <w:position w:val="3"/>
          <w:sz w:val="32"/>
          <w:szCs w:val="32"/>
          <w:lang w:val="en-US" w:eastAsia="zh-CN" w:bidi="ar-SA"/>
        </w:rPr>
        <w:t>120万；</w:t>
      </w:r>
      <w:r>
        <w:rPr>
          <w:rFonts w:hint="eastAsia" w:ascii="仿宋_GB2312" w:hAnsi="仿宋_GB2312" w:eastAsia="仿宋_GB2312" w:cs="仿宋_GB2312"/>
          <w:color w:val="auto"/>
          <w:kern w:val="0"/>
          <w:position w:val="3"/>
          <w:sz w:val="32"/>
          <w:szCs w:val="32"/>
          <w:lang w:val="en-US" w:eastAsia="en-US" w:bidi="ar-SA"/>
        </w:rPr>
        <w:t>土壤污染重点行业企业监督性监测</w:t>
      </w:r>
      <w:r>
        <w:rPr>
          <w:rFonts w:hint="eastAsia" w:ascii="仿宋_GB2312" w:hAnsi="仿宋_GB2312" w:eastAsia="仿宋_GB2312" w:cs="仿宋_GB2312"/>
          <w:color w:val="auto"/>
          <w:kern w:val="0"/>
          <w:position w:val="3"/>
          <w:sz w:val="32"/>
          <w:szCs w:val="32"/>
          <w:lang w:val="en-US" w:eastAsia="zh-CN" w:bidi="ar-SA"/>
        </w:rPr>
        <w:t>80万；</w:t>
      </w:r>
      <w:r>
        <w:rPr>
          <w:rFonts w:hint="eastAsia" w:ascii="仿宋_GB2312" w:hAnsi="仿宋_GB2312" w:eastAsia="仿宋_GB2312" w:cs="仿宋_GB2312"/>
          <w:color w:val="auto"/>
          <w:kern w:val="0"/>
          <w:position w:val="3"/>
          <w:sz w:val="32"/>
          <w:szCs w:val="32"/>
          <w:lang w:val="en-US" w:eastAsia="en-US" w:bidi="ar-SA"/>
        </w:rPr>
        <w:t>阿坝州环境信息化省市县三级统筹建设项目观测站网络租赁项目</w:t>
      </w:r>
      <w:r>
        <w:rPr>
          <w:rFonts w:hint="eastAsia" w:ascii="仿宋_GB2312" w:hAnsi="仿宋_GB2312" w:eastAsia="仿宋_GB2312" w:cs="仿宋_GB2312"/>
          <w:color w:val="auto"/>
          <w:kern w:val="0"/>
          <w:position w:val="3"/>
          <w:sz w:val="32"/>
          <w:szCs w:val="32"/>
          <w:lang w:val="en-US" w:eastAsia="zh-CN" w:bidi="ar-SA"/>
        </w:rPr>
        <w:t>46万；</w:t>
      </w:r>
      <w:r>
        <w:rPr>
          <w:rFonts w:hint="eastAsia" w:ascii="仿宋_GB2312" w:hAnsi="仿宋_GB2312" w:eastAsia="仿宋_GB2312" w:cs="仿宋_GB2312"/>
          <w:color w:val="auto"/>
          <w:kern w:val="0"/>
          <w:position w:val="3"/>
          <w:sz w:val="32"/>
          <w:szCs w:val="32"/>
          <w:lang w:val="en-US" w:eastAsia="en-US" w:bidi="ar-SA"/>
        </w:rPr>
        <w:t>“十五五”重点流域水生态环境保护规划</w:t>
      </w:r>
      <w:r>
        <w:rPr>
          <w:rFonts w:hint="eastAsia" w:ascii="仿宋_GB2312" w:hAnsi="仿宋_GB2312" w:eastAsia="仿宋_GB2312" w:cs="仿宋_GB2312"/>
          <w:color w:val="auto"/>
          <w:kern w:val="0"/>
          <w:position w:val="3"/>
          <w:sz w:val="32"/>
          <w:szCs w:val="32"/>
          <w:lang w:val="en-US" w:eastAsia="zh-CN" w:bidi="ar-SA"/>
        </w:rPr>
        <w:t>50万；</w:t>
      </w:r>
      <w:r>
        <w:rPr>
          <w:rFonts w:hint="eastAsia" w:ascii="仿宋_GB2312" w:hAnsi="仿宋_GB2312" w:eastAsia="仿宋_GB2312" w:cs="仿宋_GB2312"/>
          <w:color w:val="auto"/>
          <w:kern w:val="0"/>
          <w:position w:val="3"/>
          <w:sz w:val="32"/>
          <w:szCs w:val="32"/>
          <w:lang w:val="en-US" w:eastAsia="en-US" w:bidi="ar-SA"/>
        </w:rPr>
        <w:t>美丽河湖建设创建</w:t>
      </w:r>
      <w:r>
        <w:rPr>
          <w:rFonts w:hint="eastAsia" w:ascii="仿宋_GB2312" w:hAnsi="仿宋_GB2312" w:eastAsia="仿宋_GB2312" w:cs="仿宋_GB2312"/>
          <w:color w:val="auto"/>
          <w:kern w:val="0"/>
          <w:position w:val="3"/>
          <w:sz w:val="32"/>
          <w:szCs w:val="32"/>
          <w:lang w:val="en-US" w:eastAsia="zh-CN" w:bidi="ar-SA"/>
        </w:rPr>
        <w:t>75万。</w:t>
      </w:r>
    </w:p>
    <w:p w14:paraId="6DD2AEF3">
      <w:pPr>
        <w:keepNext w:val="0"/>
        <w:keepLines w:val="0"/>
        <w:pageBreakBefore w:val="0"/>
        <w:kinsoku/>
        <w:wordWrap/>
        <w:overflowPunct/>
        <w:topLinePunct w:val="0"/>
        <w:autoSpaceDE/>
        <w:autoSpaceDN/>
        <w:bidi w:val="0"/>
        <w:adjustRightInd w:val="0"/>
        <w:snapToGrid w:val="0"/>
        <w:spacing w:line="560" w:lineRule="exact"/>
        <w:ind w:firstLine="643" w:firstLineChars="200"/>
        <w:jc w:val="both"/>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b/>
          <w:bCs/>
          <w:sz w:val="32"/>
          <w:szCs w:val="32"/>
          <w:highlight w:val="none"/>
        </w:rPr>
        <w:t>3.支付管理：</w:t>
      </w:r>
      <w:r>
        <w:rPr>
          <w:rFonts w:hint="eastAsia" w:ascii="仿宋_GB2312" w:hAnsi="仿宋_GB2312" w:eastAsia="仿宋_GB2312" w:cs="仿宋_GB2312"/>
          <w:sz w:val="32"/>
          <w:szCs w:val="32"/>
          <w:highlight w:val="none"/>
        </w:rPr>
        <w:t>严格按照合同约定及项目实施进度分阶段支付资金</w:t>
      </w:r>
      <w:r>
        <w:rPr>
          <w:rFonts w:hint="eastAsia" w:ascii="仿宋_GB2312" w:hAnsi="仿宋_GB2312" w:eastAsia="仿宋_GB2312" w:cs="仿宋_GB2312"/>
          <w:sz w:val="32"/>
          <w:szCs w:val="32"/>
          <w:highlight w:val="none"/>
          <w:lang w:eastAsia="zh-CN"/>
        </w:rPr>
        <w:t>。</w:t>
      </w:r>
    </w:p>
    <w:p w14:paraId="44FEA400">
      <w:pPr>
        <w:keepNext w:val="0"/>
        <w:keepLines w:val="0"/>
        <w:pageBreakBefore w:val="0"/>
        <w:widowControl/>
        <w:numPr>
          <w:ilvl w:val="0"/>
          <w:numId w:val="0"/>
        </w:numPr>
        <w:kinsoku/>
        <w:wordWrap/>
        <w:overflowPunct/>
        <w:topLinePunct w:val="0"/>
        <w:autoSpaceDE/>
        <w:autoSpaceDN/>
        <w:bidi w:val="0"/>
        <w:adjustRightInd/>
        <w:spacing w:line="560" w:lineRule="exact"/>
        <w:ind w:firstLine="643" w:firstLineChars="200"/>
        <w:jc w:val="left"/>
        <w:textAlignment w:val="auto"/>
        <w:rPr>
          <w:rFonts w:hint="eastAsia" w:ascii="仿宋_GB2312" w:hAnsi="仿宋_GB2312" w:eastAsia="仿宋_GB2312" w:cs="仿宋_GB2312"/>
          <w:kern w:val="0"/>
          <w:position w:val="3"/>
          <w:sz w:val="32"/>
          <w:szCs w:val="32"/>
          <w:highlight w:val="none"/>
          <w:lang w:val="en-US" w:eastAsia="en-US" w:bidi="ar-SA"/>
        </w:rPr>
      </w:pPr>
      <w:r>
        <w:rPr>
          <w:rFonts w:hint="eastAsia" w:ascii="仿宋_GB2312" w:hAnsi="仿宋_GB2312" w:eastAsia="仿宋_GB2312" w:cs="仿宋_GB2312"/>
          <w:b/>
          <w:bCs/>
          <w:kern w:val="0"/>
          <w:position w:val="3"/>
          <w:sz w:val="32"/>
          <w:szCs w:val="32"/>
          <w:highlight w:val="none"/>
          <w:lang w:val="en-US" w:eastAsia="en-US" w:bidi="ar-SA"/>
        </w:rPr>
        <w:t>4.资金管理：</w:t>
      </w:r>
      <w:r>
        <w:rPr>
          <w:rFonts w:hint="eastAsia" w:ascii="仿宋_GB2312" w:hAnsi="仿宋_GB2312" w:eastAsia="仿宋_GB2312" w:cs="仿宋_GB2312"/>
          <w:kern w:val="0"/>
          <w:position w:val="3"/>
          <w:sz w:val="32"/>
          <w:szCs w:val="32"/>
          <w:highlight w:val="none"/>
          <w:lang w:val="en-US" w:eastAsia="en-US" w:bidi="ar-SA"/>
        </w:rPr>
        <w:t>严格执行财政资金管理相关规定，建立专账核算、专款专用制度，规范资金审批、拨付、使用流程，全程接受财政、审计</w:t>
      </w:r>
      <w:r>
        <w:rPr>
          <w:rFonts w:hint="eastAsia" w:ascii="仿宋_GB2312" w:hAnsi="仿宋_GB2312" w:eastAsia="仿宋_GB2312" w:cs="仿宋_GB2312"/>
          <w:kern w:val="0"/>
          <w:position w:val="3"/>
          <w:sz w:val="32"/>
          <w:szCs w:val="32"/>
          <w:highlight w:val="none"/>
          <w:lang w:val="en-US" w:eastAsia="zh-CN" w:bidi="ar-SA"/>
        </w:rPr>
        <w:t>等</w:t>
      </w:r>
      <w:r>
        <w:rPr>
          <w:rFonts w:hint="eastAsia" w:ascii="仿宋_GB2312" w:hAnsi="仿宋_GB2312" w:eastAsia="仿宋_GB2312" w:cs="仿宋_GB2312"/>
          <w:kern w:val="0"/>
          <w:position w:val="3"/>
          <w:sz w:val="32"/>
          <w:szCs w:val="32"/>
          <w:highlight w:val="none"/>
          <w:lang w:val="en-US" w:eastAsia="en-US" w:bidi="ar-SA"/>
        </w:rPr>
        <w:t>监督检查，确保资金使用合规、高效、透明。</w:t>
      </w:r>
    </w:p>
    <w:p w14:paraId="4D1F3665">
      <w:pPr>
        <w:keepNext w:val="0"/>
        <w:keepLines w:val="0"/>
        <w:pageBreakBefore w:val="0"/>
        <w:widowControl/>
        <w:numPr>
          <w:ilvl w:val="0"/>
          <w:numId w:val="0"/>
        </w:numPr>
        <w:kinsoku/>
        <w:wordWrap/>
        <w:overflowPunct/>
        <w:topLinePunct w:val="0"/>
        <w:autoSpaceDE/>
        <w:autoSpaceDN/>
        <w:bidi w:val="0"/>
        <w:adjustRightInd/>
        <w:spacing w:line="560" w:lineRule="exact"/>
        <w:ind w:firstLine="643" w:firstLineChars="200"/>
        <w:jc w:val="left"/>
        <w:textAlignment w:val="auto"/>
        <w:rPr>
          <w:rFonts w:hint="eastAsia" w:ascii="楷体_GB2312" w:hAnsi="楷体_GB2312" w:eastAsia="楷体_GB2312" w:cs="楷体_GB2312"/>
          <w:b/>
          <w:bCs/>
          <w:kern w:val="0"/>
          <w:position w:val="3"/>
          <w:sz w:val="32"/>
          <w:szCs w:val="32"/>
          <w:highlight w:val="none"/>
          <w:lang w:val="en-US" w:eastAsia="en-US" w:bidi="ar-SA"/>
        </w:rPr>
      </w:pPr>
      <w:r>
        <w:rPr>
          <w:rFonts w:hint="eastAsia" w:ascii="楷体_GB2312" w:hAnsi="楷体_GB2312" w:eastAsia="楷体_GB2312" w:cs="楷体_GB2312"/>
          <w:b/>
          <w:bCs/>
          <w:kern w:val="0"/>
          <w:position w:val="3"/>
          <w:sz w:val="32"/>
          <w:szCs w:val="32"/>
          <w:highlight w:val="none"/>
          <w:lang w:val="en-US" w:eastAsia="en-US" w:bidi="ar-SA"/>
        </w:rPr>
        <w:t>（四）项目绩效目标设置</w:t>
      </w:r>
    </w:p>
    <w:p w14:paraId="16031F4C">
      <w:pPr>
        <w:keepNext w:val="0"/>
        <w:keepLines w:val="0"/>
        <w:pageBreakBefore w:val="0"/>
        <w:widowControl/>
        <w:kinsoku/>
        <w:wordWrap/>
        <w:overflowPunct/>
        <w:topLinePunct w:val="0"/>
        <w:autoSpaceDE/>
        <w:autoSpaceDN/>
        <w:bidi w:val="0"/>
        <w:spacing w:line="560" w:lineRule="exact"/>
        <w:ind w:firstLine="643" w:firstLineChars="200"/>
        <w:jc w:val="left"/>
        <w:textAlignment w:val="auto"/>
        <w:rPr>
          <w:rFonts w:hint="eastAsia" w:ascii="仿宋_GB2312" w:hAnsi="Arial" w:eastAsia="仿宋_GB2312" w:cs="Arial"/>
          <w:color w:val="1F2329"/>
          <w:kern w:val="0"/>
          <w:sz w:val="32"/>
          <w:szCs w:val="32"/>
        </w:rPr>
      </w:pPr>
      <w:r>
        <w:rPr>
          <w:rFonts w:hint="eastAsia" w:ascii="仿宋_GB2312" w:hAnsi="仿宋_GB2312" w:eastAsia="仿宋_GB2312" w:cs="仿宋_GB2312"/>
          <w:b/>
          <w:bCs/>
          <w:sz w:val="32"/>
          <w:szCs w:val="32"/>
          <w:highlight w:val="none"/>
        </w:rPr>
        <w:t>1.产出目标：</w:t>
      </w:r>
      <w:r>
        <w:rPr>
          <w:rFonts w:hint="eastAsia" w:ascii="仿宋_GB2312" w:hAnsi="仿宋_GB2312" w:eastAsia="仿宋_GB2312" w:cs="仿宋_GB2312"/>
          <w:b w:val="0"/>
          <w:bCs w:val="0"/>
          <w:sz w:val="32"/>
          <w:szCs w:val="32"/>
          <w:highlight w:val="none"/>
          <w:lang w:eastAsia="zh-CN"/>
        </w:rPr>
        <w:t>完成</w:t>
      </w:r>
      <w:r>
        <w:rPr>
          <w:rFonts w:hint="eastAsia" w:ascii="仿宋_GB2312" w:hAnsi="仿宋_GB2312" w:eastAsia="仿宋_GB2312" w:cs="仿宋_GB2312"/>
          <w:color w:val="auto"/>
          <w:sz w:val="32"/>
          <w:szCs w:val="32"/>
        </w:rPr>
        <w:t>集中式饮用水水源地水质专项调查监测</w:t>
      </w:r>
      <w:r>
        <w:rPr>
          <w:rFonts w:hint="eastAsia" w:ascii="仿宋_GB2312" w:hAnsi="仿宋_GB2312" w:eastAsia="仿宋_GB2312" w:cs="仿宋_GB2312"/>
          <w:color w:val="auto"/>
          <w:sz w:val="32"/>
          <w:szCs w:val="32"/>
          <w:lang w:val="en-US" w:eastAsia="zh-CN"/>
        </w:rPr>
        <w:t>；完成</w:t>
      </w:r>
      <w:r>
        <w:rPr>
          <w:rFonts w:hint="eastAsia" w:ascii="仿宋_GB2312" w:hAnsi="仿宋_GB2312" w:eastAsia="仿宋_GB2312" w:cs="仿宋_GB2312"/>
          <w:color w:val="auto"/>
          <w:sz w:val="32"/>
          <w:szCs w:val="32"/>
        </w:rPr>
        <w:t>土壤污染重点行业企业监督性监测</w:t>
      </w:r>
      <w:r>
        <w:rPr>
          <w:rFonts w:hint="eastAsia" w:ascii="仿宋_GB2312" w:hAnsi="仿宋_GB2312" w:eastAsia="仿宋_GB2312" w:cs="仿宋_GB2312"/>
          <w:color w:val="auto"/>
          <w:sz w:val="32"/>
          <w:szCs w:val="32"/>
          <w:lang w:val="en-US" w:eastAsia="zh-CN"/>
        </w:rPr>
        <w:t>；完成</w:t>
      </w:r>
      <w:r>
        <w:rPr>
          <w:rFonts w:hint="eastAsia" w:ascii="仿宋_GB2312" w:hAnsi="仿宋_GB2312" w:eastAsia="仿宋_GB2312" w:cs="仿宋_GB2312"/>
          <w:color w:val="auto"/>
          <w:sz w:val="32"/>
          <w:szCs w:val="32"/>
        </w:rPr>
        <w:t>阿坝州环境信息化省市县三级统筹建设项目观测站网络租赁</w:t>
      </w:r>
      <w:r>
        <w:rPr>
          <w:rFonts w:hint="eastAsia" w:ascii="仿宋_GB2312" w:hAnsi="仿宋_GB2312" w:eastAsia="仿宋_GB2312" w:cs="仿宋_GB2312"/>
          <w:color w:val="auto"/>
          <w:sz w:val="32"/>
          <w:szCs w:val="32"/>
          <w:lang w:val="en-US" w:eastAsia="zh-CN"/>
        </w:rPr>
        <w:t>；完成</w:t>
      </w:r>
      <w:r>
        <w:rPr>
          <w:rFonts w:hint="eastAsia" w:ascii="仿宋_GB2312" w:hAnsi="仿宋_GB2312" w:eastAsia="仿宋_GB2312" w:cs="仿宋_GB2312"/>
          <w:color w:val="auto"/>
          <w:sz w:val="32"/>
          <w:szCs w:val="32"/>
        </w:rPr>
        <w:t>美丽河湖建设创建</w:t>
      </w:r>
      <w:r>
        <w:rPr>
          <w:rFonts w:hint="eastAsia" w:ascii="仿宋_GB2312" w:hAnsi="仿宋_GB2312" w:eastAsia="仿宋_GB2312" w:cs="仿宋_GB2312"/>
          <w:color w:val="auto"/>
          <w:sz w:val="32"/>
          <w:szCs w:val="32"/>
          <w:lang w:val="en-US" w:eastAsia="zh-CN"/>
        </w:rPr>
        <w:t>。为</w:t>
      </w:r>
      <w:r>
        <w:rPr>
          <w:rFonts w:hint="eastAsia" w:ascii="仿宋_GB2312" w:hAnsi="Arial" w:eastAsia="仿宋_GB2312" w:cs="Arial"/>
          <w:color w:val="1F2329"/>
          <w:kern w:val="0"/>
          <w:sz w:val="32"/>
          <w:szCs w:val="32"/>
        </w:rPr>
        <w:t>生态环境</w:t>
      </w:r>
      <w:r>
        <w:rPr>
          <w:rFonts w:hint="eastAsia" w:ascii="仿宋_GB2312" w:hAnsi="Arial" w:eastAsia="仿宋_GB2312" w:cs="Arial"/>
          <w:color w:val="1F2329"/>
          <w:kern w:val="0"/>
          <w:sz w:val="32"/>
          <w:szCs w:val="32"/>
          <w:lang w:eastAsia="zh-CN"/>
        </w:rPr>
        <w:t>监管提供科学依据，</w:t>
      </w:r>
      <w:r>
        <w:rPr>
          <w:rFonts w:hint="eastAsia" w:ascii="仿宋_GB2312" w:hAnsi="Arial" w:eastAsia="仿宋_GB2312" w:cs="Arial"/>
          <w:color w:val="1F2329"/>
          <w:kern w:val="0"/>
          <w:sz w:val="32"/>
          <w:szCs w:val="32"/>
        </w:rPr>
        <w:t>为区域生态环境监管提供坚实的信息化支撑。</w:t>
      </w:r>
    </w:p>
    <w:p w14:paraId="2F468035">
      <w:pPr>
        <w:keepNext w:val="0"/>
        <w:keepLines w:val="0"/>
        <w:pageBreakBefore w:val="0"/>
        <w:widowControl/>
        <w:numPr>
          <w:ilvl w:val="0"/>
          <w:numId w:val="0"/>
        </w:numPr>
        <w:kinsoku/>
        <w:wordWrap/>
        <w:overflowPunct/>
        <w:topLinePunct w:val="0"/>
        <w:autoSpaceDE/>
        <w:autoSpaceDN/>
        <w:bidi w:val="0"/>
        <w:adjustRightInd/>
        <w:spacing w:line="560" w:lineRule="exact"/>
        <w:ind w:firstLine="643" w:firstLineChars="200"/>
        <w:jc w:val="left"/>
        <w:textAlignment w:val="auto"/>
        <w:rPr>
          <w:rFonts w:hint="eastAsia" w:ascii="仿宋_GB2312" w:hAnsi="仿宋_GB2312" w:eastAsia="仿宋_GB2312" w:cs="仿宋_GB2312"/>
          <w:kern w:val="2"/>
          <w:position w:val="0"/>
          <w:sz w:val="32"/>
          <w:szCs w:val="32"/>
          <w:lang w:val="en-US" w:eastAsia="zh-CN" w:bidi="ar-SA"/>
        </w:rPr>
      </w:pPr>
      <w:r>
        <w:rPr>
          <w:rFonts w:hint="eastAsia" w:ascii="仿宋_GB2312" w:hAnsi="仿宋_GB2312" w:eastAsia="仿宋_GB2312" w:cs="仿宋_GB2312"/>
          <w:b/>
          <w:bCs/>
          <w:kern w:val="0"/>
          <w:position w:val="3"/>
          <w:sz w:val="32"/>
          <w:szCs w:val="32"/>
          <w:highlight w:val="none"/>
          <w:lang w:val="en-US" w:eastAsia="en-US" w:bidi="ar-SA"/>
        </w:rPr>
        <w:t>2.质量目标：</w:t>
      </w:r>
      <w:r>
        <w:rPr>
          <w:rFonts w:hint="eastAsia" w:ascii="仿宋_GB2312" w:hAnsi="仿宋_GB2312" w:eastAsia="仿宋_GB2312" w:cs="仿宋_GB2312"/>
          <w:kern w:val="2"/>
          <w:position w:val="0"/>
          <w:sz w:val="32"/>
          <w:szCs w:val="32"/>
          <w:lang w:val="en-US" w:eastAsia="zh-CN" w:bidi="ar-SA"/>
        </w:rPr>
        <w:t>报告、实施方案、评估材料须严格对照国家、省级政策文件与技术规范，数据真实准确、逻辑清晰严密、结论客观可行。</w:t>
      </w:r>
    </w:p>
    <w:p w14:paraId="25D7C03A">
      <w:pPr>
        <w:keepNext w:val="0"/>
        <w:keepLines w:val="0"/>
        <w:pageBreakBefore w:val="0"/>
        <w:widowControl/>
        <w:numPr>
          <w:ilvl w:val="0"/>
          <w:numId w:val="0"/>
        </w:numPr>
        <w:kinsoku/>
        <w:wordWrap/>
        <w:overflowPunct/>
        <w:topLinePunct w:val="0"/>
        <w:autoSpaceDE/>
        <w:autoSpaceDN/>
        <w:bidi w:val="0"/>
        <w:adjustRightInd/>
        <w:spacing w:line="560" w:lineRule="exact"/>
        <w:ind w:firstLine="643" w:firstLineChars="200"/>
        <w:jc w:val="left"/>
        <w:textAlignment w:val="auto"/>
        <w:rPr>
          <w:rFonts w:hint="eastAsia" w:ascii="仿宋_GB2312" w:hAnsi="仿宋_GB2312" w:eastAsia="仿宋_GB2312" w:cs="仿宋_GB2312"/>
          <w:kern w:val="0"/>
          <w:position w:val="3"/>
          <w:sz w:val="32"/>
          <w:szCs w:val="32"/>
          <w:highlight w:val="none"/>
          <w:lang w:val="en-US" w:eastAsia="en-US" w:bidi="ar-SA"/>
        </w:rPr>
      </w:pPr>
      <w:r>
        <w:rPr>
          <w:rFonts w:hint="eastAsia" w:ascii="仿宋_GB2312" w:hAnsi="仿宋_GB2312" w:eastAsia="仿宋_GB2312" w:cs="仿宋_GB2312"/>
          <w:b/>
          <w:bCs/>
          <w:kern w:val="0"/>
          <w:position w:val="3"/>
          <w:sz w:val="32"/>
          <w:szCs w:val="32"/>
          <w:highlight w:val="none"/>
          <w:lang w:val="en-US" w:eastAsia="en-US" w:bidi="ar-SA"/>
        </w:rPr>
        <w:t>3.时效目标：</w:t>
      </w:r>
      <w:r>
        <w:rPr>
          <w:rFonts w:hint="eastAsia" w:ascii="仿宋_GB2312" w:hAnsi="仿宋_GB2312" w:eastAsia="仿宋_GB2312" w:cs="仿宋_GB2312"/>
          <w:kern w:val="0"/>
          <w:position w:val="3"/>
          <w:sz w:val="32"/>
          <w:szCs w:val="32"/>
          <w:highlight w:val="none"/>
          <w:lang w:val="en-US" w:eastAsia="en-US" w:bidi="ar-SA"/>
        </w:rPr>
        <w:t>按上级通知及项目时序要求做到按期交付、不拖延、不漏项</w:t>
      </w:r>
      <w:r>
        <w:rPr>
          <w:rFonts w:hint="eastAsia" w:ascii="仿宋_GB2312" w:hAnsi="仿宋_GB2312" w:eastAsia="仿宋_GB2312" w:cs="仿宋_GB2312"/>
          <w:kern w:val="0"/>
          <w:position w:val="3"/>
          <w:sz w:val="32"/>
          <w:szCs w:val="32"/>
          <w:highlight w:val="none"/>
          <w:lang w:val="en-US" w:eastAsia="zh-CN" w:bidi="ar-SA"/>
        </w:rPr>
        <w:t>。</w:t>
      </w:r>
    </w:p>
    <w:p w14:paraId="0366EB9D">
      <w:pPr>
        <w:keepNext w:val="0"/>
        <w:keepLines w:val="0"/>
        <w:pageBreakBefore w:val="0"/>
        <w:widowControl/>
        <w:numPr>
          <w:ilvl w:val="0"/>
          <w:numId w:val="0"/>
        </w:numPr>
        <w:kinsoku/>
        <w:wordWrap/>
        <w:overflowPunct/>
        <w:topLinePunct w:val="0"/>
        <w:autoSpaceDE/>
        <w:autoSpaceDN/>
        <w:bidi w:val="0"/>
        <w:adjustRightInd/>
        <w:spacing w:line="560" w:lineRule="exact"/>
        <w:ind w:firstLine="643" w:firstLineChars="200"/>
        <w:jc w:val="left"/>
        <w:textAlignment w:val="auto"/>
        <w:rPr>
          <w:rFonts w:hint="eastAsia" w:ascii="仿宋_GB2312" w:hAnsi="仿宋_GB2312" w:eastAsia="仿宋_GB2312" w:cs="仿宋_GB2312"/>
          <w:kern w:val="0"/>
          <w:position w:val="3"/>
          <w:sz w:val="32"/>
          <w:szCs w:val="32"/>
          <w:highlight w:val="none"/>
          <w:lang w:val="en-US" w:eastAsia="en-US" w:bidi="ar-SA"/>
        </w:rPr>
      </w:pPr>
      <w:r>
        <w:rPr>
          <w:rFonts w:hint="eastAsia" w:ascii="仿宋_GB2312" w:hAnsi="仿宋_GB2312" w:eastAsia="仿宋_GB2312" w:cs="仿宋_GB2312"/>
          <w:b/>
          <w:bCs/>
          <w:kern w:val="0"/>
          <w:position w:val="3"/>
          <w:sz w:val="32"/>
          <w:szCs w:val="32"/>
          <w:highlight w:val="none"/>
          <w:lang w:val="en-US" w:eastAsia="en-US" w:bidi="ar-SA"/>
        </w:rPr>
        <w:t>4.效益目标：</w:t>
      </w:r>
      <w:r>
        <w:rPr>
          <w:rFonts w:hint="eastAsia" w:ascii="仿宋_GB2312" w:hAnsi="仿宋_GB2312" w:eastAsia="仿宋_GB2312" w:cs="仿宋_GB2312"/>
          <w:kern w:val="0"/>
          <w:position w:val="3"/>
          <w:sz w:val="32"/>
          <w:szCs w:val="32"/>
          <w:highlight w:val="none"/>
          <w:lang w:val="en-US" w:eastAsia="en-US" w:bidi="ar-SA"/>
        </w:rPr>
        <w:t>通过评估与方案指引，提升公众对河湖保护的认知度与参与度，增强群众获得感、幸福感，助力筑牢长江黄河上游生态安全屏障。</w:t>
      </w:r>
    </w:p>
    <w:p w14:paraId="079C06BB">
      <w:pPr>
        <w:keepNext w:val="0"/>
        <w:keepLines w:val="0"/>
        <w:pageBreakBefore w:val="0"/>
        <w:widowControl/>
        <w:numPr>
          <w:ilvl w:val="0"/>
          <w:numId w:val="0"/>
        </w:numPr>
        <w:kinsoku/>
        <w:wordWrap/>
        <w:overflowPunct/>
        <w:topLinePunct w:val="0"/>
        <w:autoSpaceDE/>
        <w:autoSpaceDN/>
        <w:bidi w:val="0"/>
        <w:adjustRightInd/>
        <w:spacing w:line="560" w:lineRule="exact"/>
        <w:ind w:firstLine="640" w:firstLineChars="200"/>
        <w:jc w:val="left"/>
        <w:textAlignment w:val="auto"/>
        <w:rPr>
          <w:rFonts w:hint="eastAsia" w:ascii="黑体" w:hAnsi="黑体" w:eastAsia="黑体" w:cs="黑体"/>
          <w:kern w:val="0"/>
          <w:position w:val="3"/>
          <w:sz w:val="32"/>
          <w:szCs w:val="32"/>
          <w:highlight w:val="none"/>
          <w:lang w:val="en-US" w:eastAsia="en-US" w:bidi="ar-SA"/>
        </w:rPr>
      </w:pPr>
      <w:r>
        <w:rPr>
          <w:rFonts w:hint="eastAsia" w:ascii="黑体" w:hAnsi="黑体" w:eastAsia="黑体" w:cs="黑体"/>
          <w:kern w:val="0"/>
          <w:position w:val="3"/>
          <w:sz w:val="32"/>
          <w:szCs w:val="32"/>
          <w:highlight w:val="none"/>
          <w:lang w:val="en-US" w:eastAsia="en-US" w:bidi="ar-SA"/>
        </w:rPr>
        <w:t>二、评价实施</w:t>
      </w:r>
    </w:p>
    <w:p w14:paraId="0A8DD599">
      <w:pPr>
        <w:keepNext w:val="0"/>
        <w:keepLines w:val="0"/>
        <w:pageBreakBefore w:val="0"/>
        <w:widowControl/>
        <w:numPr>
          <w:ilvl w:val="0"/>
          <w:numId w:val="0"/>
        </w:numPr>
        <w:kinsoku/>
        <w:wordWrap/>
        <w:overflowPunct/>
        <w:topLinePunct w:val="0"/>
        <w:autoSpaceDE/>
        <w:autoSpaceDN/>
        <w:bidi w:val="0"/>
        <w:adjustRightInd/>
        <w:spacing w:line="560" w:lineRule="exact"/>
        <w:ind w:firstLine="643" w:firstLineChars="200"/>
        <w:jc w:val="left"/>
        <w:textAlignment w:val="auto"/>
        <w:rPr>
          <w:rFonts w:hint="eastAsia" w:ascii="楷体_GB2312" w:hAnsi="楷体_GB2312" w:eastAsia="楷体_GB2312" w:cs="楷体_GB2312"/>
          <w:b/>
          <w:bCs/>
          <w:kern w:val="0"/>
          <w:position w:val="3"/>
          <w:sz w:val="32"/>
          <w:szCs w:val="32"/>
          <w:highlight w:val="none"/>
          <w:lang w:val="en-US" w:eastAsia="en-US" w:bidi="ar-SA"/>
        </w:rPr>
      </w:pPr>
      <w:r>
        <w:rPr>
          <w:rFonts w:hint="eastAsia" w:ascii="楷体_GB2312" w:hAnsi="楷体_GB2312" w:eastAsia="楷体_GB2312" w:cs="楷体_GB2312"/>
          <w:b/>
          <w:bCs/>
          <w:kern w:val="0"/>
          <w:position w:val="3"/>
          <w:sz w:val="32"/>
          <w:szCs w:val="32"/>
          <w:highlight w:val="none"/>
          <w:lang w:val="en-US" w:eastAsia="en-US" w:bidi="ar-SA"/>
        </w:rPr>
        <w:t>（一）评价目的</w:t>
      </w:r>
    </w:p>
    <w:p w14:paraId="5ECB0C7F">
      <w:pPr>
        <w:keepNext w:val="0"/>
        <w:keepLines w:val="0"/>
        <w:pageBreakBefore w:val="0"/>
        <w:widowControl/>
        <w:kinsoku/>
        <w:wordWrap/>
        <w:overflowPunct/>
        <w:topLinePunct w:val="0"/>
        <w:autoSpaceDE/>
        <w:autoSpaceDN/>
        <w:bidi w:val="0"/>
        <w:spacing w:line="560" w:lineRule="exact"/>
        <w:ind w:firstLine="640" w:firstLineChars="200"/>
        <w:jc w:val="left"/>
        <w:textAlignment w:val="auto"/>
        <w:rPr>
          <w:rFonts w:hint="eastAsia" w:ascii="仿宋_GB2312" w:hAnsi="Arial" w:eastAsia="仿宋_GB2312" w:cs="Arial"/>
          <w:color w:val="1F2329"/>
          <w:kern w:val="0"/>
          <w:sz w:val="32"/>
          <w:szCs w:val="32"/>
        </w:rPr>
      </w:pPr>
      <w:r>
        <w:rPr>
          <w:rFonts w:hint="eastAsia" w:ascii="仿宋_GB2312" w:hAnsi="仿宋_GB2312" w:eastAsia="仿宋_GB2312" w:cs="仿宋_GB2312"/>
          <w:sz w:val="32"/>
          <w:szCs w:val="32"/>
          <w:highlight w:val="none"/>
        </w:rPr>
        <w:t>通过开展项目预算绩效自评，</w:t>
      </w:r>
      <w:r>
        <w:rPr>
          <w:rFonts w:hint="eastAsia" w:ascii="仿宋_GB2312" w:hAnsi="Arial" w:eastAsia="仿宋_GB2312" w:cs="Arial"/>
          <w:color w:val="1F2329"/>
          <w:kern w:val="0"/>
          <w:sz w:val="32"/>
          <w:szCs w:val="32"/>
        </w:rPr>
        <w:t>梳理项目实施过程中的</w:t>
      </w:r>
      <w:r>
        <w:rPr>
          <w:rFonts w:hint="eastAsia" w:ascii="仿宋_GB2312" w:hAnsi="仿宋_GB2312" w:eastAsia="仿宋_GB2312" w:cs="仿宋_GB2312"/>
          <w:sz w:val="32"/>
          <w:szCs w:val="32"/>
          <w:highlight w:val="none"/>
        </w:rPr>
        <w:t>亮点成效与薄弱环节，规范项目实施全流程管理，</w:t>
      </w:r>
      <w:r>
        <w:rPr>
          <w:rFonts w:hint="eastAsia" w:ascii="仿宋_GB2312" w:hAnsi="Arial" w:eastAsia="仿宋_GB2312" w:cs="Arial"/>
          <w:color w:val="1F2329"/>
          <w:kern w:val="0"/>
          <w:sz w:val="32"/>
          <w:szCs w:val="32"/>
        </w:rPr>
        <w:t>总结项目管理经验，为后续资金使用、项目管理优化提供依据，提升财政专项资金使用效益和项目管理水平。</w:t>
      </w:r>
    </w:p>
    <w:p w14:paraId="45C543C8">
      <w:pPr>
        <w:keepNext w:val="0"/>
        <w:keepLines w:val="0"/>
        <w:pageBreakBefore w:val="0"/>
        <w:widowControl/>
        <w:numPr>
          <w:ilvl w:val="0"/>
          <w:numId w:val="0"/>
        </w:numPr>
        <w:kinsoku/>
        <w:wordWrap/>
        <w:overflowPunct/>
        <w:topLinePunct w:val="0"/>
        <w:autoSpaceDE/>
        <w:autoSpaceDN/>
        <w:bidi w:val="0"/>
        <w:adjustRightInd/>
        <w:spacing w:line="560" w:lineRule="exact"/>
        <w:ind w:firstLine="643" w:firstLineChars="200"/>
        <w:jc w:val="left"/>
        <w:textAlignment w:val="auto"/>
        <w:rPr>
          <w:rFonts w:hint="eastAsia" w:ascii="楷体_GB2312" w:hAnsi="楷体_GB2312" w:eastAsia="楷体_GB2312" w:cs="楷体_GB2312"/>
          <w:b/>
          <w:bCs/>
          <w:kern w:val="0"/>
          <w:position w:val="3"/>
          <w:sz w:val="32"/>
          <w:szCs w:val="32"/>
          <w:highlight w:val="none"/>
          <w:lang w:val="en-US" w:eastAsia="en-US" w:bidi="ar-SA"/>
        </w:rPr>
      </w:pPr>
      <w:r>
        <w:rPr>
          <w:rFonts w:hint="eastAsia" w:ascii="楷体_GB2312" w:hAnsi="楷体_GB2312" w:eastAsia="楷体_GB2312" w:cs="楷体_GB2312"/>
          <w:b/>
          <w:bCs/>
          <w:kern w:val="0"/>
          <w:position w:val="3"/>
          <w:sz w:val="32"/>
          <w:szCs w:val="32"/>
          <w:highlight w:val="none"/>
          <w:lang w:val="en-US" w:eastAsia="en-US" w:bidi="ar-SA"/>
        </w:rPr>
        <w:t>（二）预设问题及评价重点</w:t>
      </w:r>
    </w:p>
    <w:p w14:paraId="5FC216E9">
      <w:pPr>
        <w:keepNext w:val="0"/>
        <w:keepLines w:val="0"/>
        <w:pageBreakBefore w:val="0"/>
        <w:widowControl/>
        <w:kinsoku/>
        <w:wordWrap/>
        <w:overflowPunct/>
        <w:topLinePunct w:val="0"/>
        <w:autoSpaceDE/>
        <w:autoSpaceDN/>
        <w:bidi w:val="0"/>
        <w:spacing w:line="560" w:lineRule="exact"/>
        <w:ind w:firstLine="640" w:firstLineChars="200"/>
        <w:jc w:val="left"/>
        <w:textAlignment w:val="auto"/>
        <w:rPr>
          <w:rFonts w:hint="eastAsia" w:ascii="仿宋_GB2312" w:hAnsi="Arial" w:eastAsia="仿宋_GB2312" w:cs="Arial"/>
          <w:color w:val="1F2329"/>
          <w:kern w:val="0"/>
          <w:sz w:val="32"/>
          <w:szCs w:val="32"/>
        </w:rPr>
      </w:pPr>
      <w:r>
        <w:rPr>
          <w:rFonts w:hint="eastAsia" w:ascii="仿宋_GB2312" w:hAnsi="Arial" w:eastAsia="仿宋_GB2312" w:cs="Arial"/>
          <w:color w:val="1F2329"/>
          <w:kern w:val="0"/>
          <w:sz w:val="32"/>
          <w:szCs w:val="32"/>
        </w:rPr>
        <w:t>对照专项预算绩效评价指标体系，本次自评重点围绕项目资金支出使用全过程，对</w:t>
      </w:r>
      <w:r>
        <w:rPr>
          <w:rFonts w:hint="eastAsia" w:ascii="仿宋_GB2312" w:hAnsi="Arial" w:eastAsia="仿宋_GB2312" w:cs="Arial"/>
          <w:b w:val="0"/>
          <w:bCs w:val="0"/>
          <w:color w:val="1F2329"/>
          <w:kern w:val="0"/>
          <w:sz w:val="32"/>
          <w:szCs w:val="32"/>
        </w:rPr>
        <w:t>项目决策、项目管理、项目实施、项目结果</w:t>
      </w:r>
      <w:r>
        <w:rPr>
          <w:rFonts w:hint="eastAsia" w:ascii="仿宋_GB2312" w:hAnsi="Arial" w:eastAsia="仿宋_GB2312" w:cs="Arial"/>
          <w:color w:val="1F2329"/>
          <w:kern w:val="0"/>
          <w:sz w:val="32"/>
          <w:szCs w:val="32"/>
        </w:rPr>
        <w:t>等通用指标，以及基础设施类专用指标开展综合评价，重点核查资金是否专款专用、预算执行是否规范、监控点位网络服务是否按要求完成、设施运行及数据传输是否达到绩效目标等问题。</w:t>
      </w:r>
    </w:p>
    <w:p w14:paraId="475FA973">
      <w:pPr>
        <w:keepNext w:val="0"/>
        <w:keepLines w:val="0"/>
        <w:pageBreakBefore w:val="0"/>
        <w:widowControl/>
        <w:numPr>
          <w:ilvl w:val="0"/>
          <w:numId w:val="0"/>
        </w:numPr>
        <w:kinsoku/>
        <w:wordWrap/>
        <w:overflowPunct/>
        <w:topLinePunct w:val="0"/>
        <w:autoSpaceDE/>
        <w:autoSpaceDN/>
        <w:bidi w:val="0"/>
        <w:adjustRightInd/>
        <w:spacing w:line="560" w:lineRule="exact"/>
        <w:ind w:firstLine="643" w:firstLineChars="200"/>
        <w:jc w:val="left"/>
        <w:textAlignment w:val="auto"/>
        <w:rPr>
          <w:rFonts w:hint="eastAsia" w:ascii="仿宋_GB2312" w:hAnsi="仿宋_GB2312" w:eastAsia="仿宋_GB2312" w:cs="仿宋_GB2312"/>
          <w:kern w:val="0"/>
          <w:position w:val="3"/>
          <w:sz w:val="32"/>
          <w:szCs w:val="32"/>
          <w:highlight w:val="none"/>
          <w:lang w:val="en-US" w:eastAsia="en-US" w:bidi="ar-SA"/>
        </w:rPr>
      </w:pPr>
      <w:r>
        <w:rPr>
          <w:rFonts w:hint="eastAsia" w:ascii="楷体_GB2312" w:hAnsi="楷体_GB2312" w:eastAsia="楷体_GB2312" w:cs="楷体_GB2312"/>
          <w:b/>
          <w:bCs/>
          <w:kern w:val="0"/>
          <w:position w:val="3"/>
          <w:sz w:val="32"/>
          <w:szCs w:val="32"/>
          <w:highlight w:val="none"/>
          <w:lang w:val="en-US" w:eastAsia="en-US" w:bidi="ar-SA"/>
        </w:rPr>
        <w:t>（三）评价选点</w:t>
      </w:r>
    </w:p>
    <w:p w14:paraId="4E3FC397">
      <w:pPr>
        <w:keepNext w:val="0"/>
        <w:keepLines w:val="0"/>
        <w:pageBreakBefore w:val="0"/>
        <w:widowControl/>
        <w:numPr>
          <w:ilvl w:val="0"/>
          <w:numId w:val="0"/>
        </w:numPr>
        <w:kinsoku/>
        <w:wordWrap/>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kern w:val="0"/>
          <w:position w:val="3"/>
          <w:sz w:val="32"/>
          <w:szCs w:val="32"/>
          <w:highlight w:val="none"/>
          <w:lang w:val="en-US" w:eastAsia="zh-CN" w:bidi="ar-SA"/>
        </w:rPr>
      </w:pPr>
      <w:r>
        <w:rPr>
          <w:rFonts w:hint="eastAsia" w:ascii="仿宋_GB2312" w:hAnsi="仿宋_GB2312" w:eastAsia="仿宋_GB2312" w:cs="仿宋_GB2312"/>
          <w:kern w:val="0"/>
          <w:position w:val="3"/>
          <w:sz w:val="32"/>
          <w:szCs w:val="32"/>
          <w:highlight w:val="none"/>
          <w:lang w:val="en-US" w:eastAsia="en-US" w:bidi="ar-SA"/>
        </w:rPr>
        <w:t>按照绩效自评工作相关要求，坚持代表性、针对性、实效性原则，</w:t>
      </w:r>
      <w:r>
        <w:rPr>
          <w:rFonts w:hint="eastAsia" w:ascii="仿宋_GB2312" w:hAnsi="仿宋_GB2312" w:eastAsia="仿宋_GB2312" w:cs="仿宋_GB2312"/>
          <w:kern w:val="0"/>
          <w:position w:val="3"/>
          <w:sz w:val="32"/>
          <w:szCs w:val="32"/>
          <w:highlight w:val="none"/>
          <w:lang w:val="en-US" w:eastAsia="zh-CN" w:bidi="ar-SA"/>
        </w:rPr>
        <w:t>按照</w:t>
      </w:r>
      <w:r>
        <w:rPr>
          <w:rFonts w:hint="eastAsia" w:ascii="仿宋_GB2312" w:hAnsi="Arial" w:eastAsia="仿宋_GB2312" w:cs="Arial"/>
          <w:color w:val="1F2329"/>
          <w:kern w:val="0"/>
          <w:position w:val="3"/>
          <w:sz w:val="32"/>
          <w:szCs w:val="32"/>
          <w:lang w:val="en-US" w:eastAsia="zh-CN" w:bidi="ar-SA"/>
        </w:rPr>
        <w:t>总数20</w:t>
      </w:r>
      <w:r>
        <w:rPr>
          <w:rFonts w:hint="eastAsia" w:ascii="仿宋_GB2312" w:hAnsi="Arial" w:eastAsia="仿宋_GB2312" w:cs="Arial"/>
          <w:color w:val="1F2329"/>
          <w:kern w:val="0"/>
          <w:position w:val="3"/>
          <w:sz w:val="32"/>
          <w:szCs w:val="32"/>
          <w:lang w:val="en-US" w:eastAsia="en-US" w:bidi="ar-SA"/>
        </w:rPr>
        <w:t>%</w:t>
      </w:r>
      <w:r>
        <w:rPr>
          <w:rFonts w:hint="eastAsia" w:ascii="仿宋_GB2312" w:hAnsi="Arial" w:eastAsia="仿宋_GB2312" w:cs="Arial"/>
          <w:color w:val="1F2329"/>
          <w:kern w:val="0"/>
          <w:position w:val="3"/>
          <w:sz w:val="32"/>
          <w:szCs w:val="32"/>
          <w:lang w:val="en-US" w:eastAsia="zh-CN" w:bidi="ar-SA"/>
        </w:rPr>
        <w:t>进行</w:t>
      </w:r>
      <w:r>
        <w:rPr>
          <w:rFonts w:hint="eastAsia" w:ascii="仿宋_GB2312" w:hAnsi="Arial" w:eastAsia="仿宋_GB2312" w:cs="Arial"/>
          <w:color w:val="1F2329"/>
          <w:kern w:val="0"/>
          <w:position w:val="3"/>
          <w:sz w:val="32"/>
          <w:szCs w:val="32"/>
          <w:lang w:val="en-US" w:eastAsia="en-US" w:bidi="ar-SA"/>
        </w:rPr>
        <w:t>抽样</w:t>
      </w:r>
      <w:r>
        <w:rPr>
          <w:rFonts w:hint="eastAsia" w:ascii="仿宋_GB2312" w:hAnsi="仿宋_GB2312" w:eastAsia="仿宋_GB2312" w:cs="仿宋_GB2312"/>
          <w:kern w:val="0"/>
          <w:position w:val="3"/>
          <w:sz w:val="32"/>
          <w:szCs w:val="32"/>
          <w:highlight w:val="none"/>
          <w:lang w:val="en-US" w:eastAsia="zh-CN" w:bidi="ar-SA"/>
        </w:rPr>
        <w:t>选点，</w:t>
      </w:r>
      <w:r>
        <w:rPr>
          <w:rFonts w:hint="eastAsia" w:ascii="仿宋_GB2312" w:hAnsi="仿宋_GB2312" w:eastAsia="仿宋_GB2312" w:cs="仿宋_GB2312"/>
          <w:kern w:val="0"/>
          <w:position w:val="3"/>
          <w:sz w:val="32"/>
          <w:szCs w:val="32"/>
          <w:highlight w:val="none"/>
          <w:lang w:val="en-US" w:eastAsia="en-US" w:bidi="ar-SA"/>
        </w:rPr>
        <w:t xml:space="preserve"> 作为评价对象，重点围绕评估报告编制、支撑材料归集整理等成果质量与实施成效开展评价</w:t>
      </w:r>
      <w:r>
        <w:rPr>
          <w:rFonts w:hint="eastAsia" w:ascii="仿宋_GB2312" w:hAnsi="仿宋_GB2312" w:eastAsia="仿宋_GB2312" w:cs="仿宋_GB2312"/>
          <w:kern w:val="0"/>
          <w:position w:val="3"/>
          <w:sz w:val="32"/>
          <w:szCs w:val="32"/>
          <w:highlight w:val="none"/>
          <w:lang w:val="en-US" w:eastAsia="zh-CN" w:bidi="ar-SA"/>
        </w:rPr>
        <w:t>。</w:t>
      </w:r>
    </w:p>
    <w:p w14:paraId="7AF681AF">
      <w:pPr>
        <w:keepNext w:val="0"/>
        <w:keepLines w:val="0"/>
        <w:pageBreakBefore w:val="0"/>
        <w:widowControl/>
        <w:numPr>
          <w:ilvl w:val="0"/>
          <w:numId w:val="0"/>
        </w:numPr>
        <w:kinsoku/>
        <w:wordWrap/>
        <w:overflowPunct/>
        <w:topLinePunct w:val="0"/>
        <w:autoSpaceDE/>
        <w:autoSpaceDN/>
        <w:bidi w:val="0"/>
        <w:adjustRightInd/>
        <w:spacing w:line="560" w:lineRule="exact"/>
        <w:ind w:firstLine="643" w:firstLineChars="200"/>
        <w:jc w:val="left"/>
        <w:textAlignment w:val="auto"/>
        <w:rPr>
          <w:rFonts w:hint="eastAsia" w:ascii="仿宋_GB2312" w:hAnsi="仿宋_GB2312" w:eastAsia="仿宋_GB2312" w:cs="仿宋_GB2312"/>
          <w:b/>
          <w:bCs/>
          <w:kern w:val="0"/>
          <w:position w:val="3"/>
          <w:sz w:val="32"/>
          <w:szCs w:val="32"/>
          <w:highlight w:val="none"/>
          <w:lang w:val="en-US" w:eastAsia="en-US" w:bidi="ar-SA"/>
        </w:rPr>
      </w:pPr>
      <w:r>
        <w:rPr>
          <w:rFonts w:hint="eastAsia" w:ascii="仿宋_GB2312" w:hAnsi="仿宋_GB2312" w:eastAsia="仿宋_GB2312" w:cs="仿宋_GB2312"/>
          <w:b/>
          <w:bCs/>
          <w:kern w:val="0"/>
          <w:position w:val="3"/>
          <w:sz w:val="32"/>
          <w:szCs w:val="32"/>
          <w:highlight w:val="none"/>
          <w:lang w:val="en-US" w:eastAsia="en-US" w:bidi="ar-SA"/>
        </w:rPr>
        <w:t>（四）评价方法</w:t>
      </w:r>
    </w:p>
    <w:p w14:paraId="1F4F6E0E">
      <w:pPr>
        <w:keepNext w:val="0"/>
        <w:keepLines w:val="0"/>
        <w:pageBreakBefore w:val="0"/>
        <w:widowControl/>
        <w:numPr>
          <w:ilvl w:val="0"/>
          <w:numId w:val="0"/>
        </w:numPr>
        <w:kinsoku/>
        <w:wordWrap/>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kern w:val="0"/>
          <w:position w:val="3"/>
          <w:sz w:val="32"/>
          <w:szCs w:val="32"/>
          <w:highlight w:val="none"/>
          <w:lang w:val="en-US" w:eastAsia="en-US" w:bidi="ar-SA"/>
        </w:rPr>
      </w:pPr>
      <w:r>
        <w:rPr>
          <w:rFonts w:hint="eastAsia" w:ascii="仿宋_GB2312" w:hAnsi="仿宋_GB2312" w:eastAsia="仿宋_GB2312" w:cs="仿宋_GB2312"/>
          <w:kern w:val="0"/>
          <w:position w:val="3"/>
          <w:sz w:val="32"/>
          <w:szCs w:val="32"/>
          <w:highlight w:val="none"/>
          <w:lang w:val="en-US" w:eastAsia="en-US" w:bidi="ar-SA"/>
        </w:rPr>
        <w:t>本次绩效自评综合运用多种评价方法，确保评价结果科学准确：</w:t>
      </w:r>
    </w:p>
    <w:p w14:paraId="7D6E9833">
      <w:pPr>
        <w:keepNext w:val="0"/>
        <w:keepLines w:val="0"/>
        <w:pageBreakBefore w:val="0"/>
        <w:widowControl/>
        <w:numPr>
          <w:ilvl w:val="0"/>
          <w:numId w:val="0"/>
        </w:numPr>
        <w:kinsoku/>
        <w:wordWrap/>
        <w:overflowPunct/>
        <w:topLinePunct w:val="0"/>
        <w:autoSpaceDE/>
        <w:autoSpaceDN/>
        <w:bidi w:val="0"/>
        <w:adjustRightInd/>
        <w:spacing w:line="560" w:lineRule="exact"/>
        <w:ind w:firstLine="643" w:firstLineChars="200"/>
        <w:jc w:val="left"/>
        <w:textAlignment w:val="auto"/>
        <w:rPr>
          <w:rFonts w:hint="eastAsia" w:ascii="仿宋_GB2312" w:hAnsi="仿宋_GB2312" w:eastAsia="仿宋_GB2312" w:cs="仿宋_GB2312"/>
          <w:kern w:val="0"/>
          <w:position w:val="3"/>
          <w:sz w:val="32"/>
          <w:szCs w:val="32"/>
          <w:highlight w:val="none"/>
          <w:lang w:val="en-US" w:eastAsia="zh-CN" w:bidi="ar-SA"/>
        </w:rPr>
      </w:pPr>
      <w:r>
        <w:rPr>
          <w:rFonts w:hint="default" w:ascii="仿宋_GB2312" w:hAnsi="仿宋_GB2312" w:eastAsia="仿宋_GB2312" w:cs="仿宋_GB2312"/>
          <w:b/>
          <w:bCs/>
          <w:kern w:val="0"/>
          <w:position w:val="3"/>
          <w:sz w:val="32"/>
          <w:szCs w:val="32"/>
          <w:highlight w:val="none"/>
          <w:lang w:val="en" w:eastAsia="en-US" w:bidi="ar-SA"/>
        </w:rPr>
        <w:t>1</w:t>
      </w:r>
      <w:r>
        <w:rPr>
          <w:rFonts w:hint="eastAsia" w:ascii="仿宋_GB2312" w:hAnsi="仿宋_GB2312" w:eastAsia="仿宋_GB2312" w:cs="仿宋_GB2312"/>
          <w:b/>
          <w:bCs/>
          <w:kern w:val="0"/>
          <w:position w:val="3"/>
          <w:sz w:val="32"/>
          <w:szCs w:val="32"/>
          <w:highlight w:val="none"/>
          <w:lang w:val="en-US" w:eastAsia="en-US" w:bidi="ar-SA"/>
        </w:rPr>
        <w:t>.案卷研究法：</w:t>
      </w:r>
      <w:r>
        <w:rPr>
          <w:rFonts w:hint="eastAsia" w:ascii="仿宋_GB2312" w:hAnsi="仿宋_GB2312" w:eastAsia="仿宋_GB2312" w:cs="仿宋_GB2312"/>
          <w:kern w:val="0"/>
          <w:position w:val="3"/>
          <w:sz w:val="32"/>
          <w:szCs w:val="32"/>
          <w:highlight w:val="none"/>
          <w:lang w:val="en-US" w:eastAsia="en-US" w:bidi="ar-SA"/>
        </w:rPr>
        <w:t>查阅项目实施方案、合同、资金支付凭证、实施方案</w:t>
      </w:r>
      <w:r>
        <w:rPr>
          <w:rFonts w:hint="eastAsia" w:ascii="仿宋_GB2312" w:hAnsi="仿宋_GB2312" w:eastAsia="仿宋_GB2312" w:cs="仿宋_GB2312"/>
          <w:kern w:val="0"/>
          <w:position w:val="3"/>
          <w:sz w:val="32"/>
          <w:szCs w:val="32"/>
          <w:highlight w:val="none"/>
          <w:lang w:val="en-US" w:eastAsia="zh-CN" w:bidi="ar-SA"/>
        </w:rPr>
        <w:t>、</w:t>
      </w:r>
      <w:r>
        <w:rPr>
          <w:rFonts w:hint="eastAsia" w:ascii="仿宋_GB2312" w:hAnsi="仿宋_GB2312" w:eastAsia="仿宋_GB2312" w:cs="仿宋_GB2312"/>
          <w:kern w:val="0"/>
          <w:position w:val="3"/>
          <w:sz w:val="32"/>
          <w:szCs w:val="32"/>
          <w:highlight w:val="none"/>
          <w:lang w:val="en-US" w:eastAsia="en-US" w:bidi="ar-SA"/>
        </w:rPr>
        <w:t>评估报告等案卷材料</w:t>
      </w:r>
      <w:r>
        <w:rPr>
          <w:rFonts w:hint="eastAsia" w:ascii="仿宋_GB2312" w:hAnsi="仿宋_GB2312" w:eastAsia="仿宋_GB2312" w:cs="仿宋_GB2312"/>
          <w:kern w:val="0"/>
          <w:position w:val="3"/>
          <w:sz w:val="32"/>
          <w:szCs w:val="32"/>
          <w:highlight w:val="none"/>
          <w:lang w:val="en-US" w:eastAsia="zh-CN" w:bidi="ar-SA"/>
        </w:rPr>
        <w:t>。</w:t>
      </w:r>
    </w:p>
    <w:p w14:paraId="07E86E08">
      <w:pPr>
        <w:keepNext w:val="0"/>
        <w:keepLines w:val="0"/>
        <w:pageBreakBefore w:val="0"/>
        <w:widowControl/>
        <w:numPr>
          <w:ilvl w:val="0"/>
          <w:numId w:val="0"/>
        </w:numPr>
        <w:kinsoku/>
        <w:wordWrap/>
        <w:overflowPunct/>
        <w:topLinePunct w:val="0"/>
        <w:autoSpaceDE/>
        <w:autoSpaceDN/>
        <w:bidi w:val="0"/>
        <w:adjustRightInd/>
        <w:spacing w:line="560" w:lineRule="exact"/>
        <w:ind w:firstLine="643" w:firstLineChars="200"/>
        <w:jc w:val="left"/>
        <w:textAlignment w:val="auto"/>
        <w:rPr>
          <w:rFonts w:hint="eastAsia" w:ascii="仿宋_GB2312" w:hAnsi="仿宋_GB2312" w:eastAsia="仿宋_GB2312" w:cs="仿宋_GB2312"/>
          <w:kern w:val="0"/>
          <w:position w:val="3"/>
          <w:sz w:val="32"/>
          <w:szCs w:val="32"/>
          <w:highlight w:val="none"/>
          <w:lang w:val="en-US" w:eastAsia="zh-CN" w:bidi="ar-SA"/>
        </w:rPr>
      </w:pPr>
      <w:r>
        <w:rPr>
          <w:rFonts w:hint="default" w:ascii="仿宋_GB2312" w:hAnsi="仿宋_GB2312" w:eastAsia="仿宋_GB2312" w:cs="仿宋_GB2312"/>
          <w:b/>
          <w:bCs/>
          <w:kern w:val="0"/>
          <w:position w:val="3"/>
          <w:sz w:val="32"/>
          <w:szCs w:val="32"/>
          <w:highlight w:val="none"/>
          <w:lang w:val="en" w:eastAsia="en-US" w:bidi="ar-SA"/>
        </w:rPr>
        <w:t>2</w:t>
      </w:r>
      <w:r>
        <w:rPr>
          <w:rFonts w:hint="eastAsia" w:ascii="仿宋_GB2312" w:hAnsi="仿宋_GB2312" w:eastAsia="仿宋_GB2312" w:cs="仿宋_GB2312"/>
          <w:b/>
          <w:bCs/>
          <w:kern w:val="0"/>
          <w:position w:val="3"/>
          <w:sz w:val="32"/>
          <w:szCs w:val="32"/>
          <w:highlight w:val="none"/>
          <w:lang w:val="en-US" w:eastAsia="en-US" w:bidi="ar-SA"/>
        </w:rPr>
        <w:t>.单位自评法：</w:t>
      </w:r>
      <w:r>
        <w:rPr>
          <w:rFonts w:hint="eastAsia" w:ascii="仿宋_GB2312" w:hAnsi="仿宋_GB2312" w:eastAsia="仿宋_GB2312" w:cs="仿宋_GB2312"/>
          <w:kern w:val="0"/>
          <w:position w:val="3"/>
          <w:sz w:val="32"/>
          <w:szCs w:val="32"/>
          <w:highlight w:val="none"/>
          <w:lang w:val="en-US" w:eastAsia="en-US" w:bidi="ar-SA"/>
        </w:rPr>
        <w:t>由项目实施单位、主管部门开展内部自查，逐项核对绩效指标完成情况</w:t>
      </w:r>
      <w:r>
        <w:rPr>
          <w:rFonts w:hint="eastAsia" w:ascii="仿宋_GB2312" w:hAnsi="仿宋_GB2312" w:eastAsia="仿宋_GB2312" w:cs="仿宋_GB2312"/>
          <w:kern w:val="0"/>
          <w:position w:val="3"/>
          <w:sz w:val="32"/>
          <w:szCs w:val="32"/>
          <w:highlight w:val="none"/>
          <w:lang w:val="en-US" w:eastAsia="zh-CN" w:bidi="ar-SA"/>
        </w:rPr>
        <w:t>。</w:t>
      </w:r>
    </w:p>
    <w:p w14:paraId="42CE6E73">
      <w:pPr>
        <w:keepNext w:val="0"/>
        <w:keepLines w:val="0"/>
        <w:pageBreakBefore w:val="0"/>
        <w:widowControl/>
        <w:numPr>
          <w:ilvl w:val="0"/>
          <w:numId w:val="0"/>
        </w:numPr>
        <w:kinsoku/>
        <w:wordWrap/>
        <w:overflowPunct/>
        <w:topLinePunct w:val="0"/>
        <w:autoSpaceDE/>
        <w:autoSpaceDN/>
        <w:bidi w:val="0"/>
        <w:adjustRightInd/>
        <w:spacing w:line="560" w:lineRule="exact"/>
        <w:ind w:firstLine="643" w:firstLineChars="200"/>
        <w:jc w:val="left"/>
        <w:textAlignment w:val="auto"/>
        <w:rPr>
          <w:rFonts w:hint="eastAsia" w:ascii="仿宋_GB2312" w:hAnsi="仿宋_GB2312" w:eastAsia="仿宋_GB2312" w:cs="仿宋_GB2312"/>
          <w:kern w:val="0"/>
          <w:position w:val="3"/>
          <w:sz w:val="32"/>
          <w:szCs w:val="32"/>
          <w:highlight w:val="none"/>
          <w:lang w:val="en-US" w:eastAsia="en-US" w:bidi="ar-SA"/>
        </w:rPr>
      </w:pPr>
      <w:r>
        <w:rPr>
          <w:rFonts w:hint="default" w:ascii="仿宋_GB2312" w:hAnsi="仿宋_GB2312" w:eastAsia="仿宋_GB2312" w:cs="仿宋_GB2312"/>
          <w:b/>
          <w:bCs/>
          <w:kern w:val="0"/>
          <w:position w:val="3"/>
          <w:sz w:val="32"/>
          <w:szCs w:val="32"/>
          <w:highlight w:val="none"/>
          <w:lang w:val="en" w:eastAsia="en-US" w:bidi="ar-SA"/>
        </w:rPr>
        <w:t>3</w:t>
      </w:r>
      <w:r>
        <w:rPr>
          <w:rFonts w:hint="eastAsia" w:ascii="仿宋_GB2312" w:hAnsi="仿宋_GB2312" w:eastAsia="仿宋_GB2312" w:cs="仿宋_GB2312"/>
          <w:b/>
          <w:bCs/>
          <w:kern w:val="0"/>
          <w:position w:val="3"/>
          <w:sz w:val="32"/>
          <w:szCs w:val="32"/>
          <w:highlight w:val="none"/>
          <w:lang w:val="en-US" w:eastAsia="en-US" w:bidi="ar-SA"/>
        </w:rPr>
        <w:t>.实地勘察法：</w:t>
      </w:r>
      <w:r>
        <w:rPr>
          <w:rFonts w:hint="eastAsia" w:ascii="仿宋_GB2312" w:hAnsi="仿宋_GB2312" w:eastAsia="仿宋_GB2312" w:cs="仿宋_GB2312"/>
          <w:kern w:val="0"/>
          <w:position w:val="3"/>
          <w:sz w:val="32"/>
          <w:szCs w:val="32"/>
          <w:highlight w:val="none"/>
          <w:lang w:val="en-US" w:eastAsia="en-US" w:bidi="ar-SA"/>
        </w:rPr>
        <w:t>赴评价选点实地踏勘，现场核验</w:t>
      </w:r>
      <w:r>
        <w:rPr>
          <w:rFonts w:hint="eastAsia" w:ascii="仿宋_GB2312" w:hAnsi="仿宋_GB2312" w:eastAsia="仿宋_GB2312" w:cs="仿宋_GB2312"/>
          <w:kern w:val="0"/>
          <w:position w:val="3"/>
          <w:sz w:val="32"/>
          <w:szCs w:val="32"/>
          <w:highlight w:val="none"/>
          <w:lang w:val="en-US" w:eastAsia="zh-CN" w:bidi="ar-SA"/>
        </w:rPr>
        <w:t>、</w:t>
      </w:r>
      <w:r>
        <w:rPr>
          <w:rFonts w:hint="eastAsia" w:ascii="仿宋_GB2312" w:hAnsi="仿宋_GB2312" w:eastAsia="仿宋_GB2312" w:cs="仿宋_GB2312"/>
          <w:kern w:val="0"/>
          <w:position w:val="3"/>
          <w:sz w:val="32"/>
          <w:szCs w:val="32"/>
          <w:highlight w:val="none"/>
          <w:lang w:val="en-US" w:eastAsia="en-US" w:bidi="ar-SA"/>
        </w:rPr>
        <w:t>核实书面材料与现场实际一致性。</w:t>
      </w:r>
    </w:p>
    <w:p w14:paraId="6FEBCB2C">
      <w:pPr>
        <w:keepNext w:val="0"/>
        <w:keepLines w:val="0"/>
        <w:pageBreakBefore w:val="0"/>
        <w:widowControl/>
        <w:numPr>
          <w:ilvl w:val="0"/>
          <w:numId w:val="0"/>
        </w:numPr>
        <w:kinsoku/>
        <w:wordWrap/>
        <w:overflowPunct/>
        <w:topLinePunct w:val="0"/>
        <w:autoSpaceDE/>
        <w:autoSpaceDN/>
        <w:bidi w:val="0"/>
        <w:adjustRightInd/>
        <w:spacing w:line="560" w:lineRule="exact"/>
        <w:ind w:firstLine="643" w:firstLineChars="200"/>
        <w:jc w:val="left"/>
        <w:textAlignment w:val="auto"/>
        <w:rPr>
          <w:rFonts w:hint="eastAsia" w:ascii="仿宋_GB2312" w:hAnsi="仿宋_GB2312" w:eastAsia="仿宋_GB2312" w:cs="仿宋_GB2312"/>
          <w:kern w:val="0"/>
          <w:position w:val="3"/>
          <w:sz w:val="32"/>
          <w:szCs w:val="32"/>
          <w:highlight w:val="none"/>
          <w:lang w:val="en-US" w:eastAsia="zh-CN" w:bidi="ar-SA"/>
        </w:rPr>
      </w:pPr>
      <w:r>
        <w:rPr>
          <w:rFonts w:hint="default" w:ascii="仿宋_GB2312" w:hAnsi="仿宋_GB2312" w:eastAsia="仿宋_GB2312" w:cs="仿宋_GB2312"/>
          <w:b/>
          <w:bCs/>
          <w:kern w:val="0"/>
          <w:position w:val="3"/>
          <w:sz w:val="32"/>
          <w:szCs w:val="32"/>
          <w:highlight w:val="none"/>
          <w:lang w:val="en" w:eastAsia="en-US" w:bidi="ar-SA"/>
        </w:rPr>
        <w:t>4</w:t>
      </w:r>
      <w:r>
        <w:rPr>
          <w:rFonts w:hint="eastAsia" w:ascii="仿宋_GB2312" w:hAnsi="仿宋_GB2312" w:eastAsia="仿宋_GB2312" w:cs="仿宋_GB2312"/>
          <w:b/>
          <w:bCs/>
          <w:kern w:val="0"/>
          <w:position w:val="3"/>
          <w:sz w:val="32"/>
          <w:szCs w:val="32"/>
          <w:highlight w:val="none"/>
          <w:lang w:val="en-US" w:eastAsia="en-US" w:bidi="ar-SA"/>
        </w:rPr>
        <w:t>.</w:t>
      </w:r>
      <w:r>
        <w:rPr>
          <w:rFonts w:hint="eastAsia" w:ascii="仿宋_GB2312" w:hAnsi="仿宋_GB2312" w:eastAsia="仿宋_GB2312" w:cs="仿宋_GB2312"/>
          <w:b/>
          <w:bCs/>
          <w:kern w:val="0"/>
          <w:position w:val="3"/>
          <w:sz w:val="32"/>
          <w:szCs w:val="32"/>
          <w:highlight w:val="none"/>
          <w:lang w:val="en-US" w:eastAsia="zh-CN" w:bidi="ar-SA"/>
        </w:rPr>
        <w:t>成本效益分析法</w:t>
      </w:r>
      <w:r>
        <w:rPr>
          <w:rFonts w:hint="default" w:ascii="仿宋_GB2312" w:hAnsi="仿宋_GB2312" w:eastAsia="仿宋_GB2312" w:cs="仿宋_GB2312"/>
          <w:b/>
          <w:bCs/>
          <w:kern w:val="0"/>
          <w:position w:val="3"/>
          <w:sz w:val="32"/>
          <w:szCs w:val="32"/>
          <w:highlight w:val="none"/>
          <w:lang w:val="en" w:eastAsia="zh-CN" w:bidi="ar-SA"/>
        </w:rPr>
        <w:t>:</w:t>
      </w:r>
      <w:r>
        <w:rPr>
          <w:rFonts w:hint="eastAsia" w:ascii="仿宋_GB2312" w:hAnsi="仿宋_GB2312" w:eastAsia="仿宋_GB2312" w:cs="仿宋_GB2312"/>
          <w:kern w:val="0"/>
          <w:position w:val="3"/>
          <w:sz w:val="32"/>
          <w:szCs w:val="32"/>
          <w:highlight w:val="none"/>
          <w:lang w:val="en-US" w:eastAsia="zh-CN" w:bidi="ar-SA"/>
        </w:rPr>
        <w:t>核算项目资金投入、使用及结余情况，对比资金投入规模与生态效益、社会效益、示范效益产出，评价资金使用经济性、效率性和效益性，判断资金配置合理性。</w:t>
      </w:r>
    </w:p>
    <w:p w14:paraId="26F19199">
      <w:pPr>
        <w:keepNext w:val="0"/>
        <w:keepLines w:val="0"/>
        <w:pageBreakBefore w:val="0"/>
        <w:widowControl/>
        <w:numPr>
          <w:ilvl w:val="0"/>
          <w:numId w:val="0"/>
        </w:numPr>
        <w:kinsoku/>
        <w:wordWrap/>
        <w:overflowPunct/>
        <w:topLinePunct w:val="0"/>
        <w:autoSpaceDE/>
        <w:autoSpaceDN/>
        <w:bidi w:val="0"/>
        <w:adjustRightInd/>
        <w:spacing w:line="560" w:lineRule="exact"/>
        <w:ind w:firstLine="643" w:firstLineChars="200"/>
        <w:jc w:val="left"/>
        <w:textAlignment w:val="auto"/>
        <w:rPr>
          <w:rFonts w:hint="eastAsia" w:ascii="仿宋_GB2312" w:hAnsi="仿宋_GB2312" w:eastAsia="仿宋_GB2312" w:cs="仿宋_GB2312"/>
          <w:kern w:val="0"/>
          <w:position w:val="3"/>
          <w:sz w:val="32"/>
          <w:szCs w:val="32"/>
          <w:highlight w:val="none"/>
          <w:lang w:val="en-US" w:eastAsia="en-US" w:bidi="ar-SA"/>
        </w:rPr>
      </w:pPr>
      <w:r>
        <w:rPr>
          <w:rFonts w:hint="eastAsia" w:ascii="楷体_GB2312" w:hAnsi="楷体_GB2312" w:eastAsia="楷体_GB2312" w:cs="楷体_GB2312"/>
          <w:b/>
          <w:bCs/>
          <w:kern w:val="0"/>
          <w:position w:val="3"/>
          <w:sz w:val="32"/>
          <w:szCs w:val="32"/>
          <w:highlight w:val="none"/>
          <w:lang w:val="en-US" w:eastAsia="en-US" w:bidi="ar-SA"/>
        </w:rPr>
        <w:t>（五）评价组织</w:t>
      </w:r>
    </w:p>
    <w:p w14:paraId="550562DE">
      <w:pPr>
        <w:keepNext w:val="0"/>
        <w:keepLines w:val="0"/>
        <w:pageBreakBefore w:val="0"/>
        <w:widowControl/>
        <w:kinsoku/>
        <w:wordWrap/>
        <w:overflowPunct/>
        <w:topLinePunct w:val="0"/>
        <w:autoSpaceDE/>
        <w:autoSpaceDN/>
        <w:bidi w:val="0"/>
        <w:spacing w:line="560" w:lineRule="exact"/>
        <w:ind w:firstLine="640" w:firstLineChars="200"/>
        <w:jc w:val="left"/>
        <w:textAlignment w:val="auto"/>
        <w:rPr>
          <w:rFonts w:hint="eastAsia" w:ascii="仿宋_GB2312" w:hAnsi="Arial" w:eastAsia="仿宋_GB2312" w:cs="Arial"/>
          <w:color w:val="1F2329"/>
          <w:kern w:val="0"/>
          <w:sz w:val="32"/>
          <w:szCs w:val="32"/>
        </w:rPr>
      </w:pPr>
      <w:r>
        <w:rPr>
          <w:rFonts w:hint="eastAsia" w:ascii="仿宋_GB2312" w:hAnsi="Arial" w:eastAsia="仿宋_GB2312" w:cs="Arial"/>
          <w:color w:val="1F2329"/>
          <w:kern w:val="0"/>
          <w:sz w:val="32"/>
          <w:szCs w:val="32"/>
        </w:rPr>
        <w:t>1.财务科：负责核查项目资金预算、执行、使用合规性，提供财务相关凭证及数据；</w:t>
      </w:r>
    </w:p>
    <w:p w14:paraId="6ED4AD99">
      <w:pPr>
        <w:keepNext w:val="0"/>
        <w:keepLines w:val="0"/>
        <w:pageBreakBefore w:val="0"/>
        <w:widowControl/>
        <w:numPr>
          <w:ilvl w:val="0"/>
          <w:numId w:val="0"/>
        </w:numPr>
        <w:kinsoku/>
        <w:wordWrap/>
        <w:overflowPunct/>
        <w:topLinePunct w:val="0"/>
        <w:autoSpaceDE/>
        <w:autoSpaceDN/>
        <w:bidi w:val="0"/>
        <w:adjustRightInd/>
        <w:spacing w:line="560" w:lineRule="exact"/>
        <w:ind w:firstLine="640" w:firstLineChars="200"/>
        <w:jc w:val="left"/>
        <w:textAlignment w:val="auto"/>
        <w:rPr>
          <w:rFonts w:hint="eastAsia" w:ascii="仿宋_GB2312" w:hAnsi="Arial" w:eastAsia="仿宋_GB2312" w:cs="Arial"/>
          <w:color w:val="1F2329"/>
          <w:kern w:val="0"/>
          <w:position w:val="3"/>
          <w:sz w:val="32"/>
          <w:szCs w:val="32"/>
          <w:lang w:val="en-US" w:eastAsia="en-US" w:bidi="ar-SA"/>
        </w:rPr>
      </w:pPr>
      <w:r>
        <w:rPr>
          <w:rFonts w:hint="eastAsia" w:ascii="仿宋_GB2312" w:hAnsi="Arial" w:eastAsia="仿宋_GB2312" w:cs="Arial"/>
          <w:color w:val="1F2329"/>
          <w:kern w:val="0"/>
          <w:position w:val="3"/>
          <w:sz w:val="32"/>
          <w:szCs w:val="32"/>
          <w:lang w:val="en-US" w:eastAsia="en-US" w:bidi="ar-SA"/>
        </w:rPr>
        <w:t>2.项目实施科室：负责整理项目实施资料，开展实地踏勘，汇总自查结果，撰写自评报告初稿。</w:t>
      </w:r>
    </w:p>
    <w:p w14:paraId="2BFD74F7">
      <w:pPr>
        <w:keepNext w:val="0"/>
        <w:keepLines w:val="0"/>
        <w:pageBreakBefore w:val="0"/>
        <w:widowControl/>
        <w:numPr>
          <w:ilvl w:val="0"/>
          <w:numId w:val="0"/>
        </w:numPr>
        <w:kinsoku/>
        <w:wordWrap/>
        <w:overflowPunct/>
        <w:topLinePunct w:val="0"/>
        <w:autoSpaceDE/>
        <w:autoSpaceDN/>
        <w:bidi w:val="0"/>
        <w:adjustRightInd/>
        <w:spacing w:line="560" w:lineRule="exact"/>
        <w:ind w:firstLine="640" w:firstLineChars="200"/>
        <w:jc w:val="left"/>
        <w:textAlignment w:val="auto"/>
        <w:rPr>
          <w:rFonts w:hint="eastAsia" w:ascii="黑体" w:hAnsi="黑体" w:eastAsia="黑体" w:cs="黑体"/>
          <w:b w:val="0"/>
          <w:bCs w:val="0"/>
          <w:kern w:val="0"/>
          <w:position w:val="3"/>
          <w:sz w:val="32"/>
          <w:szCs w:val="32"/>
          <w:highlight w:val="none"/>
          <w:lang w:val="en-US" w:eastAsia="en-US" w:bidi="ar-SA"/>
        </w:rPr>
      </w:pPr>
      <w:r>
        <w:rPr>
          <w:rFonts w:hint="eastAsia" w:ascii="黑体" w:hAnsi="黑体" w:eastAsia="黑体" w:cs="黑体"/>
          <w:b w:val="0"/>
          <w:bCs w:val="0"/>
          <w:kern w:val="0"/>
          <w:position w:val="3"/>
          <w:sz w:val="32"/>
          <w:szCs w:val="32"/>
          <w:highlight w:val="none"/>
          <w:lang w:val="en-US" w:eastAsia="en-US" w:bidi="ar-SA"/>
        </w:rPr>
        <w:t>三、绩效分析</w:t>
      </w:r>
    </w:p>
    <w:p w14:paraId="07B01E9E">
      <w:pPr>
        <w:keepNext w:val="0"/>
        <w:keepLines w:val="0"/>
        <w:pageBreakBefore w:val="0"/>
        <w:kinsoku/>
        <w:wordWrap/>
        <w:overflowPunct/>
        <w:topLinePunct w:val="0"/>
        <w:autoSpaceDE/>
        <w:autoSpaceDN/>
        <w:bidi w:val="0"/>
        <w:spacing w:line="56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zh-CN"/>
        </w:rPr>
        <w:t>根据项目预算绩效评价指标体系</w:t>
      </w:r>
      <w:r>
        <w:rPr>
          <w:rFonts w:ascii="Times New Roman" w:hAnsi="Times New Roman" w:eastAsia="仿宋_GB2312" w:cs="Times New Roman"/>
          <w:sz w:val="32"/>
          <w:szCs w:val="32"/>
          <w:lang w:val="zh-CN"/>
        </w:rPr>
        <w:t>“</w:t>
      </w:r>
      <w:r>
        <w:rPr>
          <w:rFonts w:hint="eastAsia" w:ascii="Times New Roman" w:hAnsi="Times New Roman" w:eastAsia="仿宋_GB2312" w:cs="Times New Roman"/>
          <w:sz w:val="32"/>
          <w:szCs w:val="32"/>
          <w:lang w:val="zh-CN"/>
        </w:rPr>
        <w:t>通用指标</w:t>
      </w:r>
      <w:r>
        <w:rPr>
          <w:rFonts w:ascii="Times New Roman" w:hAnsi="Times New Roman" w:eastAsia="仿宋_GB2312" w:cs="Times New Roman"/>
          <w:sz w:val="32"/>
          <w:szCs w:val="32"/>
          <w:lang w:val="zh-CN"/>
        </w:rPr>
        <w:t>”</w:t>
      </w:r>
      <w:r>
        <w:rPr>
          <w:rFonts w:hint="eastAsia" w:ascii="Times New Roman" w:hAnsi="Times New Roman" w:eastAsia="仿宋_GB2312" w:cs="Times New Roman"/>
          <w:sz w:val="32"/>
          <w:szCs w:val="32"/>
          <w:lang w:val="zh-CN"/>
        </w:rPr>
        <w:t>“专用指标”“个性指标”涉及二、三级指标进行逐项绩效分析并评分</w:t>
      </w:r>
      <w:r>
        <w:rPr>
          <w:rFonts w:hint="eastAsia" w:ascii="Times New Roman" w:hAnsi="Times New Roman" w:eastAsia="仿宋_GB2312" w:cs="Times New Roman"/>
          <w:sz w:val="32"/>
          <w:szCs w:val="32"/>
        </w:rPr>
        <w:t>。</w:t>
      </w:r>
    </w:p>
    <w:p w14:paraId="4B28E17F">
      <w:pPr>
        <w:keepNext w:val="0"/>
        <w:keepLines w:val="0"/>
        <w:pageBreakBefore w:val="0"/>
        <w:widowControl/>
        <w:numPr>
          <w:ilvl w:val="0"/>
          <w:numId w:val="0"/>
        </w:numPr>
        <w:kinsoku/>
        <w:wordWrap/>
        <w:overflowPunct/>
        <w:topLinePunct w:val="0"/>
        <w:autoSpaceDE/>
        <w:autoSpaceDN/>
        <w:bidi w:val="0"/>
        <w:adjustRightInd/>
        <w:spacing w:line="560" w:lineRule="exact"/>
        <w:ind w:firstLine="643" w:firstLineChars="200"/>
        <w:jc w:val="left"/>
        <w:textAlignment w:val="auto"/>
        <w:rPr>
          <w:rFonts w:hint="eastAsia" w:ascii="楷体_GB2312" w:hAnsi="Times New Roman" w:eastAsia="仿宋_GB2312" w:cs="Times New Roman"/>
          <w:kern w:val="0"/>
          <w:position w:val="3"/>
          <w:sz w:val="32"/>
          <w:szCs w:val="32"/>
          <w:lang w:val="en-US" w:eastAsia="zh-CN" w:bidi="ar-SA"/>
        </w:rPr>
      </w:pPr>
      <w:r>
        <w:rPr>
          <w:rFonts w:hint="eastAsia" w:ascii="楷体_GB2312" w:hAnsi="楷体_GB2312" w:eastAsia="楷体_GB2312" w:cs="楷体_GB2312"/>
          <w:b/>
          <w:bCs/>
          <w:kern w:val="0"/>
          <w:position w:val="3"/>
          <w:sz w:val="32"/>
          <w:szCs w:val="32"/>
          <w:highlight w:val="none"/>
          <w:lang w:val="en-US" w:eastAsia="en-US" w:bidi="ar-SA"/>
        </w:rPr>
        <w:t>（一）通用指标绩效分析</w:t>
      </w:r>
    </w:p>
    <w:p w14:paraId="66C7F330">
      <w:pPr>
        <w:keepNext w:val="0"/>
        <w:keepLines w:val="0"/>
        <w:pageBreakBefore w:val="0"/>
        <w:widowControl/>
        <w:numPr>
          <w:ilvl w:val="0"/>
          <w:numId w:val="0"/>
        </w:numPr>
        <w:kinsoku/>
        <w:wordWrap/>
        <w:overflowPunct/>
        <w:topLinePunct w:val="0"/>
        <w:autoSpaceDE/>
        <w:autoSpaceDN/>
        <w:bidi w:val="0"/>
        <w:adjustRightInd/>
        <w:spacing w:line="560" w:lineRule="exact"/>
        <w:ind w:firstLine="643" w:firstLineChars="200"/>
        <w:jc w:val="left"/>
        <w:textAlignment w:val="auto"/>
        <w:rPr>
          <w:rFonts w:hint="eastAsia" w:ascii="仿宋_GB2312" w:hAnsi="仿宋_GB2312" w:eastAsia="仿宋_GB2312" w:cs="仿宋_GB2312"/>
          <w:kern w:val="0"/>
          <w:position w:val="3"/>
          <w:sz w:val="32"/>
          <w:szCs w:val="32"/>
          <w:highlight w:val="none"/>
          <w:lang w:val="en-US" w:eastAsia="en-US" w:bidi="ar-SA"/>
        </w:rPr>
      </w:pPr>
      <w:r>
        <w:rPr>
          <w:rFonts w:hint="eastAsia" w:ascii="仿宋_GB2312" w:hAnsi="仿宋_GB2312" w:eastAsia="仿宋_GB2312" w:cs="仿宋_GB2312"/>
          <w:b/>
          <w:bCs/>
          <w:kern w:val="0"/>
          <w:position w:val="3"/>
          <w:sz w:val="32"/>
          <w:szCs w:val="32"/>
          <w:highlight w:val="none"/>
          <w:lang w:val="en-US" w:eastAsia="zh-CN" w:bidi="ar-SA"/>
        </w:rPr>
        <w:t>1</w:t>
      </w:r>
      <w:r>
        <w:rPr>
          <w:rFonts w:hint="eastAsia" w:ascii="仿宋_GB2312" w:hAnsi="仿宋_GB2312" w:eastAsia="仿宋_GB2312" w:cs="仿宋_GB2312"/>
          <w:b/>
          <w:bCs/>
          <w:kern w:val="0"/>
          <w:position w:val="3"/>
          <w:sz w:val="32"/>
          <w:szCs w:val="32"/>
          <w:highlight w:val="none"/>
          <w:lang w:val="en-US" w:eastAsia="en-US" w:bidi="ar-SA"/>
        </w:rPr>
        <w:t>.资金使用合规性：</w:t>
      </w:r>
      <w:r>
        <w:rPr>
          <w:rFonts w:hint="eastAsia" w:ascii="仿宋_GB2312" w:hAnsi="仿宋_GB2312" w:eastAsia="仿宋_GB2312" w:cs="仿宋_GB2312"/>
          <w:kern w:val="0"/>
          <w:position w:val="3"/>
          <w:sz w:val="32"/>
          <w:szCs w:val="32"/>
          <w:highlight w:val="none"/>
          <w:lang w:val="en-US" w:eastAsia="en-US" w:bidi="ar-SA"/>
        </w:rPr>
        <w:t>资金使用严格遵循《中央和省级财政生态环境保护专项资金管理办法》《政府投资条例》等相关规定，支出范围、标准、审批流程均符合财政资金管理要求，财务核算规范，票据凭证齐全，无违规使用资金现象，资金合规使用率达100%。</w:t>
      </w:r>
    </w:p>
    <w:p w14:paraId="5C2E039F">
      <w:pPr>
        <w:keepNext w:val="0"/>
        <w:keepLines w:val="0"/>
        <w:pageBreakBefore w:val="0"/>
        <w:widowControl/>
        <w:numPr>
          <w:ilvl w:val="0"/>
          <w:numId w:val="0"/>
        </w:numPr>
        <w:kinsoku/>
        <w:wordWrap/>
        <w:overflowPunct/>
        <w:topLinePunct w:val="0"/>
        <w:autoSpaceDE/>
        <w:autoSpaceDN/>
        <w:bidi w:val="0"/>
        <w:adjustRightInd/>
        <w:spacing w:line="560" w:lineRule="exact"/>
        <w:ind w:firstLine="643" w:firstLineChars="200"/>
        <w:jc w:val="left"/>
        <w:textAlignment w:val="auto"/>
        <w:rPr>
          <w:rFonts w:hint="eastAsia" w:ascii="仿宋_GB2312" w:hAnsi="仿宋_GB2312" w:eastAsia="仿宋_GB2312" w:cs="仿宋_GB2312"/>
          <w:kern w:val="0"/>
          <w:position w:val="3"/>
          <w:sz w:val="32"/>
          <w:szCs w:val="32"/>
          <w:highlight w:val="none"/>
          <w:lang w:val="en-US" w:eastAsia="en-US" w:bidi="ar-SA"/>
        </w:rPr>
      </w:pPr>
      <w:r>
        <w:rPr>
          <w:rFonts w:hint="eastAsia" w:ascii="仿宋_GB2312" w:hAnsi="仿宋_GB2312" w:eastAsia="仿宋_GB2312" w:cs="仿宋_GB2312"/>
          <w:b/>
          <w:bCs/>
          <w:color w:val="000000"/>
          <w:kern w:val="0"/>
          <w:position w:val="3"/>
          <w:sz w:val="32"/>
          <w:szCs w:val="32"/>
          <w:highlight w:val="none"/>
          <w:lang w:val="en-US" w:eastAsia="zh-CN" w:bidi="ar-SA"/>
        </w:rPr>
        <w:t>2</w:t>
      </w:r>
      <w:r>
        <w:rPr>
          <w:rFonts w:hint="eastAsia" w:ascii="仿宋_GB2312" w:hAnsi="仿宋_GB2312" w:eastAsia="仿宋_GB2312" w:cs="仿宋_GB2312"/>
          <w:b/>
          <w:bCs/>
          <w:color w:val="000000"/>
          <w:kern w:val="0"/>
          <w:position w:val="3"/>
          <w:sz w:val="32"/>
          <w:szCs w:val="32"/>
          <w:highlight w:val="none"/>
          <w:lang w:val="en-US" w:eastAsia="en-US" w:bidi="ar-SA"/>
        </w:rPr>
        <w:t>.管理制度健全性：</w:t>
      </w:r>
      <w:r>
        <w:rPr>
          <w:rFonts w:hint="eastAsia" w:ascii="仿宋_GB2312" w:hAnsi="仿宋_GB2312" w:eastAsia="仿宋_GB2312" w:cs="仿宋_GB2312"/>
          <w:kern w:val="0"/>
          <w:position w:val="3"/>
          <w:sz w:val="32"/>
          <w:szCs w:val="32"/>
          <w:highlight w:val="none"/>
          <w:lang w:val="en-US" w:eastAsia="en-US" w:bidi="ar-SA"/>
        </w:rPr>
        <w:t>建立健全项目资金管理、成果编制管理、质量管控等配套制度，明确各环节责任主体、工作流程与考核标准，制度体系完善且执行到位，为项目规范实施提供了完备的制度保障。</w:t>
      </w:r>
    </w:p>
    <w:p w14:paraId="5609B649">
      <w:pPr>
        <w:keepNext w:val="0"/>
        <w:keepLines w:val="0"/>
        <w:pageBreakBefore w:val="0"/>
        <w:widowControl/>
        <w:numPr>
          <w:ilvl w:val="0"/>
          <w:numId w:val="0"/>
        </w:numPr>
        <w:kinsoku/>
        <w:wordWrap/>
        <w:overflowPunct/>
        <w:topLinePunct w:val="0"/>
        <w:autoSpaceDE/>
        <w:autoSpaceDN/>
        <w:bidi w:val="0"/>
        <w:adjustRightInd/>
        <w:spacing w:line="560" w:lineRule="exact"/>
        <w:ind w:firstLine="643" w:firstLineChars="200"/>
        <w:jc w:val="left"/>
        <w:textAlignment w:val="auto"/>
        <w:rPr>
          <w:rFonts w:hint="eastAsia" w:ascii="仿宋_GB2312" w:hAnsi="仿宋_GB2312" w:eastAsia="仿宋_GB2312" w:cs="仿宋_GB2312"/>
          <w:kern w:val="0"/>
          <w:position w:val="3"/>
          <w:sz w:val="32"/>
          <w:szCs w:val="32"/>
          <w:highlight w:val="none"/>
          <w:lang w:val="en-US" w:eastAsia="zh-CN" w:bidi="ar-SA"/>
        </w:rPr>
      </w:pPr>
      <w:r>
        <w:rPr>
          <w:rFonts w:hint="eastAsia" w:ascii="仿宋_GB2312" w:hAnsi="仿宋_GB2312" w:eastAsia="仿宋_GB2312" w:cs="仿宋_GB2312"/>
          <w:b/>
          <w:bCs/>
          <w:color w:val="000000"/>
          <w:kern w:val="0"/>
          <w:position w:val="3"/>
          <w:sz w:val="32"/>
          <w:szCs w:val="32"/>
          <w:highlight w:val="none"/>
          <w:lang w:val="en-US" w:eastAsia="zh-CN" w:bidi="ar-SA"/>
        </w:rPr>
        <w:t>3</w:t>
      </w:r>
      <w:r>
        <w:rPr>
          <w:rFonts w:hint="eastAsia" w:ascii="仿宋_GB2312" w:hAnsi="仿宋_GB2312" w:eastAsia="仿宋_GB2312" w:cs="仿宋_GB2312"/>
          <w:b/>
          <w:bCs/>
          <w:color w:val="000000"/>
          <w:kern w:val="0"/>
          <w:position w:val="3"/>
          <w:sz w:val="32"/>
          <w:szCs w:val="32"/>
          <w:highlight w:val="none"/>
          <w:lang w:val="en-US" w:eastAsia="en-US" w:bidi="ar-SA"/>
        </w:rPr>
        <w:t>.工作完成及时性：</w:t>
      </w:r>
      <w:r>
        <w:rPr>
          <w:rFonts w:hint="eastAsia" w:ascii="仿宋_GB2312" w:hAnsi="仿宋_GB2312" w:eastAsia="仿宋_GB2312" w:cs="仿宋_GB2312"/>
          <w:kern w:val="0"/>
          <w:position w:val="3"/>
          <w:sz w:val="32"/>
          <w:szCs w:val="32"/>
          <w:highlight w:val="none"/>
          <w:lang w:val="en-US" w:eastAsia="en-US" w:bidi="ar-SA"/>
        </w:rPr>
        <w:t>严格按照项目计划推进实施，预算执行进度与项目进度匹配，资金支付合规、手续齐全；资金使用符合财经纪律和项目管理要求</w:t>
      </w:r>
      <w:r>
        <w:rPr>
          <w:rFonts w:hint="eastAsia" w:ascii="仿宋_GB2312" w:hAnsi="仿宋_GB2312" w:eastAsia="仿宋_GB2312" w:cs="仿宋_GB2312"/>
          <w:kern w:val="0"/>
          <w:position w:val="3"/>
          <w:sz w:val="32"/>
          <w:szCs w:val="32"/>
          <w:highlight w:val="none"/>
          <w:lang w:val="en-US" w:eastAsia="zh-CN" w:bidi="ar-SA"/>
        </w:rPr>
        <w:t>。</w:t>
      </w:r>
      <w:r>
        <w:rPr>
          <w:rFonts w:hint="eastAsia" w:ascii="仿宋_GB2312" w:hAnsi="仿宋_GB2312" w:eastAsia="仿宋_GB2312" w:cs="仿宋_GB2312"/>
          <w:kern w:val="0"/>
          <w:position w:val="3"/>
          <w:sz w:val="32"/>
          <w:szCs w:val="32"/>
          <w:highlight w:val="none"/>
          <w:lang w:val="en-US" w:eastAsia="en-US" w:bidi="ar-SA"/>
        </w:rPr>
        <w:t>截至自评日，项目按计划推进阶段性任务，总体进度符合周期要求</w:t>
      </w:r>
      <w:r>
        <w:rPr>
          <w:rFonts w:hint="eastAsia" w:ascii="仿宋_GB2312" w:hAnsi="仿宋_GB2312" w:eastAsia="仿宋_GB2312" w:cs="仿宋_GB2312"/>
          <w:kern w:val="0"/>
          <w:position w:val="3"/>
          <w:sz w:val="32"/>
          <w:szCs w:val="32"/>
          <w:highlight w:val="none"/>
          <w:lang w:val="en-US" w:eastAsia="zh-CN" w:bidi="ar-SA"/>
        </w:rPr>
        <w:t>，</w:t>
      </w:r>
      <w:r>
        <w:rPr>
          <w:rFonts w:hint="eastAsia" w:ascii="仿宋_GB2312" w:hAnsi="仿宋_GB2312" w:eastAsia="仿宋_GB2312" w:cs="仿宋_GB2312"/>
          <w:kern w:val="0"/>
          <w:position w:val="3"/>
          <w:sz w:val="32"/>
          <w:szCs w:val="32"/>
          <w:highlight w:val="none"/>
          <w:lang w:val="en-US" w:eastAsia="en-US" w:bidi="ar-SA"/>
        </w:rPr>
        <w:t>该项指标完成良好。</w:t>
      </w:r>
    </w:p>
    <w:p w14:paraId="3A970F80">
      <w:pPr>
        <w:keepNext w:val="0"/>
        <w:keepLines w:val="0"/>
        <w:pageBreakBefore w:val="0"/>
        <w:widowControl/>
        <w:numPr>
          <w:ilvl w:val="0"/>
          <w:numId w:val="0"/>
        </w:numPr>
        <w:kinsoku/>
        <w:wordWrap/>
        <w:overflowPunct/>
        <w:topLinePunct w:val="0"/>
        <w:autoSpaceDE/>
        <w:autoSpaceDN/>
        <w:bidi w:val="0"/>
        <w:adjustRightInd/>
        <w:spacing w:line="560" w:lineRule="exact"/>
        <w:ind w:firstLine="643" w:firstLineChars="200"/>
        <w:jc w:val="left"/>
        <w:textAlignment w:val="auto"/>
        <w:rPr>
          <w:rFonts w:hint="eastAsia" w:ascii="楷体_GB2312" w:hAnsi="楷体_GB2312" w:eastAsia="楷体_GB2312" w:cs="楷体_GB2312"/>
          <w:b/>
          <w:bCs/>
          <w:kern w:val="0"/>
          <w:position w:val="3"/>
          <w:sz w:val="32"/>
          <w:szCs w:val="32"/>
          <w:highlight w:val="none"/>
          <w:lang w:val="en-US" w:eastAsia="en-US" w:bidi="ar-SA"/>
        </w:rPr>
      </w:pPr>
      <w:r>
        <w:rPr>
          <w:rFonts w:hint="eastAsia" w:ascii="楷体_GB2312" w:hAnsi="楷体_GB2312" w:eastAsia="楷体_GB2312" w:cs="楷体_GB2312"/>
          <w:b/>
          <w:bCs/>
          <w:kern w:val="0"/>
          <w:position w:val="3"/>
          <w:sz w:val="32"/>
          <w:szCs w:val="32"/>
          <w:highlight w:val="none"/>
          <w:lang w:val="en-US" w:eastAsia="en-US" w:bidi="ar-SA"/>
        </w:rPr>
        <w:t>（二）专用指标绩效分析</w:t>
      </w:r>
    </w:p>
    <w:p w14:paraId="59C714E1">
      <w:pPr>
        <w:keepNext w:val="0"/>
        <w:keepLines w:val="0"/>
        <w:pageBreakBefore w:val="0"/>
        <w:kinsoku/>
        <w:wordWrap/>
        <w:overflowPunct/>
        <w:topLinePunct w:val="0"/>
        <w:autoSpaceDE/>
        <w:autoSpaceDN/>
        <w:bidi w:val="0"/>
        <w:spacing w:line="560" w:lineRule="exact"/>
        <w:ind w:firstLine="640" w:firstLineChars="200"/>
        <w:textAlignment w:val="auto"/>
        <w:rPr>
          <w:rFonts w:ascii="楷体_GB2312" w:hAnsi="楷体_GB2312" w:eastAsia="楷体_GB2312" w:cs="楷体_GB2312"/>
          <w:sz w:val="32"/>
          <w:szCs w:val="32"/>
          <w:lang w:val="zh-CN"/>
        </w:rPr>
      </w:pPr>
      <w:r>
        <w:rPr>
          <w:rFonts w:hint="eastAsia" w:ascii="Times New Roman" w:hAnsi="Times New Roman" w:eastAsia="仿宋_GB2312" w:cs="Times New Roman"/>
          <w:sz w:val="32"/>
          <w:szCs w:val="32"/>
          <w:lang w:val="zh-CN"/>
        </w:rPr>
        <w:t>根据</w:t>
      </w:r>
      <w:r>
        <w:rPr>
          <w:rFonts w:hint="eastAsia" w:ascii="Times New Roman" w:hAnsi="Times New Roman" w:eastAsia="仿宋_GB2312" w:cs="Times New Roman"/>
          <w:sz w:val="32"/>
          <w:szCs w:val="32"/>
        </w:rPr>
        <w:t>专项预算项目资金支持对象选择所属指标进行绩效分析。支持对象</w:t>
      </w:r>
      <w:r>
        <w:rPr>
          <w:rFonts w:hint="eastAsia" w:ascii="Times New Roman" w:hAnsi="Times New Roman" w:eastAsia="仿宋_GB2312" w:cs="Times New Roman"/>
          <w:sz w:val="32"/>
          <w:szCs w:val="32"/>
          <w:lang w:val="zh-CN"/>
        </w:rPr>
        <w:t>包括产业发展、民生保障、基础设施、行政运转等方面。</w:t>
      </w:r>
    </w:p>
    <w:p w14:paraId="04404301">
      <w:pPr>
        <w:keepNext w:val="0"/>
        <w:keepLines w:val="0"/>
        <w:pageBreakBefore w:val="0"/>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1.产业发展。</w:t>
      </w:r>
      <w:r>
        <w:rPr>
          <w:rFonts w:hint="eastAsia" w:ascii="仿宋_GB2312" w:hAnsi="仿宋_GB2312" w:eastAsia="仿宋_GB2312" w:cs="仿宋_GB2312"/>
          <w:sz w:val="32"/>
          <w:szCs w:val="32"/>
        </w:rPr>
        <w:t>促进了相关环保科技公司发展。</w:t>
      </w:r>
    </w:p>
    <w:p w14:paraId="7484769F">
      <w:pPr>
        <w:keepNext w:val="0"/>
        <w:keepLines w:val="0"/>
        <w:pageBreakBefore w:val="0"/>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2.</w:t>
      </w:r>
      <w:r>
        <w:rPr>
          <w:rFonts w:hint="eastAsia" w:ascii="仿宋_GB2312" w:hAnsi="仿宋_GB2312" w:eastAsia="仿宋_GB2312" w:cs="仿宋_GB2312"/>
          <w:b/>
          <w:bCs/>
          <w:sz w:val="32"/>
          <w:szCs w:val="32"/>
          <w:lang w:val="zh-CN"/>
        </w:rPr>
        <w:t>民生保障。</w:t>
      </w:r>
      <w:r>
        <w:rPr>
          <w:rFonts w:hint="eastAsia" w:ascii="仿宋_GB2312" w:hAnsi="仿宋_GB2312" w:eastAsia="仿宋_GB2312" w:cs="仿宋_GB2312"/>
          <w:sz w:val="32"/>
          <w:szCs w:val="32"/>
        </w:rPr>
        <w:t>保障了群众环境权益。</w:t>
      </w:r>
    </w:p>
    <w:p w14:paraId="5C6A649E">
      <w:pPr>
        <w:keepNext w:val="0"/>
        <w:keepLines w:val="0"/>
        <w:pageBreakBefore w:val="0"/>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3.基础设施。</w:t>
      </w:r>
      <w:r>
        <w:rPr>
          <w:rFonts w:hint="eastAsia" w:ascii="仿宋_GB2312" w:hAnsi="仿宋_GB2312" w:eastAsia="仿宋_GB2312" w:cs="仿宋_GB2312"/>
          <w:sz w:val="32"/>
          <w:szCs w:val="32"/>
        </w:rPr>
        <w:t>项目按要求进行运维。</w:t>
      </w:r>
    </w:p>
    <w:p w14:paraId="60BEBBF6">
      <w:pPr>
        <w:keepNext w:val="0"/>
        <w:keepLines w:val="0"/>
        <w:pageBreakBefore w:val="0"/>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4.</w:t>
      </w:r>
      <w:r>
        <w:rPr>
          <w:rFonts w:hint="eastAsia" w:ascii="仿宋_GB2312" w:hAnsi="仿宋_GB2312" w:eastAsia="仿宋_GB2312" w:cs="仿宋_GB2312"/>
          <w:b/>
          <w:bCs/>
          <w:sz w:val="32"/>
          <w:szCs w:val="32"/>
          <w:lang w:val="zh-CN"/>
        </w:rPr>
        <w:t>行政运转。</w:t>
      </w:r>
      <w:r>
        <w:rPr>
          <w:rFonts w:hint="eastAsia" w:ascii="仿宋_GB2312" w:hAnsi="仿宋_GB2312" w:eastAsia="仿宋_GB2312" w:cs="仿宋_GB2312"/>
          <w:sz w:val="32"/>
          <w:szCs w:val="32"/>
          <w:lang w:val="zh-CN"/>
        </w:rPr>
        <w:t>用途合规、程序合规。</w:t>
      </w:r>
    </w:p>
    <w:p w14:paraId="127F672F">
      <w:pPr>
        <w:keepNext w:val="0"/>
        <w:keepLines w:val="0"/>
        <w:pageBreakBefore w:val="0"/>
        <w:widowControl/>
        <w:numPr>
          <w:ilvl w:val="0"/>
          <w:numId w:val="0"/>
        </w:numPr>
        <w:kinsoku/>
        <w:wordWrap/>
        <w:overflowPunct/>
        <w:topLinePunct w:val="0"/>
        <w:autoSpaceDE/>
        <w:autoSpaceDN/>
        <w:bidi w:val="0"/>
        <w:adjustRightInd/>
        <w:spacing w:line="560" w:lineRule="exact"/>
        <w:ind w:firstLine="643" w:firstLineChars="200"/>
        <w:jc w:val="left"/>
        <w:textAlignment w:val="auto"/>
        <w:rPr>
          <w:rFonts w:hint="eastAsia" w:ascii="楷体_GB2312" w:hAnsi="楷体_GB2312" w:eastAsia="楷体_GB2312" w:cs="楷体_GB2312"/>
          <w:b/>
          <w:bCs/>
          <w:kern w:val="0"/>
          <w:position w:val="3"/>
          <w:sz w:val="32"/>
          <w:szCs w:val="32"/>
          <w:highlight w:val="none"/>
          <w:lang w:val="en-US" w:eastAsia="en-US" w:bidi="ar-SA"/>
        </w:rPr>
      </w:pPr>
      <w:r>
        <w:rPr>
          <w:rFonts w:hint="eastAsia" w:ascii="楷体_GB2312" w:hAnsi="楷体_GB2312" w:eastAsia="楷体_GB2312" w:cs="楷体_GB2312"/>
          <w:b/>
          <w:bCs/>
          <w:kern w:val="0"/>
          <w:position w:val="3"/>
          <w:sz w:val="32"/>
          <w:szCs w:val="32"/>
          <w:highlight w:val="none"/>
          <w:lang w:val="en-US" w:eastAsia="en-US" w:bidi="ar-SA"/>
        </w:rPr>
        <w:t>（三）个性指标绩效分析</w:t>
      </w:r>
    </w:p>
    <w:p w14:paraId="04B0B9E9">
      <w:pPr>
        <w:keepNext w:val="0"/>
        <w:keepLines w:val="0"/>
        <w:pageBreakBefore w:val="0"/>
        <w:widowControl/>
        <w:numPr>
          <w:ilvl w:val="0"/>
          <w:numId w:val="0"/>
        </w:numPr>
        <w:kinsoku/>
        <w:wordWrap/>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kern w:val="0"/>
          <w:position w:val="3"/>
          <w:sz w:val="32"/>
          <w:szCs w:val="32"/>
          <w:highlight w:val="none"/>
          <w:lang w:val="en-US" w:eastAsia="en-US" w:bidi="ar-SA"/>
        </w:rPr>
      </w:pPr>
      <w:r>
        <w:rPr>
          <w:rFonts w:hint="eastAsia" w:ascii="仿宋_GB2312" w:hAnsi="仿宋_GB2312" w:eastAsia="仿宋_GB2312" w:cs="仿宋_GB2312"/>
          <w:kern w:val="0"/>
          <w:position w:val="3"/>
          <w:sz w:val="32"/>
          <w:szCs w:val="32"/>
          <w:highlight w:val="none"/>
          <w:lang w:val="en-US" w:eastAsia="en-US" w:bidi="ar-SA"/>
        </w:rPr>
        <w:t>立足阿坝州生态区位特色与项目独特价值，聚焦生态示范、社会效益、经验推广等个性化目标，凸显项目专属绩效成效，实现了预期的特色化绩效目标。</w:t>
      </w:r>
    </w:p>
    <w:p w14:paraId="30C3895F">
      <w:pPr>
        <w:keepNext w:val="0"/>
        <w:keepLines w:val="0"/>
        <w:pageBreakBefore w:val="0"/>
        <w:widowControl/>
        <w:numPr>
          <w:ilvl w:val="0"/>
          <w:numId w:val="0"/>
        </w:numPr>
        <w:kinsoku/>
        <w:wordWrap/>
        <w:overflowPunct/>
        <w:topLinePunct w:val="0"/>
        <w:autoSpaceDE/>
        <w:autoSpaceDN/>
        <w:bidi w:val="0"/>
        <w:adjustRightInd/>
        <w:spacing w:line="560" w:lineRule="exact"/>
        <w:ind w:firstLine="643" w:firstLineChars="200"/>
        <w:jc w:val="left"/>
        <w:textAlignment w:val="auto"/>
        <w:rPr>
          <w:rFonts w:hint="eastAsia" w:ascii="仿宋_GB2312" w:hAnsi="仿宋_GB2312" w:eastAsia="仿宋_GB2312" w:cs="仿宋_GB2312"/>
          <w:kern w:val="0"/>
          <w:position w:val="3"/>
          <w:sz w:val="32"/>
          <w:szCs w:val="32"/>
          <w:highlight w:val="none"/>
          <w:lang w:val="en-US" w:eastAsia="zh-CN" w:bidi="ar-SA"/>
        </w:rPr>
      </w:pPr>
      <w:r>
        <w:rPr>
          <w:rFonts w:hint="eastAsia" w:ascii="仿宋_GB2312" w:hAnsi="仿宋_GB2312" w:eastAsia="仿宋_GB2312" w:cs="仿宋_GB2312"/>
          <w:b/>
          <w:bCs/>
          <w:kern w:val="0"/>
          <w:position w:val="3"/>
          <w:sz w:val="32"/>
          <w:szCs w:val="32"/>
          <w:highlight w:val="none"/>
          <w:lang w:val="en-US" w:eastAsia="en-US" w:bidi="ar-SA"/>
        </w:rPr>
        <w:t>1.数据准确率：</w:t>
      </w:r>
      <w:r>
        <w:rPr>
          <w:rFonts w:hint="eastAsia" w:ascii="仿宋_GB2312" w:hAnsi="仿宋_GB2312" w:eastAsia="仿宋_GB2312" w:cs="仿宋_GB2312"/>
          <w:kern w:val="0"/>
          <w:position w:val="3"/>
          <w:sz w:val="32"/>
          <w:szCs w:val="32"/>
          <w:highlight w:val="none"/>
          <w:lang w:val="en-US" w:eastAsia="en-US" w:bidi="ar-SA"/>
        </w:rPr>
        <w:t>样品检测、调查数据经复核，准确率达到100%，数据真实有效</w:t>
      </w:r>
      <w:r>
        <w:rPr>
          <w:rFonts w:hint="eastAsia" w:ascii="仿宋_GB2312" w:hAnsi="仿宋_GB2312" w:eastAsia="仿宋_GB2312" w:cs="仿宋_GB2312"/>
          <w:kern w:val="0"/>
          <w:position w:val="3"/>
          <w:sz w:val="32"/>
          <w:szCs w:val="32"/>
          <w:highlight w:val="none"/>
          <w:lang w:val="en-US" w:eastAsia="zh-CN" w:bidi="ar-SA"/>
        </w:rPr>
        <w:t>。</w:t>
      </w:r>
    </w:p>
    <w:p w14:paraId="46B57AF2">
      <w:pPr>
        <w:keepNext w:val="0"/>
        <w:keepLines w:val="0"/>
        <w:pageBreakBefore w:val="0"/>
        <w:widowControl/>
        <w:numPr>
          <w:ilvl w:val="0"/>
          <w:numId w:val="0"/>
        </w:numPr>
        <w:kinsoku/>
        <w:wordWrap/>
        <w:overflowPunct/>
        <w:topLinePunct w:val="0"/>
        <w:autoSpaceDE/>
        <w:autoSpaceDN/>
        <w:bidi w:val="0"/>
        <w:adjustRightInd/>
        <w:spacing w:line="560" w:lineRule="exact"/>
        <w:ind w:firstLine="643" w:firstLineChars="200"/>
        <w:jc w:val="left"/>
        <w:textAlignment w:val="auto"/>
        <w:rPr>
          <w:rFonts w:hint="eastAsia" w:ascii="仿宋_GB2312" w:hAnsi="仿宋_GB2312" w:eastAsia="仿宋_GB2312" w:cs="仿宋_GB2312"/>
          <w:kern w:val="0"/>
          <w:position w:val="3"/>
          <w:sz w:val="32"/>
          <w:szCs w:val="32"/>
          <w:highlight w:val="none"/>
          <w:lang w:val="en-US" w:eastAsia="zh-CN" w:bidi="ar-SA"/>
        </w:rPr>
      </w:pPr>
      <w:r>
        <w:rPr>
          <w:rFonts w:hint="eastAsia" w:ascii="仿宋_GB2312" w:hAnsi="仿宋_GB2312" w:eastAsia="仿宋_GB2312" w:cs="仿宋_GB2312"/>
          <w:b/>
          <w:bCs/>
          <w:kern w:val="0"/>
          <w:position w:val="3"/>
          <w:sz w:val="32"/>
          <w:szCs w:val="32"/>
          <w:highlight w:val="none"/>
          <w:lang w:val="en-US" w:eastAsia="en-US" w:bidi="ar-SA"/>
        </w:rPr>
        <w:t>2.成果验收通过率：</w:t>
      </w:r>
      <w:r>
        <w:rPr>
          <w:rFonts w:hint="eastAsia" w:ascii="仿宋_GB2312" w:hAnsi="仿宋_GB2312" w:eastAsia="仿宋_GB2312" w:cs="仿宋_GB2312"/>
          <w:kern w:val="0"/>
          <w:position w:val="3"/>
          <w:sz w:val="32"/>
          <w:szCs w:val="32"/>
          <w:highlight w:val="none"/>
          <w:lang w:val="en-US" w:eastAsia="en-US" w:bidi="ar-SA"/>
        </w:rPr>
        <w:t>最终成果通过专家验收</w:t>
      </w:r>
      <w:r>
        <w:rPr>
          <w:rFonts w:hint="eastAsia" w:ascii="仿宋_GB2312" w:hAnsi="仿宋_GB2312" w:eastAsia="仿宋_GB2312" w:cs="仿宋_GB2312"/>
          <w:kern w:val="0"/>
          <w:position w:val="3"/>
          <w:sz w:val="32"/>
          <w:szCs w:val="32"/>
          <w:highlight w:val="none"/>
          <w:lang w:val="en-US" w:eastAsia="zh-CN" w:bidi="ar-SA"/>
        </w:rPr>
        <w:t>。</w:t>
      </w:r>
    </w:p>
    <w:p w14:paraId="00577F97">
      <w:pPr>
        <w:keepNext w:val="0"/>
        <w:keepLines w:val="0"/>
        <w:pageBreakBefore w:val="0"/>
        <w:widowControl/>
        <w:numPr>
          <w:ilvl w:val="0"/>
          <w:numId w:val="0"/>
        </w:numPr>
        <w:kinsoku/>
        <w:wordWrap/>
        <w:overflowPunct/>
        <w:topLinePunct w:val="0"/>
        <w:autoSpaceDE/>
        <w:autoSpaceDN/>
        <w:bidi w:val="0"/>
        <w:spacing w:line="560" w:lineRule="exact"/>
        <w:ind w:firstLine="643" w:firstLineChars="200"/>
        <w:jc w:val="left"/>
        <w:textAlignment w:val="auto"/>
        <w:rPr>
          <w:rFonts w:hint="eastAsia" w:ascii="仿宋_GB2312" w:hAnsi="Arial" w:eastAsia="仿宋_GB2312" w:cs="Arial"/>
          <w:color w:val="1F2329"/>
          <w:kern w:val="0"/>
          <w:sz w:val="32"/>
          <w:szCs w:val="32"/>
        </w:rPr>
      </w:pPr>
      <w:r>
        <w:rPr>
          <w:rFonts w:hint="eastAsia" w:ascii="仿宋_GB2312" w:hAnsi="Arial" w:eastAsia="仿宋_GB2312" w:cs="Arial"/>
          <w:b/>
          <w:bCs/>
          <w:color w:val="1F2329"/>
          <w:kern w:val="0"/>
          <w:sz w:val="32"/>
          <w:szCs w:val="32"/>
          <w:lang w:val="en-US" w:eastAsia="zh-CN"/>
        </w:rPr>
        <w:t>3.</w:t>
      </w:r>
      <w:r>
        <w:rPr>
          <w:rFonts w:hint="eastAsia" w:ascii="仿宋_GB2312" w:hAnsi="Arial" w:eastAsia="仿宋_GB2312" w:cs="Arial"/>
          <w:b/>
          <w:bCs/>
          <w:color w:val="1F2329"/>
          <w:kern w:val="0"/>
          <w:sz w:val="32"/>
          <w:szCs w:val="32"/>
        </w:rPr>
        <w:t>供应商服务满意度</w:t>
      </w:r>
      <w:r>
        <w:rPr>
          <w:rFonts w:hint="eastAsia" w:ascii="仿宋_GB2312" w:hAnsi="Arial" w:eastAsia="仿宋_GB2312" w:cs="Arial"/>
          <w:color w:val="1F2329"/>
          <w:kern w:val="0"/>
          <w:sz w:val="32"/>
          <w:szCs w:val="32"/>
        </w:rPr>
        <w:t>：通过对服务供应商的服务质量、响应态度进行评价，满意度为</w:t>
      </w:r>
      <w:r>
        <w:rPr>
          <w:rFonts w:hint="eastAsia" w:ascii="仿宋_GB2312" w:hAnsi="Arial" w:eastAsia="仿宋_GB2312" w:cs="Arial"/>
          <w:color w:val="1F2329"/>
          <w:kern w:val="0"/>
          <w:sz w:val="32"/>
          <w:szCs w:val="32"/>
          <w:lang w:val="en-US" w:eastAsia="zh-CN"/>
        </w:rPr>
        <w:t>100</w:t>
      </w:r>
      <w:r>
        <w:rPr>
          <w:rFonts w:hint="eastAsia" w:ascii="仿宋_GB2312" w:hAnsi="Arial" w:eastAsia="仿宋_GB2312" w:cs="Arial"/>
          <w:color w:val="1F2329"/>
          <w:kern w:val="0"/>
          <w:sz w:val="32"/>
          <w:szCs w:val="32"/>
        </w:rPr>
        <w:t>%。</w:t>
      </w:r>
    </w:p>
    <w:p w14:paraId="0E18E19E">
      <w:pPr>
        <w:keepNext w:val="0"/>
        <w:keepLines w:val="0"/>
        <w:pageBreakBefore w:val="0"/>
        <w:widowControl/>
        <w:numPr>
          <w:ilvl w:val="0"/>
          <w:numId w:val="0"/>
        </w:numPr>
        <w:kinsoku/>
        <w:wordWrap/>
        <w:overflowPunct/>
        <w:topLinePunct w:val="0"/>
        <w:autoSpaceDE/>
        <w:autoSpaceDN/>
        <w:bidi w:val="0"/>
        <w:adjustRightInd/>
        <w:spacing w:line="560" w:lineRule="exact"/>
        <w:ind w:firstLine="643" w:firstLineChars="200"/>
        <w:jc w:val="left"/>
        <w:textAlignment w:val="auto"/>
        <w:rPr>
          <w:rFonts w:hint="eastAsia" w:ascii="仿宋_GB2312" w:hAnsi="仿宋_GB2312" w:eastAsia="仿宋_GB2312" w:cs="仿宋_GB2312"/>
          <w:kern w:val="0"/>
          <w:position w:val="3"/>
          <w:sz w:val="32"/>
          <w:szCs w:val="32"/>
          <w:highlight w:val="none"/>
          <w:lang w:val="en-US" w:eastAsia="en-US" w:bidi="ar-SA"/>
        </w:rPr>
      </w:pPr>
      <w:r>
        <w:rPr>
          <w:rFonts w:hint="eastAsia" w:ascii="仿宋_GB2312" w:hAnsi="仿宋_GB2312" w:eastAsia="仿宋_GB2312" w:cs="仿宋_GB2312"/>
          <w:b/>
          <w:bCs/>
          <w:kern w:val="0"/>
          <w:position w:val="3"/>
          <w:sz w:val="32"/>
          <w:szCs w:val="32"/>
          <w:highlight w:val="none"/>
          <w:lang w:val="en-US" w:eastAsia="en-US" w:bidi="ar-SA"/>
        </w:rPr>
        <w:t>4.技术规范符合性：</w:t>
      </w:r>
      <w:r>
        <w:rPr>
          <w:rFonts w:hint="eastAsia" w:ascii="仿宋_GB2312" w:hAnsi="仿宋_GB2312" w:eastAsia="仿宋_GB2312" w:cs="仿宋_GB2312"/>
          <w:kern w:val="0"/>
          <w:position w:val="3"/>
          <w:sz w:val="32"/>
          <w:szCs w:val="32"/>
          <w:highlight w:val="none"/>
          <w:lang w:val="en-US" w:eastAsia="en-US" w:bidi="ar-SA"/>
        </w:rPr>
        <w:t>全流程工作严格遵循国家、省土壤溯源技术规范，无违规操作、无简化流程情况，个性指标全部达标完成。</w:t>
      </w:r>
    </w:p>
    <w:p w14:paraId="4184ED61">
      <w:pPr>
        <w:keepNext w:val="0"/>
        <w:keepLines w:val="0"/>
        <w:pageBreakBefore w:val="0"/>
        <w:widowControl/>
        <w:numPr>
          <w:ilvl w:val="0"/>
          <w:numId w:val="0"/>
        </w:numPr>
        <w:kinsoku/>
        <w:wordWrap/>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kern w:val="0"/>
          <w:position w:val="3"/>
          <w:sz w:val="32"/>
          <w:szCs w:val="32"/>
          <w:highlight w:val="none"/>
          <w:lang w:val="en-US" w:eastAsia="en-US" w:bidi="ar-SA"/>
        </w:rPr>
      </w:pPr>
      <w:r>
        <w:rPr>
          <w:rFonts w:hint="eastAsia" w:ascii="黑体" w:hAnsi="黑体" w:eastAsia="黑体" w:cs="黑体"/>
          <w:kern w:val="0"/>
          <w:position w:val="3"/>
          <w:sz w:val="32"/>
          <w:szCs w:val="32"/>
          <w:highlight w:val="none"/>
          <w:lang w:val="en-US" w:eastAsia="en-US" w:bidi="ar-SA"/>
        </w:rPr>
        <w:t>四、评价结论</w:t>
      </w:r>
    </w:p>
    <w:p w14:paraId="2BF9DF74">
      <w:pPr>
        <w:keepNext w:val="0"/>
        <w:keepLines w:val="0"/>
        <w:pageBreakBefore w:val="0"/>
        <w:widowControl/>
        <w:numPr>
          <w:ilvl w:val="0"/>
          <w:numId w:val="0"/>
        </w:numPr>
        <w:kinsoku/>
        <w:wordWrap/>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kern w:val="0"/>
          <w:position w:val="3"/>
          <w:sz w:val="32"/>
          <w:szCs w:val="32"/>
          <w:highlight w:val="none"/>
          <w:lang w:val="en-US" w:eastAsia="en-US" w:bidi="ar-SA"/>
        </w:rPr>
      </w:pPr>
      <w:r>
        <w:rPr>
          <w:rFonts w:hint="eastAsia" w:ascii="仿宋_GB2312" w:hAnsi="仿宋_GB2312" w:eastAsia="仿宋_GB2312" w:cs="仿宋_GB2312"/>
          <w:kern w:val="0"/>
          <w:position w:val="3"/>
          <w:sz w:val="32"/>
          <w:szCs w:val="32"/>
          <w:highlight w:val="none"/>
          <w:lang w:val="en-US" w:eastAsia="en-US" w:bidi="ar-SA"/>
        </w:rPr>
        <w:t>经全面绩效自评，</w:t>
      </w:r>
      <w:r>
        <w:rPr>
          <w:rFonts w:hint="eastAsia" w:ascii="仿宋_GB2312" w:hAnsi="仿宋_GB2312" w:eastAsia="仿宋_GB2312" w:cs="仿宋_GB2312"/>
          <w:kern w:val="0"/>
          <w:position w:val="3"/>
          <w:sz w:val="32"/>
          <w:szCs w:val="32"/>
          <w:highlight w:val="none"/>
          <w:lang w:val="en-US" w:eastAsia="zh-CN" w:bidi="ar-SA"/>
        </w:rPr>
        <w:t>阿坝州水污染防治重点</w:t>
      </w:r>
      <w:r>
        <w:rPr>
          <w:rFonts w:hint="eastAsia" w:ascii="仿宋_GB2312" w:hAnsi="仿宋_GB2312" w:eastAsia="仿宋_GB2312" w:cs="仿宋_GB2312"/>
          <w:kern w:val="0"/>
          <w:position w:val="3"/>
          <w:sz w:val="32"/>
          <w:szCs w:val="32"/>
          <w:highlight w:val="none"/>
          <w:lang w:val="en-US" w:eastAsia="en-US" w:bidi="ar-SA"/>
        </w:rPr>
        <w:t>项目决策科学规范、管理严格有序、资金使用合规、实施进度达标、绩效目标稳步推进，项目整体实施情况良好，各项指标均达到预期要求，自评总分</w:t>
      </w:r>
      <w:r>
        <w:rPr>
          <w:rFonts w:hint="eastAsia" w:ascii="仿宋_GB2312" w:hAnsi="仿宋_GB2312" w:eastAsia="仿宋_GB2312" w:cs="仿宋_GB2312"/>
          <w:kern w:val="0"/>
          <w:position w:val="3"/>
          <w:sz w:val="32"/>
          <w:szCs w:val="32"/>
          <w:highlight w:val="none"/>
          <w:lang w:val="en-US" w:eastAsia="zh-CN" w:bidi="ar-SA"/>
        </w:rPr>
        <w:t>100</w:t>
      </w:r>
      <w:r>
        <w:rPr>
          <w:rFonts w:hint="eastAsia" w:ascii="仿宋_GB2312" w:hAnsi="仿宋_GB2312" w:eastAsia="仿宋_GB2312" w:cs="仿宋_GB2312"/>
          <w:kern w:val="0"/>
          <w:position w:val="3"/>
          <w:sz w:val="32"/>
          <w:szCs w:val="32"/>
          <w:highlight w:val="none"/>
          <w:lang w:val="en-US" w:eastAsia="en-US" w:bidi="ar-SA"/>
        </w:rPr>
        <w:t>分，评价等级为优秀。</w:t>
      </w:r>
    </w:p>
    <w:p w14:paraId="611029A8">
      <w:pPr>
        <w:keepNext w:val="0"/>
        <w:keepLines w:val="0"/>
        <w:pageBreakBefore w:val="0"/>
        <w:widowControl/>
        <w:kinsoku/>
        <w:wordWrap/>
        <w:overflowPunct/>
        <w:topLinePunct w:val="0"/>
        <w:autoSpaceDE/>
        <w:autoSpaceDN/>
        <w:bidi w:val="0"/>
        <w:spacing w:line="560" w:lineRule="exact"/>
        <w:ind w:firstLine="640" w:firstLineChars="200"/>
        <w:jc w:val="left"/>
        <w:textAlignment w:val="auto"/>
        <w:rPr>
          <w:rFonts w:hint="eastAsia" w:ascii="仿宋_GB2312" w:hAnsi="Arial" w:eastAsia="仿宋_GB2312" w:cs="Arial"/>
          <w:color w:val="1F2329"/>
          <w:kern w:val="0"/>
          <w:sz w:val="32"/>
          <w:szCs w:val="32"/>
          <w:lang w:eastAsia="zh-CN"/>
        </w:rPr>
      </w:pPr>
      <w:r>
        <w:rPr>
          <w:rFonts w:hint="eastAsia" w:ascii="仿宋_GB2312" w:hAnsi="仿宋_GB2312" w:eastAsia="仿宋_GB2312" w:cs="仿宋_GB2312"/>
          <w:sz w:val="32"/>
          <w:szCs w:val="32"/>
          <w:highlight w:val="none"/>
        </w:rPr>
        <w:t>项目严格按照国家、省、州工作部署推进，资金管理规范透明，实施流程符合技术标准，阶段性成果质量可靠，</w:t>
      </w:r>
      <w:r>
        <w:rPr>
          <w:rFonts w:hint="eastAsia" w:ascii="仿宋_GB2312" w:hAnsi="Arial" w:eastAsia="仿宋_GB2312" w:cs="Arial"/>
          <w:color w:val="1F2329"/>
          <w:kern w:val="0"/>
          <w:sz w:val="32"/>
          <w:szCs w:val="32"/>
        </w:rPr>
        <w:t>有效保障了区域生态环境信息化监管工作的开展</w:t>
      </w:r>
      <w:r>
        <w:rPr>
          <w:rFonts w:hint="eastAsia" w:ascii="仿宋_GB2312" w:hAnsi="Arial" w:eastAsia="仿宋_GB2312" w:cs="Arial"/>
          <w:color w:val="1F2329"/>
          <w:kern w:val="0"/>
          <w:sz w:val="32"/>
          <w:szCs w:val="32"/>
          <w:lang w:eastAsia="zh-CN"/>
        </w:rPr>
        <w:t>。</w:t>
      </w:r>
    </w:p>
    <w:p w14:paraId="68E605B4">
      <w:pPr>
        <w:keepNext w:val="0"/>
        <w:keepLines w:val="0"/>
        <w:pageBreakBefore w:val="0"/>
        <w:widowControl/>
        <w:numPr>
          <w:ilvl w:val="0"/>
          <w:numId w:val="0"/>
        </w:numPr>
        <w:kinsoku/>
        <w:wordWrap/>
        <w:overflowPunct/>
        <w:topLinePunct w:val="0"/>
        <w:autoSpaceDE/>
        <w:autoSpaceDN/>
        <w:bidi w:val="0"/>
        <w:adjustRightInd/>
        <w:spacing w:line="560" w:lineRule="exact"/>
        <w:ind w:firstLine="640" w:firstLineChars="200"/>
        <w:jc w:val="left"/>
        <w:textAlignment w:val="auto"/>
        <w:rPr>
          <w:rFonts w:hint="eastAsia" w:ascii="仿宋_GB2312" w:hAnsi="仿宋_GB2312" w:eastAsia="仿宋_GB2312" w:cs="仿宋_GB2312"/>
          <w:kern w:val="0"/>
          <w:position w:val="3"/>
          <w:sz w:val="32"/>
          <w:szCs w:val="32"/>
          <w:highlight w:val="none"/>
          <w:lang w:val="en-US" w:eastAsia="en-US" w:bidi="ar-SA"/>
        </w:rPr>
      </w:pPr>
      <w:r>
        <w:rPr>
          <w:rFonts w:hint="eastAsia" w:ascii="黑体" w:hAnsi="黑体" w:eastAsia="黑体" w:cs="黑体"/>
          <w:kern w:val="0"/>
          <w:position w:val="3"/>
          <w:sz w:val="32"/>
          <w:szCs w:val="32"/>
          <w:highlight w:val="none"/>
          <w:lang w:val="en-US" w:eastAsia="en-US" w:bidi="ar-SA"/>
        </w:rPr>
        <w:t>五、存在主要问题</w:t>
      </w:r>
    </w:p>
    <w:p w14:paraId="260143C7">
      <w:pPr>
        <w:keepNext w:val="0"/>
        <w:keepLines w:val="0"/>
        <w:pageBreakBefore w:val="0"/>
        <w:widowControl/>
        <w:kinsoku/>
        <w:wordWrap/>
        <w:overflowPunct/>
        <w:topLinePunct w:val="0"/>
        <w:autoSpaceDE/>
        <w:autoSpaceDN/>
        <w:bidi w:val="0"/>
        <w:spacing w:line="560" w:lineRule="exact"/>
        <w:ind w:firstLine="640" w:firstLineChars="200"/>
        <w:jc w:val="left"/>
        <w:textAlignment w:val="auto"/>
        <w:rPr>
          <w:rFonts w:hint="eastAsia" w:ascii="仿宋_GB2312" w:hAnsi="Arial" w:eastAsia="仿宋_GB2312" w:cs="Arial"/>
          <w:color w:val="1F2329"/>
          <w:kern w:val="0"/>
          <w:sz w:val="32"/>
          <w:szCs w:val="32"/>
        </w:rPr>
      </w:pPr>
      <w:r>
        <w:rPr>
          <w:rFonts w:hint="eastAsia" w:ascii="仿宋_GB2312" w:hAnsi="仿宋_GB2312" w:eastAsia="仿宋_GB2312" w:cs="仿宋_GB2312"/>
          <w:sz w:val="32"/>
          <w:szCs w:val="32"/>
          <w:highlight w:val="none"/>
          <w:lang w:val="en-US" w:eastAsia="zh-CN"/>
        </w:rPr>
        <w:t>阿坝州水污染防治重点</w:t>
      </w:r>
      <w:r>
        <w:rPr>
          <w:rFonts w:hint="eastAsia" w:ascii="仿宋_GB2312" w:hAnsi="仿宋_GB2312" w:eastAsia="仿宋_GB2312" w:cs="仿宋_GB2312"/>
          <w:sz w:val="32"/>
          <w:szCs w:val="32"/>
          <w:highlight w:val="none"/>
        </w:rPr>
        <w:t>项目</w:t>
      </w:r>
      <w:r>
        <w:rPr>
          <w:rFonts w:hint="eastAsia" w:ascii="仿宋_GB2312" w:hAnsi="仿宋_GB2312" w:eastAsia="仿宋_GB2312" w:cs="仿宋_GB2312"/>
          <w:sz w:val="32"/>
          <w:szCs w:val="32"/>
          <w:highlight w:val="none"/>
          <w:lang w:eastAsia="zh-CN"/>
        </w:rPr>
        <w:t>共涉及</w:t>
      </w:r>
      <w:r>
        <w:rPr>
          <w:rFonts w:hint="eastAsia" w:ascii="仿宋_GB2312" w:hAnsi="仿宋_GB2312" w:eastAsia="仿宋_GB2312" w:cs="仿宋_GB2312"/>
          <w:sz w:val="32"/>
          <w:szCs w:val="32"/>
          <w:highlight w:val="none"/>
          <w:lang w:val="en-US" w:eastAsia="zh-CN"/>
        </w:rPr>
        <w:t>4个分项目，其中</w:t>
      </w:r>
      <w:r>
        <w:rPr>
          <w:rFonts w:hint="eastAsia" w:ascii="仿宋_GB2312" w:hAnsi="仿宋_GB2312" w:eastAsia="仿宋_GB2312" w:cs="仿宋_GB2312"/>
          <w:color w:val="auto"/>
          <w:sz w:val="32"/>
          <w:szCs w:val="32"/>
        </w:rPr>
        <w:t>阿坝州环境信息化省市县三级统筹建设项目观测站网络租赁项目</w:t>
      </w:r>
      <w:r>
        <w:rPr>
          <w:rFonts w:hint="eastAsia" w:ascii="仿宋_GB2312" w:hAnsi="Arial" w:eastAsia="仿宋_GB2312" w:cs="Arial"/>
          <w:color w:val="1F2329"/>
          <w:kern w:val="0"/>
          <w:sz w:val="32"/>
          <w:szCs w:val="32"/>
        </w:rPr>
        <w:t>存在一项问题：</w:t>
      </w:r>
      <w:r>
        <w:rPr>
          <w:rFonts w:hint="eastAsia" w:ascii="仿宋_GB2312" w:hAnsi="Arial" w:eastAsia="仿宋_GB2312" w:cs="Arial"/>
          <w:b/>
          <w:bCs/>
          <w:color w:val="1F2329"/>
          <w:kern w:val="0"/>
          <w:sz w:val="32"/>
          <w:szCs w:val="32"/>
        </w:rPr>
        <w:t>网络故障响应及处置效率有待提升</w:t>
      </w:r>
      <w:r>
        <w:rPr>
          <w:rFonts w:hint="eastAsia" w:ascii="仿宋_GB2312" w:hAnsi="Arial" w:eastAsia="仿宋_GB2312" w:cs="Arial"/>
          <w:color w:val="1F2329"/>
          <w:kern w:val="0"/>
          <w:sz w:val="32"/>
          <w:szCs w:val="32"/>
        </w:rPr>
        <w:t>。</w:t>
      </w:r>
      <w:bookmarkStart w:id="86" w:name="OLE_LINK9"/>
      <w:bookmarkStart w:id="87" w:name="OLE_LINK10"/>
      <w:r>
        <w:rPr>
          <w:rFonts w:hint="eastAsia" w:ascii="仿宋_GB2312" w:hAnsi="Arial" w:eastAsia="仿宋_GB2312" w:cs="Arial"/>
          <w:color w:val="1F2329"/>
          <w:kern w:val="0"/>
          <w:sz w:val="32"/>
          <w:szCs w:val="32"/>
        </w:rPr>
        <w:t>2025年项目实施过程中，出现2次网络故障，因供应商区域运维人员调配问题，故障处置时间为30小时，超出了项目设定的≤24小时的绩效目标要求</w:t>
      </w:r>
      <w:bookmarkEnd w:id="86"/>
      <w:bookmarkEnd w:id="87"/>
      <w:r>
        <w:rPr>
          <w:rFonts w:hint="eastAsia" w:ascii="仿宋_GB2312" w:hAnsi="Arial" w:eastAsia="仿宋_GB2312" w:cs="Arial"/>
          <w:color w:val="1F2329"/>
          <w:kern w:val="0"/>
          <w:sz w:val="32"/>
          <w:szCs w:val="32"/>
        </w:rPr>
        <w:t>，虽未对监控数据传输造成重大影响，但反映出网络故障应急处置机制仍需完善。</w:t>
      </w:r>
    </w:p>
    <w:p w14:paraId="2DD2C80C">
      <w:pPr>
        <w:keepNext w:val="0"/>
        <w:keepLines w:val="0"/>
        <w:pageBreakBefore w:val="0"/>
        <w:widowControl/>
        <w:numPr>
          <w:ilvl w:val="0"/>
          <w:numId w:val="0"/>
        </w:numPr>
        <w:kinsoku/>
        <w:wordWrap/>
        <w:overflowPunct/>
        <w:topLinePunct w:val="0"/>
        <w:autoSpaceDE/>
        <w:autoSpaceDN/>
        <w:bidi w:val="0"/>
        <w:adjustRightInd/>
        <w:spacing w:line="560" w:lineRule="exact"/>
        <w:ind w:firstLine="640" w:firstLineChars="200"/>
        <w:jc w:val="left"/>
        <w:textAlignment w:val="auto"/>
        <w:rPr>
          <w:rFonts w:hint="eastAsia" w:ascii="黑体" w:hAnsi="黑体" w:eastAsia="黑体" w:cs="黑体"/>
          <w:kern w:val="0"/>
          <w:position w:val="3"/>
          <w:sz w:val="32"/>
          <w:szCs w:val="32"/>
          <w:highlight w:val="none"/>
          <w:lang w:val="en-US" w:eastAsia="en-US" w:bidi="ar-SA"/>
        </w:rPr>
      </w:pPr>
      <w:r>
        <w:rPr>
          <w:rFonts w:hint="eastAsia" w:ascii="黑体" w:hAnsi="黑体" w:eastAsia="黑体" w:cs="黑体"/>
          <w:kern w:val="0"/>
          <w:position w:val="3"/>
          <w:sz w:val="32"/>
          <w:szCs w:val="32"/>
          <w:highlight w:val="none"/>
          <w:lang w:val="en-US" w:eastAsia="en-US" w:bidi="ar-SA"/>
        </w:rPr>
        <w:t>六、整改措施及下一步计划</w:t>
      </w:r>
    </w:p>
    <w:p w14:paraId="3C6ADACF">
      <w:pPr>
        <w:keepNext w:val="0"/>
        <w:keepLines w:val="0"/>
        <w:pageBreakBefore w:val="0"/>
        <w:widowControl/>
        <w:kinsoku/>
        <w:wordWrap/>
        <w:overflowPunct/>
        <w:topLinePunct w:val="0"/>
        <w:autoSpaceDE/>
        <w:autoSpaceDN/>
        <w:bidi w:val="0"/>
        <w:spacing w:line="560" w:lineRule="exact"/>
        <w:ind w:firstLine="640" w:firstLineChars="200"/>
        <w:jc w:val="left"/>
        <w:textAlignment w:val="auto"/>
        <w:rPr>
          <w:rFonts w:hint="eastAsia" w:ascii="仿宋_GB2312" w:hAnsi="Arial" w:eastAsia="仿宋_GB2312" w:cs="Arial"/>
          <w:color w:val="1F2329"/>
          <w:kern w:val="0"/>
          <w:sz w:val="32"/>
          <w:szCs w:val="32"/>
        </w:rPr>
      </w:pPr>
      <w:r>
        <w:rPr>
          <w:rFonts w:hint="eastAsia" w:ascii="仿宋_GB2312" w:hAnsi="Arial" w:eastAsia="仿宋_GB2312" w:cs="Arial"/>
          <w:color w:val="1F2329"/>
          <w:kern w:val="0"/>
          <w:sz w:val="32"/>
          <w:szCs w:val="32"/>
        </w:rPr>
        <w:t>针对本次自评发现的</w:t>
      </w:r>
      <w:r>
        <w:rPr>
          <w:rFonts w:hint="eastAsia" w:ascii="仿宋_GB2312" w:hAnsi="Arial" w:eastAsia="仿宋_GB2312" w:cs="Arial"/>
          <w:b/>
          <w:bCs/>
          <w:color w:val="1F2329"/>
          <w:kern w:val="0"/>
          <w:sz w:val="32"/>
          <w:szCs w:val="32"/>
        </w:rPr>
        <w:t>网络故障响应及处置效率不足</w:t>
      </w:r>
      <w:r>
        <w:rPr>
          <w:rFonts w:hint="eastAsia" w:ascii="仿宋_GB2312" w:hAnsi="Arial" w:eastAsia="仿宋_GB2312" w:cs="Arial"/>
          <w:color w:val="1F2329"/>
          <w:kern w:val="0"/>
          <w:sz w:val="32"/>
          <w:szCs w:val="32"/>
        </w:rPr>
        <w:t>的问题，对应提出以下改进措施，切实优化项目管理，提升服务保障水平。</w:t>
      </w:r>
    </w:p>
    <w:p w14:paraId="2E31F595">
      <w:pPr>
        <w:keepNext w:val="0"/>
        <w:keepLines w:val="0"/>
        <w:pageBreakBefore w:val="0"/>
        <w:widowControl/>
        <w:kinsoku/>
        <w:wordWrap/>
        <w:overflowPunct/>
        <w:topLinePunct w:val="0"/>
        <w:autoSpaceDE/>
        <w:autoSpaceDN/>
        <w:bidi w:val="0"/>
        <w:spacing w:line="560" w:lineRule="exact"/>
        <w:ind w:firstLine="643" w:firstLineChars="200"/>
        <w:jc w:val="left"/>
        <w:textAlignment w:val="auto"/>
        <w:rPr>
          <w:rFonts w:hint="eastAsia" w:ascii="仿宋_GB2312" w:hAnsi="Arial" w:eastAsia="仿宋_GB2312" w:cs="Arial"/>
          <w:color w:val="1F2329"/>
          <w:kern w:val="0"/>
          <w:sz w:val="32"/>
          <w:szCs w:val="32"/>
        </w:rPr>
      </w:pPr>
      <w:r>
        <w:rPr>
          <w:rFonts w:hint="eastAsia" w:ascii="仿宋_GB2312" w:hAnsi="Arial" w:eastAsia="仿宋_GB2312" w:cs="Arial"/>
          <w:b/>
          <w:bCs/>
          <w:color w:val="1F2329"/>
          <w:kern w:val="0"/>
          <w:sz w:val="32"/>
          <w:szCs w:val="32"/>
        </w:rPr>
        <w:t>完善故障应急处置协议</w:t>
      </w:r>
      <w:r>
        <w:rPr>
          <w:rFonts w:hint="eastAsia" w:ascii="仿宋_GB2312" w:hAnsi="Arial" w:eastAsia="仿宋_GB2312" w:cs="Arial"/>
          <w:color w:val="1F2329"/>
          <w:kern w:val="0"/>
          <w:sz w:val="32"/>
          <w:szCs w:val="32"/>
        </w:rPr>
        <w:t>：与网络服务供应商重新签订补充协议，明确网络故障的</w:t>
      </w:r>
      <w:r>
        <w:rPr>
          <w:rFonts w:hint="eastAsia" w:ascii="仿宋_GB2312" w:hAnsi="Arial" w:eastAsia="仿宋_GB2312" w:cs="Arial"/>
          <w:b/>
          <w:bCs/>
          <w:color w:val="1F2329"/>
          <w:kern w:val="0"/>
          <w:sz w:val="32"/>
          <w:szCs w:val="32"/>
        </w:rPr>
        <w:t>分级处置标准</w:t>
      </w:r>
      <w:r>
        <w:rPr>
          <w:rFonts w:hint="eastAsia" w:ascii="仿宋_GB2312" w:hAnsi="Arial" w:eastAsia="仿宋_GB2312" w:cs="Arial"/>
          <w:color w:val="1F2329"/>
          <w:kern w:val="0"/>
          <w:sz w:val="32"/>
          <w:szCs w:val="32"/>
        </w:rPr>
        <w:t>，将24小时故障处置完成率纳入供应商服务质量考核指标，设定考核扣分及违约金条款，强化供应商的履约责任。</w:t>
      </w:r>
      <w:r>
        <w:rPr>
          <w:rFonts w:hint="eastAsia" w:ascii="仿宋_GB2312" w:hAnsi="Arial" w:eastAsia="仿宋_GB2312" w:cs="Arial"/>
          <w:b/>
          <w:bCs/>
          <w:color w:val="1F2329"/>
          <w:kern w:val="0"/>
          <w:sz w:val="32"/>
          <w:szCs w:val="32"/>
        </w:rPr>
        <w:t>建立常态化故障排查机制</w:t>
      </w:r>
      <w:r>
        <w:rPr>
          <w:rFonts w:hint="eastAsia" w:ascii="仿宋_GB2312" w:hAnsi="Arial" w:eastAsia="仿宋_GB2312" w:cs="Arial"/>
          <w:color w:val="1F2329"/>
          <w:kern w:val="0"/>
          <w:sz w:val="32"/>
          <w:szCs w:val="32"/>
        </w:rPr>
        <w:t>：本局项目实施科室联合供应商，每月对各监控点位网络运行情况开展一次常态化排查，提前发现网络线路、设备连接等潜在问题，做到</w:t>
      </w:r>
      <w:r>
        <w:rPr>
          <w:rFonts w:hint="eastAsia" w:ascii="仿宋_GB2312" w:hAnsi="Arial" w:eastAsia="仿宋_GB2312" w:cs="Arial"/>
          <w:b/>
          <w:bCs/>
          <w:color w:val="1F2329"/>
          <w:kern w:val="0"/>
          <w:sz w:val="32"/>
          <w:szCs w:val="32"/>
        </w:rPr>
        <w:t>早发现、早处置</w:t>
      </w:r>
      <w:r>
        <w:rPr>
          <w:rFonts w:hint="eastAsia" w:ascii="仿宋_GB2312" w:hAnsi="Arial" w:eastAsia="仿宋_GB2312" w:cs="Arial"/>
          <w:color w:val="1F2329"/>
          <w:kern w:val="0"/>
          <w:sz w:val="32"/>
          <w:szCs w:val="32"/>
        </w:rPr>
        <w:t>，减少突发故障发生频次。</w:t>
      </w:r>
    </w:p>
    <w:p w14:paraId="504FF531">
      <w:pPr>
        <w:keepNext w:val="0"/>
        <w:keepLines w:val="0"/>
        <w:pageBreakBefore w:val="0"/>
        <w:kinsoku/>
        <w:wordWrap/>
        <w:overflowPunct/>
        <w:topLinePunct w:val="0"/>
        <w:autoSpaceDE/>
        <w:autoSpaceDN/>
        <w:bidi w:val="0"/>
        <w:adjustRightInd/>
        <w:snapToGrid w:val="0"/>
        <w:spacing w:line="560" w:lineRule="exact"/>
        <w:ind w:left="0" w:leftChars="0" w:firstLine="640" w:firstLineChars="200"/>
        <w:textAlignment w:val="auto"/>
        <w:outlineLvl w:val="9"/>
        <w:rPr>
          <w:rFonts w:hint="default" w:ascii="Times New Roman" w:hAnsi="Times New Roman" w:eastAsia="仿宋_GB2312" w:cs="Times New Roman"/>
          <w:color w:val="000000"/>
          <w:kern w:val="0"/>
          <w:sz w:val="32"/>
          <w:szCs w:val="32"/>
          <w:highlight w:val="none"/>
          <w:shd w:val="clear" w:color="auto" w:fill="FFFFFF"/>
          <w:lang w:val="en-US" w:eastAsia="zh-CN"/>
        </w:rPr>
      </w:pPr>
    </w:p>
    <w:p w14:paraId="7E616338">
      <w:pPr>
        <w:keepNext w:val="0"/>
        <w:keepLines w:val="0"/>
        <w:pageBreakBefore w:val="0"/>
        <w:kinsoku/>
        <w:wordWrap/>
        <w:overflowPunct/>
        <w:topLinePunct w:val="0"/>
        <w:autoSpaceDE/>
        <w:autoSpaceDN/>
        <w:bidi w:val="0"/>
        <w:adjustRightInd/>
        <w:snapToGrid w:val="0"/>
        <w:spacing w:line="560" w:lineRule="exact"/>
        <w:ind w:left="0" w:leftChars="0" w:firstLine="640" w:firstLineChars="200"/>
        <w:textAlignment w:val="auto"/>
        <w:outlineLvl w:val="9"/>
        <w:rPr>
          <w:rFonts w:hint="default" w:ascii="Times New Roman" w:hAnsi="Times New Roman" w:eastAsia="仿宋_GB2312" w:cs="Times New Roman"/>
          <w:color w:val="000000"/>
          <w:kern w:val="0"/>
          <w:sz w:val="32"/>
          <w:szCs w:val="32"/>
          <w:highlight w:val="none"/>
          <w:shd w:val="clear" w:color="auto" w:fill="FFFFFF"/>
          <w:lang w:val="en-US" w:eastAsia="zh-CN"/>
        </w:rPr>
      </w:pPr>
      <w:r>
        <w:rPr>
          <w:rFonts w:hint="default" w:ascii="Times New Roman" w:hAnsi="Times New Roman" w:eastAsia="仿宋_GB2312" w:cs="Times New Roman"/>
          <w:color w:val="000000"/>
          <w:kern w:val="0"/>
          <w:sz w:val="32"/>
          <w:szCs w:val="32"/>
          <w:highlight w:val="none"/>
          <w:shd w:val="clear" w:color="auto" w:fill="FFFFFF"/>
          <w:lang w:val="en-US" w:eastAsia="zh-CN"/>
        </w:rPr>
        <w:t>附表：1.</w:t>
      </w:r>
      <w:r>
        <w:rPr>
          <w:rFonts w:hint="eastAsia" w:ascii="Times New Roman" w:hAnsi="Times New Roman" w:eastAsia="仿宋_GB2312" w:cs="Times New Roman"/>
          <w:color w:val="000000"/>
          <w:kern w:val="0"/>
          <w:sz w:val="32"/>
          <w:szCs w:val="32"/>
          <w:highlight w:val="none"/>
          <w:shd w:val="clear" w:color="auto" w:fill="FFFFFF"/>
          <w:lang w:val="en-US" w:eastAsia="zh-CN"/>
        </w:rPr>
        <w:t>专项</w:t>
      </w:r>
      <w:r>
        <w:rPr>
          <w:rFonts w:hint="default" w:ascii="Times New Roman" w:hAnsi="Times New Roman" w:eastAsia="仿宋_GB2312" w:cs="Times New Roman"/>
          <w:color w:val="000000"/>
          <w:kern w:val="0"/>
          <w:sz w:val="32"/>
          <w:szCs w:val="32"/>
          <w:highlight w:val="none"/>
          <w:shd w:val="clear" w:color="auto" w:fill="FFFFFF"/>
          <w:lang w:val="en-US" w:eastAsia="zh-CN"/>
        </w:rPr>
        <w:t>预算绩效自评打分表</w:t>
      </w:r>
    </w:p>
    <w:p w14:paraId="604B206D">
      <w:pPr>
        <w:keepNext w:val="0"/>
        <w:keepLines w:val="0"/>
        <w:pageBreakBefore w:val="0"/>
        <w:kinsoku/>
        <w:wordWrap/>
        <w:overflowPunct/>
        <w:topLinePunct w:val="0"/>
        <w:autoSpaceDE/>
        <w:autoSpaceDN/>
        <w:bidi w:val="0"/>
        <w:adjustRightInd/>
        <w:snapToGrid w:val="0"/>
        <w:spacing w:line="560" w:lineRule="exact"/>
        <w:ind w:firstLine="1600" w:firstLineChars="500"/>
        <w:textAlignment w:val="auto"/>
        <w:outlineLvl w:val="9"/>
        <w:rPr>
          <w:rFonts w:hint="default" w:ascii="Times New Roman" w:hAnsi="Times New Roman" w:eastAsia="仿宋_GB2312" w:cs="Times New Roman"/>
          <w:color w:val="000000"/>
          <w:kern w:val="0"/>
          <w:sz w:val="32"/>
          <w:szCs w:val="32"/>
          <w:highlight w:val="none"/>
          <w:shd w:val="clear" w:color="auto" w:fill="FFFFFF"/>
          <w:lang w:val="en-US" w:eastAsia="zh-CN"/>
        </w:rPr>
      </w:pPr>
      <w:r>
        <w:rPr>
          <w:rFonts w:hint="default" w:ascii="Times New Roman" w:hAnsi="Times New Roman" w:eastAsia="仿宋_GB2312" w:cs="Times New Roman"/>
          <w:color w:val="000000"/>
          <w:kern w:val="0"/>
          <w:sz w:val="32"/>
          <w:szCs w:val="32"/>
          <w:highlight w:val="none"/>
          <w:shd w:val="clear" w:color="auto" w:fill="FFFFFF"/>
          <w:lang w:val="en-US" w:eastAsia="zh-CN"/>
        </w:rPr>
        <w:t>2.专项预算绩效自评实地踏勘点位清单表</w:t>
      </w:r>
    </w:p>
    <w:p w14:paraId="6E97D34E">
      <w:pPr>
        <w:keepNext w:val="0"/>
        <w:keepLines w:val="0"/>
        <w:pageBreakBefore w:val="0"/>
        <w:kinsoku/>
        <w:wordWrap/>
        <w:overflowPunct/>
        <w:topLinePunct w:val="0"/>
        <w:autoSpaceDE/>
        <w:autoSpaceDN/>
        <w:bidi w:val="0"/>
        <w:adjustRightInd/>
        <w:snapToGrid w:val="0"/>
        <w:spacing w:line="560" w:lineRule="exact"/>
        <w:ind w:left="0" w:leftChars="0" w:firstLine="1600" w:firstLineChars="500"/>
        <w:textAlignment w:val="auto"/>
        <w:outlineLvl w:val="9"/>
        <w:rPr>
          <w:rFonts w:hint="default" w:ascii="Times New Roman" w:hAnsi="Times New Roman" w:eastAsia="仿宋_GB2312" w:cs="Times New Roman"/>
          <w:color w:val="000000"/>
          <w:kern w:val="0"/>
          <w:sz w:val="32"/>
          <w:szCs w:val="32"/>
          <w:highlight w:val="none"/>
          <w:shd w:val="clear" w:color="auto" w:fill="FFFFFF"/>
          <w:lang w:val="en-US" w:eastAsia="zh-CN"/>
        </w:rPr>
      </w:pPr>
      <w:r>
        <w:rPr>
          <w:rFonts w:hint="eastAsia" w:ascii="Times New Roman" w:hAnsi="Times New Roman" w:eastAsia="仿宋_GB2312" w:cs="Times New Roman"/>
          <w:color w:val="000000"/>
          <w:kern w:val="0"/>
          <w:sz w:val="32"/>
          <w:szCs w:val="32"/>
          <w:highlight w:val="none"/>
          <w:shd w:val="clear" w:color="auto" w:fill="FFFFFF"/>
          <w:lang w:val="en-US" w:eastAsia="zh-CN"/>
        </w:rPr>
        <w:t>3.</w:t>
      </w:r>
      <w:r>
        <w:rPr>
          <w:rFonts w:hint="default" w:ascii="Times New Roman" w:hAnsi="Times New Roman" w:eastAsia="仿宋_GB2312" w:cs="Times New Roman"/>
          <w:color w:val="000000"/>
          <w:kern w:val="0"/>
          <w:sz w:val="32"/>
          <w:szCs w:val="32"/>
          <w:highlight w:val="none"/>
          <w:shd w:val="clear" w:color="auto" w:fill="FFFFFF"/>
          <w:lang w:val="en-US" w:eastAsia="zh-CN"/>
        </w:rPr>
        <w:t>专项预算项目绩效目标完成情况自评表</w:t>
      </w:r>
    </w:p>
    <w:p w14:paraId="619B1EC8">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default" w:ascii="Times New Roman" w:hAnsi="Times New Roman" w:eastAsia="仿宋_GB2312" w:cs="Times New Roman"/>
          <w:color w:val="000000"/>
          <w:kern w:val="0"/>
          <w:sz w:val="32"/>
          <w:szCs w:val="32"/>
          <w:highlight w:val="none"/>
          <w:shd w:val="clear" w:color="auto" w:fill="FFFFFF"/>
          <w:lang w:val="zh-CN" w:eastAsia="zh-CN"/>
        </w:rPr>
        <w:br w:type="page"/>
      </w: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t>1</w:t>
      </w:r>
    </w:p>
    <w:p w14:paraId="2E6331CB">
      <w:pPr>
        <w:keepNext w:val="0"/>
        <w:keepLines w:val="0"/>
        <w:pageBreakBefore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r>
        <w:rPr>
          <w:rFonts w:hint="eastAsia" w:ascii="Times New Roman" w:hAnsi="Times New Roman" w:eastAsia="方正小标宋_GBK" w:cs="Times New Roman"/>
          <w:b w:val="0"/>
          <w:bCs w:val="0"/>
          <w:color w:val="auto"/>
          <w:sz w:val="40"/>
          <w:szCs w:val="40"/>
          <w:highlight w:val="none"/>
          <w:u w:val="none"/>
          <w:lang w:val="en-US" w:eastAsia="zh-CN"/>
        </w:rPr>
        <w:t>专项</w:t>
      </w:r>
      <w:r>
        <w:rPr>
          <w:rFonts w:hint="default" w:ascii="Times New Roman" w:hAnsi="Times New Roman" w:eastAsia="方正小标宋_GBK" w:cs="Times New Roman"/>
          <w:b w:val="0"/>
          <w:bCs w:val="0"/>
          <w:color w:val="auto"/>
          <w:sz w:val="40"/>
          <w:szCs w:val="40"/>
          <w:highlight w:val="none"/>
          <w:u w:val="none"/>
          <w:lang w:val="en-US" w:eastAsia="zh-CN"/>
        </w:rPr>
        <w:t>预算绩效自评打分表</w:t>
      </w:r>
    </w:p>
    <w:tbl>
      <w:tblPr>
        <w:tblStyle w:val="20"/>
        <w:tblW w:w="109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765"/>
        <w:gridCol w:w="825"/>
        <w:gridCol w:w="1355"/>
        <w:gridCol w:w="696"/>
        <w:gridCol w:w="5340"/>
        <w:gridCol w:w="732"/>
        <w:gridCol w:w="468"/>
      </w:tblGrid>
      <w:tr w14:paraId="38B178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361" w:type="dxa"/>
            <w:gridSpan w:val="5"/>
            <w:tcBorders>
              <w:top w:val="single" w:color="000000" w:sz="4" w:space="0"/>
              <w:left w:val="single" w:color="000000" w:sz="4" w:space="0"/>
              <w:bottom w:val="nil"/>
              <w:right w:val="nil"/>
            </w:tcBorders>
            <w:noWrap w:val="0"/>
            <w:vAlign w:val="center"/>
          </w:tcPr>
          <w:p w14:paraId="0033741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绩效评价指标</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14:paraId="4CF96F9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指标解释</w:t>
            </w:r>
          </w:p>
        </w:tc>
        <w:tc>
          <w:tcPr>
            <w:tcW w:w="732" w:type="dxa"/>
            <w:vMerge w:val="restart"/>
            <w:tcBorders>
              <w:top w:val="single" w:color="000000" w:sz="4" w:space="0"/>
              <w:left w:val="single" w:color="000000" w:sz="4" w:space="0"/>
              <w:right w:val="single" w:color="000000" w:sz="4" w:space="0"/>
            </w:tcBorders>
            <w:noWrap w:val="0"/>
            <w:vAlign w:val="center"/>
          </w:tcPr>
          <w:p w14:paraId="6404153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自评得分</w:t>
            </w:r>
          </w:p>
        </w:tc>
        <w:tc>
          <w:tcPr>
            <w:tcW w:w="468" w:type="dxa"/>
            <w:vMerge w:val="restart"/>
            <w:tcBorders>
              <w:top w:val="single" w:color="000000" w:sz="4" w:space="0"/>
              <w:left w:val="single" w:color="000000" w:sz="4" w:space="0"/>
              <w:right w:val="single" w:color="000000" w:sz="4" w:space="0"/>
            </w:tcBorders>
            <w:noWrap w:val="0"/>
            <w:vAlign w:val="center"/>
          </w:tcPr>
          <w:p w14:paraId="6625E15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备注</w:t>
            </w:r>
          </w:p>
        </w:tc>
      </w:tr>
      <w:tr w14:paraId="6FF789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5F9FB0A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一级指标</w:t>
            </w:r>
          </w:p>
        </w:tc>
        <w:tc>
          <w:tcPr>
            <w:tcW w:w="1590" w:type="dxa"/>
            <w:gridSpan w:val="2"/>
            <w:tcBorders>
              <w:top w:val="single" w:color="000000" w:sz="4" w:space="0"/>
              <w:left w:val="single" w:color="000000" w:sz="4" w:space="0"/>
              <w:bottom w:val="single" w:color="000000" w:sz="4" w:space="0"/>
              <w:right w:val="single" w:color="000000" w:sz="4" w:space="0"/>
            </w:tcBorders>
            <w:noWrap w:val="0"/>
            <w:vAlign w:val="center"/>
          </w:tcPr>
          <w:p w14:paraId="27077DD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二级指标</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03AE314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三级指标</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7E608FB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w:t>
            </w:r>
            <w:r>
              <w:rPr>
                <w:rFonts w:hint="eastAsia" w:ascii="黑体" w:hAnsi="宋体" w:eastAsia="黑体" w:cs="黑体"/>
                <w:i w:val="0"/>
                <w:color w:val="000000"/>
                <w:kern w:val="0"/>
                <w:sz w:val="24"/>
                <w:szCs w:val="24"/>
                <w:u w:val="none"/>
                <w:lang w:val="en-US" w:eastAsia="zh-CN" w:bidi="ar"/>
              </w:rPr>
              <w:br w:type="textWrapping"/>
            </w:r>
            <w:r>
              <w:rPr>
                <w:rFonts w:hint="eastAsia" w:ascii="黑体" w:hAnsi="宋体" w:eastAsia="黑体" w:cs="黑体"/>
                <w:i w:val="0"/>
                <w:color w:val="000000"/>
                <w:kern w:val="0"/>
                <w:sz w:val="24"/>
                <w:szCs w:val="24"/>
                <w:u w:val="none"/>
                <w:lang w:val="en-US" w:eastAsia="zh-CN" w:bidi="ar"/>
              </w:rPr>
              <w:t>分值</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C8F370">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732" w:type="dxa"/>
            <w:vMerge w:val="continue"/>
            <w:tcBorders>
              <w:left w:val="single" w:color="000000" w:sz="4" w:space="0"/>
              <w:bottom w:val="single" w:color="000000" w:sz="4" w:space="0"/>
              <w:right w:val="single" w:color="000000" w:sz="4" w:space="0"/>
            </w:tcBorders>
            <w:noWrap w:val="0"/>
            <w:vAlign w:val="center"/>
          </w:tcPr>
          <w:p w14:paraId="23F80685">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468" w:type="dxa"/>
            <w:vMerge w:val="continue"/>
            <w:tcBorders>
              <w:left w:val="single" w:color="000000" w:sz="4" w:space="0"/>
              <w:bottom w:val="single" w:color="000000" w:sz="4" w:space="0"/>
              <w:right w:val="single" w:color="000000" w:sz="4" w:space="0"/>
            </w:tcBorders>
            <w:noWrap w:val="0"/>
            <w:vAlign w:val="center"/>
          </w:tcPr>
          <w:p w14:paraId="6163E0DA">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r>
      <w:tr w14:paraId="06CF25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14:paraId="20C2C15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通用指标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（54分）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B20059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项目决策</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5890BC1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决策程序</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7FD8740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453F5FC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项目决策程序是否严密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D24697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415D4C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55CEB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4F7A4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270D2C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4054DE5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规划论证</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3A8A1AB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4C7F8CB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项目规划论证是否符合中省要求，项目绩效目标设置是否科学合理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D30C5F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8927C7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4ECD1F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33A62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82FC18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775281E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资金投向</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6062EBC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3B68B45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78B46F1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43AEF1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6F862F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EACD7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456C77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6142EE0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制度办法</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60760BF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4719EF9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0F5605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2</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3DEB820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1E5A06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B8795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E27189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2883A7A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分配管理</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416017F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0702979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项目资金分配因素选取、权重设置、区域分布，项目管理、审批是否符合管理要求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C9AB7D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68550B6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2BF808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EFE8D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681DF4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4BAD93D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绩效监管</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518E590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5FE1157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D949F1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0988BF6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6437CF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8A0AB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C0281C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项目实施</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529346F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预算执行</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4C00226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3324FA9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3030644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582414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41F2AF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7417F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E8A245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000C97B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资金使用</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79232D8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1F4FC79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17342E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E84292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0029E5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2DFDB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2293AB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项目结果</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02FE31F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目标完成</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7D51502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1E21754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A81209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032E919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541FF7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7FB52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7E8F1B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08A916C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完成时效</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3C67747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5611127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206AF9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202322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1CBE68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14:paraId="497369C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专用指标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DCA621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产业发展</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47F1749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符合性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08510D5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0929BF1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项目实施是否与省委省政府支持重点、产业支持政策符合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A0C2A8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35616C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1867F6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325CD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827625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2F4FD0F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成长性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0177B01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60CC6A8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项目实施对相关企业（机构）成长性的促进作用，主要反映支持对象创新创造创业能力情况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988499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6BE34AC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7BCBA8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E9D14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40A1D1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3768011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经济性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2BF05AE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50CA12E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项目实施对相关企业（机构）主营业务收入、净利润、税收、产量等方面增长情况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33047F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081EE18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6CAD07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B3FEC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E3EB04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民生保障</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22309F1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区域均衡性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372716C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54F7F73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项目资金分配体现的均衡公平情况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000D26A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A9527A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6ECD0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3B55F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C74B5A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6AE7139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对象精准性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685920C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25DFA99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资金实际支持对象是否符合管理要求，是否符合支持对象范围</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95BE78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6AEC968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26C545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0F9B9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1D6A5C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2070051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标准合理性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739FCCE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3357D4A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资金实际补贴标准是否符合资金管理办法规定的补助标准，是否及时按标准兑现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00A9FB0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CD6987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60EDED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CE31A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128A8E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082A686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群众满意度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11644BA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62DFDA7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资金涉及相关受益群体、支持对象的满意度调查访谈情况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6C4088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30187DF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1492A7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EF527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restart"/>
            <w:tcBorders>
              <w:top w:val="single" w:color="000000" w:sz="4" w:space="0"/>
              <w:left w:val="single" w:color="000000" w:sz="4" w:space="0"/>
              <w:bottom w:val="single" w:color="000000" w:sz="4" w:space="0"/>
              <w:right w:val="single" w:color="000000" w:sz="4" w:space="0"/>
            </w:tcBorders>
            <w:noWrap w:val="0"/>
            <w:vAlign w:val="center"/>
          </w:tcPr>
          <w:p w14:paraId="15B2691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基础</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设施</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14:paraId="1C01F8D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在建</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2EF3F25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工程进度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1D35CD0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23A0867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项目是否达到计划工程进度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7F342FD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6BFA954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17A4B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36C94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FF3CD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892AF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623D5D8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资金拨付</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4AFC44D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6C6EB4F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项目是否达到预先确定的资金拨付进度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AAA0D3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02700E2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458C80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666EE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4FD4C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14:paraId="5906A37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建成</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5F1C59F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项目验收</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04594E6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3B45317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项目验收是否及时合格</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E8AEF4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248C008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1CDE50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FDDE7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BA411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E50C5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5D42F67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功能实现</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28E7975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039BEA6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项目经济社会功能是否实现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D65FAD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37F0832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1D9D90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7BBF1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336C6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9B7ED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1D6B712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后续管护</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44BF6B6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7F6E655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项目后续维护是否实现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518319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24B60AD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61D463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14:paraId="79E8BA4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专用指标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998DF5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行政运转</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355" w:type="dxa"/>
            <w:tcBorders>
              <w:top w:val="nil"/>
              <w:left w:val="single" w:color="000000" w:sz="4" w:space="0"/>
              <w:bottom w:val="single" w:color="000000" w:sz="4" w:space="0"/>
              <w:right w:val="single" w:color="000000" w:sz="4" w:space="0"/>
            </w:tcBorders>
            <w:noWrap w:val="0"/>
            <w:vAlign w:val="center"/>
          </w:tcPr>
          <w:p w14:paraId="31D3655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用途合规性</w:t>
            </w:r>
          </w:p>
        </w:tc>
        <w:tc>
          <w:tcPr>
            <w:tcW w:w="696" w:type="dxa"/>
            <w:tcBorders>
              <w:top w:val="nil"/>
              <w:left w:val="single" w:color="000000" w:sz="4" w:space="0"/>
              <w:bottom w:val="single" w:color="000000" w:sz="4" w:space="0"/>
              <w:right w:val="single" w:color="000000" w:sz="4" w:space="0"/>
            </w:tcBorders>
            <w:noWrap w:val="0"/>
            <w:vAlign w:val="center"/>
          </w:tcPr>
          <w:p w14:paraId="6AA30DF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nil"/>
              <w:left w:val="single" w:color="000000" w:sz="4" w:space="0"/>
              <w:bottom w:val="single" w:color="000000" w:sz="4" w:space="0"/>
              <w:right w:val="single" w:color="000000" w:sz="4" w:space="0"/>
            </w:tcBorders>
            <w:noWrap w:val="0"/>
            <w:vAlign w:val="center"/>
          </w:tcPr>
          <w:p w14:paraId="3E0D467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是否按规定用途、适用范围进行本地区专项资金分配</w:t>
            </w:r>
          </w:p>
        </w:tc>
        <w:tc>
          <w:tcPr>
            <w:tcW w:w="732" w:type="dxa"/>
            <w:tcBorders>
              <w:top w:val="nil"/>
              <w:left w:val="single" w:color="000000" w:sz="4" w:space="0"/>
              <w:bottom w:val="single" w:color="000000" w:sz="4" w:space="0"/>
              <w:right w:val="single" w:color="000000" w:sz="4" w:space="0"/>
            </w:tcBorders>
            <w:noWrap w:val="0"/>
            <w:vAlign w:val="center"/>
          </w:tcPr>
          <w:p w14:paraId="3E52B16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nil"/>
              <w:left w:val="single" w:color="000000" w:sz="4" w:space="0"/>
              <w:bottom w:val="single" w:color="000000" w:sz="4" w:space="0"/>
              <w:right w:val="single" w:color="000000" w:sz="4" w:space="0"/>
            </w:tcBorders>
            <w:noWrap w:val="0"/>
            <w:vAlign w:val="center"/>
          </w:tcPr>
          <w:p w14:paraId="21AC83F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670CC0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155A2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910CAE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nil"/>
              <w:left w:val="single" w:color="000000" w:sz="4" w:space="0"/>
              <w:bottom w:val="single" w:color="000000" w:sz="4" w:space="0"/>
              <w:right w:val="single" w:color="000000" w:sz="4" w:space="0"/>
            </w:tcBorders>
            <w:noWrap w:val="0"/>
            <w:vAlign w:val="center"/>
          </w:tcPr>
          <w:p w14:paraId="77FF4B7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程序合规性</w:t>
            </w:r>
          </w:p>
        </w:tc>
        <w:tc>
          <w:tcPr>
            <w:tcW w:w="696" w:type="dxa"/>
            <w:tcBorders>
              <w:top w:val="nil"/>
              <w:left w:val="single" w:color="000000" w:sz="4" w:space="0"/>
              <w:bottom w:val="single" w:color="000000" w:sz="4" w:space="0"/>
              <w:right w:val="single" w:color="000000" w:sz="4" w:space="0"/>
            </w:tcBorders>
            <w:noWrap w:val="0"/>
            <w:vAlign w:val="center"/>
          </w:tcPr>
          <w:p w14:paraId="52A2298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4CCF90E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资金管理程序是否符合专项资金管理要求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733480A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6C5BC6E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3D128F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985DD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9E279E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nil"/>
              <w:left w:val="single" w:color="000000" w:sz="4" w:space="0"/>
              <w:bottom w:val="single" w:color="000000" w:sz="4" w:space="0"/>
              <w:right w:val="single" w:color="000000" w:sz="4" w:space="0"/>
            </w:tcBorders>
            <w:noWrap w:val="0"/>
            <w:vAlign w:val="center"/>
          </w:tcPr>
          <w:p w14:paraId="09D7659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标准合规性</w:t>
            </w:r>
          </w:p>
        </w:tc>
        <w:tc>
          <w:tcPr>
            <w:tcW w:w="696" w:type="dxa"/>
            <w:tcBorders>
              <w:top w:val="nil"/>
              <w:left w:val="single" w:color="000000" w:sz="4" w:space="0"/>
              <w:bottom w:val="single" w:color="000000" w:sz="4" w:space="0"/>
              <w:right w:val="single" w:color="000000" w:sz="4" w:space="0"/>
            </w:tcBorders>
            <w:noWrap w:val="0"/>
            <w:vAlign w:val="center"/>
          </w:tcPr>
          <w:p w14:paraId="2B10632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51C58A5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资金分配标准是否符合专项资金管理要求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588F57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634ECD3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204873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2EC6E51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个性指标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（16分）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221FAC5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110ADF1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14:paraId="6FF0588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根据项目个性自行设定部分指标，反映该项指标执行完成情况。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EAE121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62E0F64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0FCF52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F6B389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418A319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37B8D9F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078B94">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B67AED1">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E055152">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r>
      <w:tr w14:paraId="7DE679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493F7F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2A54D80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2991F15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46DD68">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E794539">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544C71B">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r>
      <w:tr w14:paraId="474B81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tcBorders>
              <w:top w:val="single" w:color="000000" w:sz="4" w:space="0"/>
              <w:left w:val="single" w:color="000000" w:sz="4" w:space="0"/>
              <w:bottom w:val="single" w:color="000000" w:sz="4" w:space="0"/>
              <w:right w:val="single" w:color="000000" w:sz="4" w:space="0"/>
            </w:tcBorders>
            <w:noWrap w:val="0"/>
            <w:vAlign w:val="center"/>
          </w:tcPr>
          <w:p w14:paraId="2C17A9B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扣分项</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2131A0C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部门配合度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520229B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33F5607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被评价对象工作配合情况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3EECC81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F5231C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bl>
    <w:p w14:paraId="38AFC6AE">
      <w:pPr>
        <w:keepNext w:val="0"/>
        <w:keepLines w:val="0"/>
        <w:pageBreakBefore w:val="0"/>
        <w:kinsoku/>
        <w:wordWrap/>
        <w:overflowPunct/>
        <w:topLinePunct w:val="0"/>
        <w:autoSpaceDE/>
        <w:autoSpaceDN/>
        <w:bidi w:val="0"/>
        <w:spacing w:line="578" w:lineRule="exact"/>
        <w:ind w:left="0" w:leftChars="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br w:type="page"/>
      </w: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ascii="Times New Roman" w:hAnsi="Times New Roman" w:eastAsia="仿宋_GB2312" w:cs="Times New Roman"/>
          <w:b w:val="0"/>
          <w:bCs w:val="0"/>
          <w:color w:val="auto"/>
          <w:kern w:val="0"/>
          <w:sz w:val="32"/>
          <w:szCs w:val="32"/>
          <w:highlight w:val="none"/>
          <w:u w:val="none"/>
          <w:shd w:val="clear" w:color="auto" w:fill="FFFFFF"/>
          <w:lang w:val="en-US" w:eastAsia="zh-CN"/>
        </w:rPr>
        <w:t>2</w:t>
      </w:r>
    </w:p>
    <w:p w14:paraId="6A065A0B">
      <w:pPr>
        <w:keepNext w:val="0"/>
        <w:keepLines w:val="0"/>
        <w:pageBreakBefore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r>
        <w:rPr>
          <w:rFonts w:hint="default" w:ascii="Times New Roman" w:hAnsi="Times New Roman" w:eastAsia="方正小标宋_GBK" w:cs="Times New Roman"/>
          <w:b w:val="0"/>
          <w:bCs w:val="0"/>
          <w:color w:val="auto"/>
          <w:sz w:val="40"/>
          <w:szCs w:val="40"/>
          <w:highlight w:val="none"/>
          <w:u w:val="none"/>
          <w:lang w:val="en-US" w:eastAsia="zh-CN"/>
        </w:rPr>
        <w:t>专项预算绩效自评实地踏勘点位清单表</w:t>
      </w:r>
    </w:p>
    <w:p w14:paraId="5A52B44A">
      <w:pPr>
        <w:keepNext w:val="0"/>
        <w:keepLines w:val="0"/>
        <w:pageBreakBefore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p>
    <w:tbl>
      <w:tblPr>
        <w:tblStyle w:val="21"/>
        <w:tblW w:w="79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5956"/>
        <w:gridCol w:w="905"/>
      </w:tblGrid>
      <w:tr w14:paraId="1A03E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48FAD11A">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序号</w:t>
            </w:r>
          </w:p>
        </w:tc>
        <w:tc>
          <w:tcPr>
            <w:tcW w:w="5956" w:type="dxa"/>
            <w:noWrap w:val="0"/>
            <w:vAlign w:val="top"/>
          </w:tcPr>
          <w:p w14:paraId="0BC2A8DB">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实地踏勘点位</w:t>
            </w:r>
          </w:p>
        </w:tc>
        <w:tc>
          <w:tcPr>
            <w:tcW w:w="905" w:type="dxa"/>
            <w:noWrap w:val="0"/>
            <w:vAlign w:val="top"/>
          </w:tcPr>
          <w:p w14:paraId="4156147A">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备注</w:t>
            </w:r>
          </w:p>
        </w:tc>
      </w:tr>
      <w:tr w14:paraId="08B45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67801632">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1</w:t>
            </w:r>
          </w:p>
        </w:tc>
        <w:tc>
          <w:tcPr>
            <w:tcW w:w="5956" w:type="dxa"/>
            <w:noWrap w:val="0"/>
            <w:vAlign w:val="top"/>
          </w:tcPr>
          <w:p w14:paraId="0B7CBFC1">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r>
              <w:rPr>
                <w:rFonts w:hint="eastAsia" w:ascii="Times New Roman" w:hAnsi="Times New Roman" w:eastAsia="仿宋_GB2312" w:cs="Times New Roman"/>
                <w:color w:val="auto"/>
                <w:sz w:val="24"/>
                <w:szCs w:val="24"/>
                <w:highlight w:val="none"/>
                <w:u w:val="none"/>
                <w:vertAlign w:val="baseline"/>
                <w:lang w:val="en" w:eastAsia="zh-CN"/>
              </w:rPr>
              <w:t>阿坝州</w:t>
            </w:r>
            <w:r>
              <w:rPr>
                <w:rFonts w:hint="default" w:ascii="Times New Roman" w:hAnsi="Times New Roman" w:eastAsia="仿宋_GB2312" w:cs="Times New Roman"/>
                <w:color w:val="auto"/>
                <w:sz w:val="24"/>
                <w:szCs w:val="24"/>
                <w:highlight w:val="none"/>
                <w:u w:val="none"/>
                <w:vertAlign w:val="baseline"/>
                <w:lang w:val="en" w:eastAsia="zh-CN"/>
              </w:rPr>
              <w:t>本级</w:t>
            </w:r>
          </w:p>
        </w:tc>
        <w:tc>
          <w:tcPr>
            <w:tcW w:w="905" w:type="dxa"/>
            <w:noWrap w:val="0"/>
            <w:vAlign w:val="top"/>
          </w:tcPr>
          <w:p w14:paraId="31A7C502">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14:paraId="41E82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5300431D">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2</w:t>
            </w:r>
          </w:p>
        </w:tc>
        <w:tc>
          <w:tcPr>
            <w:tcW w:w="5956" w:type="dxa"/>
            <w:noWrap w:val="0"/>
            <w:vAlign w:val="top"/>
          </w:tcPr>
          <w:p w14:paraId="71388E13">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r>
              <w:rPr>
                <w:rFonts w:hint="eastAsia" w:ascii="Times New Roman" w:hAnsi="Times New Roman" w:eastAsia="仿宋_GB2312" w:cs="Times New Roman"/>
                <w:color w:val="auto"/>
                <w:sz w:val="24"/>
                <w:szCs w:val="24"/>
                <w:highlight w:val="none"/>
                <w:u w:val="none"/>
                <w:vertAlign w:val="baseline"/>
                <w:lang w:val="en" w:eastAsia="zh-CN"/>
              </w:rPr>
              <w:t>马尔康市</w:t>
            </w:r>
          </w:p>
        </w:tc>
        <w:tc>
          <w:tcPr>
            <w:tcW w:w="905" w:type="dxa"/>
            <w:noWrap w:val="0"/>
            <w:vAlign w:val="top"/>
          </w:tcPr>
          <w:p w14:paraId="6B555503">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14:paraId="48023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0FE47BD0">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3</w:t>
            </w:r>
          </w:p>
        </w:tc>
        <w:tc>
          <w:tcPr>
            <w:tcW w:w="5956" w:type="dxa"/>
            <w:noWrap w:val="0"/>
            <w:vAlign w:val="top"/>
          </w:tcPr>
          <w:p w14:paraId="6F00BC3B">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r>
              <w:rPr>
                <w:rFonts w:hint="eastAsia" w:ascii="Times New Roman" w:hAnsi="Times New Roman" w:eastAsia="仿宋_GB2312" w:cs="Times New Roman"/>
                <w:color w:val="auto"/>
                <w:sz w:val="24"/>
                <w:szCs w:val="24"/>
                <w:highlight w:val="none"/>
                <w:u w:val="none"/>
                <w:vertAlign w:val="baseline"/>
                <w:lang w:val="en" w:eastAsia="zh-CN"/>
              </w:rPr>
              <w:t>阿坝县</w:t>
            </w:r>
          </w:p>
        </w:tc>
        <w:tc>
          <w:tcPr>
            <w:tcW w:w="905" w:type="dxa"/>
            <w:noWrap w:val="0"/>
            <w:vAlign w:val="top"/>
          </w:tcPr>
          <w:p w14:paraId="0920FE05">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14:paraId="0913A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5E0B866C">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4</w:t>
            </w:r>
          </w:p>
        </w:tc>
        <w:tc>
          <w:tcPr>
            <w:tcW w:w="5956" w:type="dxa"/>
            <w:noWrap w:val="0"/>
            <w:vAlign w:val="top"/>
          </w:tcPr>
          <w:p w14:paraId="214A0C90">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r>
              <w:rPr>
                <w:rFonts w:hint="eastAsia" w:ascii="Times New Roman" w:hAnsi="Times New Roman" w:eastAsia="仿宋_GB2312" w:cs="Times New Roman"/>
                <w:color w:val="auto"/>
                <w:sz w:val="24"/>
                <w:szCs w:val="24"/>
                <w:highlight w:val="none"/>
                <w:u w:val="none"/>
                <w:vertAlign w:val="baseline"/>
                <w:lang w:val="en" w:eastAsia="zh-CN"/>
              </w:rPr>
              <w:t>若尔盖县</w:t>
            </w:r>
          </w:p>
        </w:tc>
        <w:tc>
          <w:tcPr>
            <w:tcW w:w="905" w:type="dxa"/>
            <w:noWrap w:val="0"/>
            <w:vAlign w:val="top"/>
          </w:tcPr>
          <w:p w14:paraId="30688573">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14:paraId="553CC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7B57C905">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5</w:t>
            </w:r>
          </w:p>
        </w:tc>
        <w:tc>
          <w:tcPr>
            <w:tcW w:w="5956" w:type="dxa"/>
            <w:noWrap w:val="0"/>
            <w:vAlign w:val="top"/>
          </w:tcPr>
          <w:p w14:paraId="6E3BC1A2">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r>
              <w:rPr>
                <w:rFonts w:hint="eastAsia" w:ascii="Times New Roman" w:hAnsi="Times New Roman" w:eastAsia="仿宋_GB2312" w:cs="Times New Roman"/>
                <w:color w:val="auto"/>
                <w:sz w:val="24"/>
                <w:szCs w:val="24"/>
                <w:highlight w:val="none"/>
                <w:u w:val="none"/>
                <w:vertAlign w:val="baseline"/>
                <w:lang w:val="en" w:eastAsia="zh-CN"/>
              </w:rPr>
              <w:t>黑水县</w:t>
            </w:r>
          </w:p>
        </w:tc>
        <w:tc>
          <w:tcPr>
            <w:tcW w:w="905" w:type="dxa"/>
            <w:noWrap w:val="0"/>
            <w:vAlign w:val="top"/>
          </w:tcPr>
          <w:p w14:paraId="669ABD76">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14:paraId="64FF6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70871231">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6</w:t>
            </w:r>
          </w:p>
        </w:tc>
        <w:tc>
          <w:tcPr>
            <w:tcW w:w="5956" w:type="dxa"/>
            <w:noWrap w:val="0"/>
            <w:vAlign w:val="top"/>
          </w:tcPr>
          <w:p w14:paraId="63F9F542">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r>
              <w:rPr>
                <w:rFonts w:hint="eastAsia" w:ascii="Times New Roman" w:hAnsi="Times New Roman" w:eastAsia="仿宋_GB2312" w:cs="Times New Roman"/>
                <w:color w:val="auto"/>
                <w:sz w:val="24"/>
                <w:szCs w:val="24"/>
                <w:highlight w:val="none"/>
                <w:u w:val="none"/>
                <w:vertAlign w:val="baseline"/>
                <w:lang w:val="en" w:eastAsia="zh-CN"/>
              </w:rPr>
              <w:t>松潘县</w:t>
            </w:r>
          </w:p>
        </w:tc>
        <w:tc>
          <w:tcPr>
            <w:tcW w:w="905" w:type="dxa"/>
            <w:noWrap w:val="0"/>
            <w:vAlign w:val="top"/>
          </w:tcPr>
          <w:p w14:paraId="7F38BB6E">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14:paraId="015B2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3C87E086">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7</w:t>
            </w:r>
          </w:p>
        </w:tc>
        <w:tc>
          <w:tcPr>
            <w:tcW w:w="5956" w:type="dxa"/>
            <w:noWrap w:val="0"/>
            <w:vAlign w:val="top"/>
          </w:tcPr>
          <w:p w14:paraId="4CFB0269">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r>
              <w:rPr>
                <w:rFonts w:hint="eastAsia" w:ascii="Times New Roman" w:hAnsi="Times New Roman" w:eastAsia="仿宋_GB2312" w:cs="Times New Roman"/>
                <w:color w:val="auto"/>
                <w:sz w:val="24"/>
                <w:szCs w:val="24"/>
                <w:highlight w:val="none"/>
                <w:u w:val="none"/>
                <w:vertAlign w:val="baseline"/>
                <w:lang w:val="en" w:eastAsia="zh-CN"/>
              </w:rPr>
              <w:t>金川</w:t>
            </w:r>
          </w:p>
        </w:tc>
        <w:tc>
          <w:tcPr>
            <w:tcW w:w="905" w:type="dxa"/>
            <w:noWrap w:val="0"/>
            <w:vAlign w:val="top"/>
          </w:tcPr>
          <w:p w14:paraId="6189DC6D">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14:paraId="497FC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6FA92D74">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8</w:t>
            </w:r>
          </w:p>
        </w:tc>
        <w:tc>
          <w:tcPr>
            <w:tcW w:w="5956" w:type="dxa"/>
            <w:noWrap w:val="0"/>
            <w:vAlign w:val="top"/>
          </w:tcPr>
          <w:p w14:paraId="6CD76935">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r>
              <w:rPr>
                <w:rFonts w:hint="eastAsia" w:ascii="Times New Roman" w:hAnsi="Times New Roman" w:eastAsia="仿宋_GB2312" w:cs="Times New Roman"/>
                <w:color w:val="auto"/>
                <w:sz w:val="24"/>
                <w:szCs w:val="24"/>
                <w:highlight w:val="none"/>
                <w:u w:val="none"/>
                <w:vertAlign w:val="baseline"/>
                <w:lang w:val="en-US" w:eastAsia="zh-CN"/>
              </w:rPr>
              <w:t>小金</w:t>
            </w:r>
          </w:p>
        </w:tc>
        <w:tc>
          <w:tcPr>
            <w:tcW w:w="905" w:type="dxa"/>
            <w:noWrap w:val="0"/>
            <w:vAlign w:val="top"/>
          </w:tcPr>
          <w:p w14:paraId="43F2FE7D">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14:paraId="0FAA0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6A19D43B">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9</w:t>
            </w:r>
          </w:p>
        </w:tc>
        <w:tc>
          <w:tcPr>
            <w:tcW w:w="5956" w:type="dxa"/>
            <w:noWrap w:val="0"/>
            <w:vAlign w:val="top"/>
          </w:tcPr>
          <w:p w14:paraId="42716993">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r>
              <w:rPr>
                <w:rFonts w:hint="eastAsia" w:ascii="Times New Roman" w:hAnsi="Times New Roman" w:eastAsia="仿宋_GB2312" w:cs="Times New Roman"/>
                <w:color w:val="auto"/>
                <w:sz w:val="24"/>
                <w:szCs w:val="24"/>
                <w:highlight w:val="none"/>
                <w:u w:val="none"/>
                <w:vertAlign w:val="baseline"/>
                <w:lang w:val="en" w:eastAsia="zh-CN"/>
              </w:rPr>
              <w:t>汶川</w:t>
            </w:r>
          </w:p>
        </w:tc>
        <w:tc>
          <w:tcPr>
            <w:tcW w:w="905" w:type="dxa"/>
            <w:noWrap w:val="0"/>
            <w:vAlign w:val="top"/>
          </w:tcPr>
          <w:p w14:paraId="3E55AFB6">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14:paraId="42005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5BA268C1">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10</w:t>
            </w:r>
          </w:p>
        </w:tc>
        <w:tc>
          <w:tcPr>
            <w:tcW w:w="5956" w:type="dxa"/>
            <w:noWrap w:val="0"/>
            <w:vAlign w:val="top"/>
          </w:tcPr>
          <w:p w14:paraId="0E248565">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r>
              <w:rPr>
                <w:rFonts w:hint="eastAsia" w:ascii="Times New Roman" w:hAnsi="Times New Roman" w:eastAsia="仿宋_GB2312" w:cs="Times New Roman"/>
                <w:color w:val="auto"/>
                <w:kern w:val="2"/>
                <w:sz w:val="24"/>
                <w:szCs w:val="24"/>
                <w:highlight w:val="none"/>
                <w:u w:val="none"/>
                <w:vertAlign w:val="baseline"/>
                <w:lang w:val="en" w:eastAsia="zh-CN" w:bidi="ar-SA"/>
              </w:rPr>
              <w:t>理县</w:t>
            </w:r>
          </w:p>
        </w:tc>
        <w:tc>
          <w:tcPr>
            <w:tcW w:w="905" w:type="dxa"/>
            <w:noWrap w:val="0"/>
            <w:vAlign w:val="top"/>
          </w:tcPr>
          <w:p w14:paraId="1DBEF42B">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14:paraId="41914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770E89CA">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11</w:t>
            </w:r>
          </w:p>
        </w:tc>
        <w:tc>
          <w:tcPr>
            <w:tcW w:w="5956" w:type="dxa"/>
            <w:noWrap w:val="0"/>
            <w:vAlign w:val="top"/>
          </w:tcPr>
          <w:p w14:paraId="52C9FB4A">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r>
              <w:rPr>
                <w:rFonts w:hint="eastAsia" w:ascii="Times New Roman" w:hAnsi="Times New Roman" w:eastAsia="仿宋_GB2312" w:cs="Times New Roman"/>
                <w:color w:val="auto"/>
                <w:kern w:val="2"/>
                <w:sz w:val="24"/>
                <w:szCs w:val="24"/>
                <w:highlight w:val="none"/>
                <w:u w:val="none"/>
                <w:vertAlign w:val="baseline"/>
                <w:lang w:val="en" w:eastAsia="zh-CN" w:bidi="ar-SA"/>
              </w:rPr>
              <w:t>茂县</w:t>
            </w:r>
          </w:p>
        </w:tc>
        <w:tc>
          <w:tcPr>
            <w:tcW w:w="905" w:type="dxa"/>
            <w:noWrap w:val="0"/>
            <w:vAlign w:val="top"/>
          </w:tcPr>
          <w:p w14:paraId="7ADB2381">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14:paraId="2D8C0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4B7975C4">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12</w:t>
            </w:r>
          </w:p>
        </w:tc>
        <w:tc>
          <w:tcPr>
            <w:tcW w:w="5956" w:type="dxa"/>
            <w:noWrap w:val="0"/>
            <w:vAlign w:val="top"/>
          </w:tcPr>
          <w:p w14:paraId="56A5516D">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r>
              <w:rPr>
                <w:rFonts w:hint="eastAsia" w:ascii="Times New Roman" w:hAnsi="Times New Roman" w:eastAsia="仿宋_GB2312" w:cs="Times New Roman"/>
                <w:color w:val="auto"/>
                <w:kern w:val="2"/>
                <w:sz w:val="24"/>
                <w:szCs w:val="24"/>
                <w:highlight w:val="none"/>
                <w:u w:val="none"/>
                <w:vertAlign w:val="baseline"/>
                <w:lang w:val="en" w:eastAsia="zh-CN" w:bidi="ar-SA"/>
              </w:rPr>
              <w:t>九寨沟</w:t>
            </w:r>
          </w:p>
        </w:tc>
        <w:tc>
          <w:tcPr>
            <w:tcW w:w="905" w:type="dxa"/>
            <w:noWrap w:val="0"/>
            <w:vAlign w:val="top"/>
          </w:tcPr>
          <w:p w14:paraId="4B5D0DF3">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14:paraId="308BC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6C5FD7E9">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13</w:t>
            </w:r>
          </w:p>
        </w:tc>
        <w:tc>
          <w:tcPr>
            <w:tcW w:w="5956" w:type="dxa"/>
            <w:noWrap w:val="0"/>
            <w:vAlign w:val="top"/>
          </w:tcPr>
          <w:p w14:paraId="5CC6485F">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r>
              <w:rPr>
                <w:rFonts w:hint="eastAsia" w:ascii="Times New Roman" w:hAnsi="Times New Roman" w:eastAsia="仿宋_GB2312" w:cs="Times New Roman"/>
                <w:color w:val="auto"/>
                <w:kern w:val="2"/>
                <w:sz w:val="24"/>
                <w:szCs w:val="24"/>
                <w:highlight w:val="none"/>
                <w:u w:val="none"/>
                <w:vertAlign w:val="baseline"/>
                <w:lang w:val="en" w:eastAsia="zh-CN" w:bidi="ar-SA"/>
              </w:rPr>
              <w:t>红原</w:t>
            </w:r>
          </w:p>
        </w:tc>
        <w:tc>
          <w:tcPr>
            <w:tcW w:w="905" w:type="dxa"/>
            <w:noWrap w:val="0"/>
            <w:vAlign w:val="top"/>
          </w:tcPr>
          <w:p w14:paraId="2A9B65AF">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14:paraId="175B1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5D2B6848">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14</w:t>
            </w:r>
          </w:p>
        </w:tc>
        <w:tc>
          <w:tcPr>
            <w:tcW w:w="5956" w:type="dxa"/>
            <w:noWrap w:val="0"/>
            <w:vAlign w:val="top"/>
          </w:tcPr>
          <w:p w14:paraId="2B6B1D3C">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r>
              <w:rPr>
                <w:rFonts w:hint="eastAsia" w:ascii="Times New Roman" w:hAnsi="Times New Roman" w:eastAsia="仿宋_GB2312" w:cs="Times New Roman"/>
                <w:color w:val="auto"/>
                <w:kern w:val="2"/>
                <w:sz w:val="24"/>
                <w:szCs w:val="24"/>
                <w:highlight w:val="none"/>
                <w:u w:val="none"/>
                <w:vertAlign w:val="baseline"/>
                <w:lang w:val="en" w:eastAsia="zh-CN" w:bidi="ar-SA"/>
              </w:rPr>
              <w:t>壤塘</w:t>
            </w:r>
          </w:p>
        </w:tc>
        <w:tc>
          <w:tcPr>
            <w:tcW w:w="905" w:type="dxa"/>
            <w:noWrap w:val="0"/>
            <w:vAlign w:val="top"/>
          </w:tcPr>
          <w:p w14:paraId="6D85137E">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14:paraId="49D93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1EBFC4E0">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15</w:t>
            </w:r>
          </w:p>
        </w:tc>
        <w:tc>
          <w:tcPr>
            <w:tcW w:w="5956" w:type="dxa"/>
            <w:noWrap w:val="0"/>
            <w:vAlign w:val="top"/>
          </w:tcPr>
          <w:p w14:paraId="5364DCF4">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6A2BF0BC">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14:paraId="6823F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2CB2FC78">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16</w:t>
            </w:r>
          </w:p>
        </w:tc>
        <w:tc>
          <w:tcPr>
            <w:tcW w:w="5956" w:type="dxa"/>
            <w:noWrap w:val="0"/>
            <w:vAlign w:val="top"/>
          </w:tcPr>
          <w:p w14:paraId="001A95C2">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0AD8AE5D">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14:paraId="61A9B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0F3516DE">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17</w:t>
            </w:r>
          </w:p>
        </w:tc>
        <w:tc>
          <w:tcPr>
            <w:tcW w:w="5956" w:type="dxa"/>
            <w:noWrap w:val="0"/>
            <w:vAlign w:val="top"/>
          </w:tcPr>
          <w:p w14:paraId="165D3749">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62066C2B">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14:paraId="2CCE9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0B2C5F4E">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18</w:t>
            </w:r>
          </w:p>
        </w:tc>
        <w:tc>
          <w:tcPr>
            <w:tcW w:w="5956" w:type="dxa"/>
            <w:noWrap w:val="0"/>
            <w:vAlign w:val="top"/>
          </w:tcPr>
          <w:p w14:paraId="6363A9DE">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541D6B80">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14:paraId="7939D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09FDCB5E">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19</w:t>
            </w:r>
          </w:p>
        </w:tc>
        <w:tc>
          <w:tcPr>
            <w:tcW w:w="5956" w:type="dxa"/>
            <w:noWrap w:val="0"/>
            <w:vAlign w:val="top"/>
          </w:tcPr>
          <w:p w14:paraId="0869E961">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p>
        </w:tc>
        <w:tc>
          <w:tcPr>
            <w:tcW w:w="905" w:type="dxa"/>
            <w:noWrap w:val="0"/>
            <w:vAlign w:val="top"/>
          </w:tcPr>
          <w:p w14:paraId="7C48F3B5">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14:paraId="538FB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37AB00A7">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20</w:t>
            </w:r>
          </w:p>
        </w:tc>
        <w:tc>
          <w:tcPr>
            <w:tcW w:w="5956" w:type="dxa"/>
            <w:noWrap w:val="0"/>
            <w:vAlign w:val="top"/>
          </w:tcPr>
          <w:p w14:paraId="0E816843">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p>
        </w:tc>
        <w:tc>
          <w:tcPr>
            <w:tcW w:w="905" w:type="dxa"/>
            <w:noWrap w:val="0"/>
            <w:vAlign w:val="top"/>
          </w:tcPr>
          <w:p w14:paraId="0BE7800D">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bl>
    <w:p w14:paraId="35CB81D5">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宋体" w:cs="Times New Roman"/>
          <w:b w:val="0"/>
          <w:bCs w:val="0"/>
          <w:color w:val="auto"/>
          <w:sz w:val="21"/>
          <w:szCs w:val="21"/>
          <w:highlight w:val="none"/>
          <w:u w:val="none"/>
          <w:vertAlign w:val="baseline"/>
          <w:lang w:val="en-US" w:eastAsia="zh-CN"/>
        </w:rPr>
      </w:pPr>
      <w:r>
        <w:rPr>
          <w:rFonts w:hint="default" w:ascii="Times New Roman" w:hAnsi="Times New Roman" w:eastAsia="宋体" w:cs="Times New Roman"/>
          <w:b w:val="0"/>
          <w:bCs w:val="0"/>
          <w:color w:val="auto"/>
          <w:sz w:val="21"/>
          <w:szCs w:val="21"/>
          <w:highlight w:val="none"/>
          <w:u w:val="none"/>
          <w:vertAlign w:val="baseline"/>
          <w:lang w:val="en-US" w:eastAsia="zh-CN"/>
        </w:rPr>
        <w:t>备注：项目</w:t>
      </w:r>
      <w:r>
        <w:rPr>
          <w:rFonts w:hint="eastAsia" w:ascii="Times New Roman" w:hAnsi="Times New Roman" w:eastAsia="宋体" w:cs="Times New Roman"/>
          <w:b w:val="0"/>
          <w:bCs w:val="0"/>
          <w:color w:val="auto"/>
          <w:sz w:val="21"/>
          <w:szCs w:val="21"/>
          <w:highlight w:val="none"/>
          <w:u w:val="none"/>
          <w:vertAlign w:val="baseline"/>
          <w:lang w:val="en-US" w:eastAsia="zh-CN"/>
        </w:rPr>
        <w:t>实地踏勘</w:t>
      </w:r>
      <w:r>
        <w:rPr>
          <w:rFonts w:hint="default" w:ascii="Times New Roman" w:hAnsi="Times New Roman" w:eastAsia="宋体" w:cs="Times New Roman"/>
          <w:b w:val="0"/>
          <w:bCs w:val="0"/>
          <w:color w:val="auto"/>
          <w:sz w:val="21"/>
          <w:szCs w:val="21"/>
          <w:highlight w:val="none"/>
          <w:u w:val="none"/>
          <w:vertAlign w:val="baseline"/>
          <w:lang w:val="en-US" w:eastAsia="zh-CN"/>
        </w:rPr>
        <w:t>点位包括市（州）本级、县（市、区）</w:t>
      </w:r>
      <w:r>
        <w:rPr>
          <w:rFonts w:hint="eastAsia" w:ascii="Times New Roman" w:hAnsi="Times New Roman" w:eastAsia="宋体" w:cs="Times New Roman"/>
          <w:b w:val="0"/>
          <w:bCs w:val="0"/>
          <w:color w:val="auto"/>
          <w:sz w:val="21"/>
          <w:szCs w:val="21"/>
          <w:highlight w:val="none"/>
          <w:u w:val="none"/>
          <w:vertAlign w:val="baseline"/>
          <w:lang w:val="en-US" w:eastAsia="zh-CN"/>
        </w:rPr>
        <w:t>本级及有关项目、单位、公司</w:t>
      </w:r>
      <w:r>
        <w:rPr>
          <w:rFonts w:hint="default" w:ascii="Times New Roman" w:hAnsi="Times New Roman" w:eastAsia="宋体" w:cs="Times New Roman"/>
          <w:b w:val="0"/>
          <w:bCs w:val="0"/>
          <w:color w:val="auto"/>
          <w:sz w:val="21"/>
          <w:szCs w:val="21"/>
          <w:highlight w:val="none"/>
          <w:u w:val="none"/>
          <w:vertAlign w:val="baseline"/>
          <w:lang w:val="en-US" w:eastAsia="zh-CN"/>
        </w:rPr>
        <w:t>等。</w:t>
      </w:r>
    </w:p>
    <w:p w14:paraId="33B3E461">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14:paraId="297B10E2">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br w:type="page"/>
      </w: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ascii="Times New Roman" w:hAnsi="Times New Roman" w:eastAsia="黑体" w:cs="Times New Roman"/>
          <w:b w:val="0"/>
          <w:bCs w:val="0"/>
          <w:color w:val="auto"/>
          <w:kern w:val="0"/>
          <w:sz w:val="32"/>
          <w:szCs w:val="32"/>
          <w:highlight w:val="none"/>
          <w:u w:val="none"/>
          <w:shd w:val="clear" w:color="auto" w:fill="FFFFFF"/>
          <w:lang w:val="en-US" w:eastAsia="zh-CN"/>
        </w:rPr>
        <w:t>3</w:t>
      </w:r>
    </w:p>
    <w:tbl>
      <w:tblPr>
        <w:tblStyle w:val="20"/>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14:paraId="5DD794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gridSpan w:val="9"/>
            <w:noWrap w:val="0"/>
            <w:vAlign w:val="center"/>
          </w:tcPr>
          <w:p w14:paraId="248A8312">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hint="default" w:ascii="Times New Roman" w:hAnsi="Times New Roman" w:eastAsia="黑体" w:cs="Times New Roman"/>
                <w:i w:val="0"/>
                <w:color w:val="000000"/>
                <w:sz w:val="30"/>
                <w:szCs w:val="30"/>
                <w:u w:val="none"/>
              </w:rPr>
            </w:pPr>
            <w:r>
              <w:rPr>
                <w:rFonts w:hint="default" w:ascii="Times New Roman" w:hAnsi="Times New Roman" w:eastAsia="方正小标宋简体" w:cs="Times New Roman"/>
                <w:i w:val="0"/>
                <w:color w:val="000000"/>
                <w:kern w:val="0"/>
                <w:sz w:val="40"/>
                <w:szCs w:val="40"/>
                <w:u w:val="none"/>
                <w:lang w:val="en-US" w:eastAsia="zh-CN" w:bidi="ar"/>
              </w:rPr>
              <w:t>专项预算项目绩效目标完成情况自评表</w:t>
            </w:r>
          </w:p>
        </w:tc>
      </w:tr>
      <w:tr w14:paraId="14AB23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23BD676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1BE0DD48">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lang w:val="en-US" w:eastAsia="zh-CN"/>
              </w:rPr>
              <w:t>阿坝州水污染防治重点项目</w:t>
            </w:r>
          </w:p>
        </w:tc>
      </w:tr>
      <w:tr w14:paraId="6CA111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8"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3957F63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3EFBC321">
            <w:pPr>
              <w:keepNext w:val="0"/>
              <w:keepLines w:val="0"/>
              <w:pageBreakBefore w:val="0"/>
              <w:kinsoku/>
              <w:wordWrap/>
              <w:overflowPunct/>
              <w:topLinePunct w:val="0"/>
              <w:autoSpaceDE/>
              <w:autoSpaceDN/>
              <w:bidi w:val="0"/>
              <w:adjustRightInd/>
              <w:snapToGrid/>
              <w:spacing w:line="300" w:lineRule="exact"/>
              <w:ind w:left="0" w:leftChars="0"/>
              <w:rPr>
                <w:rFonts w:hint="eastAsia" w:ascii="Times New Roman" w:hAnsi="Times New Roman" w:eastAsia="宋体" w:cs="Times New Roman"/>
                <w:i w:val="0"/>
                <w:color w:val="000000"/>
                <w:sz w:val="24"/>
                <w:szCs w:val="24"/>
                <w:u w:val="none"/>
                <w:lang w:eastAsia="zh-CN"/>
              </w:rPr>
            </w:pPr>
            <w:r>
              <w:rPr>
                <w:rFonts w:hint="eastAsia" w:ascii="Times New Roman" w:hAnsi="Times New Roman" w:eastAsia="宋体" w:cs="Times New Roman"/>
                <w:i w:val="0"/>
                <w:color w:val="000000"/>
                <w:sz w:val="24"/>
                <w:szCs w:val="24"/>
                <w:u w:val="none"/>
                <w:lang w:eastAsia="zh-CN"/>
              </w:rPr>
              <w:t>阿坝州生态环境局</w:t>
            </w:r>
          </w:p>
        </w:tc>
      </w:tr>
      <w:tr w14:paraId="0AF7BB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77F6735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1126E45B">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bookmarkStart w:id="88" w:name="OLE_LINK13"/>
            <w:r>
              <w:rPr>
                <w:rFonts w:hint="eastAsia" w:ascii="宋体" w:hAnsi="宋体" w:eastAsia="仿宋_GB2312" w:cs="宋体"/>
                <w:color w:val="000000"/>
                <w:sz w:val="24"/>
                <w:szCs w:val="24"/>
              </w:rPr>
              <w:t>购买服务</w:t>
            </w:r>
            <w:bookmarkEnd w:id="88"/>
          </w:p>
        </w:tc>
      </w:tr>
      <w:tr w14:paraId="58FCB9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377BC94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14FC217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中长期规划（名称、文号，仅指</w:t>
            </w:r>
          </w:p>
          <w:p w14:paraId="7C85DF8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5E7E1D3D">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14:paraId="49C054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116B47">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3DBC746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3AF6176D">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14:paraId="25EF35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DD183B">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1688D76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绩效分配方式</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6E10BD1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noWrap w:val="0"/>
            <w:vAlign w:val="center"/>
          </w:tcPr>
          <w:p w14:paraId="5521F88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£项目法</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14FA27E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据实据效</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05EA7F0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因素法与项目法相结合</w:t>
            </w:r>
          </w:p>
        </w:tc>
      </w:tr>
      <w:tr w14:paraId="616C22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790DAE">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365D361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0B0FAB54">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14:paraId="70E1CF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DC20C1">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3A39EA9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7E8123ED">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14:paraId="2CFA33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09F1EE">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6B3818A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6D342CF5">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14:paraId="615D44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BB4ACF">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15A9363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36C584EA">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r>
      <w:tr w14:paraId="32BE53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EEE843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项目资金</w:t>
            </w:r>
          </w:p>
          <w:p w14:paraId="6813EFE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1B93644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4D642B25">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461</w:t>
            </w:r>
          </w:p>
        </w:tc>
      </w:tr>
      <w:tr w14:paraId="410BB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C1ECC50">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5262F85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其中：财政拨款</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33FBD7DD">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461</w:t>
            </w:r>
          </w:p>
        </w:tc>
      </w:tr>
      <w:tr w14:paraId="4EF08B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B31DF36">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50E2027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22BE0A7A">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rPr>
            </w:pPr>
          </w:p>
        </w:tc>
      </w:tr>
      <w:tr w14:paraId="5D860E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56E088A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14:paraId="6456CA7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年度目标</w:t>
            </w:r>
          </w:p>
        </w:tc>
      </w:tr>
      <w:tr w14:paraId="4FF860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B7B921">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14:paraId="56430D32">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r>
      <w:tr w14:paraId="194228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tcBorders>
            <w:noWrap w:val="0"/>
            <w:vAlign w:val="center"/>
          </w:tcPr>
          <w:p w14:paraId="02D7AD2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 指标</w:t>
            </w:r>
          </w:p>
        </w:tc>
        <w:tc>
          <w:tcPr>
            <w:tcW w:w="1081" w:type="dxa"/>
            <w:tcBorders>
              <w:top w:val="single" w:color="000000" w:sz="4" w:space="0"/>
              <w:left w:val="single" w:color="000000" w:sz="4" w:space="0"/>
              <w:bottom w:val="single" w:color="000000" w:sz="4" w:space="0"/>
              <w:right w:val="single" w:color="000000" w:sz="4" w:space="0"/>
            </w:tcBorders>
            <w:noWrap w:val="0"/>
            <w:vAlign w:val="center"/>
          </w:tcPr>
          <w:p w14:paraId="62750F7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3EA495D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0939B54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208262E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421FF59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57CF22B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7BA3E9C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0D006B5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实际完成指标值</w:t>
            </w:r>
          </w:p>
        </w:tc>
      </w:tr>
      <w:tr w14:paraId="526E96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01361EB4">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noWrap w:val="0"/>
            <w:vAlign w:val="center"/>
          </w:tcPr>
          <w:p w14:paraId="0596EA6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产出指标</w:t>
            </w:r>
          </w:p>
        </w:tc>
        <w:tc>
          <w:tcPr>
            <w:tcW w:w="1250" w:type="dxa"/>
            <w:vMerge w:val="restart"/>
            <w:tcBorders>
              <w:top w:val="single" w:color="000000" w:sz="4" w:space="0"/>
              <w:left w:val="single" w:color="000000" w:sz="4" w:space="0"/>
              <w:bottom w:val="single" w:color="000000" w:sz="4" w:space="0"/>
              <w:right w:val="single" w:color="000000" w:sz="4" w:space="0"/>
            </w:tcBorders>
            <w:noWrap w:val="0"/>
            <w:vAlign w:val="center"/>
          </w:tcPr>
          <w:p w14:paraId="0A56454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0EA8B14C">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053E7DD3">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0E4587EC">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0581B382">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4CAD93F3">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160FC2CB">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r>
      <w:tr w14:paraId="28FACF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77E33F37">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950BC1">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2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705E21">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1D8C26A0">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5F6015BA">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21719DE4">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3F44CB8A">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5CE6B8E9">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23EE7A0B">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r>
      <w:tr w14:paraId="40870F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42C22C15">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B77B52">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250" w:type="dxa"/>
            <w:vMerge w:val="restart"/>
            <w:tcBorders>
              <w:top w:val="single" w:color="000000" w:sz="4" w:space="0"/>
              <w:left w:val="single" w:color="000000" w:sz="4" w:space="0"/>
              <w:bottom w:val="single" w:color="000000" w:sz="4" w:space="0"/>
              <w:right w:val="single" w:color="000000" w:sz="4" w:space="0"/>
            </w:tcBorders>
            <w:noWrap w:val="0"/>
            <w:vAlign w:val="center"/>
          </w:tcPr>
          <w:p w14:paraId="2CFDE75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质量指标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5FCCB194">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38A94EEA">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01AF0B5A">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6FD93B60">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7D1BA02B">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389E59ED">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r>
      <w:tr w14:paraId="0C02FB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7ADCC16A">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582B3A">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2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74570F">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6C18F9D7">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65A8CFBF">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48554A5B">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717B3C9B">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52A904BB">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4C7469B9">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r>
      <w:tr w14:paraId="7B2932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6DA5309E">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B75338">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250" w:type="dxa"/>
            <w:vMerge w:val="restart"/>
            <w:tcBorders>
              <w:top w:val="single" w:color="000000" w:sz="4" w:space="0"/>
              <w:left w:val="single" w:color="000000" w:sz="4" w:space="0"/>
              <w:bottom w:val="single" w:color="000000" w:sz="4" w:space="0"/>
              <w:right w:val="single" w:color="000000" w:sz="4" w:space="0"/>
            </w:tcBorders>
            <w:noWrap w:val="0"/>
            <w:vAlign w:val="center"/>
          </w:tcPr>
          <w:p w14:paraId="0CA75B2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时效指标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01B30BCA">
            <w:pPr>
              <w:keepNext w:val="0"/>
              <w:keepLines w:val="0"/>
              <w:pageBreakBefore w:val="0"/>
              <w:kinsoku/>
              <w:wordWrap/>
              <w:overflowPunct/>
              <w:topLinePunct w:val="0"/>
              <w:autoSpaceDE/>
              <w:autoSpaceDN/>
              <w:bidi w:val="0"/>
              <w:adjustRightInd/>
              <w:snapToGrid/>
              <w:spacing w:line="300" w:lineRule="exact"/>
              <w:ind w:left="0" w:leftChars="0"/>
              <w:rPr>
                <w:rFonts w:hint="eastAsia" w:ascii="Times New Roman" w:hAnsi="Times New Roman" w:eastAsia="宋体" w:cs="Times New Roman"/>
                <w:i w:val="0"/>
                <w:color w:val="000000"/>
                <w:sz w:val="24"/>
                <w:szCs w:val="24"/>
                <w:u w:val="none"/>
                <w:lang w:eastAsia="zh-CN"/>
              </w:rPr>
            </w:pPr>
            <w:r>
              <w:rPr>
                <w:rFonts w:hint="eastAsia" w:ascii="Times New Roman" w:hAnsi="Times New Roman" w:eastAsia="宋体" w:cs="Times New Roman"/>
                <w:i w:val="0"/>
                <w:color w:val="000000"/>
                <w:sz w:val="24"/>
                <w:szCs w:val="24"/>
                <w:u w:val="none"/>
                <w:lang w:eastAsia="zh-CN"/>
              </w:rPr>
              <w:t>完成项目时间</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31BB88B2">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eastAsia" w:ascii="宋体" w:hAnsi="宋体" w:eastAsia="宋体" w:cs="宋体"/>
                <w:i w:val="0"/>
                <w:color w:val="000000"/>
                <w:sz w:val="24"/>
                <w:szCs w:val="24"/>
                <w:u w:val="none"/>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79372BE4">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2</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31CC5AFD">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eastAsia="zh-CN"/>
              </w:rPr>
            </w:pPr>
            <w:r>
              <w:rPr>
                <w:rFonts w:hint="eastAsia" w:ascii="Times New Roman" w:hAnsi="Times New Roman" w:eastAsia="宋体" w:cs="Times New Roman"/>
                <w:i w:val="0"/>
                <w:color w:val="000000"/>
                <w:sz w:val="24"/>
                <w:szCs w:val="24"/>
                <w:u w:val="none"/>
                <w:lang w:eastAsia="zh-CN"/>
              </w:rPr>
              <w:t>年</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3DABB454">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0CE35FD2">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r>
      <w:tr w14:paraId="294364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2B547C55">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CC750A">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2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CB6BFD">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21C7BD3C">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47B9E65F">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02E84DF6">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2C95F906">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560D7E06">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49E00495">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r>
      <w:tr w14:paraId="7152DA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7F91D23B">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DA334B">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5D6A078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61FD7FFF">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7CC038BF">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1D0104C4">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07BC714B">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388F7DB3">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5C796A1E">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r>
      <w:tr w14:paraId="5BAAAC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0270FF1E">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noWrap w:val="0"/>
            <w:vAlign w:val="center"/>
          </w:tcPr>
          <w:p w14:paraId="0F5DD49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效益指标</w:t>
            </w:r>
          </w:p>
        </w:tc>
        <w:tc>
          <w:tcPr>
            <w:tcW w:w="1250" w:type="dxa"/>
            <w:vMerge w:val="restart"/>
            <w:tcBorders>
              <w:top w:val="single" w:color="000000" w:sz="4" w:space="0"/>
              <w:left w:val="single" w:color="000000" w:sz="4" w:space="0"/>
              <w:bottom w:val="single" w:color="000000" w:sz="4" w:space="0"/>
              <w:right w:val="single" w:color="000000" w:sz="4" w:space="0"/>
            </w:tcBorders>
            <w:noWrap w:val="0"/>
            <w:vAlign w:val="center"/>
          </w:tcPr>
          <w:p w14:paraId="4CCAE04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经济效益</w:t>
            </w:r>
          </w:p>
          <w:p w14:paraId="5DC0879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04C4D692">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7C16ABF1">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61F7226F">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55E36C4B">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6833AEDD">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5C88FE31">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r>
      <w:tr w14:paraId="05A819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141FEDCB">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9761ED">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2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31212A">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7780D849">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28D52755">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65D398A9">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5AE3B976">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05D3E1BA">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5243CA79">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r>
      <w:tr w14:paraId="5FDBEE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2AA8BB60">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882E45">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250" w:type="dxa"/>
            <w:vMerge w:val="restart"/>
            <w:tcBorders>
              <w:top w:val="single" w:color="000000" w:sz="4" w:space="0"/>
              <w:left w:val="single" w:color="000000" w:sz="4" w:space="0"/>
              <w:right w:val="single" w:color="000000" w:sz="4" w:space="0"/>
            </w:tcBorders>
            <w:noWrap w:val="0"/>
            <w:vAlign w:val="center"/>
          </w:tcPr>
          <w:p w14:paraId="731C3CE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社会效益</w:t>
            </w:r>
          </w:p>
          <w:p w14:paraId="540CBD2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311FA0B5">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4AB82468">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0E073B2F">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4EA7EC30">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51E1784A">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5DFE2076">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r>
      <w:tr w14:paraId="342E92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42D75713">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839267">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250" w:type="dxa"/>
            <w:vMerge w:val="continue"/>
            <w:tcBorders>
              <w:top w:val="single" w:color="000000" w:sz="4" w:space="0"/>
              <w:left w:val="single" w:color="000000" w:sz="4" w:space="0"/>
              <w:right w:val="single" w:color="000000" w:sz="4" w:space="0"/>
            </w:tcBorders>
            <w:noWrap w:val="0"/>
            <w:vAlign w:val="center"/>
          </w:tcPr>
          <w:p w14:paraId="68CA59A0">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0458AF78">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51B2BAD0">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07F20A1C">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45147249">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694608B6">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731A3E1E">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r>
      <w:tr w14:paraId="5A202A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3F7DFF8F">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00DC43">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25764A7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eastAsia" w:ascii="Times New Roman" w:hAnsi="Times New Roman" w:eastAsia="宋体" w:cs="Times New Roman"/>
                <w:i w:val="0"/>
                <w:color w:val="000000"/>
                <w:kern w:val="0"/>
                <w:sz w:val="24"/>
                <w:szCs w:val="24"/>
                <w:u w:val="none"/>
                <w:lang w:val="en-US" w:eastAsia="zh-CN" w:bidi="ar"/>
              </w:rPr>
              <w:t>可持续影响指标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3BB3D483">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1-3年影响年限</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323D106E">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r>
              <w:rPr>
                <w:rFonts w:hint="eastAsia" w:ascii="宋体" w:hAnsi="宋体" w:eastAsia="宋体" w:cs="宋体"/>
                <w:i w:val="0"/>
                <w:color w:val="000000"/>
                <w:sz w:val="24"/>
                <w:szCs w:val="24"/>
                <w:u w:val="none"/>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0D7E0306">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1</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29735F81">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eastAsia="zh-CN"/>
              </w:rPr>
            </w:pPr>
            <w:r>
              <w:rPr>
                <w:rFonts w:hint="eastAsia" w:ascii="Times New Roman" w:hAnsi="Times New Roman" w:eastAsia="宋体" w:cs="Times New Roman"/>
                <w:i w:val="0"/>
                <w:color w:val="000000"/>
                <w:sz w:val="24"/>
                <w:szCs w:val="24"/>
                <w:u w:val="none"/>
                <w:lang w:eastAsia="zh-CN"/>
              </w:rPr>
              <w:t>年</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3D958E36">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23A9E38C">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r>
      <w:tr w14:paraId="78995C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0D9F9C3E">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top w:val="single" w:color="000000" w:sz="4" w:space="0"/>
              <w:left w:val="single" w:color="000000" w:sz="4" w:space="0"/>
              <w:right w:val="single" w:color="000000" w:sz="4" w:space="0"/>
            </w:tcBorders>
            <w:noWrap w:val="0"/>
            <w:vAlign w:val="center"/>
          </w:tcPr>
          <w:p w14:paraId="236B43A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满意度</w:t>
            </w:r>
          </w:p>
          <w:p w14:paraId="10AE0AB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w:t>
            </w:r>
          </w:p>
        </w:tc>
        <w:tc>
          <w:tcPr>
            <w:tcW w:w="1250" w:type="dxa"/>
            <w:tcBorders>
              <w:top w:val="single" w:color="000000" w:sz="4" w:space="0"/>
              <w:left w:val="single" w:color="000000" w:sz="4" w:space="0"/>
              <w:right w:val="single" w:color="000000" w:sz="4" w:space="0"/>
            </w:tcBorders>
            <w:noWrap w:val="0"/>
            <w:vAlign w:val="center"/>
          </w:tcPr>
          <w:p w14:paraId="7378F08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服务对象</w:t>
            </w:r>
          </w:p>
          <w:p w14:paraId="7FAD3A0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满意度指标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3A6493DE">
            <w:pPr>
              <w:keepNext w:val="0"/>
              <w:keepLines w:val="0"/>
              <w:pageBreakBefore w:val="0"/>
              <w:kinsoku/>
              <w:wordWrap/>
              <w:overflowPunct/>
              <w:topLinePunct w:val="0"/>
              <w:autoSpaceDE/>
              <w:autoSpaceDN/>
              <w:bidi w:val="0"/>
              <w:adjustRightInd/>
              <w:snapToGrid/>
              <w:spacing w:line="300" w:lineRule="exact"/>
              <w:ind w:left="0" w:leftChars="0"/>
              <w:rPr>
                <w:rFonts w:hint="eastAsia" w:ascii="Times New Roman" w:hAnsi="Times New Roman" w:eastAsia="宋体" w:cs="Times New Roman"/>
                <w:i w:val="0"/>
                <w:color w:val="000000"/>
                <w:sz w:val="24"/>
                <w:szCs w:val="24"/>
                <w:u w:val="none"/>
                <w:lang w:eastAsia="zh-CN"/>
              </w:rPr>
            </w:pPr>
            <w:r>
              <w:rPr>
                <w:rFonts w:hint="eastAsia" w:ascii="Times New Roman" w:hAnsi="Times New Roman" w:eastAsia="宋体" w:cs="Times New Roman"/>
                <w:i w:val="0"/>
                <w:color w:val="000000"/>
                <w:sz w:val="24"/>
                <w:szCs w:val="24"/>
                <w:u w:val="none"/>
                <w:lang w:eastAsia="zh-CN"/>
              </w:rPr>
              <w:t>服务对象满意度指标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32403D32">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r>
              <w:rPr>
                <w:rFonts w:hint="eastAsia" w:ascii="宋体" w:hAnsi="宋体" w:eastAsia="宋体" w:cs="宋体"/>
                <w:i w:val="0"/>
                <w:color w:val="000000"/>
                <w:sz w:val="24"/>
                <w:szCs w:val="24"/>
                <w:u w:val="none"/>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65C63999">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95</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2EB14C1E">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213A9BC9">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18920739">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r>
      <w:tr w14:paraId="488DB6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062616B5">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noWrap w:val="0"/>
            <w:vAlign w:val="center"/>
          </w:tcPr>
          <w:p w14:paraId="163E951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成本指标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4F91028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经济成本</w:t>
            </w:r>
          </w:p>
          <w:p w14:paraId="59B6F98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w:t>
            </w:r>
          </w:p>
        </w:tc>
        <w:tc>
          <w:tcPr>
            <w:tcW w:w="1312" w:type="dxa"/>
            <w:tcBorders>
              <w:top w:val="single" w:color="000000" w:sz="4" w:space="0"/>
              <w:bottom w:val="single" w:color="000000" w:sz="4" w:space="0"/>
              <w:right w:val="single" w:color="000000" w:sz="4" w:space="0"/>
            </w:tcBorders>
            <w:noWrap w:val="0"/>
            <w:vAlign w:val="center"/>
          </w:tcPr>
          <w:p w14:paraId="7F2CDC66">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3BB7CB88">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20190E50">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42386610">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09C4A13A">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1266EAE9">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r>
      <w:tr w14:paraId="5DF3FB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74E84373">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142682">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269CB17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w:t>
            </w:r>
          </w:p>
        </w:tc>
        <w:tc>
          <w:tcPr>
            <w:tcW w:w="1312" w:type="dxa"/>
            <w:tcBorders>
              <w:top w:val="single" w:color="000000" w:sz="4" w:space="0"/>
              <w:bottom w:val="single" w:color="000000" w:sz="4" w:space="0"/>
              <w:right w:val="single" w:color="000000" w:sz="4" w:space="0"/>
            </w:tcBorders>
            <w:noWrap w:val="0"/>
            <w:vAlign w:val="center"/>
          </w:tcPr>
          <w:p w14:paraId="2FF824F8">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5465AFB9">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435ECDB8">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7CEF42CE">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2150DFBF">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1FFB0114">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r>
    </w:tbl>
    <w:p w14:paraId="521657CD">
      <w:pPr>
        <w:keepNext w:val="0"/>
        <w:keepLines w:val="0"/>
        <w:pageBreakBefore w:val="0"/>
        <w:widowControl w:val="0"/>
        <w:kinsoku/>
        <w:wordWrap/>
        <w:overflowPunct/>
        <w:topLinePunct w:val="0"/>
        <w:autoSpaceDE/>
        <w:autoSpaceDN/>
        <w:bidi w:val="0"/>
        <w:adjustRightInd/>
        <w:snapToGrid/>
        <w:spacing w:after="0" w:line="20" w:lineRule="exact"/>
        <w:ind w:left="0" w:leftChars="0" w:firstLine="480" w:firstLineChars="200"/>
        <w:jc w:val="both"/>
        <w:textAlignment w:val="auto"/>
        <w:rPr>
          <w:rFonts w:hint="default" w:ascii="Times New Roman" w:hAnsi="Times New Roman" w:eastAsia="黑体" w:cs="Times New Roman"/>
          <w:kern w:val="2"/>
          <w:sz w:val="24"/>
          <w:szCs w:val="24"/>
          <w:highlight w:val="none"/>
          <w:lang w:val="en-US" w:eastAsia="zh-CN" w:bidi="ar-SA"/>
        </w:rPr>
      </w:pPr>
    </w:p>
    <w:p w14:paraId="0AA4834F">
      <w:pPr>
        <w:pStyle w:val="32"/>
        <w:keepNext w:val="0"/>
        <w:keepLines w:val="0"/>
        <w:pageBreakBefore w:val="0"/>
        <w:widowControl w:val="0"/>
        <w:kinsoku/>
        <w:wordWrap/>
        <w:overflowPunct/>
        <w:topLinePunct w:val="0"/>
        <w:autoSpaceDE w:val="0"/>
        <w:autoSpaceDN w:val="0"/>
        <w:bidi w:val="0"/>
        <w:adjustRightInd w:val="0"/>
        <w:snapToGrid/>
        <w:spacing w:line="240" w:lineRule="auto"/>
        <w:ind w:firstLine="0" w:firstLine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sectPr>
          <w:pgSz w:w="11906" w:h="16838"/>
          <w:pgMar w:top="1440" w:right="1803" w:bottom="1440" w:left="1803" w:header="851" w:footer="992" w:gutter="0"/>
          <w:pgNumType w:fmt="decimal"/>
          <w:cols w:space="425" w:num="1"/>
          <w:rtlGutter w:val="0"/>
          <w:docGrid w:type="lines" w:linePitch="312" w:charSpace="0"/>
        </w:sectPr>
      </w:pPr>
    </w:p>
    <w:bookmarkEnd w:id="80"/>
    <w:p w14:paraId="2A90FFEF">
      <w:pPr>
        <w:spacing w:line="600" w:lineRule="exact"/>
        <w:jc w:val="center"/>
        <w:outlineLvl w:val="0"/>
        <w:rPr>
          <w:rFonts w:hint="eastAsia" w:ascii="仿宋" w:hAnsi="仿宋" w:eastAsia="仿宋"/>
          <w:b w:val="0"/>
        </w:rPr>
      </w:pPr>
      <w:bookmarkStart w:id="89" w:name="_Toc9611"/>
      <w:r>
        <w:rPr>
          <w:rFonts w:hint="eastAsia" w:ascii="黑体" w:hAnsi="黑体" w:eastAsia="黑体"/>
          <w:sz w:val="44"/>
          <w:szCs w:val="44"/>
        </w:rPr>
        <w:t>第</w:t>
      </w:r>
      <w:r>
        <w:rPr>
          <w:rStyle w:val="34"/>
          <w:rFonts w:hint="eastAsia" w:ascii="黑体" w:hAnsi="黑体" w:eastAsia="黑体"/>
          <w:b w:val="0"/>
        </w:rPr>
        <w:t>五部分 附表</w:t>
      </w:r>
      <w:bookmarkEnd w:id="89"/>
      <w:bookmarkStart w:id="90" w:name="_Toc15396619"/>
    </w:p>
    <w:p w14:paraId="0E223952">
      <w:pPr>
        <w:pStyle w:val="3"/>
        <w:keepNext/>
        <w:keepLines/>
        <w:pageBreakBefore w:val="0"/>
        <w:widowControl w:val="0"/>
        <w:kinsoku/>
        <w:wordWrap/>
        <w:overflowPunct/>
        <w:topLinePunct w:val="0"/>
        <w:autoSpaceDE/>
        <w:autoSpaceDN/>
        <w:bidi w:val="0"/>
        <w:adjustRightInd/>
        <w:snapToGrid/>
        <w:spacing w:line="560" w:lineRule="exact"/>
        <w:textAlignment w:val="auto"/>
        <w:rPr>
          <w:rFonts w:ascii="仿宋" w:hAnsi="仿宋" w:eastAsia="仿宋"/>
          <w:highlight w:val="none"/>
        </w:rPr>
      </w:pPr>
      <w:bookmarkStart w:id="91" w:name="_Toc19004"/>
      <w:r>
        <w:rPr>
          <w:rFonts w:hint="eastAsia" w:ascii="仿宋" w:hAnsi="仿宋" w:eastAsia="仿宋"/>
          <w:b w:val="0"/>
          <w:highlight w:val="none"/>
        </w:rPr>
        <w:t>一、收</w:t>
      </w:r>
      <w:r>
        <w:rPr>
          <w:rStyle w:val="35"/>
          <w:rFonts w:hint="eastAsia" w:ascii="仿宋" w:hAnsi="仿宋" w:eastAsia="仿宋"/>
          <w:b w:val="0"/>
          <w:bCs w:val="0"/>
          <w:highlight w:val="none"/>
        </w:rPr>
        <w:t>入支出决算总表</w:t>
      </w:r>
      <w:bookmarkEnd w:id="91"/>
    </w:p>
    <w:p w14:paraId="54B50331">
      <w:pPr>
        <w:pStyle w:val="3"/>
        <w:keepNext/>
        <w:keepLines/>
        <w:pageBreakBefore w:val="0"/>
        <w:widowControl w:val="0"/>
        <w:kinsoku/>
        <w:wordWrap/>
        <w:overflowPunct/>
        <w:topLinePunct w:val="0"/>
        <w:autoSpaceDE/>
        <w:autoSpaceDN/>
        <w:bidi w:val="0"/>
        <w:adjustRightInd/>
        <w:snapToGrid/>
        <w:spacing w:line="560" w:lineRule="exact"/>
        <w:textAlignment w:val="auto"/>
        <w:rPr>
          <w:rFonts w:ascii="仿宋" w:hAnsi="仿宋" w:eastAsia="仿宋"/>
          <w:highlight w:val="none"/>
        </w:rPr>
      </w:pPr>
      <w:bookmarkStart w:id="92" w:name="_Toc15396620"/>
      <w:bookmarkStart w:id="93" w:name="_Toc17917"/>
      <w:r>
        <w:rPr>
          <w:rFonts w:hint="eastAsia" w:ascii="仿宋" w:hAnsi="仿宋" w:eastAsia="仿宋"/>
          <w:b w:val="0"/>
          <w:highlight w:val="none"/>
        </w:rPr>
        <w:t>二、收</w:t>
      </w:r>
      <w:r>
        <w:rPr>
          <w:rStyle w:val="35"/>
          <w:rFonts w:hint="eastAsia" w:ascii="仿宋" w:hAnsi="仿宋" w:eastAsia="仿宋"/>
          <w:b w:val="0"/>
          <w:bCs w:val="0"/>
          <w:highlight w:val="none"/>
        </w:rPr>
        <w:t>入决算表</w:t>
      </w:r>
      <w:bookmarkEnd w:id="92"/>
      <w:bookmarkEnd w:id="93"/>
    </w:p>
    <w:p w14:paraId="78FD818D">
      <w:pPr>
        <w:pStyle w:val="3"/>
        <w:keepNext/>
        <w:keepLines/>
        <w:pageBreakBefore w:val="0"/>
        <w:widowControl w:val="0"/>
        <w:kinsoku/>
        <w:wordWrap/>
        <w:overflowPunct/>
        <w:topLinePunct w:val="0"/>
        <w:autoSpaceDE/>
        <w:autoSpaceDN/>
        <w:bidi w:val="0"/>
        <w:adjustRightInd/>
        <w:snapToGrid/>
        <w:spacing w:line="560" w:lineRule="exact"/>
        <w:textAlignment w:val="auto"/>
        <w:rPr>
          <w:rFonts w:ascii="仿宋" w:hAnsi="仿宋" w:eastAsia="仿宋"/>
          <w:highlight w:val="none"/>
        </w:rPr>
      </w:pPr>
      <w:bookmarkStart w:id="94" w:name="_Toc15396621"/>
      <w:bookmarkStart w:id="95" w:name="_Toc9841"/>
      <w:r>
        <w:rPr>
          <w:rStyle w:val="35"/>
          <w:rFonts w:hint="eastAsia" w:ascii="仿宋" w:hAnsi="仿宋" w:eastAsia="仿宋"/>
          <w:b w:val="0"/>
          <w:bCs w:val="0"/>
          <w:highlight w:val="none"/>
        </w:rPr>
        <w:t>三、</w:t>
      </w:r>
      <w:r>
        <w:rPr>
          <w:rFonts w:hint="eastAsia" w:ascii="仿宋" w:hAnsi="仿宋" w:eastAsia="仿宋"/>
          <w:b w:val="0"/>
          <w:highlight w:val="none"/>
        </w:rPr>
        <w:t>支</w:t>
      </w:r>
      <w:r>
        <w:rPr>
          <w:rStyle w:val="35"/>
          <w:rFonts w:hint="eastAsia" w:ascii="仿宋" w:hAnsi="仿宋" w:eastAsia="仿宋"/>
          <w:b w:val="0"/>
          <w:bCs w:val="0"/>
          <w:highlight w:val="none"/>
        </w:rPr>
        <w:t>出决算表</w:t>
      </w:r>
      <w:bookmarkEnd w:id="94"/>
      <w:bookmarkEnd w:id="95"/>
    </w:p>
    <w:p w14:paraId="1A3E7E2E">
      <w:pPr>
        <w:pStyle w:val="3"/>
        <w:keepNext/>
        <w:keepLines/>
        <w:pageBreakBefore w:val="0"/>
        <w:widowControl w:val="0"/>
        <w:kinsoku/>
        <w:wordWrap/>
        <w:overflowPunct/>
        <w:topLinePunct w:val="0"/>
        <w:autoSpaceDE/>
        <w:autoSpaceDN/>
        <w:bidi w:val="0"/>
        <w:adjustRightInd/>
        <w:snapToGrid/>
        <w:spacing w:line="560" w:lineRule="exact"/>
        <w:textAlignment w:val="auto"/>
        <w:rPr>
          <w:rFonts w:ascii="仿宋" w:hAnsi="仿宋" w:eastAsia="仿宋"/>
          <w:b w:val="0"/>
          <w:highlight w:val="none"/>
        </w:rPr>
      </w:pPr>
      <w:bookmarkStart w:id="96" w:name="_Toc5724"/>
      <w:bookmarkStart w:id="97" w:name="_Toc15396622"/>
      <w:r>
        <w:rPr>
          <w:rStyle w:val="35"/>
          <w:rFonts w:hint="eastAsia" w:ascii="仿宋" w:hAnsi="仿宋" w:eastAsia="仿宋"/>
          <w:b w:val="0"/>
          <w:bCs w:val="0"/>
          <w:highlight w:val="none"/>
        </w:rPr>
        <w:t>四、</w:t>
      </w:r>
      <w:r>
        <w:rPr>
          <w:rFonts w:hint="eastAsia" w:ascii="仿宋" w:hAnsi="仿宋" w:eastAsia="仿宋"/>
          <w:b w:val="0"/>
          <w:highlight w:val="none"/>
        </w:rPr>
        <w:t>财</w:t>
      </w:r>
      <w:r>
        <w:rPr>
          <w:rStyle w:val="35"/>
          <w:rFonts w:hint="eastAsia" w:ascii="仿宋" w:hAnsi="仿宋" w:eastAsia="仿宋"/>
          <w:b w:val="0"/>
          <w:bCs w:val="0"/>
          <w:highlight w:val="none"/>
        </w:rPr>
        <w:t>政拨款收入支出决算总表</w:t>
      </w:r>
      <w:bookmarkEnd w:id="96"/>
      <w:bookmarkEnd w:id="97"/>
    </w:p>
    <w:p w14:paraId="4D702E4D">
      <w:pPr>
        <w:pStyle w:val="3"/>
        <w:keepNext/>
        <w:keepLines/>
        <w:pageBreakBefore w:val="0"/>
        <w:widowControl w:val="0"/>
        <w:kinsoku/>
        <w:wordWrap/>
        <w:overflowPunct/>
        <w:topLinePunct w:val="0"/>
        <w:autoSpaceDE/>
        <w:autoSpaceDN/>
        <w:bidi w:val="0"/>
        <w:adjustRightInd/>
        <w:snapToGrid/>
        <w:spacing w:line="560" w:lineRule="exact"/>
        <w:textAlignment w:val="auto"/>
        <w:rPr>
          <w:rStyle w:val="35"/>
          <w:rFonts w:ascii="仿宋" w:hAnsi="仿宋" w:eastAsia="仿宋"/>
          <w:b w:val="0"/>
          <w:bCs w:val="0"/>
          <w:highlight w:val="none"/>
        </w:rPr>
      </w:pPr>
      <w:bookmarkStart w:id="98" w:name="_Toc11638"/>
      <w:bookmarkStart w:id="99" w:name="_Toc15396623"/>
      <w:r>
        <w:rPr>
          <w:rStyle w:val="35"/>
          <w:rFonts w:hint="eastAsia" w:ascii="仿宋" w:hAnsi="仿宋" w:eastAsia="仿宋"/>
          <w:b w:val="0"/>
          <w:bCs w:val="0"/>
          <w:highlight w:val="none"/>
        </w:rPr>
        <w:t>五、</w:t>
      </w:r>
      <w:r>
        <w:rPr>
          <w:rFonts w:hint="eastAsia" w:ascii="仿宋" w:hAnsi="仿宋" w:eastAsia="仿宋"/>
          <w:b w:val="0"/>
          <w:highlight w:val="none"/>
        </w:rPr>
        <w:t>财</w:t>
      </w:r>
      <w:r>
        <w:rPr>
          <w:rStyle w:val="35"/>
          <w:rFonts w:hint="eastAsia" w:ascii="仿宋" w:hAnsi="仿宋" w:eastAsia="仿宋"/>
          <w:b w:val="0"/>
          <w:bCs w:val="0"/>
          <w:highlight w:val="none"/>
        </w:rPr>
        <w:t>政拨款支出决算明细表</w:t>
      </w:r>
      <w:bookmarkEnd w:id="98"/>
      <w:bookmarkEnd w:id="99"/>
      <w:bookmarkStart w:id="100" w:name="_Toc15396624"/>
    </w:p>
    <w:p w14:paraId="41BFAB6F">
      <w:pPr>
        <w:pStyle w:val="3"/>
        <w:keepNext/>
        <w:keepLines/>
        <w:pageBreakBefore w:val="0"/>
        <w:widowControl w:val="0"/>
        <w:kinsoku/>
        <w:wordWrap/>
        <w:overflowPunct/>
        <w:topLinePunct w:val="0"/>
        <w:autoSpaceDE/>
        <w:autoSpaceDN/>
        <w:bidi w:val="0"/>
        <w:adjustRightInd/>
        <w:snapToGrid/>
        <w:spacing w:line="560" w:lineRule="exact"/>
        <w:textAlignment w:val="auto"/>
        <w:rPr>
          <w:rFonts w:ascii="仿宋" w:hAnsi="仿宋" w:eastAsia="仿宋"/>
          <w:highlight w:val="none"/>
        </w:rPr>
      </w:pPr>
      <w:bookmarkStart w:id="101" w:name="_Toc9095"/>
      <w:r>
        <w:rPr>
          <w:rStyle w:val="35"/>
          <w:rFonts w:hint="eastAsia" w:ascii="仿宋" w:hAnsi="仿宋" w:eastAsia="仿宋"/>
          <w:b w:val="0"/>
          <w:bCs w:val="0"/>
          <w:highlight w:val="none"/>
        </w:rPr>
        <w:t>六、</w:t>
      </w:r>
      <w:r>
        <w:rPr>
          <w:rFonts w:hint="eastAsia" w:ascii="仿宋" w:hAnsi="仿宋" w:eastAsia="仿宋"/>
          <w:b w:val="0"/>
          <w:highlight w:val="none"/>
        </w:rPr>
        <w:t>一</w:t>
      </w:r>
      <w:r>
        <w:rPr>
          <w:rStyle w:val="35"/>
          <w:rFonts w:hint="eastAsia" w:ascii="仿宋" w:hAnsi="仿宋" w:eastAsia="仿宋"/>
          <w:b w:val="0"/>
          <w:bCs w:val="0"/>
          <w:highlight w:val="none"/>
        </w:rPr>
        <w:t>般公共预算财政拨款支出决算表</w:t>
      </w:r>
      <w:bookmarkEnd w:id="100"/>
      <w:bookmarkEnd w:id="101"/>
    </w:p>
    <w:p w14:paraId="19494923">
      <w:pPr>
        <w:pStyle w:val="3"/>
        <w:keepNext/>
        <w:keepLines/>
        <w:pageBreakBefore w:val="0"/>
        <w:widowControl w:val="0"/>
        <w:kinsoku/>
        <w:wordWrap/>
        <w:overflowPunct/>
        <w:topLinePunct w:val="0"/>
        <w:autoSpaceDE/>
        <w:autoSpaceDN/>
        <w:bidi w:val="0"/>
        <w:adjustRightInd/>
        <w:snapToGrid/>
        <w:spacing w:line="560" w:lineRule="exact"/>
        <w:textAlignment w:val="auto"/>
        <w:rPr>
          <w:rFonts w:ascii="仿宋" w:hAnsi="仿宋" w:eastAsia="仿宋"/>
          <w:highlight w:val="none"/>
        </w:rPr>
      </w:pPr>
      <w:bookmarkStart w:id="102" w:name="_Toc15396625"/>
      <w:bookmarkStart w:id="103" w:name="_Toc32617"/>
      <w:r>
        <w:rPr>
          <w:rStyle w:val="35"/>
          <w:rFonts w:hint="eastAsia" w:ascii="仿宋" w:hAnsi="仿宋" w:eastAsia="仿宋"/>
          <w:b w:val="0"/>
          <w:bCs w:val="0"/>
          <w:highlight w:val="none"/>
        </w:rPr>
        <w:t>七、</w:t>
      </w:r>
      <w:r>
        <w:rPr>
          <w:rFonts w:hint="eastAsia" w:ascii="仿宋" w:hAnsi="仿宋" w:eastAsia="仿宋"/>
          <w:b w:val="0"/>
          <w:highlight w:val="none"/>
        </w:rPr>
        <w:t>一</w:t>
      </w:r>
      <w:r>
        <w:rPr>
          <w:rStyle w:val="35"/>
          <w:rFonts w:hint="eastAsia" w:ascii="仿宋" w:hAnsi="仿宋" w:eastAsia="仿宋"/>
          <w:b w:val="0"/>
          <w:bCs w:val="0"/>
          <w:highlight w:val="none"/>
        </w:rPr>
        <w:t>般公共预算财政拨款支出决算明细表</w:t>
      </w:r>
      <w:bookmarkEnd w:id="102"/>
      <w:bookmarkEnd w:id="103"/>
    </w:p>
    <w:p w14:paraId="390EA934">
      <w:pPr>
        <w:pStyle w:val="3"/>
        <w:keepNext/>
        <w:keepLines/>
        <w:pageBreakBefore w:val="0"/>
        <w:widowControl w:val="0"/>
        <w:kinsoku/>
        <w:wordWrap/>
        <w:overflowPunct/>
        <w:topLinePunct w:val="0"/>
        <w:autoSpaceDE/>
        <w:autoSpaceDN/>
        <w:bidi w:val="0"/>
        <w:adjustRightInd/>
        <w:snapToGrid/>
        <w:spacing w:line="560" w:lineRule="exact"/>
        <w:textAlignment w:val="auto"/>
        <w:rPr>
          <w:rFonts w:ascii="仿宋" w:hAnsi="仿宋" w:eastAsia="仿宋"/>
          <w:highlight w:val="none"/>
        </w:rPr>
      </w:pPr>
      <w:bookmarkStart w:id="104" w:name="_Toc8435"/>
      <w:bookmarkStart w:id="105" w:name="_Toc15396626"/>
      <w:r>
        <w:rPr>
          <w:rStyle w:val="35"/>
          <w:rFonts w:hint="eastAsia" w:ascii="仿宋" w:hAnsi="仿宋" w:eastAsia="仿宋"/>
          <w:b w:val="0"/>
          <w:bCs w:val="0"/>
          <w:highlight w:val="none"/>
        </w:rPr>
        <w:t>八、</w:t>
      </w:r>
      <w:r>
        <w:rPr>
          <w:rFonts w:hint="eastAsia" w:ascii="仿宋" w:hAnsi="仿宋" w:eastAsia="仿宋"/>
          <w:b w:val="0"/>
          <w:highlight w:val="none"/>
        </w:rPr>
        <w:t>一</w:t>
      </w:r>
      <w:r>
        <w:rPr>
          <w:rStyle w:val="35"/>
          <w:rFonts w:hint="eastAsia" w:ascii="仿宋" w:hAnsi="仿宋" w:eastAsia="仿宋"/>
          <w:b w:val="0"/>
          <w:bCs w:val="0"/>
          <w:highlight w:val="none"/>
        </w:rPr>
        <w:t>般公共预算财政拨款基本支出决算表</w:t>
      </w:r>
      <w:bookmarkEnd w:id="104"/>
      <w:bookmarkEnd w:id="105"/>
    </w:p>
    <w:p w14:paraId="4EF13796">
      <w:pPr>
        <w:pStyle w:val="3"/>
        <w:keepNext/>
        <w:keepLines/>
        <w:pageBreakBefore w:val="0"/>
        <w:widowControl w:val="0"/>
        <w:kinsoku/>
        <w:wordWrap/>
        <w:overflowPunct/>
        <w:topLinePunct w:val="0"/>
        <w:autoSpaceDE/>
        <w:autoSpaceDN/>
        <w:bidi w:val="0"/>
        <w:adjustRightInd/>
        <w:snapToGrid/>
        <w:spacing w:line="560" w:lineRule="exact"/>
        <w:textAlignment w:val="auto"/>
        <w:rPr>
          <w:rFonts w:ascii="仿宋" w:hAnsi="仿宋" w:eastAsia="仿宋"/>
          <w:highlight w:val="none"/>
        </w:rPr>
      </w:pPr>
      <w:bookmarkStart w:id="106" w:name="_Toc15396627"/>
      <w:bookmarkStart w:id="107" w:name="_Toc3700"/>
      <w:r>
        <w:rPr>
          <w:rStyle w:val="35"/>
          <w:rFonts w:hint="eastAsia" w:ascii="仿宋" w:hAnsi="仿宋" w:eastAsia="仿宋"/>
          <w:b w:val="0"/>
          <w:bCs w:val="0"/>
          <w:highlight w:val="none"/>
        </w:rPr>
        <w:t>九、</w:t>
      </w:r>
      <w:r>
        <w:rPr>
          <w:rFonts w:hint="eastAsia" w:ascii="仿宋" w:hAnsi="仿宋" w:eastAsia="仿宋"/>
          <w:b w:val="0"/>
          <w:highlight w:val="none"/>
        </w:rPr>
        <w:t>一</w:t>
      </w:r>
      <w:r>
        <w:rPr>
          <w:rStyle w:val="35"/>
          <w:rFonts w:hint="eastAsia" w:ascii="仿宋" w:hAnsi="仿宋" w:eastAsia="仿宋"/>
          <w:b w:val="0"/>
          <w:bCs w:val="0"/>
          <w:highlight w:val="none"/>
        </w:rPr>
        <w:t>般公共预算财政拨款项目支出决算表</w:t>
      </w:r>
      <w:bookmarkEnd w:id="106"/>
      <w:bookmarkEnd w:id="107"/>
    </w:p>
    <w:p w14:paraId="142248E0">
      <w:pPr>
        <w:pStyle w:val="3"/>
        <w:keepNext/>
        <w:keepLines/>
        <w:pageBreakBefore w:val="0"/>
        <w:widowControl w:val="0"/>
        <w:kinsoku/>
        <w:wordWrap/>
        <w:overflowPunct/>
        <w:topLinePunct w:val="0"/>
        <w:autoSpaceDE/>
        <w:autoSpaceDN/>
        <w:bidi w:val="0"/>
        <w:adjustRightInd/>
        <w:snapToGrid/>
        <w:spacing w:line="560" w:lineRule="exact"/>
        <w:textAlignment w:val="auto"/>
        <w:rPr>
          <w:rFonts w:ascii="仿宋" w:hAnsi="仿宋" w:eastAsia="仿宋"/>
          <w:highlight w:val="none"/>
        </w:rPr>
      </w:pPr>
      <w:bookmarkStart w:id="108" w:name="_Toc15396628"/>
      <w:bookmarkStart w:id="109" w:name="_Toc14982"/>
      <w:r>
        <w:rPr>
          <w:rStyle w:val="35"/>
          <w:rFonts w:hint="eastAsia" w:ascii="仿宋" w:hAnsi="仿宋" w:eastAsia="仿宋"/>
          <w:b w:val="0"/>
          <w:bCs w:val="0"/>
          <w:highlight w:val="none"/>
        </w:rPr>
        <w:t>十、</w:t>
      </w:r>
      <w:bookmarkEnd w:id="108"/>
      <w:r>
        <w:rPr>
          <w:rFonts w:hint="eastAsia" w:ascii="仿宋" w:hAnsi="仿宋" w:eastAsia="仿宋"/>
          <w:b w:val="0"/>
          <w:highlight w:val="none"/>
        </w:rPr>
        <w:t>政</w:t>
      </w:r>
      <w:r>
        <w:rPr>
          <w:rStyle w:val="35"/>
          <w:rFonts w:hint="eastAsia" w:ascii="仿宋" w:hAnsi="仿宋" w:eastAsia="仿宋"/>
          <w:b w:val="0"/>
          <w:bCs w:val="0"/>
          <w:highlight w:val="none"/>
        </w:rPr>
        <w:t>府性基金预算财政拨款收入支出决算表</w:t>
      </w:r>
      <w:bookmarkEnd w:id="109"/>
    </w:p>
    <w:p w14:paraId="0EBCB967">
      <w:pPr>
        <w:pStyle w:val="3"/>
        <w:keepNext/>
        <w:keepLines/>
        <w:pageBreakBefore w:val="0"/>
        <w:widowControl w:val="0"/>
        <w:kinsoku/>
        <w:wordWrap/>
        <w:overflowPunct/>
        <w:topLinePunct w:val="0"/>
        <w:autoSpaceDE/>
        <w:autoSpaceDN/>
        <w:bidi w:val="0"/>
        <w:adjustRightInd/>
        <w:snapToGrid/>
        <w:spacing w:line="560" w:lineRule="exact"/>
        <w:textAlignment w:val="auto"/>
        <w:rPr>
          <w:rFonts w:ascii="仿宋" w:hAnsi="仿宋" w:eastAsia="仿宋"/>
          <w:highlight w:val="none"/>
        </w:rPr>
      </w:pPr>
      <w:bookmarkStart w:id="110" w:name="_Toc15396629"/>
      <w:bookmarkStart w:id="111" w:name="_Toc22461"/>
      <w:r>
        <w:rPr>
          <w:rStyle w:val="35"/>
          <w:rFonts w:hint="eastAsia" w:ascii="仿宋" w:hAnsi="仿宋" w:eastAsia="仿宋"/>
          <w:b w:val="0"/>
          <w:bCs w:val="0"/>
          <w:highlight w:val="none"/>
        </w:rPr>
        <w:t>十一、</w:t>
      </w:r>
      <w:bookmarkEnd w:id="110"/>
      <w:r>
        <w:rPr>
          <w:rFonts w:hint="eastAsia" w:ascii="仿宋" w:hAnsi="仿宋" w:eastAsia="仿宋"/>
          <w:b w:val="0"/>
          <w:highlight w:val="none"/>
        </w:rPr>
        <w:t>国</w:t>
      </w:r>
      <w:r>
        <w:rPr>
          <w:rStyle w:val="35"/>
          <w:rFonts w:hint="eastAsia" w:ascii="仿宋" w:hAnsi="仿宋" w:eastAsia="仿宋"/>
          <w:b w:val="0"/>
          <w:bCs w:val="0"/>
          <w:highlight w:val="none"/>
        </w:rPr>
        <w:t>有资本经营预算财政拨款收入支出决算表</w:t>
      </w:r>
      <w:bookmarkEnd w:id="111"/>
    </w:p>
    <w:p w14:paraId="2D3DA1E3">
      <w:pPr>
        <w:pStyle w:val="3"/>
        <w:keepNext/>
        <w:keepLines/>
        <w:pageBreakBefore w:val="0"/>
        <w:widowControl w:val="0"/>
        <w:kinsoku/>
        <w:wordWrap/>
        <w:overflowPunct/>
        <w:topLinePunct w:val="0"/>
        <w:autoSpaceDE/>
        <w:autoSpaceDN/>
        <w:bidi w:val="0"/>
        <w:adjustRightInd/>
        <w:snapToGrid/>
        <w:spacing w:line="560" w:lineRule="exact"/>
        <w:textAlignment w:val="auto"/>
        <w:rPr>
          <w:rFonts w:ascii="仿宋" w:hAnsi="仿宋" w:eastAsia="仿宋"/>
          <w:highlight w:val="none"/>
        </w:rPr>
      </w:pPr>
      <w:bookmarkStart w:id="112" w:name="_Toc15396630"/>
      <w:bookmarkStart w:id="113" w:name="_Toc24128"/>
      <w:r>
        <w:rPr>
          <w:rStyle w:val="35"/>
          <w:rFonts w:hint="eastAsia" w:ascii="仿宋" w:hAnsi="仿宋" w:eastAsia="仿宋"/>
          <w:b w:val="0"/>
          <w:bCs w:val="0"/>
          <w:highlight w:val="none"/>
        </w:rPr>
        <w:t>十二、</w:t>
      </w:r>
      <w:bookmarkEnd w:id="112"/>
      <w:r>
        <w:rPr>
          <w:rStyle w:val="35"/>
          <w:rFonts w:hint="eastAsia" w:ascii="仿宋" w:hAnsi="仿宋" w:eastAsia="仿宋"/>
          <w:b w:val="0"/>
          <w:bCs w:val="0"/>
          <w:highlight w:val="none"/>
        </w:rPr>
        <w:t>国有资本经营预算财政拨款支出决算表</w:t>
      </w:r>
      <w:bookmarkEnd w:id="113"/>
    </w:p>
    <w:p w14:paraId="09FEAF3D">
      <w:pPr>
        <w:pStyle w:val="3"/>
        <w:keepNext/>
        <w:keepLines/>
        <w:pageBreakBefore w:val="0"/>
        <w:widowControl w:val="0"/>
        <w:kinsoku/>
        <w:wordWrap/>
        <w:overflowPunct/>
        <w:topLinePunct w:val="0"/>
        <w:autoSpaceDE/>
        <w:autoSpaceDN/>
        <w:bidi w:val="0"/>
        <w:adjustRightInd/>
        <w:snapToGrid/>
        <w:spacing w:line="560" w:lineRule="exact"/>
        <w:textAlignment w:val="auto"/>
        <w:rPr>
          <w:rStyle w:val="35"/>
          <w:rFonts w:hint="eastAsia" w:ascii="仿宋" w:hAnsi="仿宋" w:eastAsia="仿宋"/>
          <w:b w:val="0"/>
          <w:bCs w:val="0"/>
          <w:highlight w:val="none"/>
        </w:rPr>
      </w:pPr>
      <w:bookmarkStart w:id="114" w:name="_Toc15396631"/>
      <w:bookmarkStart w:id="115" w:name="_Toc10485"/>
      <w:r>
        <w:rPr>
          <w:rStyle w:val="35"/>
          <w:rFonts w:hint="eastAsia" w:ascii="仿宋" w:hAnsi="仿宋" w:eastAsia="仿宋"/>
          <w:b w:val="0"/>
          <w:bCs w:val="0"/>
          <w:highlight w:val="none"/>
        </w:rPr>
        <w:t>十三、</w:t>
      </w:r>
      <w:bookmarkEnd w:id="114"/>
      <w:r>
        <w:rPr>
          <w:rStyle w:val="35"/>
          <w:rFonts w:hint="eastAsia" w:ascii="仿宋" w:hAnsi="仿宋" w:eastAsia="仿宋"/>
          <w:b w:val="0"/>
          <w:bCs w:val="0"/>
          <w:highlight w:val="none"/>
        </w:rPr>
        <w:t>财政拨款“三公”经费支出决算表</w:t>
      </w:r>
      <w:bookmarkEnd w:id="90"/>
      <w:bookmarkEnd w:id="115"/>
    </w:p>
    <w:p w14:paraId="7CC3C1E8">
      <w:pPr>
        <w:jc w:val="center"/>
        <w:rPr>
          <w:rStyle w:val="35"/>
          <w:rFonts w:hint="eastAsia" w:ascii="仿宋" w:hAnsi="仿宋" w:eastAsia="仿宋"/>
          <w:b w:val="0"/>
          <w:bCs w:val="0"/>
          <w:lang w:eastAsia="zh-CN"/>
        </w:rPr>
      </w:pPr>
      <w:r>
        <w:rPr>
          <w:rStyle w:val="35"/>
          <w:rFonts w:hint="eastAsia" w:ascii="仿宋" w:hAnsi="仿宋" w:eastAsia="仿宋"/>
          <w:b w:val="0"/>
          <w:bCs w:val="0"/>
          <w:lang w:eastAsia="zh-CN"/>
        </w:rPr>
        <w:object>
          <v:shape id="_x0000_i1026" o:spt="75" type="#_x0000_t75" style="height:65.25pt;width:72.4pt;" o:ole="t" filled="f" o:preferrelative="t" stroked="f" coordsize="21600,21600">
            <v:path/>
            <v:fill on="f" focussize="0,0"/>
            <v:stroke on="f"/>
            <v:imagedata r:id="rId22" o:title=""/>
            <o:lock v:ext="edit" aspectratio="t"/>
            <w10:wrap type="none"/>
            <w10:anchorlock/>
          </v:shape>
          <o:OLEObject Type="Embed" ProgID="Excel.Sheet.8" ShapeID="_x0000_i1026" DrawAspect="Icon" ObjectID="_1468075726" r:id="rId21">
            <o:LockedField>false</o:LockedField>
          </o:OLEObject>
        </w:object>
      </w:r>
    </w:p>
    <w:p w14:paraId="6B61BDD4">
      <w:pPr>
        <w:rPr>
          <w:rStyle w:val="35"/>
          <w:rFonts w:hint="eastAsia" w:ascii="仿宋" w:hAnsi="仿宋" w:eastAsia="仿宋"/>
          <w:b w:val="0"/>
          <w:bCs w:val="0"/>
          <w:lang w:eastAsia="zh-CN"/>
        </w:rPr>
      </w:pPr>
    </w:p>
    <w:sectPr>
      <w:headerReference r:id="rId9" w:type="default"/>
      <w:footerReference r:id="rId10"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0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2AEB34E3-1399-4109-8317-BA723A20CB4D}"/>
  </w:font>
  <w:font w:name="黑体">
    <w:panose1 w:val="02010609060101010101"/>
    <w:charset w:val="86"/>
    <w:family w:val="auto"/>
    <w:pitch w:val="default"/>
    <w:sig w:usb0="800002BF" w:usb1="38CF7CFA" w:usb2="00000016" w:usb3="00000000" w:csb0="00040001" w:csb1="00000000"/>
    <w:embedRegular r:id="rId2" w:fontKey="{C877991F-3D39-4509-B7CE-7381415C6EE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B719818C-3604-4660-BFE4-AFE8C40AFE00}"/>
  </w:font>
  <w:font w:name="Cambria">
    <w:panose1 w:val="02040503050406030204"/>
    <w:charset w:val="00"/>
    <w:family w:val="roman"/>
    <w:pitch w:val="default"/>
    <w:sig w:usb0="E00006FF" w:usb1="420024FF" w:usb2="02000000" w:usb3="00000000" w:csb0="2000019F" w:csb1="00000000"/>
    <w:embedRegular r:id="rId4" w:fontKey="{4BC78374-9D8A-42D1-952E-3C6F1CC843EF}"/>
  </w:font>
  <w:font w:name="方正仿宋_GB2312">
    <w:panose1 w:val="02000000000000000000"/>
    <w:charset w:val="86"/>
    <w:family w:val="auto"/>
    <w:pitch w:val="default"/>
    <w:sig w:usb0="A00002BF" w:usb1="184F6CFA" w:usb2="00000012" w:usb3="00000000" w:csb0="00040001" w:csb1="00000000"/>
    <w:embedRegular r:id="rId5" w:fontKey="{5081EDDA-ABDF-4EDD-8B44-150F275C9C40}"/>
  </w:font>
  <w:font w:name="仿宋">
    <w:panose1 w:val="02010609060101010101"/>
    <w:charset w:val="86"/>
    <w:family w:val="modern"/>
    <w:pitch w:val="default"/>
    <w:sig w:usb0="800002BF" w:usb1="38CF7CFA" w:usb2="00000016" w:usb3="00000000" w:csb0="00040001" w:csb1="00000000"/>
    <w:embedRegular r:id="rId6" w:fontKey="{1DC83117-DC1D-465D-89BE-5D9D6562C86E}"/>
  </w:font>
  <w:font w:name="??">
    <w:altName w:val="Times New Roman"/>
    <w:panose1 w:val="00000000000000000000"/>
    <w:charset w:val="00"/>
    <w:family w:val="roman"/>
    <w:pitch w:val="default"/>
    <w:sig w:usb0="00000000" w:usb1="00000000" w:usb2="00000000" w:usb3="00000000" w:csb0="00000000" w:csb1="00000000"/>
  </w:font>
  <w:font w:name="方正小标宋简体">
    <w:panose1 w:val="02000000000000000000"/>
    <w:charset w:val="86"/>
    <w:family w:val="script"/>
    <w:pitch w:val="default"/>
    <w:sig w:usb0="00000001" w:usb1="08000000" w:usb2="00000000" w:usb3="00000000" w:csb0="00040000" w:csb1="00000000"/>
    <w:embedRegular r:id="rId7" w:fontKey="{0C8E0CF0-9F83-480E-955E-11AA1319FE13}"/>
  </w:font>
  <w:font w:name="仿宋_GB2312">
    <w:altName w:val="仿宋"/>
    <w:panose1 w:val="02010609030101010101"/>
    <w:charset w:val="86"/>
    <w:family w:val="auto"/>
    <w:pitch w:val="default"/>
    <w:sig w:usb0="00000000" w:usb1="00000000" w:usb2="00000000" w:usb3="00000000" w:csb0="00040000" w:csb1="00000000"/>
    <w:embedRegular r:id="rId8" w:fontKey="{F45B588F-4FFD-4D61-B2F7-20B3FE9E4EB1}"/>
  </w:font>
  <w:font w:name="楷体_GB2312">
    <w:altName w:val="楷体"/>
    <w:panose1 w:val="02010609030101010101"/>
    <w:charset w:val="86"/>
    <w:family w:val="auto"/>
    <w:pitch w:val="default"/>
    <w:sig w:usb0="00000000" w:usb1="00000000" w:usb2="00000000" w:usb3="00000000" w:csb0="00040000" w:csb1="00000000"/>
    <w:embedRegular r:id="rId9" w:fontKey="{72948E49-76B8-4822-B433-7830D2A95875}"/>
  </w:font>
  <w:font w:name="楷体">
    <w:panose1 w:val="02010609060101010101"/>
    <w:charset w:val="86"/>
    <w:family w:val="auto"/>
    <w:pitch w:val="default"/>
    <w:sig w:usb0="800002BF" w:usb1="38CF7CFA" w:usb2="00000016" w:usb3="00000000" w:csb0="00040001" w:csb1="00000000"/>
  </w:font>
  <w:font w:name="方正小标宋_GBK">
    <w:panose1 w:val="02000000000000000000"/>
    <w:charset w:val="86"/>
    <w:family w:val="auto"/>
    <w:pitch w:val="default"/>
    <w:sig w:usb0="A00002BF" w:usb1="38CF7CFA" w:usb2="00082016" w:usb3="00000000" w:csb0="00040001" w:csb1="00000000"/>
    <w:embedRegular r:id="rId10" w:fontKey="{961369BC-6BF6-4D0C-8E7F-B49E20A95FDA}"/>
  </w:font>
  <w:font w:name="Wingdings 2">
    <w:altName w:val="Wingdings"/>
    <w:panose1 w:val="05020102010507070707"/>
    <w:charset w:val="02"/>
    <w:family w:val="auto"/>
    <w:pitch w:val="default"/>
    <w:sig w:usb0="00000000" w:usb1="00000000" w:usb2="00000000" w:usb3="00000000" w:csb0="80000000" w:csb1="00000000"/>
    <w:embedRegular r:id="rId11" w:fontKey="{BD41695E-6C5E-4C5A-9FE4-2E5B1DC3416D}"/>
  </w:font>
  <w:font w:name="等线">
    <w:panose1 w:val="02010600030101010101"/>
    <w:charset w:val="86"/>
    <w:family w:val="auto"/>
    <w:pitch w:val="default"/>
    <w:sig w:usb0="A00002BF" w:usb1="38CF7CFA" w:usb2="00000016" w:usb3="00000000" w:csb0="0004000F" w:csb1="00000000"/>
    <w:embedRegular r:id="rId12" w:fontKey="{1A3FD67D-CF17-4A7C-AA2A-DC91A3C822B4}"/>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806AEE">
    <w:pPr>
      <w:pStyle w:val="13"/>
      <w:jc w:val="cente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BD61B6">
                          <w:pPr>
                            <w:pStyle w:val="13"/>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47BD61B6">
                    <w:pPr>
                      <w:pStyle w:val="13"/>
                    </w:pPr>
                    <w:r>
                      <w:fldChar w:fldCharType="begin"/>
                    </w:r>
                    <w:r>
                      <w:instrText xml:space="preserve"> PAGE  \* MERGEFORMAT </w:instrText>
                    </w:r>
                    <w:r>
                      <w:fldChar w:fldCharType="separate"/>
                    </w:r>
                    <w:r>
                      <w:t>2</w:t>
                    </w:r>
                    <w:r>
                      <w:fldChar w:fldCharType="end"/>
                    </w:r>
                  </w:p>
                </w:txbxContent>
              </v:textbox>
            </v:shape>
          </w:pict>
        </mc:Fallback>
      </mc:AlternateContent>
    </w:r>
  </w:p>
  <w:p w14:paraId="3725693D">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C0D1CE">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0E1FBE">
    <w:pPr>
      <w:pStyle w:val="7"/>
      <w:spacing w:line="14" w:lineRule="auto"/>
      <w:rPr>
        <w:sz w:val="20"/>
      </w:rPr>
    </w:pPr>
    <w:r>
      <mc:AlternateContent>
        <mc:Choice Requires="wps">
          <w:drawing>
            <wp:anchor distT="0" distB="0" distL="114300" distR="114300" simplePos="0" relativeHeight="251668480" behindDoc="1" locked="0" layoutInCell="1" allowOverlap="1">
              <wp:simplePos x="0" y="0"/>
              <wp:positionH relativeFrom="page">
                <wp:posOffset>5789295</wp:posOffset>
              </wp:positionH>
              <wp:positionV relativeFrom="page">
                <wp:posOffset>9946640</wp:posOffset>
              </wp:positionV>
              <wp:extent cx="558165" cy="204470"/>
              <wp:effectExtent l="0" t="0" r="0" b="0"/>
              <wp:wrapNone/>
              <wp:docPr id="1" name="文本框 1"/>
              <wp:cNvGraphicFramePr/>
              <a:graphic xmlns:a="http://schemas.openxmlformats.org/drawingml/2006/main">
                <a:graphicData uri="http://schemas.microsoft.com/office/word/2010/wordprocessingShape">
                  <wps:wsp>
                    <wps:cNvSpPr txBox="1"/>
                    <wps:spPr>
                      <a:xfrm>
                        <a:off x="0" y="0"/>
                        <a:ext cx="558165" cy="204470"/>
                      </a:xfrm>
                      <a:prstGeom prst="rect">
                        <a:avLst/>
                      </a:prstGeom>
                      <a:noFill/>
                      <a:ln>
                        <a:noFill/>
                      </a:ln>
                    </wps:spPr>
                    <wps:txbx>
                      <w:txbxContent>
                        <w:p w14:paraId="256FAAC7">
                          <w:pPr>
                            <w:spacing w:before="0" w:line="321" w:lineRule="exact"/>
                            <w:ind w:left="20" w:right="0" w:firstLine="0"/>
                            <w:jc w:val="left"/>
                            <w:rPr>
                              <w:sz w:val="28"/>
                            </w:rPr>
                          </w:pPr>
                          <w:r>
                            <w:rPr>
                              <w:sz w:val="28"/>
                            </w:rPr>
                            <w:t xml:space="preserve">- </w:t>
                          </w:r>
                          <w:r>
                            <w:fldChar w:fldCharType="begin"/>
                          </w:r>
                          <w:r>
                            <w:rPr>
                              <w:sz w:val="28"/>
                            </w:rPr>
                            <w:instrText xml:space="preserve"> PAGE </w:instrText>
                          </w:r>
                          <w:r>
                            <w:fldChar w:fldCharType="separate"/>
                          </w:r>
                          <w:r>
                            <w:t>11</w:t>
                          </w:r>
                          <w:r>
                            <w:fldChar w:fldCharType="end"/>
                          </w:r>
                          <w:r>
                            <w:rPr>
                              <w:sz w:val="28"/>
                            </w:rPr>
                            <w:t xml:space="preserve"> -</w:t>
                          </w:r>
                        </w:p>
                      </w:txbxContent>
                    </wps:txbx>
                    <wps:bodyPr lIns="0" tIns="0" rIns="0" bIns="0" upright="1"/>
                  </wps:wsp>
                </a:graphicData>
              </a:graphic>
            </wp:anchor>
          </w:drawing>
        </mc:Choice>
        <mc:Fallback>
          <w:pict>
            <v:shape id="_x0000_s1026" o:spid="_x0000_s1026" o:spt="202" type="#_x0000_t202" style="position:absolute;left:0pt;margin-left:455.85pt;margin-top:783.2pt;height:16.1pt;width:43.95pt;mso-position-horizontal-relative:page;mso-position-vertical-relative:page;z-index:-251648000;mso-width-relative:page;mso-height-relative:page;" filled="f" stroked="f" coordsize="21600,21600" o:gfxdata="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BBSFwraAAAADQEAAA8AAAAAAAAAAQAgAAAAIgAAAGRycy9kb3ducmV2LnhtbFBL&#10;AQIUABQAAAAIAIdO4kDVwOIQuwEAAHEDAAAOAAAAAAAAAAEAIAAAACkBAABkcnMvZTJvRG9jLnht&#10;bFBLBQYAAAAABgAGAFkBAABWBQAAAAA=&#10;">
              <v:fill on="f" focussize="0,0"/>
              <v:stroke on="f"/>
              <v:imagedata o:title=""/>
              <o:lock v:ext="edit" aspectratio="f"/>
              <v:textbox inset="0mm,0mm,0mm,0mm">
                <w:txbxContent>
                  <w:p w14:paraId="256FAAC7">
                    <w:pPr>
                      <w:spacing w:before="0" w:line="321" w:lineRule="exact"/>
                      <w:ind w:left="20" w:right="0" w:firstLine="0"/>
                      <w:jc w:val="left"/>
                      <w:rPr>
                        <w:sz w:val="28"/>
                      </w:rPr>
                    </w:pPr>
                    <w:r>
                      <w:rPr>
                        <w:sz w:val="28"/>
                      </w:rPr>
                      <w:t xml:space="preserve">- </w:t>
                    </w:r>
                    <w:r>
                      <w:fldChar w:fldCharType="begin"/>
                    </w:r>
                    <w:r>
                      <w:rPr>
                        <w:sz w:val="28"/>
                      </w:rPr>
                      <w:instrText xml:space="preserve"> PAGE </w:instrText>
                    </w:r>
                    <w:r>
                      <w:fldChar w:fldCharType="separate"/>
                    </w:r>
                    <w:r>
                      <w:t>11</w:t>
                    </w:r>
                    <w:r>
                      <w:fldChar w:fldCharType="end"/>
                    </w:r>
                    <w:r>
                      <w:rPr>
                        <w:sz w:val="28"/>
                      </w:rP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45E52C">
    <w:pPr>
      <w:spacing w:line="235" w:lineRule="auto"/>
      <w:ind w:left="424"/>
      <w:rPr>
        <w:rFonts w:ascii="宋体" w:hAnsi="宋体" w:eastAsia="宋体" w:cs="宋体"/>
        <w:sz w:val="28"/>
        <w:szCs w:val="28"/>
      </w:rPr>
    </w:pPr>
    <w:r>
      <w:rPr>
        <w:rFonts w:ascii="宋体" w:hAnsi="宋体" w:eastAsia="宋体" w:cs="宋体"/>
        <w:spacing w:val="-11"/>
        <w:sz w:val="28"/>
        <w:szCs w:val="28"/>
      </w:rPr>
      <w:t>-</w:t>
    </w:r>
    <w:r>
      <w:rPr>
        <w:rFonts w:ascii="宋体" w:hAnsi="宋体" w:eastAsia="宋体" w:cs="宋体"/>
        <w:spacing w:val="34"/>
        <w:sz w:val="28"/>
        <w:szCs w:val="28"/>
      </w:rPr>
      <w:t xml:space="preserve"> </w:t>
    </w:r>
    <w:r>
      <w:rPr>
        <w:rFonts w:ascii="宋体" w:hAnsi="宋体" w:eastAsia="宋体" w:cs="宋体"/>
        <w:spacing w:val="-11"/>
        <w:sz w:val="28"/>
        <w:szCs w:val="28"/>
      </w:rPr>
      <w:t>14</w:t>
    </w:r>
    <w:r>
      <w:rPr>
        <w:rFonts w:ascii="宋体" w:hAnsi="宋体" w:eastAsia="宋体" w:cs="宋体"/>
        <w:spacing w:val="9"/>
        <w:sz w:val="28"/>
        <w:szCs w:val="28"/>
      </w:rPr>
      <w:t xml:space="preserve"> </w:t>
    </w:r>
    <w:r>
      <w:rPr>
        <w:rFonts w:ascii="宋体" w:hAnsi="宋体" w:eastAsia="宋体" w:cs="宋体"/>
        <w:spacing w:val="-11"/>
        <w:sz w:val="28"/>
        <w:szCs w:val="28"/>
      </w:rPr>
      <w:t>-</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662355">
    <w:pPr>
      <w:pStyle w:val="13"/>
      <w:jc w:val="cente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D1FC17">
                          <w:pPr>
                            <w:pStyle w:val="13"/>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39D1FC17">
                    <w:pPr>
                      <w:pStyle w:val="13"/>
                    </w:pPr>
                    <w:r>
                      <w:fldChar w:fldCharType="begin"/>
                    </w:r>
                    <w:r>
                      <w:instrText xml:space="preserve"> PAGE  \* MERGEFORMAT </w:instrText>
                    </w:r>
                    <w:r>
                      <w:fldChar w:fldCharType="separate"/>
                    </w:r>
                    <w:r>
                      <w:t>2</w:t>
                    </w:r>
                    <w:r>
                      <w:fldChar w:fldCharType="end"/>
                    </w:r>
                  </w:p>
                </w:txbxContent>
              </v:textbox>
            </v:shape>
          </w:pict>
        </mc:Fallback>
      </mc:AlternateContent>
    </w:r>
  </w:p>
  <w:p w14:paraId="07198ACA">
    <w:pPr>
      <w:pStyle w:val="1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52754A">
    <w:pPr>
      <w:pStyle w:val="14"/>
      <w:pBdr>
        <w:bottom w:val="none" w:color="auto" w:sz="0" w:space="0"/>
      </w:pBdr>
      <w:rPr>
        <w:rFonts w:hint="default" w:eastAsia="宋体"/>
        <w:lang w:val="en-US"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042DC8">
    <w:pPr>
      <w:pStyle w:val="14"/>
      <w:jc w:val="both"/>
      <w:rPr>
        <w:rFonts w:hint="default"/>
        <w:lang w:val="en-US"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5B7D12">
    <w:pPr>
      <w:pStyle w:val="7"/>
      <w:spacing w:line="14" w:lineRule="aut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52CEC"/>
    <w:multiLevelType w:val="singleLevel"/>
    <w:tmpl w:val="CF652CEC"/>
    <w:lvl w:ilvl="0" w:tentative="0">
      <w:start w:val="9"/>
      <w:numFmt w:val="chineseCounting"/>
      <w:suff w:val="nothing"/>
      <w:lvlText w:val="%1、"/>
      <w:lvlJc w:val="left"/>
      <w:rPr>
        <w:rFonts w:hint="eastAsia"/>
      </w:rPr>
    </w:lvl>
  </w:abstractNum>
  <w:abstractNum w:abstractNumId="1">
    <w:nsid w:val="E2FA047D"/>
    <w:multiLevelType w:val="singleLevel"/>
    <w:tmpl w:val="E2FA047D"/>
    <w:lvl w:ilvl="0" w:tentative="0">
      <w:start w:val="3"/>
      <w:numFmt w:val="chineseCounting"/>
      <w:suff w:val="space"/>
      <w:lvlText w:val="第%1部分"/>
      <w:lvlJc w:val="left"/>
      <w:rPr>
        <w:rFonts w:hint="eastAsia" w:ascii="黑体" w:hAnsi="黑体" w:eastAsia="黑体" w:cs="黑体"/>
        <w:sz w:val="44"/>
        <w:szCs w:val="44"/>
      </w:rPr>
    </w:lvl>
  </w:abstractNum>
  <w:abstractNum w:abstractNumId="2">
    <w:nsid w:val="1272550B"/>
    <w:multiLevelType w:val="multilevel"/>
    <w:tmpl w:val="1272550B"/>
    <w:lvl w:ilvl="0" w:tentative="0">
      <w:start w:val="1"/>
      <w:numFmt w:val="japaneseCounting"/>
      <w:lvlText w:val="%1、"/>
      <w:lvlJc w:val="left"/>
      <w:pPr>
        <w:ind w:left="1360" w:hanging="720"/>
      </w:pPr>
      <w:rPr>
        <w:rFonts w:hint="default"/>
        <w:b w:val="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3">
    <w:nsid w:val="3818A09A"/>
    <w:multiLevelType w:val="singleLevel"/>
    <w:tmpl w:val="3818A09A"/>
    <w:lvl w:ilvl="0" w:tentative="0">
      <w:start w:val="1"/>
      <w:numFmt w:val="chineseCounting"/>
      <w:suff w:val="nothing"/>
      <w:lvlText w:val="%1、"/>
      <w:lvlJc w:val="left"/>
      <w:rPr>
        <w:rFonts w:hint="eastAsia"/>
      </w:rPr>
    </w:lvl>
  </w:abstractNum>
  <w:abstractNum w:abstractNumId="4">
    <w:nsid w:val="5F6BED36"/>
    <w:multiLevelType w:val="singleLevel"/>
    <w:tmpl w:val="5F6BED36"/>
    <w:lvl w:ilvl="0" w:tentative="0">
      <w:start w:val="2"/>
      <w:numFmt w:val="chineseCounting"/>
      <w:suff w:val="nothing"/>
      <w:lvlText w:val="（%1）"/>
      <w:lvlJc w:val="left"/>
      <w:rPr>
        <w:rFonts w:hint="eastAsia"/>
      </w:rPr>
    </w:lvl>
  </w:abstractNum>
  <w:abstractNum w:abstractNumId="5">
    <w:nsid w:val="62621CDC"/>
    <w:multiLevelType w:val="multilevel"/>
    <w:tmpl w:val="62621CDC"/>
    <w:lvl w:ilvl="0" w:tentative="0">
      <w:start w:val="1"/>
      <w:numFmt w:val="decimal"/>
      <w:lvlText w:val="%1."/>
      <w:lvlJc w:val="left"/>
      <w:pPr>
        <w:tabs>
          <w:tab w:val="left" w:pos="-1260"/>
        </w:tabs>
        <w:ind w:left="-108" w:hanging="480"/>
      </w:pPr>
      <w:rPr>
        <w:rFonts w:hint="default"/>
      </w:rPr>
    </w:lvl>
    <w:lvl w:ilvl="1" w:tentative="0">
      <w:start w:val="1"/>
      <w:numFmt w:val="lowerLetter"/>
      <w:lvlText w:val="%2)"/>
      <w:lvlJc w:val="left"/>
      <w:pPr>
        <w:tabs>
          <w:tab w:val="left" w:pos="-1260"/>
        </w:tabs>
        <w:ind w:left="252" w:hanging="420"/>
      </w:pPr>
    </w:lvl>
    <w:lvl w:ilvl="2" w:tentative="0">
      <w:start w:val="1"/>
      <w:numFmt w:val="lowerRoman"/>
      <w:lvlText w:val="%3."/>
      <w:lvlJc w:val="right"/>
      <w:pPr>
        <w:tabs>
          <w:tab w:val="left" w:pos="-1260"/>
        </w:tabs>
        <w:ind w:left="672" w:hanging="420"/>
      </w:pPr>
    </w:lvl>
    <w:lvl w:ilvl="3" w:tentative="0">
      <w:start w:val="1"/>
      <w:numFmt w:val="decimal"/>
      <w:lvlText w:val="%4."/>
      <w:lvlJc w:val="left"/>
      <w:pPr>
        <w:tabs>
          <w:tab w:val="left" w:pos="-1260"/>
        </w:tabs>
        <w:ind w:left="1092" w:hanging="420"/>
      </w:pPr>
    </w:lvl>
    <w:lvl w:ilvl="4" w:tentative="0">
      <w:start w:val="1"/>
      <w:numFmt w:val="lowerLetter"/>
      <w:lvlText w:val="%5)"/>
      <w:lvlJc w:val="left"/>
      <w:pPr>
        <w:tabs>
          <w:tab w:val="left" w:pos="-1260"/>
        </w:tabs>
        <w:ind w:left="1512" w:hanging="420"/>
      </w:pPr>
    </w:lvl>
    <w:lvl w:ilvl="5" w:tentative="0">
      <w:start w:val="1"/>
      <w:numFmt w:val="lowerRoman"/>
      <w:lvlText w:val="%6."/>
      <w:lvlJc w:val="right"/>
      <w:pPr>
        <w:tabs>
          <w:tab w:val="left" w:pos="-1260"/>
        </w:tabs>
        <w:ind w:left="1932" w:hanging="420"/>
      </w:pPr>
    </w:lvl>
    <w:lvl w:ilvl="6" w:tentative="0">
      <w:start w:val="1"/>
      <w:numFmt w:val="decimal"/>
      <w:lvlText w:val="%7."/>
      <w:lvlJc w:val="left"/>
      <w:pPr>
        <w:tabs>
          <w:tab w:val="left" w:pos="-1260"/>
        </w:tabs>
        <w:ind w:left="2352" w:hanging="420"/>
      </w:pPr>
    </w:lvl>
    <w:lvl w:ilvl="7" w:tentative="0">
      <w:start w:val="1"/>
      <w:numFmt w:val="lowerLetter"/>
      <w:lvlText w:val="%8)"/>
      <w:lvlJc w:val="left"/>
      <w:pPr>
        <w:tabs>
          <w:tab w:val="left" w:pos="-1260"/>
        </w:tabs>
        <w:ind w:left="2772" w:hanging="420"/>
      </w:pPr>
    </w:lvl>
    <w:lvl w:ilvl="8" w:tentative="0">
      <w:start w:val="1"/>
      <w:numFmt w:val="lowerRoman"/>
      <w:lvlText w:val="%9."/>
      <w:lvlJc w:val="right"/>
      <w:pPr>
        <w:tabs>
          <w:tab w:val="left" w:pos="-1260"/>
        </w:tabs>
        <w:ind w:left="3192" w:hanging="420"/>
      </w:pPr>
    </w:lvl>
  </w:abstractNum>
  <w:num w:numId="1">
    <w:abstractNumId w:val="3"/>
  </w:num>
  <w:num w:numId="2">
    <w:abstractNumId w:val="5"/>
  </w:num>
  <w:num w:numId="3">
    <w:abstractNumId w:val="2"/>
  </w:num>
  <w:num w:numId="4">
    <w:abstractNumId w:val="0"/>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4"/>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MzM2ZlMjI0NDUyOTE5YjlhMDVjZTBmOTg1MzA2MWIifQ=="/>
  </w:docVars>
  <w:rsids>
    <w:rsidRoot w:val="00172A27"/>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A1DAD"/>
    <w:rsid w:val="001C0962"/>
    <w:rsid w:val="001D7531"/>
    <w:rsid w:val="001E737D"/>
    <w:rsid w:val="001F0592"/>
    <w:rsid w:val="001F7506"/>
    <w:rsid w:val="002006CD"/>
    <w:rsid w:val="00202B36"/>
    <w:rsid w:val="00204B7A"/>
    <w:rsid w:val="00204CDE"/>
    <w:rsid w:val="00206907"/>
    <w:rsid w:val="0021101A"/>
    <w:rsid w:val="00212B4A"/>
    <w:rsid w:val="00220536"/>
    <w:rsid w:val="00235629"/>
    <w:rsid w:val="00260C38"/>
    <w:rsid w:val="002616C0"/>
    <w:rsid w:val="00265372"/>
    <w:rsid w:val="002662AA"/>
    <w:rsid w:val="00280496"/>
    <w:rsid w:val="00294DC9"/>
    <w:rsid w:val="00295495"/>
    <w:rsid w:val="002A31DE"/>
    <w:rsid w:val="002B2613"/>
    <w:rsid w:val="002C5004"/>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25C50"/>
    <w:rsid w:val="0043177C"/>
    <w:rsid w:val="00434489"/>
    <w:rsid w:val="00437085"/>
    <w:rsid w:val="00443880"/>
    <w:rsid w:val="004464F4"/>
    <w:rsid w:val="0046049C"/>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533CF"/>
    <w:rsid w:val="005664BB"/>
    <w:rsid w:val="00566FFA"/>
    <w:rsid w:val="0057481D"/>
    <w:rsid w:val="0058486E"/>
    <w:rsid w:val="00585B33"/>
    <w:rsid w:val="0059014D"/>
    <w:rsid w:val="005B5C64"/>
    <w:rsid w:val="005B6E8A"/>
    <w:rsid w:val="005C5337"/>
    <w:rsid w:val="005C6BD0"/>
    <w:rsid w:val="005D1C8B"/>
    <w:rsid w:val="005D468D"/>
    <w:rsid w:val="005D5CED"/>
    <w:rsid w:val="005F10BC"/>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55FC5"/>
    <w:rsid w:val="0066343B"/>
    <w:rsid w:val="00664777"/>
    <w:rsid w:val="006748A4"/>
    <w:rsid w:val="00681A31"/>
    <w:rsid w:val="00683E73"/>
    <w:rsid w:val="006A3141"/>
    <w:rsid w:val="006A5E34"/>
    <w:rsid w:val="006B2422"/>
    <w:rsid w:val="006B2B9A"/>
    <w:rsid w:val="006C1937"/>
    <w:rsid w:val="006F020C"/>
    <w:rsid w:val="0071021A"/>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10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C7FD8"/>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1E6F"/>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E70628"/>
    <w:rsid w:val="03DC2831"/>
    <w:rsid w:val="06421FAC"/>
    <w:rsid w:val="069B379D"/>
    <w:rsid w:val="072442A6"/>
    <w:rsid w:val="07923E43"/>
    <w:rsid w:val="081B5E94"/>
    <w:rsid w:val="0A2032A3"/>
    <w:rsid w:val="0A736680"/>
    <w:rsid w:val="0B8A37D8"/>
    <w:rsid w:val="0B8B70A4"/>
    <w:rsid w:val="0C914370"/>
    <w:rsid w:val="0F5FFB2F"/>
    <w:rsid w:val="0FFFCF60"/>
    <w:rsid w:val="10C055FF"/>
    <w:rsid w:val="116B6626"/>
    <w:rsid w:val="118107EC"/>
    <w:rsid w:val="11DD6519"/>
    <w:rsid w:val="12C37DFA"/>
    <w:rsid w:val="133E5272"/>
    <w:rsid w:val="1370025A"/>
    <w:rsid w:val="137323AF"/>
    <w:rsid w:val="13AC3688"/>
    <w:rsid w:val="155B1EFB"/>
    <w:rsid w:val="16BA4105"/>
    <w:rsid w:val="16BB723D"/>
    <w:rsid w:val="18015F3F"/>
    <w:rsid w:val="18131D1F"/>
    <w:rsid w:val="19CC4414"/>
    <w:rsid w:val="19ED659F"/>
    <w:rsid w:val="1AB71087"/>
    <w:rsid w:val="1BE50E0E"/>
    <w:rsid w:val="1BE8440E"/>
    <w:rsid w:val="1C06121B"/>
    <w:rsid w:val="1C7B0912"/>
    <w:rsid w:val="1D155CEE"/>
    <w:rsid w:val="1EAE305F"/>
    <w:rsid w:val="1EDE5F32"/>
    <w:rsid w:val="1F6A799F"/>
    <w:rsid w:val="1FBA174B"/>
    <w:rsid w:val="1FDBBF84"/>
    <w:rsid w:val="20316621"/>
    <w:rsid w:val="20F57F95"/>
    <w:rsid w:val="215D170A"/>
    <w:rsid w:val="226F33EA"/>
    <w:rsid w:val="2276785A"/>
    <w:rsid w:val="240371BF"/>
    <w:rsid w:val="255253D9"/>
    <w:rsid w:val="256E287F"/>
    <w:rsid w:val="25711CC6"/>
    <w:rsid w:val="25C741E6"/>
    <w:rsid w:val="276F80C0"/>
    <w:rsid w:val="27842671"/>
    <w:rsid w:val="291D13C5"/>
    <w:rsid w:val="29FD04D3"/>
    <w:rsid w:val="2A552F76"/>
    <w:rsid w:val="2A6F709B"/>
    <w:rsid w:val="2ABE7A3E"/>
    <w:rsid w:val="2AFF09B6"/>
    <w:rsid w:val="2B7B6DE1"/>
    <w:rsid w:val="2BC177B3"/>
    <w:rsid w:val="2C0269F8"/>
    <w:rsid w:val="2CA234A8"/>
    <w:rsid w:val="2D2E7DF5"/>
    <w:rsid w:val="2EFA178C"/>
    <w:rsid w:val="2EFDF86C"/>
    <w:rsid w:val="2F9D17E1"/>
    <w:rsid w:val="30446FEB"/>
    <w:rsid w:val="30B46D73"/>
    <w:rsid w:val="319F7F4E"/>
    <w:rsid w:val="320355CD"/>
    <w:rsid w:val="324776B5"/>
    <w:rsid w:val="341113B0"/>
    <w:rsid w:val="34360730"/>
    <w:rsid w:val="356A28F1"/>
    <w:rsid w:val="357C035A"/>
    <w:rsid w:val="3633112E"/>
    <w:rsid w:val="365A0A03"/>
    <w:rsid w:val="368E000D"/>
    <w:rsid w:val="37B207B5"/>
    <w:rsid w:val="383D272C"/>
    <w:rsid w:val="39AE70AB"/>
    <w:rsid w:val="3A4DCE41"/>
    <w:rsid w:val="3A987A36"/>
    <w:rsid w:val="3B665CF8"/>
    <w:rsid w:val="3B8006AD"/>
    <w:rsid w:val="3BCB56FA"/>
    <w:rsid w:val="3C0C0783"/>
    <w:rsid w:val="3D5440BC"/>
    <w:rsid w:val="3D9A4029"/>
    <w:rsid w:val="3E9B3D11"/>
    <w:rsid w:val="3EE7C2F4"/>
    <w:rsid w:val="3F371B56"/>
    <w:rsid w:val="3F792ED8"/>
    <w:rsid w:val="3F9F3A96"/>
    <w:rsid w:val="3FECA4B2"/>
    <w:rsid w:val="3FF58C48"/>
    <w:rsid w:val="40D23C76"/>
    <w:rsid w:val="42FF6694"/>
    <w:rsid w:val="433F1693"/>
    <w:rsid w:val="43C14C38"/>
    <w:rsid w:val="44E76F80"/>
    <w:rsid w:val="46990B4F"/>
    <w:rsid w:val="47CC76A8"/>
    <w:rsid w:val="484526F3"/>
    <w:rsid w:val="48BF60AB"/>
    <w:rsid w:val="49196649"/>
    <w:rsid w:val="493C27E9"/>
    <w:rsid w:val="496F39ED"/>
    <w:rsid w:val="49FF41D3"/>
    <w:rsid w:val="4B435412"/>
    <w:rsid w:val="4B5D5CE9"/>
    <w:rsid w:val="4BE068DB"/>
    <w:rsid w:val="4BF6002B"/>
    <w:rsid w:val="4BFFC6BE"/>
    <w:rsid w:val="4D1F409E"/>
    <w:rsid w:val="4D6150D8"/>
    <w:rsid w:val="4EA875E2"/>
    <w:rsid w:val="4ECE2238"/>
    <w:rsid w:val="51DB4B86"/>
    <w:rsid w:val="51F64DB0"/>
    <w:rsid w:val="52D54F6D"/>
    <w:rsid w:val="531033DA"/>
    <w:rsid w:val="53826005"/>
    <w:rsid w:val="539555AB"/>
    <w:rsid w:val="543218B1"/>
    <w:rsid w:val="55333C3E"/>
    <w:rsid w:val="560B3374"/>
    <w:rsid w:val="57D4431F"/>
    <w:rsid w:val="582E47FF"/>
    <w:rsid w:val="58532552"/>
    <w:rsid w:val="5A2920B3"/>
    <w:rsid w:val="5AED7BD2"/>
    <w:rsid w:val="5B765E19"/>
    <w:rsid w:val="5DEF11E6"/>
    <w:rsid w:val="5DF67DE9"/>
    <w:rsid w:val="5F67802D"/>
    <w:rsid w:val="5F7DC4F2"/>
    <w:rsid w:val="5FAE77F1"/>
    <w:rsid w:val="5FB36814"/>
    <w:rsid w:val="5FBB8E56"/>
    <w:rsid w:val="5FFB5535"/>
    <w:rsid w:val="60A3188B"/>
    <w:rsid w:val="61F06660"/>
    <w:rsid w:val="64CA39A1"/>
    <w:rsid w:val="65E240AB"/>
    <w:rsid w:val="67976CEB"/>
    <w:rsid w:val="69630ADE"/>
    <w:rsid w:val="69BD5F13"/>
    <w:rsid w:val="69FB0B4B"/>
    <w:rsid w:val="6A676238"/>
    <w:rsid w:val="6BFFE1FB"/>
    <w:rsid w:val="6C264CF2"/>
    <w:rsid w:val="6C4A05C8"/>
    <w:rsid w:val="6CFB3ADF"/>
    <w:rsid w:val="6D3B1A89"/>
    <w:rsid w:val="6DB7D8A3"/>
    <w:rsid w:val="6E010A7F"/>
    <w:rsid w:val="6EC78701"/>
    <w:rsid w:val="6ECA0A99"/>
    <w:rsid w:val="6F7A5481"/>
    <w:rsid w:val="6FFE07A9"/>
    <w:rsid w:val="70A707DE"/>
    <w:rsid w:val="71BF4EC2"/>
    <w:rsid w:val="72734D90"/>
    <w:rsid w:val="731E7055"/>
    <w:rsid w:val="73770529"/>
    <w:rsid w:val="73D1034F"/>
    <w:rsid w:val="73E75B71"/>
    <w:rsid w:val="7412278C"/>
    <w:rsid w:val="7542526C"/>
    <w:rsid w:val="75DDCDA9"/>
    <w:rsid w:val="75FF44B1"/>
    <w:rsid w:val="762E59FA"/>
    <w:rsid w:val="77670518"/>
    <w:rsid w:val="777FA627"/>
    <w:rsid w:val="77DF1B5F"/>
    <w:rsid w:val="77EF2D9D"/>
    <w:rsid w:val="79E7B28D"/>
    <w:rsid w:val="7A3769AB"/>
    <w:rsid w:val="7ACFF0C2"/>
    <w:rsid w:val="7AFB9108"/>
    <w:rsid w:val="7BD5340C"/>
    <w:rsid w:val="7BFB19D2"/>
    <w:rsid w:val="7BFD1750"/>
    <w:rsid w:val="7BFDAA1B"/>
    <w:rsid w:val="7CDF9A82"/>
    <w:rsid w:val="7CFFA1BD"/>
    <w:rsid w:val="7D2E3F7A"/>
    <w:rsid w:val="7D610DA8"/>
    <w:rsid w:val="7D7A0CAD"/>
    <w:rsid w:val="7DA76DA2"/>
    <w:rsid w:val="7DED9490"/>
    <w:rsid w:val="7DFF4872"/>
    <w:rsid w:val="7E7487E6"/>
    <w:rsid w:val="7E7C2A54"/>
    <w:rsid w:val="7EEEFD72"/>
    <w:rsid w:val="7EF04537"/>
    <w:rsid w:val="7F1D517C"/>
    <w:rsid w:val="7F5DA057"/>
    <w:rsid w:val="7F6C2237"/>
    <w:rsid w:val="7F7F319B"/>
    <w:rsid w:val="7F9F20EE"/>
    <w:rsid w:val="7FBBE890"/>
    <w:rsid w:val="7FBC2ABD"/>
    <w:rsid w:val="7FBF5D48"/>
    <w:rsid w:val="7FCCFC01"/>
    <w:rsid w:val="7FDD1748"/>
    <w:rsid w:val="7FE769C6"/>
    <w:rsid w:val="7FFD083E"/>
    <w:rsid w:val="7FFE1BAD"/>
    <w:rsid w:val="7FFF9372"/>
    <w:rsid w:val="84BF1F3B"/>
    <w:rsid w:val="8F55B106"/>
    <w:rsid w:val="95DF317D"/>
    <w:rsid w:val="97E77C70"/>
    <w:rsid w:val="9E3A10E2"/>
    <w:rsid w:val="9FB91FBD"/>
    <w:rsid w:val="9FD54998"/>
    <w:rsid w:val="A671883B"/>
    <w:rsid w:val="A7EFD17F"/>
    <w:rsid w:val="A7FFE43F"/>
    <w:rsid w:val="BDFEA317"/>
    <w:rsid w:val="CD9BBABB"/>
    <w:rsid w:val="CF99F292"/>
    <w:rsid w:val="D5DA60B3"/>
    <w:rsid w:val="D7C6F579"/>
    <w:rsid w:val="D8FECA92"/>
    <w:rsid w:val="DAFFBE66"/>
    <w:rsid w:val="DD2C0BFE"/>
    <w:rsid w:val="DE3F332B"/>
    <w:rsid w:val="DE6F4A3D"/>
    <w:rsid w:val="DF69F8B0"/>
    <w:rsid w:val="DFC71555"/>
    <w:rsid w:val="DFFC559C"/>
    <w:rsid w:val="DFFEDFAE"/>
    <w:rsid w:val="DFFFB5EB"/>
    <w:rsid w:val="E4B33E57"/>
    <w:rsid w:val="E5BF946A"/>
    <w:rsid w:val="EB39BD45"/>
    <w:rsid w:val="EBCF1FC2"/>
    <w:rsid w:val="EBD18F66"/>
    <w:rsid w:val="ED17392C"/>
    <w:rsid w:val="ED9FFD9A"/>
    <w:rsid w:val="EDB7968B"/>
    <w:rsid w:val="EEF73F60"/>
    <w:rsid w:val="EFED9E42"/>
    <w:rsid w:val="EFFFB194"/>
    <w:rsid w:val="F2E1F9D4"/>
    <w:rsid w:val="F5FF7449"/>
    <w:rsid w:val="F7880819"/>
    <w:rsid w:val="F7AF180D"/>
    <w:rsid w:val="F7BDBFA7"/>
    <w:rsid w:val="F7FAD68F"/>
    <w:rsid w:val="F7FB14CF"/>
    <w:rsid w:val="FB3FC69C"/>
    <w:rsid w:val="FBDFF225"/>
    <w:rsid w:val="FBF7AB63"/>
    <w:rsid w:val="FC2F3373"/>
    <w:rsid w:val="FCF51535"/>
    <w:rsid w:val="FD77F6B8"/>
    <w:rsid w:val="FDD69328"/>
    <w:rsid w:val="FDDFEC0E"/>
    <w:rsid w:val="FDE58BDD"/>
    <w:rsid w:val="FDEC7001"/>
    <w:rsid w:val="FEDFE87F"/>
    <w:rsid w:val="FEF1D25B"/>
    <w:rsid w:val="FF3EF90F"/>
    <w:rsid w:val="FFAF6081"/>
    <w:rsid w:val="FFECCD8C"/>
    <w:rsid w:val="FFED60BD"/>
    <w:rsid w:val="FFEE08F0"/>
    <w:rsid w:val="FFEE7F9F"/>
    <w:rsid w:val="FFFF319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qFormat="1" w:unhideWhenUsed="0" w:uiPriority="0" w:semiHidden="0"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0" w:semiHidden="0"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link w:val="34"/>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5"/>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8"/>
    <w:unhideWhenUsed/>
    <w:qFormat/>
    <w:uiPriority w:val="9"/>
    <w:pPr>
      <w:keepNext/>
      <w:keepLines/>
      <w:spacing w:before="260" w:after="260" w:line="416" w:lineRule="auto"/>
      <w:outlineLvl w:val="2"/>
    </w:pPr>
    <w:rPr>
      <w:b/>
      <w:bCs/>
      <w:sz w:val="32"/>
      <w:szCs w:val="32"/>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5">
    <w:name w:val="Normal Indent"/>
    <w:basedOn w:val="1"/>
    <w:next w:val="1"/>
    <w:qFormat/>
    <w:uiPriority w:val="99"/>
    <w:pPr>
      <w:spacing w:line="560" w:lineRule="exact"/>
    </w:pPr>
    <w:rPr>
      <w:rFonts w:ascii="Calibri" w:hAnsi="Calibri" w:eastAsia="宋体"/>
      <w:kern w:val="0"/>
      <w:sz w:val="21"/>
      <w:szCs w:val="21"/>
    </w:rPr>
  </w:style>
  <w:style w:type="paragraph" w:styleId="6">
    <w:name w:val="Salutation"/>
    <w:basedOn w:val="1"/>
    <w:next w:val="1"/>
    <w:qFormat/>
    <w:uiPriority w:val="0"/>
    <w:rPr>
      <w:rFonts w:ascii="Calibri" w:hAnsi="Calibri" w:eastAsia="宋体" w:cs="Times New Roman"/>
      <w:szCs w:val="24"/>
    </w:rPr>
  </w:style>
  <w:style w:type="paragraph" w:styleId="7">
    <w:name w:val="Body Text"/>
    <w:basedOn w:val="1"/>
    <w:link w:val="31"/>
    <w:qFormat/>
    <w:uiPriority w:val="99"/>
    <w:pPr>
      <w:spacing w:beforeLines="30"/>
    </w:pPr>
    <w:rPr>
      <w:rFonts w:ascii="方正仿宋_GB2312" w:eastAsia="方正仿宋_GB2312"/>
      <w:kern w:val="0"/>
      <w:sz w:val="30"/>
    </w:rPr>
  </w:style>
  <w:style w:type="paragraph" w:styleId="8">
    <w:name w:val="Body Text Indent"/>
    <w:basedOn w:val="1"/>
    <w:qFormat/>
    <w:uiPriority w:val="0"/>
    <w:pPr>
      <w:spacing w:after="120"/>
      <w:ind w:left="200" w:leftChars="200"/>
    </w:pPr>
    <w:rPr>
      <w:rFonts w:ascii="方正仿宋_GB2312"/>
      <w:szCs w:val="32"/>
    </w:rPr>
  </w:style>
  <w:style w:type="paragraph" w:styleId="9">
    <w:name w:val="toc 3"/>
    <w:basedOn w:val="1"/>
    <w:next w:val="1"/>
    <w:unhideWhenUsed/>
    <w:qFormat/>
    <w:uiPriority w:val="39"/>
    <w:pPr>
      <w:tabs>
        <w:tab w:val="right" w:leader="dot" w:pos="8296"/>
      </w:tabs>
      <w:ind w:left="840" w:leftChars="400"/>
    </w:pPr>
  </w:style>
  <w:style w:type="paragraph" w:styleId="10">
    <w:name w:val="Plain Text"/>
    <w:basedOn w:val="1"/>
    <w:next w:val="11"/>
    <w:qFormat/>
    <w:uiPriority w:val="0"/>
    <w:rPr>
      <w:rFonts w:ascii="宋体" w:eastAsia="宋体" w:cs="Courier New"/>
      <w:szCs w:val="21"/>
    </w:rPr>
  </w:style>
  <w:style w:type="paragraph" w:styleId="11">
    <w:name w:val="Normal (Web)"/>
    <w:basedOn w:val="1"/>
    <w:next w:val="7"/>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rPr>
  </w:style>
  <w:style w:type="paragraph" w:styleId="12">
    <w:name w:val="Balloon Text"/>
    <w:basedOn w:val="1"/>
    <w:link w:val="37"/>
    <w:semiHidden/>
    <w:unhideWhenUsed/>
    <w:qFormat/>
    <w:uiPriority w:val="99"/>
    <w:rPr>
      <w:sz w:val="18"/>
      <w:szCs w:val="18"/>
    </w:rPr>
  </w:style>
  <w:style w:type="paragraph" w:styleId="13">
    <w:name w:val="footer"/>
    <w:basedOn w:val="1"/>
    <w:link w:val="29"/>
    <w:qFormat/>
    <w:uiPriority w:val="99"/>
    <w:pPr>
      <w:tabs>
        <w:tab w:val="center" w:pos="4153"/>
        <w:tab w:val="right" w:pos="8306"/>
      </w:tabs>
      <w:snapToGrid w:val="0"/>
      <w:jc w:val="left"/>
    </w:pPr>
    <w:rPr>
      <w:rFonts w:ascii="Calibri" w:hAnsi="Calibri"/>
      <w:kern w:val="0"/>
      <w:sz w:val="18"/>
      <w:szCs w:val="18"/>
    </w:rPr>
  </w:style>
  <w:style w:type="paragraph" w:styleId="14">
    <w:name w:val="header"/>
    <w:basedOn w:val="1"/>
    <w:link w:val="27"/>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5">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6">
    <w:name w:val="footnote text"/>
    <w:basedOn w:val="1"/>
    <w:next w:val="17"/>
    <w:semiHidden/>
    <w:qFormat/>
    <w:uiPriority w:val="0"/>
    <w:pPr>
      <w:snapToGrid w:val="0"/>
      <w:jc w:val="left"/>
    </w:pPr>
    <w:rPr>
      <w:sz w:val="18"/>
      <w:szCs w:val="18"/>
    </w:rPr>
  </w:style>
  <w:style w:type="paragraph" w:styleId="17">
    <w:name w:val="Body Text First Indent 2"/>
    <w:basedOn w:val="8"/>
    <w:unhideWhenUsed/>
    <w:qFormat/>
    <w:uiPriority w:val="99"/>
    <w:pPr>
      <w:ind w:firstLine="420" w:firstLineChars="200"/>
    </w:pPr>
  </w:style>
  <w:style w:type="paragraph" w:styleId="18">
    <w:name w:val="index 7"/>
    <w:basedOn w:val="1"/>
    <w:next w:val="1"/>
    <w:qFormat/>
    <w:uiPriority w:val="0"/>
    <w:pPr>
      <w:ind w:left="2520"/>
    </w:pPr>
    <w:rPr>
      <w:color w:val="FF0000"/>
    </w:rPr>
  </w:style>
  <w:style w:type="paragraph" w:styleId="19">
    <w:name w:val="toc 2"/>
    <w:basedOn w:val="1"/>
    <w:next w:val="1"/>
    <w:unhideWhenUsed/>
    <w:qFormat/>
    <w:uiPriority w:val="39"/>
    <w:pPr>
      <w:tabs>
        <w:tab w:val="right" w:leader="dot" w:pos="8296"/>
      </w:tabs>
      <w:ind w:left="420" w:leftChars="200"/>
    </w:pPr>
  </w:style>
  <w:style w:type="table" w:styleId="21">
    <w:name w:val="Table Grid"/>
    <w:basedOn w:val="2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qFormat/>
    <w:uiPriority w:val="99"/>
    <w:rPr>
      <w:b/>
    </w:rPr>
  </w:style>
  <w:style w:type="character" w:styleId="24">
    <w:name w:val="Hyperlink"/>
    <w:basedOn w:val="22"/>
    <w:unhideWhenUsed/>
    <w:qFormat/>
    <w:uiPriority w:val="99"/>
    <w:rPr>
      <w:color w:val="0000FF" w:themeColor="hyperlink"/>
      <w:u w:val="single"/>
      <w14:textFill>
        <w14:solidFill>
          <w14:schemeClr w14:val="hlink"/>
        </w14:solidFill>
      </w14:textFill>
    </w:rPr>
  </w:style>
  <w:style w:type="paragraph" w:customStyle="1" w:styleId="25">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6">
    <w:name w:val="Header Char"/>
    <w:basedOn w:val="22"/>
    <w:semiHidden/>
    <w:qFormat/>
    <w:uiPriority w:val="99"/>
    <w:rPr>
      <w:rFonts w:ascii="Times New Roman" w:hAnsi="Times New Roman"/>
      <w:sz w:val="18"/>
      <w:szCs w:val="18"/>
    </w:rPr>
  </w:style>
  <w:style w:type="character" w:customStyle="1" w:styleId="27">
    <w:name w:val="页眉 字符"/>
    <w:link w:val="14"/>
    <w:semiHidden/>
    <w:qFormat/>
    <w:locked/>
    <w:uiPriority w:val="99"/>
    <w:rPr>
      <w:sz w:val="18"/>
    </w:rPr>
  </w:style>
  <w:style w:type="character" w:customStyle="1" w:styleId="28">
    <w:name w:val="Footer Char"/>
    <w:basedOn w:val="22"/>
    <w:semiHidden/>
    <w:qFormat/>
    <w:uiPriority w:val="99"/>
    <w:rPr>
      <w:rFonts w:ascii="Times New Roman" w:hAnsi="Times New Roman"/>
      <w:sz w:val="18"/>
      <w:szCs w:val="18"/>
    </w:rPr>
  </w:style>
  <w:style w:type="character" w:customStyle="1" w:styleId="29">
    <w:name w:val="页脚 字符"/>
    <w:link w:val="13"/>
    <w:qFormat/>
    <w:locked/>
    <w:uiPriority w:val="99"/>
    <w:rPr>
      <w:sz w:val="18"/>
    </w:rPr>
  </w:style>
  <w:style w:type="character" w:customStyle="1" w:styleId="30">
    <w:name w:val="Body Text Char"/>
    <w:basedOn w:val="22"/>
    <w:semiHidden/>
    <w:qFormat/>
    <w:uiPriority w:val="99"/>
    <w:rPr>
      <w:rFonts w:ascii="Times New Roman" w:hAnsi="Times New Roman"/>
      <w:szCs w:val="24"/>
    </w:rPr>
  </w:style>
  <w:style w:type="character" w:customStyle="1" w:styleId="31">
    <w:name w:val="正文文本 字符"/>
    <w:link w:val="7"/>
    <w:qFormat/>
    <w:locked/>
    <w:uiPriority w:val="99"/>
    <w:rPr>
      <w:rFonts w:ascii="方正仿宋_GB2312" w:hAnsi="Times New Roman" w:eastAsia="方正仿宋_GB2312"/>
      <w:sz w:val="24"/>
    </w:rPr>
  </w:style>
  <w:style w:type="paragraph" w:customStyle="1" w:styleId="32">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33">
    <w:name w:val="List Paragraph"/>
    <w:basedOn w:val="1"/>
    <w:qFormat/>
    <w:uiPriority w:val="34"/>
    <w:pPr>
      <w:ind w:firstLine="420" w:firstLineChars="200"/>
    </w:pPr>
  </w:style>
  <w:style w:type="character" w:customStyle="1" w:styleId="34">
    <w:name w:val="标题 1 字符"/>
    <w:basedOn w:val="22"/>
    <w:link w:val="2"/>
    <w:qFormat/>
    <w:uiPriority w:val="9"/>
    <w:rPr>
      <w:rFonts w:ascii="Times New Roman" w:hAnsi="Times New Roman"/>
      <w:b/>
      <w:bCs/>
      <w:kern w:val="44"/>
      <w:sz w:val="44"/>
      <w:szCs w:val="44"/>
    </w:rPr>
  </w:style>
  <w:style w:type="character" w:customStyle="1" w:styleId="35">
    <w:name w:val="标题 2 字符"/>
    <w:basedOn w:val="22"/>
    <w:link w:val="3"/>
    <w:qFormat/>
    <w:uiPriority w:val="9"/>
    <w:rPr>
      <w:rFonts w:asciiTheme="majorHAnsi" w:hAnsiTheme="majorHAnsi" w:eastAsiaTheme="majorEastAsia" w:cstheme="majorBidi"/>
      <w:b/>
      <w:bCs/>
      <w:kern w:val="2"/>
      <w:sz w:val="32"/>
      <w:szCs w:val="32"/>
    </w:rPr>
  </w:style>
  <w:style w:type="paragraph" w:customStyle="1" w:styleId="36">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7">
    <w:name w:val="批注框文本 字符"/>
    <w:basedOn w:val="22"/>
    <w:link w:val="12"/>
    <w:semiHidden/>
    <w:qFormat/>
    <w:uiPriority w:val="99"/>
    <w:rPr>
      <w:rFonts w:ascii="Times New Roman" w:hAnsi="Times New Roman"/>
      <w:kern w:val="2"/>
      <w:sz w:val="18"/>
      <w:szCs w:val="18"/>
    </w:rPr>
  </w:style>
  <w:style w:type="character" w:customStyle="1" w:styleId="38">
    <w:name w:val="标题 3 字符"/>
    <w:basedOn w:val="22"/>
    <w:link w:val="4"/>
    <w:qFormat/>
    <w:uiPriority w:val="9"/>
    <w:rPr>
      <w:rFonts w:ascii="Times New Roman" w:hAnsi="Times New Roman"/>
      <w:b/>
      <w:bCs/>
      <w:kern w:val="2"/>
      <w:sz w:val="32"/>
      <w:szCs w:val="32"/>
    </w:rPr>
  </w:style>
  <w:style w:type="paragraph" w:customStyle="1" w:styleId="39">
    <w:name w:val="TOC 标题2"/>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40">
    <w:name w:val="NormalCharacter"/>
    <w:link w:val="41"/>
    <w:qFormat/>
    <w:uiPriority w:val="0"/>
    <w:rPr>
      <w:b/>
      <w:sz w:val="36"/>
      <w:szCs w:val="20"/>
    </w:rPr>
  </w:style>
  <w:style w:type="paragraph" w:customStyle="1" w:styleId="41">
    <w:name w:val="UserStyle_0"/>
    <w:basedOn w:val="1"/>
    <w:link w:val="40"/>
    <w:qFormat/>
    <w:uiPriority w:val="0"/>
    <w:pPr>
      <w:widowControl/>
      <w:spacing w:after="160" w:line="240" w:lineRule="exact"/>
      <w:jc w:val="left"/>
    </w:pPr>
    <w:rPr>
      <w:b/>
      <w:sz w:val="36"/>
      <w:szCs w:val="20"/>
    </w:rPr>
  </w:style>
  <w:style w:type="paragraph" w:customStyle="1" w:styleId="42">
    <w:name w:val="WPSOffice手动目录 1"/>
    <w:qFormat/>
    <w:uiPriority w:val="0"/>
    <w:pPr>
      <w:ind w:leftChars="0"/>
    </w:pPr>
    <w:rPr>
      <w:rFonts w:asciiTheme="minorHAnsi" w:hAnsiTheme="minorHAnsi" w:eastAsiaTheme="minorEastAsia" w:cstheme="minorBidi"/>
      <w:sz w:val="20"/>
      <w:szCs w:val="20"/>
    </w:rPr>
  </w:style>
  <w:style w:type="paragraph" w:customStyle="1" w:styleId="43">
    <w:name w:val="WPSOffice手动目录 2"/>
    <w:qFormat/>
    <w:uiPriority w:val="0"/>
    <w:pPr>
      <w:ind w:leftChars="200"/>
    </w:pPr>
    <w:rPr>
      <w:rFonts w:asciiTheme="minorHAnsi" w:hAnsiTheme="minorHAnsi" w:eastAsiaTheme="minorEastAsia" w:cstheme="minorBidi"/>
      <w:sz w:val="20"/>
      <w:szCs w:val="20"/>
    </w:rPr>
  </w:style>
  <w:style w:type="paragraph" w:customStyle="1" w:styleId="44">
    <w:name w:val="Table Paragraph"/>
    <w:basedOn w:val="1"/>
    <w:qFormat/>
    <w:uiPriority w:val="1"/>
    <w:pPr>
      <w:jc w:val="center"/>
    </w:pPr>
    <w:rPr>
      <w:rFonts w:ascii="宋体" w:hAnsi="宋体" w:eastAsia="宋体" w:cs="宋体"/>
    </w:rPr>
  </w:style>
  <w:style w:type="paragraph" w:customStyle="1" w:styleId="45">
    <w:name w:val="BodyText1I2"/>
    <w:basedOn w:val="46"/>
    <w:qFormat/>
    <w:uiPriority w:val="0"/>
    <w:pPr>
      <w:spacing w:after="120" w:line="240" w:lineRule="auto"/>
      <w:ind w:left="420" w:leftChars="200" w:firstLine="420" w:firstLineChars="200"/>
      <w:textAlignment w:val="baseline"/>
    </w:pPr>
    <w:rPr>
      <w:rFonts w:hAnsi="Calibri" w:eastAsia="宋体"/>
      <w:sz w:val="21"/>
      <w:szCs w:val="24"/>
    </w:rPr>
  </w:style>
  <w:style w:type="paragraph" w:customStyle="1" w:styleId="46">
    <w:name w:val="BodyTextIndent"/>
    <w:basedOn w:val="1"/>
    <w:qFormat/>
    <w:uiPriority w:val="0"/>
    <w:pPr>
      <w:spacing w:after="120"/>
      <w:ind w:left="200" w:leftChars="200"/>
      <w:jc w:val="both"/>
      <w:textAlignment w:val="baseline"/>
    </w:pPr>
  </w:style>
  <w:style w:type="paragraph" w:customStyle="1" w:styleId="47">
    <w:name w:val="普通(网站) Char"/>
    <w:basedOn w:val="1"/>
    <w:qFormat/>
    <w:uiPriority w:val="0"/>
    <w:pPr>
      <w:spacing w:before="100" w:beforeAutospacing="1" w:after="100" w:afterAutospacing="1"/>
      <w:ind w:left="0" w:right="0"/>
      <w:jc w:val="left"/>
    </w:pPr>
    <w:rPr>
      <w:rFonts w:hint="eastAsia" w:ascii="宋体" w:hAnsi="宋体" w:eastAsia="宋体" w:cs="宋体"/>
      <w:kern w:val="0"/>
      <w:sz w:val="24"/>
      <w:szCs w:val="24"/>
      <w:lang w:val="en-US" w:eastAsia="zh-CN" w:bidi="ar"/>
    </w:rPr>
  </w:style>
  <w:style w:type="paragraph" w:customStyle="1" w:styleId="48">
    <w:name w:val="正文-公1"/>
    <w:basedOn w:val="49"/>
    <w:next w:val="1"/>
    <w:qFormat/>
    <w:uiPriority w:val="0"/>
    <w:pPr>
      <w:ind w:firstLine="200" w:firstLineChars="200"/>
    </w:pPr>
  </w:style>
  <w:style w:type="paragraph" w:customStyle="1" w:styleId="49">
    <w:name w:val="正文 New New New New New New New New New New New New New New New New New New New New New New New New New New New New New New New New New New New New New New New New New New New New New New New New New New New New New New New New New New New New New New Ne"/>
    <w:next w:val="48"/>
    <w:qFormat/>
    <w:uiPriority w:val="0"/>
    <w:pPr>
      <w:widowControl w:val="0"/>
      <w:jc w:val="both"/>
    </w:pPr>
    <w:rPr>
      <w:rFonts w:ascii="Times New Roman" w:hAnsi="Times New Roman" w:eastAsia="宋体" w:cs="Times New Roman"/>
      <w:kern w:val="2"/>
      <w:sz w:val="21"/>
      <w:lang w:val="en-US" w:eastAsia="zh-CN"/>
    </w:rPr>
  </w:style>
  <w:style w:type="paragraph" w:customStyle="1" w:styleId="50">
    <w:name w:val="四号正文"/>
    <w:basedOn w:val="1"/>
    <w:qFormat/>
    <w:uiPriority w:val="0"/>
    <w:pPr>
      <w:spacing w:line="360" w:lineRule="auto"/>
    </w:pPr>
    <w:rPr>
      <w:rFonts w:ascii="??" w:hAnsi="??"/>
      <w:color w:val="000000"/>
      <w:kern w:val="0"/>
      <w:sz w:val="28"/>
      <w:szCs w:val="21"/>
      <w:lang w:val="zh-CN"/>
    </w:rPr>
  </w:style>
  <w:style w:type="table" w:customStyle="1" w:styleId="51">
    <w:name w:val="Table Normal"/>
    <w:semiHidden/>
    <w:unhideWhenUsed/>
    <w:qFormat/>
    <w:uiPriority w:val="0"/>
    <w:tblPr>
      <w:tblCellMar>
        <w:top w:w="0" w:type="dxa"/>
        <w:left w:w="0" w:type="dxa"/>
        <w:bottom w:w="0" w:type="dxa"/>
        <w:right w:w="0" w:type="dxa"/>
      </w:tblCellMar>
    </w:tblPr>
  </w:style>
  <w:style w:type="paragraph" w:customStyle="1" w:styleId="52">
    <w:name w:val="Table Text"/>
    <w:basedOn w:val="1"/>
    <w:semiHidden/>
    <w:qFormat/>
    <w:uiPriority w:val="0"/>
    <w:rPr>
      <w:rFonts w:ascii="Arial" w:hAnsi="Arial" w:eastAsia="Arial" w:cs="Arial"/>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image" Target="media/image2.emf"/><Relationship Id="rId21" Type="http://schemas.openxmlformats.org/officeDocument/2006/relationships/oleObject" Target="embeddings/oleObject2.bin"/><Relationship Id="rId20" Type="http://schemas.openxmlformats.org/officeDocument/2006/relationships/image" Target="media/image1.emf"/><Relationship Id="rId2" Type="http://schemas.openxmlformats.org/officeDocument/2006/relationships/settings" Target="settings.xml"/><Relationship Id="rId19" Type="http://schemas.openxmlformats.org/officeDocument/2006/relationships/oleObject" Target="embeddings/oleObject1.bin"/><Relationship Id="rId18" Type="http://schemas.openxmlformats.org/officeDocument/2006/relationships/chart" Target="charts/chart7.xml"/><Relationship Id="rId17" Type="http://schemas.openxmlformats.org/officeDocument/2006/relationships/chart" Target="charts/chart6.xml"/><Relationship Id="rId16" Type="http://schemas.openxmlformats.org/officeDocument/2006/relationships/chart" Target="charts/chart5.xml"/><Relationship Id="rId15" Type="http://schemas.openxmlformats.org/officeDocument/2006/relationships/chart" Target="charts/chart4.xml"/><Relationship Id="rId14" Type="http://schemas.openxmlformats.org/officeDocument/2006/relationships/chart" Target="charts/chart3.xml"/><Relationship Id="rId13" Type="http://schemas.openxmlformats.org/officeDocument/2006/relationships/chart" Target="charts/chart2.xml"/><Relationship Id="rId12" Type="http://schemas.openxmlformats.org/officeDocument/2006/relationships/chart" Target="charts/chart1.xml"/><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4.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5.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_rels/chart6.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7.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765577856486947"/>
          <c:y val="0.0957311469686703"/>
          <c:w val="0.886265060240964"/>
          <c:h val="0.76121187139324"/>
        </c:manualLayout>
      </c:layout>
      <c:barChart>
        <c:barDir val="col"/>
        <c:grouping val="clustered"/>
        <c:varyColors val="0"/>
        <c:ser>
          <c:idx val="0"/>
          <c:order val="0"/>
          <c:tx>
            <c:strRef>
              <c:f>Sheet1!$B$1</c:f>
              <c:strCache>
                <c:ptCount val="1"/>
                <c:pt idx="0">
                  <c:v>收入</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1"/>
                </a:solidFill>
                <a:prstDash val="sysDot"/>
              </a:ln>
              <a:effectLst/>
            </c:spPr>
            <c:trendlineType val="linear"/>
            <c:dispRSqr val="0"/>
            <c:dispEq val="0"/>
          </c:trendline>
          <c:cat>
            <c:strRef>
              <c:f>Sheet1!$A$2:$A$3</c:f>
              <c:strCache>
                <c:ptCount val="2"/>
                <c:pt idx="0">
                  <c:v>2024年</c:v>
                </c:pt>
                <c:pt idx="1">
                  <c:v>2025年</c:v>
                </c:pt>
              </c:strCache>
            </c:strRef>
          </c:cat>
          <c:val>
            <c:numRef>
              <c:f>Sheet1!$B$2:$B$3</c:f>
              <c:numCache>
                <c:formatCode>General</c:formatCode>
                <c:ptCount val="2"/>
                <c:pt idx="0">
                  <c:v>30025.24</c:v>
                </c:pt>
                <c:pt idx="1" c:formatCode="#,##0.00">
                  <c:v>22766.82</c:v>
                </c:pt>
              </c:numCache>
            </c:numRef>
          </c:val>
        </c:ser>
        <c:ser>
          <c:idx val="1"/>
          <c:order val="1"/>
          <c:tx>
            <c:strRef>
              <c:f>Sheet1!$C$1</c:f>
              <c:strCache>
                <c:ptCount val="1"/>
                <c:pt idx="0">
                  <c:v>支出</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2"/>
                </a:solidFill>
                <a:prstDash val="sysDot"/>
              </a:ln>
              <a:effectLst/>
            </c:spPr>
            <c:trendlineType val="linear"/>
            <c:dispRSqr val="0"/>
            <c:dispEq val="0"/>
          </c:trendline>
          <c:cat>
            <c:strRef>
              <c:f>Sheet1!$A$2:$A$3</c:f>
              <c:strCache>
                <c:ptCount val="2"/>
                <c:pt idx="0">
                  <c:v>2024年</c:v>
                </c:pt>
                <c:pt idx="1">
                  <c:v>2025年</c:v>
                </c:pt>
              </c:strCache>
            </c:strRef>
          </c:cat>
          <c:val>
            <c:numRef>
              <c:f>Sheet1!$C$2:$C$3</c:f>
              <c:numCache>
                <c:formatCode>General</c:formatCode>
                <c:ptCount val="2"/>
                <c:pt idx="0">
                  <c:v>30025.24</c:v>
                </c:pt>
                <c:pt idx="1" c:formatCode="#,##0.00">
                  <c:v>22766.82</c:v>
                </c:pt>
              </c:numCache>
            </c:numRef>
          </c:val>
        </c:ser>
        <c:ser>
          <c:idx val="2"/>
          <c:order val="2"/>
          <c:tx>
            <c:strRef>
              <c:f>Sheet1!#REF!</c:f>
              <c:strCache>
                <c:ptCount val="1"/>
                <c:pt idx="0">
                  <c:v/>
                </c:pt>
              </c:strCache>
            </c:strRef>
          </c:tx>
          <c:spPr>
            <a:solidFill>
              <a:schemeClr val="accent3"/>
            </a:solidFill>
            <a:ln>
              <a:noFill/>
            </a:ln>
            <a:effectLst/>
          </c:spPr>
          <c:invertIfNegative val="0"/>
          <c:dLbls>
            <c:delete val="1"/>
          </c:dLbls>
          <c:cat>
            <c:strRef>
              <c:f>Sheet1!$A$2:$A$3</c:f>
              <c:strCache>
                <c:ptCount val="2"/>
                <c:pt idx="0">
                  <c:v>2024年</c:v>
                </c:pt>
                <c:pt idx="1">
                  <c:v>2025年</c:v>
                </c:pt>
              </c:strCache>
            </c:strRef>
          </c:cat>
          <c:val>
            <c:numRef>
              <c:f>Sheet1!#REF!</c:f>
              <c:numCache>
                <c:formatCode>General</c:formatCode>
                <c:ptCount val="1"/>
                <c:pt idx="0">
                  <c:v>1</c:v>
                </c:pt>
              </c:numCache>
            </c:numRef>
          </c:val>
        </c:ser>
        <c:dLbls>
          <c:showLegendKey val="0"/>
          <c:showVal val="1"/>
          <c:showCatName val="0"/>
          <c:showSerName val="0"/>
          <c:showPercent val="0"/>
          <c:showBubbleSize val="0"/>
        </c:dLbls>
        <c:gapWidth val="75"/>
        <c:overlap val="-25"/>
        <c:axId val="604703181"/>
        <c:axId val="382894902"/>
      </c:barChart>
      <c:catAx>
        <c:axId val="60470318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2894902"/>
        <c:crosses val="autoZero"/>
        <c:auto val="1"/>
        <c:lblAlgn val="ctr"/>
        <c:lblOffset val="100"/>
        <c:noMultiLvlLbl val="0"/>
      </c:catAx>
      <c:valAx>
        <c:axId val="38289490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04703181"/>
        <c:crosses val="autoZero"/>
        <c:crossBetween val="between"/>
      </c:valAx>
      <c:spPr>
        <a:noFill/>
        <a:ln>
          <a:noFill/>
        </a:ln>
        <a:effectLst/>
      </c:spPr>
    </c:plotArea>
    <c:legend>
      <c:legendPos val="b"/>
      <c:legendEntry>
        <c:idx val="2"/>
        <c:delete val="1"/>
      </c:legendEntry>
      <c:layout>
        <c:manualLayout>
          <c:xMode val="edge"/>
          <c:yMode val="edge"/>
          <c:x val="0.150401606425703"/>
          <c:y val="0.927536231884058"/>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240da33-e694-4be0-af58-f0e28cb3c726}"/>
      </c:ext>
    </c:extLst>
  </c:chart>
  <c:spPr>
    <a:solidFill>
      <a:schemeClr val="bg1"/>
    </a:solidFill>
    <a:ln w="9525" cap="flat" cmpd="sng" algn="ctr">
      <a:noFill/>
      <a:round/>
    </a:ln>
    <a:effectLst/>
  </c:spPr>
  <c:txPr>
    <a:bodyPr anchor="ctr" anchorCtr="0"/>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Lbl>
              <c:idx val="0"/>
              <c:layout>
                <c:manualLayout>
                  <c:x val="-0.15645715127374"/>
                  <c:y val="-0.142074188993844"/>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1"/>
              <c:layout>
                <c:manualLayout>
                  <c:x val="0.102092286970915"/>
                  <c:y val="0.100547563065465"/>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一般公共预算财政拨款收入</c:v>
                </c:pt>
                <c:pt idx="1">
                  <c:v>其他收入</c:v>
                </c:pt>
              </c:strCache>
            </c:strRef>
          </c:cat>
          <c:val>
            <c:numRef>
              <c:f>Sheet1!$B$2:$B$3</c:f>
              <c:numCache>
                <c:formatCode>General</c:formatCode>
                <c:ptCount val="2"/>
                <c:pt idx="0">
                  <c:v>15987.03</c:v>
                </c:pt>
                <c:pt idx="1">
                  <c:v>6779.79</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14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14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c765bebc-c71c-4ae8-8996-86fdd358163a}"/>
      </c:ext>
    </c:extLst>
  </c:chart>
  <c:spPr>
    <a:solidFill>
      <a:schemeClr val="bg1"/>
    </a:solidFill>
    <a:ln w="9525" cap="flat" cmpd="sng" algn="ctr">
      <a:noFill/>
      <a:round/>
    </a:ln>
    <a:effectLst/>
  </c:spPr>
  <c:txPr>
    <a:bodyPr/>
    <a:lstStyle/>
    <a:p>
      <a:pPr>
        <a:defRPr lang="zh-CN" sz="1400"/>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支出决算结构图</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Lbl>
              <c:idx val="0"/>
              <c:layout>
                <c:manualLayout>
                  <c:x val="-0.125386889479189"/>
                  <c:y val="0.103554551058147"/>
                </c:manualLayout>
              </c:layout>
              <c:numFmt formatCode="0.0%" sourceLinked="0"/>
              <c:spPr>
                <a:noFill/>
                <a:ln>
                  <a:noFill/>
                </a:ln>
                <a:effectLst/>
              </c:spPr>
              <c:txPr>
                <a:bodyPr rot="0" spcFirstLastPara="0" vertOverflow="ellipsis" vert="horz" wrap="square" lIns="38100" tIns="19050" rIns="38100" bIns="19050" anchor="ctr" anchorCtr="1"/>
                <a:lstStyle/>
                <a:p>
                  <a:pPr>
                    <a:defRPr lang="zh-CN" sz="14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1"/>
              <c:showBubbleSize val="0"/>
              <c:extLst>
                <c:ext xmlns:c15="http://schemas.microsoft.com/office/drawing/2012/chart" uri="{CE6537A1-D6FC-4f65-9D91-7224C49458BB}">
                  <c15:layout/>
                </c:ext>
              </c:extLst>
            </c:dLbl>
            <c:dLbl>
              <c:idx val="1"/>
              <c:layout>
                <c:manualLayout>
                  <c:x val="0.152597597800234"/>
                  <c:y val="-0.137226077761947"/>
                </c:manualLayout>
              </c:layout>
              <c:numFmt formatCode="0.0%" sourceLinked="0"/>
              <c:spPr>
                <a:noFill/>
                <a:ln>
                  <a:noFill/>
                </a:ln>
                <a:effectLst/>
              </c:spPr>
              <c:txPr>
                <a:bodyPr rot="0" spcFirstLastPara="0" vertOverflow="ellipsis" vert="horz" wrap="square" lIns="38100" tIns="19050" rIns="38100" bIns="19050" anchor="ctr" anchorCtr="1"/>
                <a:lstStyle/>
                <a:p>
                  <a:pPr>
                    <a:defRPr lang="zh-CN" sz="14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1"/>
              <c:showBubbleSize val="0"/>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基本支出</c:v>
                </c:pt>
                <c:pt idx="1">
                  <c:v>项目支出</c:v>
                </c:pt>
              </c:strCache>
            </c:strRef>
          </c:cat>
          <c:val>
            <c:numRef>
              <c:f>Sheet1!$B$2:$B$3</c:f>
              <c:numCache>
                <c:formatCode>#,##0.00</c:formatCode>
                <c:ptCount val="2"/>
                <c:pt idx="0">
                  <c:v>7899.72</c:v>
                </c:pt>
                <c:pt idx="1" c:formatCode="General">
                  <c:v>15888.74</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14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14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14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ea2a7ca-f81e-42f4-be33-cabd0943e296}"/>
      </c:ext>
    </c:extLst>
  </c:chart>
  <c:spPr>
    <a:solidFill>
      <a:schemeClr val="bg1"/>
    </a:solidFill>
    <a:ln w="9525" cap="flat" cmpd="sng" algn="ctr">
      <a:noFill/>
      <a:round/>
    </a:ln>
    <a:effectLst/>
  </c:spPr>
  <c:txPr>
    <a:bodyPr/>
    <a:lstStyle/>
    <a:p>
      <a:pPr>
        <a:defRPr lang="zh-CN" sz="14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80768706555813"/>
          <c:y val="0.0643642937126248"/>
          <c:w val="0.888722986247544"/>
          <c:h val="0.750807151536192"/>
        </c:manualLayout>
      </c:layout>
      <c:barChart>
        <c:barDir val="col"/>
        <c:grouping val="clustered"/>
        <c:varyColors val="0"/>
        <c:ser>
          <c:idx val="0"/>
          <c:order val="0"/>
          <c:tx>
            <c:strRef>
              <c:f>Sheet1!$B$1</c:f>
              <c:strCache>
                <c:ptCount val="1"/>
                <c:pt idx="0">
                  <c:v>财政拨款收入</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1"/>
                </a:solidFill>
                <a:prstDash val="sysDot"/>
              </a:ln>
              <a:effectLst/>
            </c:spPr>
            <c:trendlineType val="linear"/>
            <c:dispRSqr val="0"/>
            <c:dispEq val="0"/>
          </c:trendline>
          <c:cat>
            <c:strRef>
              <c:f>Sheet1!$A$2:$A$3</c:f>
              <c:strCache>
                <c:ptCount val="2"/>
                <c:pt idx="0">
                  <c:v>2024年</c:v>
                </c:pt>
                <c:pt idx="1">
                  <c:v>2025年</c:v>
                </c:pt>
              </c:strCache>
            </c:strRef>
          </c:cat>
          <c:val>
            <c:numRef>
              <c:f>Sheet1!$B$2:$B$3</c:f>
              <c:numCache>
                <c:formatCode>General</c:formatCode>
                <c:ptCount val="2"/>
                <c:pt idx="0">
                  <c:v>17236.99</c:v>
                </c:pt>
                <c:pt idx="1">
                  <c:v>15987.03</c:v>
                </c:pt>
              </c:numCache>
            </c:numRef>
          </c:val>
        </c:ser>
        <c:ser>
          <c:idx val="1"/>
          <c:order val="1"/>
          <c:tx>
            <c:strRef>
              <c:f>Sheet1!$C$1</c:f>
              <c:strCache>
                <c:ptCount val="1"/>
                <c:pt idx="0">
                  <c:v>财政拨款支出</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2"/>
                </a:solidFill>
                <a:prstDash val="sysDot"/>
              </a:ln>
              <a:effectLst/>
            </c:spPr>
            <c:trendlineType val="linear"/>
            <c:dispRSqr val="0"/>
            <c:dispEq val="0"/>
          </c:trendline>
          <c:cat>
            <c:strRef>
              <c:f>Sheet1!$A$2:$A$3</c:f>
              <c:strCache>
                <c:ptCount val="2"/>
                <c:pt idx="0">
                  <c:v>2024年</c:v>
                </c:pt>
                <c:pt idx="1">
                  <c:v>2025年</c:v>
                </c:pt>
              </c:strCache>
            </c:strRef>
          </c:cat>
          <c:val>
            <c:numRef>
              <c:f>Sheet1!$C$2:$C$3</c:f>
              <c:numCache>
                <c:formatCode>General</c:formatCode>
                <c:ptCount val="2"/>
                <c:pt idx="0">
                  <c:v>17236.99</c:v>
                </c:pt>
                <c:pt idx="1">
                  <c:v>15987.03</c:v>
                </c:pt>
              </c:numCache>
            </c:numRef>
          </c:val>
        </c:ser>
        <c:dLbls>
          <c:showLegendKey val="0"/>
          <c:showVal val="1"/>
          <c:showCatName val="0"/>
          <c:showSerName val="0"/>
          <c:showPercent val="0"/>
          <c:showBubbleSize val="0"/>
        </c:dLbls>
        <c:gapWidth val="219"/>
        <c:overlap val="-27"/>
        <c:axId val="833733944"/>
        <c:axId val="321584986"/>
        <c:extLst>
          <c:ext xmlns:c15="http://schemas.microsoft.com/office/drawing/2012/chart" uri="{02D57815-91ED-43cb-92C2-25804820EDAC}">
            <c15:filteredBarSeries>
              <c15:ser>
                <c:idx val="2"/>
                <c:order val="2"/>
                <c:tx>
                  <c:strRef>
                    <c:extLst>
                      <c:ext uri="{02D57815-91ED-43cb-92C2-25804820EDAC}">
                        <c15:formulaRef>
                          <c15:sqref>Sheet1!#REF!</c15:sqref>
                        </c15:formulaRef>
                      </c:ext>
                    </c:extLst>
                    <c:strCache>
                      <c:ptCount val="1"/>
                      <c:pt idx="0">
                        <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Sheet1!$A$2:$A$3</c15:sqref>
                        </c15:formulaRef>
                      </c:ext>
                    </c:extLst>
                    <c:strCache>
                      <c:ptCount val="2"/>
                      <c:pt idx="0">
                        <c:v>2024年</c:v>
                      </c:pt>
                      <c:pt idx="1">
                        <c:v>2025年</c:v>
                      </c:pt>
                    </c:strCache>
                  </c:strRef>
                </c:cat>
                <c:val>
                  <c:numRef>
                    <c:extLst>
                      <c:ext uri="{02D57815-91ED-43cb-92C2-25804820EDAC}">
                        <c15:formulaRef>
                          <c15:sqref>Sheet1!#REF!</c15:sqref>
                        </c15:formulaRef>
                      </c:ext>
                    </c:extLst>
                    <c:numCache>
                      <c:formatCode>General</c:formatCode>
                      <c:ptCount val="1"/>
                      <c:pt idx="0">
                        <c:v>1</c:v>
                      </c:pt>
                    </c:numCache>
                  </c:numRef>
                </c:val>
              </c15:ser>
            </c15:filteredBarSeries>
          </c:ext>
        </c:extLst>
      </c:barChart>
      <c:catAx>
        <c:axId val="833733944"/>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21584986"/>
        <c:crosses val="autoZero"/>
        <c:auto val="1"/>
        <c:lblAlgn val="ctr"/>
        <c:lblOffset val="100"/>
        <c:noMultiLvlLbl val="0"/>
      </c:catAx>
      <c:valAx>
        <c:axId val="321584986"/>
        <c:scaling>
          <c:orientation val="minMax"/>
          <c:min val="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3373394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d7e125f-143e-4fb9-a054-e80b5ed2fbc3}"/>
      </c:ext>
    </c:extLst>
  </c:chart>
  <c:spPr>
    <a:solidFill>
      <a:schemeClr val="bg1"/>
    </a:solidFill>
    <a:ln w="9525" cap="flat" cmpd="sng" algn="ctr">
      <a:no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772181592383055"/>
          <c:y val="0.0548141361256545"/>
          <c:w val="0.8938"/>
          <c:h val="0.8069"/>
        </c:manualLayout>
      </c:layout>
      <c:barChart>
        <c:barDir val="col"/>
        <c:grouping val="clustered"/>
        <c:varyColors val="0"/>
        <c:ser>
          <c:idx val="1"/>
          <c:order val="1"/>
          <c:tx>
            <c:strRef>
              <c:f>Sheet1!$B$1</c:f>
              <c:strCache>
                <c:ptCount val="1"/>
                <c:pt idx="0">
                  <c:v>一般公共预算财政拨款支出</c:v>
                </c:pt>
              </c:strCache>
            </c:strRef>
          </c:tx>
          <c:spPr>
            <a:solidFill>
              <a:schemeClr val="accent1"/>
            </a:solidFill>
            <a:ln>
              <a:noFill/>
            </a:ln>
            <a:effectLst/>
          </c:spPr>
          <c:invertIfNegative val="0"/>
          <c:dPt>
            <c:idx val="0"/>
            <c:invertIfNegative val="0"/>
            <c:bubble3D val="0"/>
          </c:dPt>
          <c:dPt>
            <c:idx val="1"/>
            <c:invertIfNegative val="0"/>
            <c:bubble3D val="0"/>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2"/>
                </a:solidFill>
                <a:prstDash val="sysDot"/>
              </a:ln>
              <a:effectLst/>
            </c:spPr>
            <c:trendlineType val="linear"/>
            <c:dispRSqr val="0"/>
            <c:dispEq val="0"/>
          </c:trendline>
          <c:cat>
            <c:strRef>
              <c:f>Sheet1!$A$2:$A$3</c:f>
              <c:strCache>
                <c:ptCount val="2"/>
                <c:pt idx="0">
                  <c:v>2024年</c:v>
                </c:pt>
                <c:pt idx="1">
                  <c:v>2025年</c:v>
                </c:pt>
              </c:strCache>
            </c:strRef>
          </c:cat>
          <c:val>
            <c:numRef>
              <c:f>Sheet1!$B$2:$B$3</c:f>
              <c:numCache>
                <c:formatCode>General</c:formatCode>
                <c:ptCount val="2"/>
                <c:pt idx="0">
                  <c:v>17236.99</c:v>
                </c:pt>
                <c:pt idx="1">
                  <c:v>15987.03</c:v>
                </c:pt>
              </c:numCache>
            </c:numRef>
          </c:val>
        </c:ser>
        <c:dLbls>
          <c:showLegendKey val="0"/>
          <c:showVal val="1"/>
          <c:showCatName val="0"/>
          <c:showSerName val="0"/>
          <c:showPercent val="0"/>
          <c:showBubbleSize val="0"/>
        </c:dLbls>
        <c:gapWidth val="75"/>
        <c:overlap val="-25"/>
        <c:axId val="604703181"/>
        <c:axId val="382894902"/>
        <c:extLst>
          <c:ext xmlns:c15="http://schemas.microsoft.com/office/drawing/2012/chart" uri="{02D57815-91ED-43cb-92C2-25804820EDAC}">
            <c15:filteredBarSeries>
              <c15:ser>
                <c:idx val="0"/>
                <c:order val="0"/>
                <c:tx>
                  <c:strRef>
                    <c:extLst>
                      <c:ext uri="{02D57815-91ED-43cb-92C2-25804820EDAC}">
                        <c15:formulaRef>
                          <c15:sqref>Sheet1!#REF!</c15:sqref>
                        </c15:formulaRef>
                      </c:ext>
                    </c:extLst>
                    <c:strCache>
                      <c:ptCount val="1"/>
                      <c:pt idx="0">
                        <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1"/>
                      </a:solidFill>
                      <a:prstDash val="sysDot"/>
                    </a:ln>
                    <a:effectLst/>
                  </c:spPr>
                  <c:trendlineType val="linear"/>
                  <c:dispRSqr val="0"/>
                  <c:dispEq val="0"/>
                </c:trendline>
                <c:cat>
                  <c:strRef>
                    <c:extLst>
                      <c:ext uri="{02D57815-91ED-43cb-92C2-25804820EDAC}">
                        <c15:fullRef>
                          <c15:sqref/>
                        </c15:fullRef>
                        <c15:formulaRef>
                          <c15:sqref>Sheet1!$A$2:$A$3</c15:sqref>
                        </c15:formulaRef>
                      </c:ext>
                    </c:extLst>
                    <c:strCache>
                      <c:ptCount val="2"/>
                      <c:pt idx="0">
                        <c:v>2024年</c:v>
                      </c:pt>
                      <c:pt idx="1">
                        <c:v>2025年</c:v>
                      </c:pt>
                    </c:strCache>
                  </c:strRef>
                </c:cat>
                <c:val>
                  <c:numRef>
                    <c:extLst>
                      <c:ext uri="{02D57815-91ED-43cb-92C2-25804820EDAC}">
                        <c15:formulaRef>
                          <c15:sqref>Sheet1!#REF!</c15:sqref>
                        </c15:formulaRef>
                      </c:ext>
                    </c:extLst>
                    <c:numCache>
                      <c:formatCode>General</c:formatCode>
                      <c:ptCount val="1"/>
                      <c:pt idx="0">
                        <c:v>1</c:v>
                      </c:pt>
                    </c:numCache>
                  </c:numRef>
                </c:val>
              </c15:ser>
            </c15:filteredBarSeries>
            <c15:filteredBarSeries>
              <c15:ser>
                <c:idx val="2"/>
                <c:order val="2"/>
                <c:tx>
                  <c:strRef>
                    <c:extLst>
                      <c:ext uri="{02D57815-91ED-43cb-92C2-25804820EDAC}">
                        <c15:formulaRef>
                          <c15:sqref>Sheet1!#REF!</c15:sqref>
                        </c15:formulaRef>
                      </c:ext>
                    </c:extLst>
                    <c:strCache>
                      <c:ptCount val="1"/>
                      <c:pt idx="0">
                        <c:v/>
                      </c:pt>
                    </c:strCache>
                  </c:strRef>
                </c:tx>
                <c:spPr>
                  <a:solidFill>
                    <a:schemeClr val="accent3"/>
                  </a:solidFill>
                  <a:ln>
                    <a:noFill/>
                  </a:ln>
                  <a:effectLst/>
                </c:spPr>
                <c:invertIfNegative val="0"/>
                <c:dLbls>
                  <c:delete val="1"/>
                </c:dLbls>
                <c:cat>
                  <c:strRef>
                    <c:extLst>
                      <c:ext uri="{02D57815-91ED-43cb-92C2-25804820EDAC}">
                        <c15:fullRef>
                          <c15:sqref/>
                        </c15:fullRef>
                        <c15:formulaRef>
                          <c15:sqref>Sheet1!$A$2:$A$3</c15:sqref>
                        </c15:formulaRef>
                      </c:ext>
                    </c:extLst>
                    <c:strCache>
                      <c:ptCount val="2"/>
                      <c:pt idx="0">
                        <c:v>2024年</c:v>
                      </c:pt>
                      <c:pt idx="1">
                        <c:v>2025年</c:v>
                      </c:pt>
                    </c:strCache>
                  </c:strRef>
                </c:cat>
                <c:val>
                  <c:numRef>
                    <c:extLst>
                      <c:ext uri="{02D57815-91ED-43cb-92C2-25804820EDAC}">
                        <c15:formulaRef>
                          <c15:sqref>Sheet1!#REF!</c15:sqref>
                        </c15:formulaRef>
                      </c:ext>
                    </c:extLst>
                    <c:numCache>
                      <c:formatCode>General</c:formatCode>
                      <c:ptCount val="1"/>
                      <c:pt idx="0">
                        <c:v>1</c:v>
                      </c:pt>
                    </c:numCache>
                  </c:numRef>
                </c:val>
              </c15:ser>
            </c15:filteredBarSeries>
          </c:ext>
        </c:extLst>
      </c:barChart>
      <c:catAx>
        <c:axId val="60470318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2894902"/>
        <c:crosses val="autoZero"/>
        <c:auto val="1"/>
        <c:lblAlgn val="ctr"/>
        <c:lblOffset val="100"/>
        <c:noMultiLvlLbl val="0"/>
      </c:catAx>
      <c:valAx>
        <c:axId val="382894902"/>
        <c:scaling>
          <c:orientation val="minMax"/>
          <c:min val="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04703181"/>
        <c:crosses val="autoZero"/>
        <c:crossBetween val="between"/>
      </c:valAx>
      <c:spPr>
        <a:noFill/>
        <a:ln>
          <a:noFill/>
        </a:ln>
        <a:effectLst/>
      </c:spPr>
    </c:plotArea>
    <c:legend>
      <c:legendPos val="b"/>
      <c:layout>
        <c:manualLayout>
          <c:xMode val="edge"/>
          <c:yMode val="edge"/>
          <c:x val="0.0910721677935697"/>
          <c:y val="0.923560209424084"/>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5584a58-677e-439d-996e-9641c1e1c0ac}"/>
      </c:ext>
    </c:extLst>
  </c:chart>
  <c:spPr>
    <a:solidFill>
      <a:schemeClr val="bg1"/>
    </a:solidFill>
    <a:ln w="9525" cap="flat" cmpd="sng" algn="ctr">
      <a:no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3956661316212"/>
          <c:y val="0.117493016759777"/>
          <c:w val="0.652086677367576"/>
          <c:h val="0.851082402234637"/>
        </c:manualLayout>
      </c:layout>
      <c:pieChart>
        <c:varyColors val="1"/>
        <c:ser>
          <c:idx val="0"/>
          <c:order val="0"/>
          <c:tx>
            <c:strRef>
              <c:f>Sheet1!$B$1</c:f>
              <c:strCache>
                <c:ptCount val="1"/>
                <c:pt idx="0">
                  <c:v>一般公共预算财政拨款支出决算结构</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Lbl>
              <c:idx val="0"/>
              <c:layout>
                <c:manualLayout>
                  <c:x val="0.0386313496727027"/>
                  <c:y val="-0.00261307106903971"/>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1"/>
              <c:layout>
                <c:manualLayout>
                  <c:x val="0.0614111907397761"/>
                  <c:y val="0.0361721935201305"/>
                </c:manualLayout>
              </c:layout>
              <c:numFmt formatCode="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1"/>
              <c:showBubbleSize val="0"/>
              <c:extLst>
                <c:ext xmlns:c15="http://schemas.microsoft.com/office/drawing/2012/chart" uri="{CE6537A1-D6FC-4f65-9D91-7224C49458BB}">
                  <c15:layout/>
                </c:ext>
              </c:extLst>
            </c:dLbl>
            <c:dLbl>
              <c:idx val="2"/>
              <c:layout>
                <c:manualLayout>
                  <c:x val="0.0382627735116325"/>
                  <c:y val="-0.221717877094972"/>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3"/>
              <c:layout>
                <c:manualLayout>
                  <c:x val="-0.141331946080405"/>
                  <c:y val="0.0197544077396919"/>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社会保障和就业支出</c:v>
                </c:pt>
                <c:pt idx="1">
                  <c:v>卫生健康支出</c:v>
                </c:pt>
                <c:pt idx="2">
                  <c:v>节能环保支出</c:v>
                </c:pt>
                <c:pt idx="3">
                  <c:v>住房保障支出</c:v>
                </c:pt>
              </c:strCache>
            </c:strRef>
          </c:cat>
          <c:val>
            <c:numRef>
              <c:f>Sheet1!$B$2:$B$5</c:f>
              <c:numCache>
                <c:formatCode>General</c:formatCode>
                <c:ptCount val="4"/>
                <c:pt idx="0">
                  <c:v>1151.6</c:v>
                </c:pt>
                <c:pt idx="1">
                  <c:v>411.23</c:v>
                </c:pt>
                <c:pt idx="2" c:formatCode="#,##0.00">
                  <c:v>13823.63</c:v>
                </c:pt>
                <c:pt idx="3">
                  <c:v>600.57</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Entry>
      <c:layout>
        <c:manualLayout>
          <c:xMode val="edge"/>
          <c:yMode val="edge"/>
          <c:x val="0.0853397538790797"/>
          <c:y val="0.00523743016759777"/>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0018766-3bef-4fa2-a09c-62b52e47212a}"/>
      </c:ext>
    </c:extLst>
  </c:chart>
  <c:spPr>
    <a:solidFill>
      <a:schemeClr val="bg1"/>
    </a:solidFill>
    <a:ln w="9525" cap="flat" cmpd="sng" algn="ctr">
      <a:noFill/>
      <a:round/>
    </a:ln>
    <a:effectLst/>
  </c:spPr>
  <c:txPr>
    <a:bodyPr/>
    <a:lstStyle/>
    <a:p>
      <a:pPr>
        <a:defRPr lang="zh-CN" b="0"/>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33662312522834"/>
          <c:y val="0.239338505966142"/>
          <c:w val="0.54457527333894"/>
          <c:h val="0.730263157894737"/>
        </c:manualLayout>
      </c:layout>
      <c:pieChart>
        <c:varyColors val="1"/>
        <c:ser>
          <c:idx val="0"/>
          <c:order val="0"/>
          <c:tx>
            <c:strRef>
              <c:f>Sheet1!$B$1</c:f>
              <c:strCache>
                <c:ptCount val="1"/>
                <c:pt idx="0">
                  <c:v>“三公”经费财政拨款支出结构</c:v>
                </c:pt>
              </c:strCache>
            </c:strRef>
          </c:tx>
          <c:spPr/>
          <c:explosion val="0"/>
          <c:dPt>
            <c:idx val="0"/>
            <c:bubble3D val="0"/>
            <c:spPr>
              <a:solidFill>
                <a:schemeClr val="accent2"/>
              </a:solidFill>
              <a:ln w="19050">
                <a:solidFill>
                  <a:schemeClr val="lt1"/>
                </a:solidFill>
              </a:ln>
              <a:effectLst/>
            </c:spPr>
          </c:dPt>
          <c:dPt>
            <c:idx val="1"/>
            <c:bubble3D val="0"/>
            <c:spPr>
              <a:solidFill>
                <a:schemeClr val="accent1"/>
              </a:solidFill>
              <a:ln w="19050">
                <a:solidFill>
                  <a:schemeClr val="lt1"/>
                </a:solidFill>
              </a:ln>
              <a:effectLst/>
            </c:spPr>
          </c:dPt>
          <c:dPt>
            <c:idx val="2"/>
            <c:bubble3D val="0"/>
            <c:spPr>
              <a:solidFill>
                <a:schemeClr val="accent3"/>
              </a:solidFill>
              <a:ln w="19050">
                <a:solidFill>
                  <a:schemeClr val="lt1"/>
                </a:solidFill>
              </a:ln>
              <a:effectLst/>
            </c:spPr>
          </c:dPt>
          <c:dLbls>
            <c:dLbl>
              <c:idx val="0"/>
              <c:layout>
                <c:manualLayout>
                  <c:x val="0.078380483076917"/>
                  <c:y val="0.0099236627364183"/>
                </c:manualLayout>
              </c:layout>
              <c:numFmt formatCode="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1"/>
              <c:showBubbleSize val="0"/>
              <c:extLst>
                <c:ext xmlns:c15="http://schemas.microsoft.com/office/drawing/2012/chart" uri="{CE6537A1-D6FC-4f65-9D91-7224C49458BB}">
                  <c15:layout/>
                </c:ext>
              </c:extLst>
            </c:dLbl>
            <c:dLbl>
              <c:idx val="1"/>
              <c:layout>
                <c:manualLayout>
                  <c:x val="-0.00206628301198049"/>
                  <c:y val="-0.24539008937801"/>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2"/>
              <c:layout>
                <c:manualLayout>
                  <c:x val="-0.0548596516746761"/>
                  <c:y val="-0.0122931747042699"/>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因公出国（境）费支出</c:v>
                </c:pt>
                <c:pt idx="1">
                  <c:v>公务用车购置及运行维护费支出</c:v>
                </c:pt>
                <c:pt idx="2">
                  <c:v>公务接待费支出</c:v>
                </c:pt>
              </c:strCache>
            </c:strRef>
          </c:cat>
          <c:val>
            <c:numRef>
              <c:f>Sheet1!$B$2:$B$4</c:f>
              <c:numCache>
                <c:formatCode>General</c:formatCode>
                <c:ptCount val="3"/>
                <c:pt idx="0">
                  <c:v>0</c:v>
                </c:pt>
                <c:pt idx="1">
                  <c:v>314.13</c:v>
                </c:pt>
                <c:pt idx="2">
                  <c:v>2.16</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t"/>
      <c:layout>
        <c:manualLayout>
          <c:xMode val="edge"/>
          <c:yMode val="edge"/>
          <c:x val="0.0809581564584596"/>
          <c:y val="0.0672812867791286"/>
          <c:w val="0.848999393571862"/>
          <c:h val="0.119262455865045"/>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2dfdd6df-352c-4466-af3c-bb119b2e8f35}"/>
      </c:ext>
    </c:extLst>
  </c:chart>
  <c:spPr>
    <a:solidFill>
      <a:schemeClr val="bg1"/>
    </a:solidFill>
    <a:ln w="9525" cap="flat" cmpd="sng" algn="ctr">
      <a:no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71</Pages>
  <Words>2596</Words>
  <Characters>2639</Characters>
  <Lines>54</Lines>
  <Paragraphs>15</Paragraphs>
  <TotalTime>0</TotalTime>
  <ScaleCrop>false</ScaleCrop>
  <LinksUpToDate>false</LinksUpToDate>
  <CharactersWithSpaces>2676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2020-08-08T01:49:00Z</dcterms:created>
  <dc:creator>曹颖</dc:creator>
  <cp:lastModifiedBy>梅零落</cp:lastModifiedBy>
  <cp:lastPrinted>2023-08-03T02:35:00Z</cp:lastPrinted>
  <dcterms:modified xsi:type="dcterms:W3CDTF">2026-09-17T07:18:20Z</dcterms:modified>
  <dc:title>四川省***</dc:title>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C504C2CCE4FF4D3F9298B1F8C98A9B84_13</vt:lpwstr>
  </property>
  <property fmtid="{D5CDD505-2E9C-101B-9397-08002B2CF9AE}" pid="4" name="KSOTemplateDocerSaveRecord">
    <vt:lpwstr>eyJoZGlkIjoiOGMxNGQzNjc0Zjk1MzhlMDUzZTI3ODIwZDJjZGMwZTEiLCJ1c2VySWQiOiI0MDU1MzYyNDkifQ==</vt:lpwstr>
  </property>
</Properties>
</file>