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9EC909">
      <w:pPr>
        <w:pStyle w:val="13"/>
        <w:rPr>
          <w:rFonts w:hint="eastAsia" w:ascii="黑体" w:hAnsi="黑体" w:eastAsia="黑体" w:cs="黑体"/>
          <w:color w:val="auto"/>
          <w:kern w:val="2"/>
          <w:sz w:val="32"/>
          <w:szCs w:val="32"/>
          <w:highlight w:val="none"/>
          <w:lang w:val="en-US" w:eastAsia="zh-CN" w:bidi="ar-SA"/>
        </w:rPr>
      </w:pPr>
      <w:r>
        <w:rPr>
          <w:rFonts w:hint="eastAsia" w:ascii="黑体" w:hAnsi="黑体" w:eastAsia="黑体" w:cs="黑体"/>
          <w:color w:val="auto"/>
          <w:kern w:val="2"/>
          <w:sz w:val="32"/>
          <w:szCs w:val="32"/>
          <w:highlight w:val="none"/>
          <w:lang w:val="en-US" w:eastAsia="zh-CN" w:bidi="ar-SA"/>
        </w:rPr>
        <w:t>附件4</w:t>
      </w:r>
    </w:p>
    <w:p w14:paraId="75937717">
      <w:pPr>
        <w:rPr>
          <w:rFonts w:hint="eastAsia" w:ascii="Times New Roman" w:hAnsi="Times New Roman" w:eastAsia="方正小标宋简体" w:cs="Times New Roman"/>
          <w:color w:val="auto"/>
          <w:kern w:val="2"/>
          <w:sz w:val="72"/>
          <w:szCs w:val="72"/>
          <w:highlight w:val="none"/>
          <w:lang w:val="en-US" w:eastAsia="zh-CN" w:bidi="ar-SA"/>
        </w:rPr>
      </w:pPr>
    </w:p>
    <w:p w14:paraId="44505CFA">
      <w:pPr>
        <w:pStyle w:val="13"/>
        <w:rPr>
          <w:rFonts w:hint="eastAsia" w:ascii="Times New Roman" w:hAnsi="Times New Roman" w:eastAsia="方正小标宋简体" w:cs="Times New Roman"/>
          <w:color w:val="auto"/>
          <w:kern w:val="2"/>
          <w:sz w:val="72"/>
          <w:szCs w:val="72"/>
          <w:highlight w:val="none"/>
          <w:lang w:val="en-US" w:eastAsia="zh-CN" w:bidi="ar-SA"/>
        </w:rPr>
      </w:pPr>
    </w:p>
    <w:p w14:paraId="3BA2B7EA">
      <w:pPr>
        <w:pStyle w:val="13"/>
        <w:rPr>
          <w:rFonts w:hint="eastAsia" w:ascii="Times New Roman" w:hAnsi="Times New Roman" w:eastAsia="方正小标宋简体" w:cs="Times New Roman"/>
          <w:color w:val="auto"/>
          <w:kern w:val="2"/>
          <w:sz w:val="72"/>
          <w:szCs w:val="72"/>
          <w:highlight w:val="none"/>
          <w:lang w:val="en-US" w:eastAsia="zh-CN" w:bidi="ar-SA"/>
        </w:rPr>
      </w:pPr>
    </w:p>
    <w:p w14:paraId="4EA57566">
      <w:pPr>
        <w:pStyle w:val="13"/>
        <w:rPr>
          <w:rFonts w:hint="eastAsia" w:ascii="Times New Roman" w:hAnsi="Times New Roman" w:eastAsia="方正小标宋简体" w:cs="Times New Roman"/>
          <w:color w:val="auto"/>
          <w:kern w:val="2"/>
          <w:sz w:val="72"/>
          <w:szCs w:val="72"/>
          <w:highlight w:val="none"/>
          <w:lang w:val="en-US" w:eastAsia="zh-CN" w:bidi="ar-SA"/>
        </w:rPr>
      </w:pPr>
    </w:p>
    <w:p w14:paraId="749E5690">
      <w:pPr>
        <w:pStyle w:val="13"/>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2025年度省级部门（单位）决算</w:t>
      </w:r>
    </w:p>
    <w:p w14:paraId="3BC27673">
      <w:pPr>
        <w:pStyle w:val="13"/>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14:paraId="3892BA2F">
      <w:pPr>
        <w:spacing w:line="600" w:lineRule="exact"/>
        <w:jc w:val="center"/>
        <w:outlineLvl w:val="0"/>
        <w:rPr>
          <w:rFonts w:ascii="Times New Roman" w:hAnsi="Times New Roman" w:eastAsia="方正小标宋简体"/>
          <w:color w:val="auto"/>
          <w:sz w:val="72"/>
          <w:szCs w:val="72"/>
          <w:highlight w:val="none"/>
        </w:rPr>
      </w:pPr>
    </w:p>
    <w:p w14:paraId="6C5E9F5F">
      <w:pPr>
        <w:pStyle w:val="25"/>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703988A">
      <w:pPr>
        <w:pStyle w:val="13"/>
        <w:keepNext w:val="0"/>
        <w:keepLines w:val="0"/>
        <w:pageBreakBefore w:val="0"/>
        <w:widowControl/>
        <w:kinsoku/>
        <w:wordWrap/>
        <w:overflowPunct/>
        <w:topLinePunct w:val="0"/>
        <w:autoSpaceDE/>
        <w:autoSpaceDN/>
        <w:bidi w:val="0"/>
        <w:adjustRightInd/>
        <w:snapToGrid/>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bidi="ar-SA"/>
        </w:rPr>
      </w:pPr>
      <w:bookmarkStart w:id="0" w:name="_Toc15377426"/>
      <w:bookmarkStart w:id="1" w:name="_Toc15396476"/>
      <w:bookmarkStart w:id="2" w:name="_Toc15377194"/>
      <w:bookmarkStart w:id="3" w:name="_Toc15396598"/>
      <w:bookmarkStart w:id="4" w:name="_Toc15378442"/>
    </w:p>
    <w:p w14:paraId="3CDA95EC">
      <w:pPr>
        <w:pStyle w:val="13"/>
        <w:jc w:val="center"/>
        <w:rPr>
          <w:rFonts w:hint="eastAsia" w:ascii="方正小标宋简体" w:hAnsi="方正小标宋简体" w:eastAsia="方正小标宋简体" w:cs="方正小标宋简体"/>
          <w:color w:val="auto"/>
          <w:kern w:val="2"/>
          <w:sz w:val="44"/>
          <w:szCs w:val="44"/>
          <w:highlight w:val="none"/>
          <w:lang w:val="en-US" w:eastAsia="zh-CN" w:bidi="ar-SA"/>
        </w:rPr>
      </w:pPr>
    </w:p>
    <w:p w14:paraId="67257FFC">
      <w:pPr>
        <w:pStyle w:val="13"/>
        <w:jc w:val="both"/>
        <w:rPr>
          <w:rFonts w:hint="eastAsia" w:ascii="方正小标宋简体" w:hAnsi="方正小标宋简体" w:eastAsia="方正小标宋简体" w:cs="方正小标宋简体"/>
          <w:color w:val="auto"/>
          <w:kern w:val="2"/>
          <w:sz w:val="44"/>
          <w:szCs w:val="44"/>
          <w:highlight w:val="none"/>
          <w:lang w:val="en-US" w:eastAsia="zh-CN" w:bidi="ar-SA"/>
        </w:rPr>
      </w:pPr>
    </w:p>
    <w:p w14:paraId="7033F8C7">
      <w:pPr>
        <w:pStyle w:val="13"/>
        <w:widowControl w:val="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2025年度四川省</w:t>
      </w:r>
      <w:bookmarkStart w:id="5" w:name="_Toc15306268"/>
      <w:r>
        <w:rPr>
          <w:rFonts w:hint="eastAsia" w:ascii="Times New Roman" w:hAnsi="Times New Roman" w:eastAsia="方正小标宋简体" w:cs="Times New Roman"/>
          <w:color w:val="auto"/>
          <w:kern w:val="2"/>
          <w:sz w:val="44"/>
          <w:szCs w:val="44"/>
          <w:highlight w:val="none"/>
          <w:lang w:val="en-US" w:eastAsia="zh-CN" w:bidi="ar-SA"/>
        </w:rPr>
        <w:t>阿坝州</w:t>
      </w:r>
    </w:p>
    <w:p w14:paraId="24396A22">
      <w:pPr>
        <w:pStyle w:val="13"/>
        <w:widowControl w:val="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黑水生态环境局部门决算</w:t>
      </w:r>
      <w:bookmarkEnd w:id="0"/>
      <w:bookmarkEnd w:id="1"/>
      <w:bookmarkEnd w:id="2"/>
      <w:bookmarkEnd w:id="3"/>
      <w:bookmarkEnd w:id="4"/>
      <w:bookmarkEnd w:id="5"/>
    </w:p>
    <w:p w14:paraId="21348CFA">
      <w:pPr>
        <w:pStyle w:val="13"/>
        <w:widowControl w:val="0"/>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49A9565E">
      <w:pPr>
        <w:pStyle w:val="13"/>
        <w:widowControl w:val="0"/>
        <w:jc w:val="center"/>
        <w:rPr>
          <w:rFonts w:hint="eastAsia" w:ascii="Times New Roman" w:hAnsi="Times New Roman" w:eastAsia="方正小标宋简体" w:cs="Times New Roman"/>
          <w:color w:val="auto"/>
          <w:kern w:val="2"/>
          <w:sz w:val="44"/>
          <w:szCs w:val="44"/>
          <w:highlight w:val="none"/>
          <w:lang w:val="en-US" w:eastAsia="zh-CN" w:bidi="ar-SA"/>
        </w:rPr>
        <w:sectPr>
          <w:pgSz w:w="11915" w:h="16851"/>
          <w:pgMar w:top="2098" w:right="1474" w:bottom="1984" w:left="1587" w:header="851" w:footer="992" w:gutter="0"/>
          <w:pgNumType w:fmt="numberInDash"/>
          <w:cols w:space="720" w:num="1"/>
          <w:docGrid w:type="lines" w:linePitch="312" w:charSpace="0"/>
        </w:sectPr>
      </w:pPr>
    </w:p>
    <w:sdt>
      <w:sdtPr>
        <w:rPr>
          <w:rFonts w:ascii="宋体" w:hAnsi="宋体" w:eastAsia="宋体" w:cs="Times New Roman"/>
          <w:sz w:val="21"/>
          <w:szCs w:val="24"/>
          <w:lang w:val="en-US" w:eastAsia="zh-CN" w:bidi="ar-SA"/>
        </w:rPr>
        <w:id w:val="147452290"/>
        <w15:color w:val="DBDBDB"/>
        <w:docPartObj>
          <w:docPartGallery w:val="Table of Contents"/>
          <w:docPartUnique/>
        </w:docPartObj>
      </w:sdtPr>
      <w:sdtEndPr>
        <w:rPr>
          <w:rFonts w:hint="eastAsia" w:ascii="黑体" w:hAnsi="黑体" w:eastAsia="黑体" w:cs="黑体"/>
          <w:sz w:val="24"/>
          <w:szCs w:val="36"/>
          <w:shd w:val="clear" w:color="auto" w:fill="FFFFFF"/>
          <w:lang w:val="en-US" w:eastAsia="zh-CN" w:bidi="ar-SA"/>
        </w:rPr>
      </w:sdtEndPr>
      <w:sdtContent>
        <w:p w14:paraId="2E302FAA">
          <w:pPr>
            <w:spacing w:before="0" w:beforeLines="0" w:after="0" w:afterLines="0" w:line="240" w:lineRule="auto"/>
            <w:ind w:left="0" w:leftChars="0" w:right="0" w:rightChars="0" w:firstLine="0" w:firstLineChars="0"/>
            <w:jc w:val="center"/>
            <w:rPr>
              <w:rFonts w:hint="eastAsia" w:ascii="黑体" w:hAnsi="黑体" w:eastAsia="黑体" w:cs="黑体"/>
              <w:sz w:val="72"/>
              <w:szCs w:val="72"/>
            </w:rPr>
          </w:pPr>
          <w:r>
            <w:rPr>
              <w:rFonts w:hint="eastAsia" w:ascii="黑体" w:hAnsi="黑体" w:eastAsia="黑体" w:cs="黑体"/>
              <w:sz w:val="72"/>
              <w:szCs w:val="72"/>
            </w:rPr>
            <w:t>目录</w:t>
          </w:r>
        </w:p>
        <w:p w14:paraId="4B1D4BF6">
          <w:pPr>
            <w:spacing w:before="0" w:beforeLines="0" w:after="0" w:afterLines="0" w:line="240" w:lineRule="auto"/>
            <w:ind w:left="0" w:leftChars="0" w:right="0" w:rightChars="0" w:firstLine="0" w:firstLineChars="0"/>
            <w:jc w:val="center"/>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p w14:paraId="072A9613">
          <w:pPr>
            <w:pStyle w:val="2"/>
          </w:pPr>
        </w:p>
        <w:p w14:paraId="0899CC2C">
          <w:pPr>
            <w:pStyle w:val="17"/>
            <w:tabs>
              <w:tab w:val="right" w:leader="dot" w:pos="8854"/>
            </w:tabs>
            <w:rPr>
              <w:rFonts w:hint="eastAsia" w:ascii="仿宋_GB2312" w:hAnsi="仿宋_GB2312" w:eastAsia="仿宋_GB2312" w:cs="仿宋_GB2312"/>
              <w:sz w:val="32"/>
              <w:szCs w:val="32"/>
            </w:rPr>
          </w:pPr>
          <w:r>
            <w:rPr>
              <w:rFonts w:hint="eastAsia" w:ascii="黑体" w:hAnsi="黑体" w:eastAsia="黑体" w:cs="黑体"/>
              <w:sz w:val="24"/>
              <w:szCs w:val="36"/>
              <w:shd w:val="clear" w:color="auto" w:fill="FFFFFF"/>
              <w:lang w:val="en-US" w:eastAsia="zh-CN" w:bidi="ar-SA"/>
            </w:rPr>
            <w:fldChar w:fldCharType="begin"/>
          </w:r>
          <w:r>
            <w:rPr>
              <w:rFonts w:hint="eastAsia" w:ascii="黑体" w:hAnsi="黑体" w:eastAsia="黑体" w:cs="黑体"/>
              <w:sz w:val="24"/>
              <w:szCs w:val="36"/>
              <w:shd w:val="clear" w:color="auto" w:fill="FFFFFF"/>
              <w:lang w:val="en-US" w:eastAsia="zh-CN" w:bidi="ar-SA"/>
            </w:rPr>
            <w:instrText xml:space="preserve">TOC \o "1-3" \h \u </w:instrText>
          </w:r>
          <w:r>
            <w:rPr>
              <w:rFonts w:hint="eastAsia" w:ascii="黑体" w:hAnsi="黑体" w:eastAsia="黑体" w:cs="黑体"/>
              <w:sz w:val="24"/>
              <w:szCs w:val="36"/>
              <w:shd w:val="clear" w:color="auto" w:fill="FFFFFF"/>
              <w:lang w:val="en-US" w:eastAsia="zh-CN" w:bidi="ar-SA"/>
            </w:rPr>
            <w:fldChar w:fldCharType="separate"/>
          </w:r>
          <w:r>
            <w:rPr>
              <w:rFonts w:hint="eastAsia" w:ascii="黑体" w:hAnsi="黑体" w:eastAsia="黑体" w:cs="黑体"/>
              <w:sz w:val="32"/>
              <w:szCs w:val="32"/>
              <w:shd w:val="clear" w:color="auto" w:fill="FFFFFF"/>
              <w:lang w:val="en-US" w:eastAsia="zh-CN" w:bidi="ar-SA"/>
            </w:rPr>
            <w:fldChar w:fldCharType="begin"/>
          </w:r>
          <w:r>
            <w:rPr>
              <w:rFonts w:hint="eastAsia" w:ascii="黑体" w:hAnsi="黑体" w:eastAsia="黑体" w:cs="黑体"/>
              <w:sz w:val="32"/>
              <w:szCs w:val="32"/>
              <w:shd w:val="clear" w:color="auto" w:fill="FFFFFF"/>
              <w:lang w:val="en-US" w:eastAsia="zh-CN" w:bidi="ar-SA"/>
            </w:rPr>
            <w:instrText xml:space="preserve"> HYPERLINK \l _Toc13282 </w:instrText>
          </w:r>
          <w:r>
            <w:rPr>
              <w:rFonts w:hint="eastAsia" w:ascii="黑体" w:hAnsi="黑体" w:eastAsia="黑体" w:cs="黑体"/>
              <w:sz w:val="32"/>
              <w:szCs w:val="32"/>
              <w:shd w:val="clear" w:color="auto" w:fill="FFFFFF"/>
              <w:lang w:val="en-US" w:eastAsia="zh-CN" w:bidi="ar-SA"/>
            </w:rPr>
            <w:fldChar w:fldCharType="separate"/>
          </w:r>
          <w:r>
            <w:rPr>
              <w:rFonts w:hint="eastAsia" w:ascii="黑体" w:hAnsi="黑体" w:eastAsia="黑体" w:cs="黑体"/>
              <w:bCs w:val="0"/>
              <w:kern w:val="44"/>
              <w:sz w:val="32"/>
              <w:szCs w:val="32"/>
              <w:lang w:val="en-US" w:eastAsia="zh-CN" w:bidi="ar-SA"/>
            </w:rPr>
            <w:t>第一部分</w:t>
          </w:r>
          <w:r>
            <w:rPr>
              <w:rFonts w:hint="eastAsia" w:ascii="黑体" w:hAnsi="黑体" w:eastAsia="黑体" w:cs="黑体"/>
              <w:sz w:val="32"/>
              <w:szCs w:val="32"/>
              <w:highlight w:val="none"/>
            </w:rPr>
            <w:t xml:space="preserve"> </w:t>
          </w:r>
          <w:r>
            <w:rPr>
              <w:rFonts w:hint="eastAsia" w:ascii="黑体" w:hAnsi="黑体" w:eastAsia="黑体" w:cs="黑体"/>
              <w:sz w:val="32"/>
              <w:szCs w:val="32"/>
              <w:highlight w:val="none"/>
              <w:lang w:val="en-US" w:eastAsia="zh-CN"/>
            </w:rPr>
            <w:t xml:space="preserve"> </w:t>
          </w:r>
          <w:r>
            <w:rPr>
              <w:rFonts w:hint="eastAsia" w:ascii="黑体" w:hAnsi="黑体" w:eastAsia="黑体" w:cs="黑体"/>
              <w:bCs w:val="0"/>
              <w:sz w:val="32"/>
              <w:szCs w:val="32"/>
              <w:highlight w:val="none"/>
            </w:rPr>
            <w:t>部门概况</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_Toc13282 \h </w:instrText>
          </w:r>
          <w:r>
            <w:rPr>
              <w:rFonts w:hint="eastAsia" w:ascii="黑体" w:hAnsi="黑体" w:eastAsia="黑体" w:cs="黑体"/>
              <w:sz w:val="32"/>
              <w:szCs w:val="32"/>
            </w:rPr>
            <w:fldChar w:fldCharType="separate"/>
          </w:r>
          <w:r>
            <w:rPr>
              <w:rFonts w:hint="eastAsia" w:ascii="黑体" w:hAnsi="黑体" w:eastAsia="黑体" w:cs="黑体"/>
              <w:sz w:val="32"/>
              <w:szCs w:val="32"/>
            </w:rPr>
            <w:t>- 3 -</w:t>
          </w:r>
          <w:r>
            <w:rPr>
              <w:rFonts w:hint="eastAsia" w:ascii="黑体" w:hAnsi="黑体" w:eastAsia="黑体" w:cs="黑体"/>
              <w:sz w:val="32"/>
              <w:szCs w:val="32"/>
            </w:rPr>
            <w:fldChar w:fldCharType="end"/>
          </w:r>
          <w:r>
            <w:rPr>
              <w:rFonts w:hint="eastAsia" w:ascii="黑体" w:hAnsi="黑体" w:eastAsia="黑体" w:cs="黑体"/>
              <w:sz w:val="32"/>
              <w:szCs w:val="32"/>
              <w:shd w:val="clear" w:color="auto" w:fill="FFFFFF"/>
              <w:lang w:val="en-US" w:eastAsia="zh-CN" w:bidi="ar-SA"/>
            </w:rPr>
            <w:fldChar w:fldCharType="end"/>
          </w:r>
        </w:p>
        <w:p w14:paraId="4FBD71C3">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_Toc12723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shd w:val="clear" w:fill="FFFFFF"/>
              <w:lang w:val="en-US" w:eastAsia="zh-CN" w:bidi="ar-SA"/>
            </w:rPr>
            <w:t>一、</w:t>
          </w:r>
          <w:r>
            <w:rPr>
              <w:rFonts w:hint="eastAsia" w:ascii="仿宋_GB2312" w:hAnsi="仿宋_GB2312" w:eastAsia="仿宋_GB2312" w:cs="仿宋_GB2312"/>
              <w:bCs w:val="0"/>
              <w:sz w:val="32"/>
              <w:szCs w:val="32"/>
              <w:shd w:val="clear" w:color="auto" w:fill="FFFFFF"/>
              <w:lang w:val="en-US" w:eastAsia="zh-CN"/>
            </w:rPr>
            <w:t>部门</w:t>
          </w:r>
          <w:r>
            <w:rPr>
              <w:rFonts w:hint="eastAsia" w:ascii="仿宋_GB2312" w:hAnsi="仿宋_GB2312" w:eastAsia="仿宋_GB2312" w:cs="仿宋_GB2312"/>
              <w:bCs w:val="0"/>
              <w:sz w:val="32"/>
              <w:szCs w:val="32"/>
              <w:shd w:val="clear" w:color="auto" w:fill="FFFFFF"/>
            </w:rPr>
            <w:t>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_Toc12723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397427B0">
          <w:pPr>
            <w:pStyle w:val="14"/>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_Toc9751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sz w:val="32"/>
              <w:szCs w:val="32"/>
            </w:rPr>
            <w:t>（一）主要职能。</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_Toc9751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5FA0250B">
          <w:pPr>
            <w:pStyle w:val="14"/>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_Toc6355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eastAsia="zh-CN"/>
            </w:rPr>
            <w:t>2025年度</w:t>
          </w:r>
          <w:r>
            <w:rPr>
              <w:rFonts w:hint="eastAsia" w:ascii="仿宋_GB2312" w:hAnsi="仿宋_GB2312" w:eastAsia="仿宋_GB2312" w:cs="仿宋_GB2312"/>
              <w:sz w:val="32"/>
              <w:szCs w:val="32"/>
            </w:rPr>
            <w:t>重点工作完成情况。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_Toc6355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406695DB">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_Toc17558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shd w:val="clear" w:color="auto" w:fill="FFFFFF"/>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_Toc17558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05FA1990">
          <w:pPr>
            <w:pStyle w:val="17"/>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_Toc6751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黑体" w:hAnsi="黑体" w:eastAsia="黑体" w:cs="黑体"/>
              <w:bCs w:val="0"/>
              <w:kern w:val="44"/>
              <w:sz w:val="32"/>
              <w:szCs w:val="32"/>
              <w:highlight w:val="none"/>
              <w:shd w:val="clear" w:fill="FFFFFF"/>
              <w:lang w:val="en-US" w:eastAsia="zh-CN" w:bidi="ar-SA"/>
            </w:rPr>
            <w:t>第二部分</w:t>
          </w:r>
          <w:r>
            <w:rPr>
              <w:rFonts w:hint="eastAsia" w:ascii="黑体" w:hAnsi="黑体" w:eastAsia="黑体" w:cs="黑体"/>
              <w:bCs w:val="0"/>
              <w:sz w:val="32"/>
              <w:szCs w:val="32"/>
              <w:shd w:val="clear" w:color="auto" w:fill="FFFFFF"/>
              <w:lang w:eastAsia="zh-CN"/>
            </w:rPr>
            <w:t>2025年度</w:t>
          </w:r>
          <w:r>
            <w:rPr>
              <w:rFonts w:hint="eastAsia" w:ascii="黑体" w:hAnsi="黑体" w:eastAsia="黑体" w:cs="黑体"/>
              <w:bCs w:val="0"/>
              <w:sz w:val="32"/>
              <w:szCs w:val="32"/>
              <w:shd w:val="clear" w:color="auto" w:fill="FFFFFF"/>
            </w:rPr>
            <w:t>单位决算情况说明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_Toc6751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4C238E89">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_Toc7932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一、 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_Toc7932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3EDAE129">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_Toc2987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_Toc2987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5148B94B">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_Toc28857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三、支出决算情况说明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_Toc28857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- 17 -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5FCC0558">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_Toc12334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_Toc12334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476F7248">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_Toc5667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_Toc5667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- 18 -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46ADE11F">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_Toc26294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_Toc26294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2165EF4B">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_Toc24412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七、财政拨款“三公”经费财政拨款支出决算情况说明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_Toc24412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0A8378FF">
          <w:pPr>
            <w:pStyle w:val="14"/>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_Toc8512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sz w:val="32"/>
              <w:szCs w:val="32"/>
            </w:rPr>
            <w:t>（一）财政拨款“三公”经费支出决算总体情况说明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_Toc8512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35F37CE5">
          <w:pPr>
            <w:pStyle w:val="14"/>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_Toc22338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sz w:val="32"/>
              <w:szCs w:val="32"/>
            </w:rPr>
            <w:t>（二）财政拨款“三公”经费支出决算具体情况说明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_Toc22338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- 22 -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06E95557">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_Toc1186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_Toc1186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23625B33">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_Toc1789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九、国有资本经营预算支出决算情况说明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_Toc1789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- 24 -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76D941CD">
          <w:pPr>
            <w:pStyle w:val="19"/>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_Toc13926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bCs w:val="0"/>
              <w:sz w:val="32"/>
              <w:szCs w:val="32"/>
            </w:rPr>
            <w:t>十、其他重要事项的情况说明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_Toc13926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6ED7E1A3">
          <w:pPr>
            <w:pStyle w:val="14"/>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_Toc17133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sz w:val="32"/>
              <w:szCs w:val="32"/>
            </w:rPr>
            <w:t>（一）机关运行经费支出情况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_Toc17133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1E17A9AC">
          <w:pPr>
            <w:pStyle w:val="14"/>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_Toc21120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sz w:val="32"/>
              <w:szCs w:val="32"/>
            </w:rPr>
            <w:t>（二）政府采购支出情况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_Toc21120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1511F5A8">
          <w:pPr>
            <w:pStyle w:val="14"/>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_Toc13310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sz w:val="32"/>
              <w:szCs w:val="32"/>
            </w:rPr>
            <w:t>（三）国有资产占有使用情况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_Toc13310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- 25 -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50486BB9">
          <w:pPr>
            <w:pStyle w:val="14"/>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_Toc4047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仿宋_GB2312" w:hAnsi="仿宋_GB2312" w:eastAsia="仿宋_GB2312" w:cs="仿宋_GB2312"/>
              <w:sz w:val="32"/>
              <w:szCs w:val="32"/>
            </w:rPr>
            <w:t>（四）预算绩效管理情况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_Toc4047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3DAB2256">
          <w:pPr>
            <w:pStyle w:val="17"/>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_Toc10416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黑体" w:hAnsi="黑体" w:eastAsia="黑体" w:cs="黑体"/>
              <w:bCs w:val="0"/>
              <w:sz w:val="32"/>
              <w:szCs w:val="32"/>
            </w:rPr>
            <w:t>第三部分 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_Toc10416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- 26 -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1E08A521">
          <w:pPr>
            <w:pStyle w:val="17"/>
            <w:tabs>
              <w:tab w:val="right" w:leader="dot" w:pos="8854"/>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_Toc4483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黑体" w:hAnsi="黑体" w:eastAsia="黑体" w:cs="黑体"/>
              <w:bCs w:val="0"/>
              <w:kern w:val="44"/>
              <w:sz w:val="32"/>
              <w:szCs w:val="32"/>
              <w:lang w:val="en-US" w:eastAsia="zh-CN" w:bidi="ar-SA"/>
            </w:rPr>
            <w:t xml:space="preserve">第四部分  </w:t>
          </w:r>
          <w:r>
            <w:rPr>
              <w:rFonts w:hint="eastAsia" w:ascii="黑体" w:hAnsi="黑体" w:eastAsia="黑体" w:cs="黑体"/>
              <w:bCs w:val="0"/>
              <w:sz w:val="32"/>
              <w:szCs w:val="32"/>
            </w:rPr>
            <w:t>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_Toc4483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- 31 -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6D5DC552">
          <w:pPr>
            <w:pStyle w:val="17"/>
            <w:tabs>
              <w:tab w:val="right" w:leader="dot" w:pos="8854"/>
            </w:tabs>
          </w:pPr>
          <w:r>
            <w:rPr>
              <w:rFonts w:hint="eastAsia" w:ascii="仿宋_GB2312" w:hAnsi="仿宋_GB2312" w:eastAsia="仿宋_GB2312" w:cs="仿宋_GB2312"/>
              <w:sz w:val="32"/>
              <w:szCs w:val="32"/>
              <w:shd w:val="clear" w:color="auto" w:fill="FFFFFF"/>
              <w:lang w:val="en-US" w:eastAsia="zh-CN" w:bidi="ar-SA"/>
            </w:rPr>
            <w:fldChar w:fldCharType="begin"/>
          </w:r>
          <w:r>
            <w:rPr>
              <w:rFonts w:hint="eastAsia" w:ascii="仿宋_GB2312" w:hAnsi="仿宋_GB2312" w:eastAsia="仿宋_GB2312" w:cs="仿宋_GB2312"/>
              <w:sz w:val="32"/>
              <w:szCs w:val="32"/>
              <w:shd w:val="clear" w:color="auto" w:fill="FFFFFF"/>
              <w:lang w:val="en-US" w:eastAsia="zh-CN" w:bidi="ar-SA"/>
            </w:rPr>
            <w:instrText xml:space="preserve"> HYPERLINK \l _Toc21334 </w:instrText>
          </w:r>
          <w:r>
            <w:rPr>
              <w:rFonts w:hint="eastAsia" w:ascii="仿宋_GB2312" w:hAnsi="仿宋_GB2312" w:eastAsia="仿宋_GB2312" w:cs="仿宋_GB2312"/>
              <w:sz w:val="32"/>
              <w:szCs w:val="32"/>
              <w:shd w:val="clear" w:color="auto" w:fill="FFFFFF"/>
              <w:lang w:val="en-US" w:eastAsia="zh-CN" w:bidi="ar-SA"/>
            </w:rPr>
            <w:fldChar w:fldCharType="separate"/>
          </w:r>
          <w:r>
            <w:rPr>
              <w:rFonts w:hint="eastAsia" w:ascii="黑体" w:hAnsi="黑体" w:eastAsia="黑体" w:cs="黑体"/>
              <w:kern w:val="2"/>
              <w:sz w:val="32"/>
              <w:szCs w:val="32"/>
              <w:highlight w:val="none"/>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_Toc21334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- 90 -</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shd w:val="clear" w:color="auto" w:fill="FFFFFF"/>
              <w:lang w:val="en-US" w:eastAsia="zh-CN" w:bidi="ar-SA"/>
            </w:rPr>
            <w:fldChar w:fldCharType="end"/>
          </w:r>
        </w:p>
        <w:p w14:paraId="12FAA43F">
          <w:pPr>
            <w:pStyle w:val="20"/>
            <w:spacing w:before="0" w:beforeAutospacing="0"/>
            <w:rPr>
              <w:rFonts w:hint="eastAsia" w:ascii="黑体" w:hAnsi="黑体" w:eastAsia="黑体" w:cs="黑体"/>
              <w:sz w:val="24"/>
              <w:szCs w:val="36"/>
              <w:shd w:val="clear" w:color="auto" w:fill="FFFFFF"/>
              <w:lang w:val="en-US" w:eastAsia="zh-CN" w:bidi="ar-SA"/>
            </w:rPr>
            <w:sectPr>
              <w:footerReference r:id="rId6" w:type="default"/>
              <w:pgSz w:w="11915" w:h="16851"/>
              <w:pgMar w:top="2098" w:right="1474" w:bottom="1984" w:left="1587" w:header="851" w:footer="992" w:gutter="0"/>
              <w:pgNumType w:fmt="numberInDash" w:start="1"/>
              <w:cols w:space="720" w:num="1"/>
              <w:docGrid w:type="lines" w:linePitch="312" w:charSpace="0"/>
            </w:sectPr>
          </w:pPr>
          <w:r>
            <w:rPr>
              <w:rFonts w:hint="eastAsia" w:ascii="黑体" w:hAnsi="黑体" w:eastAsia="黑体" w:cs="黑体"/>
              <w:szCs w:val="36"/>
              <w:shd w:val="clear" w:color="auto" w:fill="FFFFFF"/>
              <w:lang w:val="en-US" w:eastAsia="zh-CN" w:bidi="ar-SA"/>
            </w:rPr>
            <w:fldChar w:fldCharType="end"/>
          </w:r>
        </w:p>
      </w:sdtContent>
    </w:sdt>
    <w:p w14:paraId="5E7063D0">
      <w:pPr>
        <w:pStyle w:val="7"/>
        <w:numPr>
          <w:ilvl w:val="0"/>
          <w:numId w:val="0"/>
        </w:numPr>
        <w:jc w:val="center"/>
        <w:rPr>
          <w:rStyle w:val="33"/>
          <w:rFonts w:hint="eastAsia" w:ascii="Times New Roman" w:hAnsi="Times New Roman" w:eastAsia="方正小标宋简体" w:cs="方正小标宋简体"/>
          <w:b w:val="0"/>
          <w:bCs w:val="0"/>
          <w:color w:val="auto"/>
          <w:highlight w:val="none"/>
        </w:rPr>
      </w:pPr>
      <w:bookmarkStart w:id="6" w:name="_Toc13282"/>
      <w:r>
        <w:rPr>
          <w:rFonts w:hint="eastAsia" w:ascii="Times New Roman" w:hAnsi="Times New Roman" w:eastAsia="方正小标宋简体" w:cs="方正小标宋简体"/>
          <w:b w:val="0"/>
          <w:bCs w:val="0"/>
          <w:color w:val="auto"/>
          <w:kern w:val="44"/>
          <w:sz w:val="48"/>
          <w:szCs w:val="48"/>
          <w:lang w:val="en-US" w:eastAsia="zh-CN" w:bidi="ar-SA"/>
        </w:rPr>
        <w:t>第一部分</w:t>
      </w:r>
      <w:r>
        <w:rPr>
          <w:rFonts w:hint="eastAsia" w:ascii="Times New Roman" w:hAnsi="Times New Roman" w:eastAsia="方正小标宋简体" w:cs="方正小标宋简体"/>
          <w:b w:val="0"/>
          <w:color w:val="auto"/>
          <w:highlight w:val="none"/>
        </w:rPr>
        <w:t xml:space="preserve"> </w:t>
      </w:r>
      <w:r>
        <w:rPr>
          <w:rFonts w:hint="eastAsia" w:ascii="Times New Roman" w:hAnsi="Times New Roman" w:eastAsia="方正小标宋简体" w:cs="方正小标宋简体"/>
          <w:b w:val="0"/>
          <w:color w:val="auto"/>
          <w:highlight w:val="none"/>
          <w:lang w:val="en-US" w:eastAsia="zh-CN"/>
        </w:rPr>
        <w:t xml:space="preserve"> </w:t>
      </w:r>
      <w:r>
        <w:rPr>
          <w:rStyle w:val="33"/>
          <w:rFonts w:hint="eastAsia" w:ascii="Times New Roman" w:hAnsi="Times New Roman" w:eastAsia="方正小标宋简体" w:cs="方正小标宋简体"/>
          <w:b w:val="0"/>
          <w:bCs w:val="0"/>
          <w:color w:val="auto"/>
          <w:highlight w:val="none"/>
        </w:rPr>
        <w:t>部门概况</w:t>
      </w:r>
      <w:bookmarkEnd w:id="6"/>
    </w:p>
    <w:p w14:paraId="39F04AEF">
      <w:pPr>
        <w:numPr>
          <w:ilvl w:val="0"/>
          <w:numId w:val="0"/>
        </w:numPr>
        <w:rPr>
          <w:rFonts w:hint="eastAsia" w:ascii="黑体" w:hAnsi="黑体" w:eastAsia="黑体" w:cs="黑体"/>
          <w:sz w:val="32"/>
          <w:szCs w:val="32"/>
        </w:rPr>
      </w:pPr>
    </w:p>
    <w:p w14:paraId="76788EFB">
      <w:pPr>
        <w:pStyle w:val="8"/>
        <w:numPr>
          <w:ilvl w:val="0"/>
          <w:numId w:val="0"/>
        </w:numPr>
        <w:spacing w:before="0" w:beforeAutospacing="0" w:after="0" w:afterAutospacing="0" w:line="560" w:lineRule="exact"/>
        <w:ind w:firstLine="640" w:firstLineChars="200"/>
        <w:rPr>
          <w:rFonts w:ascii="黑体" w:hAnsi="黑体" w:eastAsia="黑体" w:cs="黑体"/>
          <w:b w:val="0"/>
          <w:bCs w:val="0"/>
          <w:sz w:val="32"/>
          <w:szCs w:val="32"/>
          <w:shd w:val="clear" w:color="auto" w:fill="FFFFFF"/>
        </w:rPr>
      </w:pPr>
      <w:bookmarkStart w:id="7" w:name="_Toc12723"/>
      <w:r>
        <w:rPr>
          <w:rFonts w:hint="eastAsia" w:ascii="黑体" w:hAnsi="黑体" w:eastAsia="黑体" w:cs="黑体"/>
          <w:b w:val="0"/>
          <w:bCs w:val="0"/>
          <w:sz w:val="32"/>
          <w:szCs w:val="32"/>
          <w:shd w:val="clear" w:fill="FFFFFF"/>
          <w:lang w:val="en-US" w:eastAsia="zh-CN" w:bidi="ar-SA"/>
        </w:rPr>
        <w:t>一、</w:t>
      </w:r>
      <w:r>
        <w:rPr>
          <w:rFonts w:hint="eastAsia" w:ascii="黑体" w:hAnsi="黑体" w:eastAsia="黑体" w:cs="黑体"/>
          <w:b w:val="0"/>
          <w:bCs w:val="0"/>
          <w:sz w:val="32"/>
          <w:szCs w:val="32"/>
          <w:shd w:val="clear" w:color="auto" w:fill="FFFFFF"/>
          <w:lang w:val="en-US" w:eastAsia="zh-CN"/>
        </w:rPr>
        <w:t>部门</w:t>
      </w:r>
      <w:r>
        <w:rPr>
          <w:rFonts w:ascii="黑体" w:hAnsi="黑体" w:eastAsia="黑体" w:cs="黑体"/>
          <w:b w:val="0"/>
          <w:bCs w:val="0"/>
          <w:sz w:val="32"/>
          <w:szCs w:val="32"/>
          <w:shd w:val="clear" w:color="auto" w:fill="FFFFFF"/>
        </w:rPr>
        <w:t>职责</w:t>
      </w:r>
      <w:bookmarkEnd w:id="7"/>
    </w:p>
    <w:p w14:paraId="0A1226A7">
      <w:pPr>
        <w:pStyle w:val="9"/>
        <w:keepNext/>
        <w:keepLines/>
        <w:pageBreakBefore w:val="0"/>
        <w:widowControl/>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rPr>
      </w:pPr>
      <w:bookmarkStart w:id="8" w:name="_Toc9751"/>
      <w:bookmarkStart w:id="9" w:name="_Toc23598"/>
      <w:r>
        <w:rPr>
          <w:rFonts w:hint="eastAsia" w:ascii="楷体" w:hAnsi="楷体" w:eastAsia="楷体" w:cs="楷体"/>
        </w:rPr>
        <w:t>（一）主要职能。</w:t>
      </w:r>
      <w:bookmarkEnd w:id="8"/>
      <w:bookmarkEnd w:id="9"/>
    </w:p>
    <w:p w14:paraId="756184B2">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0" w:name="_Toc7275"/>
      <w:r>
        <w:rPr>
          <w:rFonts w:hint="eastAsia" w:ascii="仿宋_GB2312" w:hAnsi="仿宋_GB2312" w:eastAsia="仿宋_GB2312" w:cs="仿宋_GB2312"/>
          <w:sz w:val="32"/>
          <w:szCs w:val="32"/>
        </w:rPr>
        <w:t>1.负责贯彻落实国家、省、州生态环境基本制度。组织编制县域环境功能区划，会同有关部门编制并监督实施重点区域、流域、饮用水水源地生态环境规划和水功能区划。参与制定与我县生态环境相关的经济、技术、资源配置和产业政策。</w:t>
      </w:r>
      <w:bookmarkEnd w:id="10"/>
    </w:p>
    <w:p w14:paraId="392C8B10">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县域重大生态环境问题的统筹协调和监督管理。牵头协调对县突发生态环境事件和生态破坏事件的调查处理，指导协调县对重特大突发生态环境事件的应急、预警工作，协调指导生态环境损害赔偿制度的实施。参与协调有关跨区域环境污染纠纷，解决有关跨县环境污染纠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统筹协调辖区内重点区域、流域生态环境保护工作。</w:t>
      </w:r>
    </w:p>
    <w:p w14:paraId="7CDFBBF3">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1" w:name="_Toc9061"/>
      <w:r>
        <w:rPr>
          <w:rFonts w:hint="eastAsia" w:ascii="仿宋_GB2312" w:hAnsi="仿宋_GB2312" w:eastAsia="仿宋_GB2312" w:cs="仿宋_GB2312"/>
          <w:sz w:val="32"/>
          <w:szCs w:val="32"/>
        </w:rPr>
        <w:t>3.负责落实县污染物减排工作。完成县污染物减排任务，落实排污许可制度，确定大气、水等环境纳污功能，组织实施中央、省、州总量控制的污染物名称和控制指标，实施生态环境保护目标责任制。</w:t>
      </w:r>
      <w:bookmarkEnd w:id="11"/>
    </w:p>
    <w:p w14:paraId="2E3A62FF">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2" w:name="_Toc28566"/>
      <w:r>
        <w:rPr>
          <w:rFonts w:hint="eastAsia" w:ascii="仿宋_GB2312" w:hAnsi="仿宋_GB2312" w:eastAsia="仿宋_GB2312" w:cs="仿宋_GB2312"/>
          <w:sz w:val="32"/>
          <w:szCs w:val="32"/>
        </w:rPr>
        <w:t>4.负责县环境污染防治的监督管理。负责大气、水、土壤、噪声、光、恶臭、固体废物、化学品、机动车等的污染防治工作。会同有关部门监督管理饮用水水源地生态环境保护工作，参与指导城乡生态环境综合整治工作，指导全县垃圾分类工作，监督指导农业面源污染治理工作。监督指导区域大气环境保护工作，牵头建立区域大气污染联防联控</w:t>
      </w:r>
      <w:r>
        <w:rPr>
          <w:rFonts w:hint="eastAsia" w:ascii="仿宋_GB2312" w:hAnsi="仿宋_GB2312" w:eastAsia="仿宋_GB2312" w:cs="仿宋_GB2312"/>
          <w:sz w:val="32"/>
          <w:szCs w:val="32"/>
          <w:lang w:eastAsia="zh-CN"/>
        </w:rPr>
        <w:t>协作</w:t>
      </w:r>
      <w:r>
        <w:rPr>
          <w:rFonts w:hint="eastAsia" w:ascii="仿宋_GB2312" w:hAnsi="仿宋_GB2312" w:eastAsia="仿宋_GB2312" w:cs="仿宋_GB2312"/>
          <w:sz w:val="32"/>
          <w:szCs w:val="32"/>
        </w:rPr>
        <w:t>机制并监督实施。</w:t>
      </w:r>
      <w:bookmarkEnd w:id="12"/>
    </w:p>
    <w:p w14:paraId="10F4A516">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3" w:name="_Toc32534"/>
      <w:r>
        <w:rPr>
          <w:rFonts w:hint="eastAsia" w:ascii="仿宋_GB2312" w:hAnsi="仿宋_GB2312" w:eastAsia="仿宋_GB2312" w:cs="仿宋_GB2312"/>
          <w:sz w:val="32"/>
          <w:szCs w:val="32"/>
        </w:rPr>
        <w:t>5.指导协调和监督生态保护修复工作。组织编制全县生态环境保护规划，监督对生态环境有影响的自然资源开发利用活动、重要生态环境建设和生态破坏恢复工作。组织监督检查全县各类自然保护地生态环境监管制度的执法。组织开展各类生态示范创建工作。监督野生动植物保护、湿地生态环境保护、荒漠化防治等工作。指导协调和监督农村生态环境保护，监督生物技术环境安全，牵头生物物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含遗传资源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管理工作，组织协调生物多样性保护工作。参与生态保护补偿工作。</w:t>
      </w:r>
      <w:bookmarkEnd w:id="13"/>
    </w:p>
    <w:p w14:paraId="146DE54E">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4" w:name="_Toc28172"/>
      <w:r>
        <w:rPr>
          <w:rFonts w:hint="eastAsia" w:ascii="仿宋_GB2312" w:hAnsi="仿宋_GB2312" w:eastAsia="仿宋_GB2312" w:cs="仿宋_GB2312"/>
          <w:sz w:val="32"/>
          <w:szCs w:val="32"/>
        </w:rPr>
        <w:t>6.负责全县核与辐射安全的监督管理。监督实施国家、省、州核与辐射安全政策、规划、标准、法规和规章。牵头负责全县核安全工作协调机制有关工作，负责辐射环境事故应急处理工作，参与核事故应急处理。监督管理放射源与射线装置安全，监督管理全县核技术应用、电磁辐射、伴有放射性矿产资源开发利用中的污染防治，参与核设施安全监督管理相关工作。</w:t>
      </w:r>
      <w:bookmarkEnd w:id="14"/>
    </w:p>
    <w:p w14:paraId="5702B089">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5" w:name="_Toc7090"/>
      <w:r>
        <w:rPr>
          <w:rFonts w:hint="eastAsia" w:ascii="仿宋_GB2312" w:hAnsi="仿宋_GB2312" w:eastAsia="仿宋_GB2312" w:cs="仿宋_GB2312"/>
          <w:sz w:val="32"/>
          <w:szCs w:val="32"/>
        </w:rPr>
        <w:t>7.负责全县生态环境监测工作。贯彻执行国家、省生态环境监测制度和规范，严格落实生态环境监测地方标准。会同有关部门统一规划全县生态环境质量监测站点设置，组织实施生态环境质量监测、污染源监督性监测、应急监测。组织对全县生态环境质量状况进行调查评价、预警预测，配合州生态环境局建设生态环境监测网和生态环境信息网。负责全县生态环境</w:t>
      </w:r>
      <w:r>
        <w:rPr>
          <w:rFonts w:hint="eastAsia" w:ascii="仿宋_GB2312" w:hAnsi="仿宋_GB2312" w:eastAsia="仿宋_GB2312" w:cs="仿宋_GB2312"/>
          <w:sz w:val="32"/>
          <w:szCs w:val="32"/>
          <w:lang w:eastAsia="zh-CN"/>
        </w:rPr>
        <w:t>治理</w:t>
      </w:r>
      <w:r>
        <w:rPr>
          <w:rFonts w:hint="eastAsia" w:ascii="仿宋_GB2312" w:hAnsi="仿宋_GB2312" w:eastAsia="仿宋_GB2312" w:cs="仿宋_GB2312"/>
          <w:sz w:val="32"/>
          <w:szCs w:val="32"/>
        </w:rPr>
        <w:t>考核和生态环境统计工作。建立和实行生态环境质量公告制度，统一发布全县生态环境综合性报告和重大环境信息。</w:t>
      </w:r>
      <w:bookmarkEnd w:id="15"/>
    </w:p>
    <w:p w14:paraId="1D3B5163">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6" w:name="_Toc27224"/>
      <w:r>
        <w:rPr>
          <w:rFonts w:hint="eastAsia" w:ascii="仿宋_GB2312" w:hAnsi="仿宋_GB2312" w:eastAsia="仿宋_GB2312" w:cs="仿宋_GB2312"/>
          <w:sz w:val="32"/>
          <w:szCs w:val="32"/>
        </w:rPr>
        <w:t>8.负责应对气候变化工作。组织实施国家、省、州应对气候变化及温室气体减排重大战略、规划和政策，组织拟定全县应对气候变化的规划和政策措施。</w:t>
      </w:r>
      <w:bookmarkEnd w:id="16"/>
    </w:p>
    <w:p w14:paraId="07ADFFBC">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7" w:name="_Toc25103"/>
      <w:r>
        <w:rPr>
          <w:rFonts w:hint="eastAsia" w:ascii="仿宋_GB2312" w:hAnsi="仿宋_GB2312" w:eastAsia="仿宋_GB2312" w:cs="仿宋_GB2312"/>
          <w:sz w:val="32"/>
          <w:szCs w:val="32"/>
        </w:rPr>
        <w:t>9.协调开展全县生态环境保护督察问题整改工作。组织协调迎接中央、省、州环境保护督察工作，建立健全生态环境保护督察制度，监督指导各有关部门整改落实中央、省、州环境保护督察反馈意见。</w:t>
      </w:r>
      <w:bookmarkEnd w:id="17"/>
    </w:p>
    <w:p w14:paraId="39388EB0">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8" w:name="_Toc20643"/>
      <w:r>
        <w:rPr>
          <w:rFonts w:hint="eastAsia" w:ascii="仿宋_GB2312" w:hAnsi="仿宋_GB2312" w:eastAsia="仿宋_GB2312" w:cs="仿宋_GB2312"/>
          <w:sz w:val="32"/>
          <w:szCs w:val="32"/>
        </w:rPr>
        <w:t>10.负责县生态环境监督执法。组织开展县生态环境保护执法检查。监督实施全县建设项目生态环境保护设施同时设计、同时施工、同时投产使用制度。查处全县重大生态环境违法问题。开展县生态环境保护综合执法队伍建设和业务工作。</w:t>
      </w:r>
      <w:bookmarkEnd w:id="18"/>
    </w:p>
    <w:p w14:paraId="49C6C30A">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19" w:name="_Toc16818"/>
      <w:r>
        <w:rPr>
          <w:rFonts w:hint="eastAsia" w:ascii="仿宋_GB2312" w:hAnsi="仿宋_GB2312" w:eastAsia="仿宋_GB2312" w:cs="仿宋_GB2312"/>
          <w:sz w:val="32"/>
          <w:szCs w:val="32"/>
        </w:rPr>
        <w:t>11.组织全县生态环境宣传教育工作。制定并组织实施全县生态环境保护宣传教育有关规划和计划。推动社会组织和公众参与生态环境保护。会同有关部门依法对全县保护和改善生态环境有显著成绩的单位和个人给予表彰和奖励。</w:t>
      </w:r>
      <w:bookmarkEnd w:id="19"/>
    </w:p>
    <w:p w14:paraId="69352CF3">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20" w:name="_Toc15954"/>
      <w:r>
        <w:rPr>
          <w:rFonts w:hint="eastAsia" w:ascii="仿宋_GB2312" w:hAnsi="仿宋_GB2312" w:eastAsia="仿宋_GB2312" w:cs="仿宋_GB2312"/>
          <w:sz w:val="32"/>
          <w:szCs w:val="32"/>
        </w:rPr>
        <w:t>12.开展生态环境对外合作交流。参与协调县内重要生态环境保护国际活动和区域合作，管理全县生态环境系统对外合作，参与处理涉外生态环境事务。</w:t>
      </w:r>
      <w:bookmarkEnd w:id="20"/>
    </w:p>
    <w:p w14:paraId="380A49B5">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21" w:name="_Toc1661"/>
      <w:r>
        <w:rPr>
          <w:rFonts w:hint="eastAsia" w:ascii="仿宋_GB2312" w:hAnsi="仿宋_GB2312" w:eastAsia="仿宋_GB2312" w:cs="仿宋_GB2312"/>
          <w:sz w:val="32"/>
          <w:szCs w:val="32"/>
        </w:rPr>
        <w:t>13.负责职责范围内的安全生产和职业健康、审批服务便民化等工作。</w:t>
      </w:r>
      <w:bookmarkEnd w:id="21"/>
    </w:p>
    <w:p w14:paraId="7DBA8003">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22" w:name="_Toc11149"/>
      <w:r>
        <w:rPr>
          <w:rFonts w:hint="eastAsia" w:ascii="仿宋_GB2312" w:hAnsi="仿宋_GB2312" w:eastAsia="仿宋_GB2312" w:cs="仿宋_GB2312"/>
          <w:sz w:val="32"/>
          <w:szCs w:val="32"/>
        </w:rPr>
        <w:t>14.统一行使全县生态和城乡各类污染排放监管与行政执法职责，统一负责全县生态环境质量监测、调查评价和考核，切实履行监管责任，加强事中事后监管，全面落实大气、水、土壤污染防治行动计划，强化固体废物、化学品、重金属污染防治监督管理。构建政府为主导、企业为主体、社会组织和公众共同参与的生态环境治理体系，试行最严格的生态环境保护制度，严守生态保护红线和环境质量底线，坚决打好污染防治攻坚战，</w:t>
      </w:r>
      <w:r>
        <w:rPr>
          <w:rFonts w:hint="eastAsia" w:ascii="仿宋_GB2312" w:hAnsi="仿宋_GB2312" w:eastAsia="仿宋_GB2312" w:cs="仿宋_GB2312"/>
          <w:sz w:val="32"/>
          <w:szCs w:val="32"/>
          <w:lang w:eastAsia="zh-CN"/>
        </w:rPr>
        <w:t>筑牢</w:t>
      </w:r>
      <w:r>
        <w:rPr>
          <w:rFonts w:hint="eastAsia" w:ascii="仿宋_GB2312" w:hAnsi="仿宋_GB2312" w:eastAsia="仿宋_GB2312" w:cs="仿宋_GB2312"/>
          <w:sz w:val="32"/>
          <w:szCs w:val="32"/>
        </w:rPr>
        <w:t>长江上游生态屏障，保障国家生态安全。</w:t>
      </w:r>
      <w:bookmarkEnd w:id="22"/>
    </w:p>
    <w:p w14:paraId="76CDFC6E">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15.完成县委、县政府和州生态环境局交办的其他任务。</w:t>
      </w:r>
    </w:p>
    <w:p w14:paraId="575A0637">
      <w:pPr>
        <w:pStyle w:val="9"/>
        <w:keepNext/>
        <w:keepLines/>
        <w:pageBreakBefore w:val="0"/>
        <w:widowControl/>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rPr>
      </w:pPr>
      <w:bookmarkStart w:id="23" w:name="_Toc6355"/>
      <w:r>
        <w:rPr>
          <w:rFonts w:hint="eastAsia" w:ascii="楷体" w:hAnsi="楷体" w:eastAsia="楷体" w:cs="楷体"/>
        </w:rPr>
        <w:t>（二）</w:t>
      </w:r>
      <w:r>
        <w:rPr>
          <w:rFonts w:hint="eastAsia" w:ascii="楷体" w:hAnsi="楷体" w:eastAsia="楷体" w:cs="楷体"/>
          <w:lang w:eastAsia="zh-CN"/>
        </w:rPr>
        <w:t>2025年度</w:t>
      </w:r>
      <w:r>
        <w:rPr>
          <w:rFonts w:hint="eastAsia" w:ascii="楷体" w:hAnsi="楷体" w:eastAsia="楷体" w:cs="楷体"/>
        </w:rPr>
        <w:t>重点工作完成情况。</w:t>
      </w:r>
      <w:bookmarkEnd w:id="23"/>
    </w:p>
    <w:p w14:paraId="39804399">
      <w:pPr>
        <w:pStyle w:val="15"/>
        <w:keepNext w:val="0"/>
        <w:keepLines w:val="0"/>
        <w:pageBreakBefore w:val="0"/>
        <w:widowControl w:val="0"/>
        <w:kinsoku/>
        <w:wordWrap/>
        <w:overflowPunct/>
        <w:topLinePunct w:val="0"/>
        <w:autoSpaceDE/>
        <w:autoSpaceDN/>
        <w:bidi w:val="0"/>
        <w:adjustRightInd/>
        <w:snapToGrid/>
        <w:spacing w:after="0" w:line="600" w:lineRule="exact"/>
        <w:ind w:left="0" w:leftChars="0" w:firstLine="358" w:firstLineChars="112"/>
        <w:textAlignment w:val="auto"/>
        <w:rPr>
          <w:rFonts w:hint="eastAsia" w:ascii="仿宋_GB2312" w:hAnsi="仿宋_GB2312" w:eastAsia="仿宋_GB2312" w:cs="仿宋_GB2312"/>
          <w:b w:val="0"/>
          <w:bCs w:val="0"/>
          <w:sz w:val="32"/>
          <w:szCs w:val="32"/>
        </w:rPr>
      </w:pPr>
      <w:bookmarkStart w:id="24" w:name="OLE_LINK4"/>
      <w:r>
        <w:rPr>
          <w:rFonts w:hint="eastAsia" w:ascii="Times New Roman" w:hAnsi="Times New Roman" w:eastAsia="仿宋_GB2312" w:cs="Times New Roman"/>
          <w:b w:val="0"/>
          <w:bCs w:val="0"/>
          <w:sz w:val="32"/>
          <w:szCs w:val="32"/>
          <w:lang w:val="en-US" w:eastAsia="zh-CN"/>
        </w:rPr>
        <w:t>2025年度</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color w:val="auto"/>
          <w:sz w:val="32"/>
          <w:szCs w:val="32"/>
          <w:lang w:val="en-US" w:eastAsia="zh-CN"/>
        </w:rPr>
        <w:t>在</w:t>
      </w:r>
      <w:r>
        <w:rPr>
          <w:rFonts w:hint="eastAsia" w:ascii="Times New Roman" w:hAnsi="Times New Roman" w:eastAsia="仿宋_GB2312" w:cs="Times New Roman"/>
          <w:b w:val="0"/>
          <w:bCs w:val="0"/>
          <w:color w:val="auto"/>
          <w:sz w:val="32"/>
          <w:szCs w:val="32"/>
          <w:lang w:val="en-US" w:eastAsia="zh-CN"/>
        </w:rPr>
        <w:t>县委、县政府</w:t>
      </w:r>
      <w:r>
        <w:rPr>
          <w:rFonts w:hint="default" w:ascii="Times New Roman" w:hAnsi="Times New Roman" w:eastAsia="仿宋_GB2312" w:cs="Times New Roman"/>
          <w:b w:val="0"/>
          <w:bCs w:val="0"/>
          <w:color w:val="auto"/>
          <w:sz w:val="32"/>
          <w:szCs w:val="32"/>
          <w:lang w:val="en-US" w:eastAsia="zh-CN"/>
        </w:rPr>
        <w:t>和州生态环境局的坚强领导下，黑水生态环境局始终以习近平新时代中国特色社会主义思想为指导，深入学习贯彻习近平生态文明思想，牢固树立“绿水青山就是金山银山”理念，紧紧锚定州委“1610”系统部署，深度融入县委“一地三县六区”与州局党组“一地一区”战略布局。严格落实总量减排刚性要求，以污染防治攻坚为抓手，狠抓生态文明建设、环保执法监管与专项整治行动，精准破解群众关切的突出环境问题，始终强化“上游意识”、扛起“上游责任”、作出“上游贡献”，推动全县生态环境质量持续向好，为“圣洁冰川·多彩黑水”建设厚植生态根基。</w:t>
      </w:r>
      <w:bookmarkEnd w:id="24"/>
    </w:p>
    <w:p w14:paraId="28D2BF7C">
      <w:pPr>
        <w:keepNext w:val="0"/>
        <w:keepLines w:val="0"/>
        <w:pageBreakBefore w:val="0"/>
        <w:widowControl w:val="0"/>
        <w:kinsoku/>
        <w:wordWrap/>
        <w:overflowPunct/>
        <w:topLinePunct w:val="0"/>
        <w:autoSpaceDE/>
        <w:autoSpaceDN/>
        <w:bidi w:val="0"/>
        <w:adjustRightInd/>
        <w:snapToGrid/>
        <w:spacing w:line="600" w:lineRule="exact"/>
        <w:ind w:firstLine="358" w:firstLineChars="112"/>
        <w:textAlignment w:val="auto"/>
        <w:rPr>
          <w:rFonts w:hint="default" w:ascii="Times New Roman" w:hAnsi="Times New Roman" w:eastAsia="仿宋_GB2312" w:cs="Times New Roman"/>
          <w:b w:val="0"/>
          <w:bCs w:val="0"/>
          <w:color w:val="000000"/>
          <w:sz w:val="32"/>
          <w:szCs w:val="32"/>
          <w:lang w:eastAsia="zh-CN" w:bidi="ar-SA"/>
        </w:rPr>
      </w:pPr>
      <w:r>
        <w:rPr>
          <w:rFonts w:hint="eastAsia" w:ascii="仿宋_GB2312" w:hAnsi="仿宋_GB2312" w:eastAsia="仿宋_GB2312" w:cs="仿宋_GB2312"/>
          <w:b w:val="0"/>
          <w:bCs w:val="0"/>
          <w:sz w:val="32"/>
          <w:szCs w:val="32"/>
        </w:rPr>
        <w:t>今年以来，我局</w:t>
      </w:r>
      <w:r>
        <w:rPr>
          <w:rFonts w:hint="default" w:ascii="Times New Roman" w:hAnsi="Times New Roman" w:eastAsia="仿宋_GB2312" w:cs="Times New Roman"/>
          <w:b w:val="0"/>
          <w:bCs w:val="0"/>
          <w:color w:val="000000"/>
          <w:sz w:val="32"/>
          <w:szCs w:val="32"/>
          <w:lang w:val="en-US" w:eastAsia="zh-CN"/>
        </w:rPr>
        <w:t>紧扣大气、水、土壤、</w:t>
      </w:r>
      <w:r>
        <w:rPr>
          <w:rFonts w:hint="eastAsia" w:eastAsia="仿宋_GB2312" w:cs="Times New Roman"/>
          <w:b w:val="0"/>
          <w:bCs w:val="0"/>
          <w:color w:val="000000"/>
          <w:sz w:val="32"/>
          <w:szCs w:val="32"/>
          <w:lang w:val="en-US" w:eastAsia="zh-CN"/>
        </w:rPr>
        <w:t>危废、</w:t>
      </w:r>
      <w:r>
        <w:rPr>
          <w:rFonts w:hint="default" w:ascii="Times New Roman" w:hAnsi="Times New Roman" w:eastAsia="仿宋_GB2312" w:cs="Times New Roman"/>
          <w:b w:val="0"/>
          <w:bCs w:val="0"/>
          <w:color w:val="000000"/>
          <w:sz w:val="32"/>
          <w:szCs w:val="32"/>
          <w:lang w:val="en-US" w:eastAsia="zh-CN"/>
        </w:rPr>
        <w:t>噪声污染防治重点环节，系统推进精准治污、科学治污、依法治污。一是狠抓大气污染防治，擦亮蓝天名片。紧盯扬尘管控、尾气治理、油烟整治等关键领域，常态化开展专项整治，</w:t>
      </w:r>
      <w:r>
        <w:rPr>
          <w:rStyle w:val="32"/>
          <w:rFonts w:hint="default" w:ascii="Times New Roman" w:hAnsi="Times New Roman" w:eastAsia="仿宋_GB2312" w:cs="Times New Roman"/>
          <w:b w:val="0"/>
          <w:bCs w:val="0"/>
          <w:color w:val="000000"/>
          <w:kern w:val="0"/>
          <w:sz w:val="32"/>
          <w:szCs w:val="32"/>
          <w:lang w:val="en-US" w:eastAsia="zh-CN"/>
        </w:rPr>
        <w:t>严格落实建筑工地扬尘控制“六个100%”。</w:t>
      </w:r>
      <w:r>
        <w:rPr>
          <w:rFonts w:hint="default" w:ascii="Times New Roman" w:hAnsi="Times New Roman" w:eastAsia="仿宋_GB2312" w:cs="Times New Roman"/>
          <w:b w:val="0"/>
          <w:bCs w:val="0"/>
          <w:color w:val="000000"/>
          <w:sz w:val="32"/>
          <w:szCs w:val="32"/>
          <w:lang w:val="en-US" w:eastAsia="zh-CN"/>
        </w:rPr>
        <w:t>县域环境空气质量优良天数比例100%，空气质量排名全州前二、全省前三。二是深化</w:t>
      </w:r>
      <w:r>
        <w:rPr>
          <w:rFonts w:hint="eastAsia" w:ascii="Times New Roman" w:hAnsi="Times New Roman" w:eastAsia="仿宋_GB2312" w:cs="Times New Roman"/>
          <w:b w:val="0"/>
          <w:bCs w:val="0"/>
          <w:color w:val="000000"/>
          <w:sz w:val="32"/>
          <w:szCs w:val="32"/>
          <w:lang w:val="en-US" w:eastAsia="zh-CN"/>
        </w:rPr>
        <w:t>水</w:t>
      </w:r>
      <w:r>
        <w:rPr>
          <w:rFonts w:hint="default" w:ascii="Times New Roman" w:hAnsi="Times New Roman" w:eastAsia="仿宋_GB2312" w:cs="Times New Roman"/>
          <w:b w:val="0"/>
          <w:bCs w:val="0"/>
          <w:color w:val="000000"/>
          <w:sz w:val="32"/>
          <w:szCs w:val="32"/>
          <w:lang w:val="en-US" w:eastAsia="zh-CN"/>
        </w:rPr>
        <w:t>体污染治理，守护碧水清流。聚焦河流流域治理、饮用水水源地保护，强化水质动态监测与隐患排查，县域内色尔古国控断面水质同比由Ⅱ类改善提升至Ⅰ类，水质达标率100%，谷汝沟县城集中式饮用水源地和14个乡镇饮用水源地，水质稳定达到Ⅲ类及以上标准，达标率100%。三是强化土壤污染风险管控，筑牢净土防线。</w:t>
      </w:r>
      <w:r>
        <w:rPr>
          <w:rFonts w:hint="default" w:ascii="Times New Roman" w:hAnsi="Times New Roman" w:eastAsia="仿宋_GB2312" w:cs="Times New Roman"/>
          <w:b w:val="0"/>
          <w:bCs w:val="0"/>
          <w:color w:val="000000"/>
          <w:sz w:val="32"/>
          <w:szCs w:val="32"/>
          <w:lang w:val="en-US" w:eastAsia="zh-CN" w:bidi="ar-SA"/>
        </w:rPr>
        <w:t>严</w:t>
      </w:r>
      <w:r>
        <w:rPr>
          <w:rFonts w:hint="default" w:ascii="Times New Roman" w:hAnsi="Times New Roman" w:eastAsia="仿宋_GB2312" w:cs="Times New Roman"/>
          <w:b w:val="0"/>
          <w:bCs w:val="0"/>
          <w:color w:val="000000"/>
          <w:sz w:val="32"/>
          <w:szCs w:val="32"/>
          <w:lang w:eastAsia="zh-CN" w:bidi="ar-SA"/>
        </w:rPr>
        <w:t>格落实建设用地和农用地分类管理，深化农业面源污染治理，受污染耕地安全利用率、污染地块安全利用率均稳定在100%，</w:t>
      </w:r>
      <w:r>
        <w:rPr>
          <w:rFonts w:hint="default" w:ascii="Times New Roman" w:hAnsi="Times New Roman" w:eastAsia="仿宋_GB2312" w:cs="Times New Roman"/>
          <w:b w:val="0"/>
          <w:bCs w:val="0"/>
          <w:color w:val="000000"/>
          <w:sz w:val="32"/>
          <w:szCs w:val="32"/>
          <w:lang w:val="en-US" w:eastAsia="zh-CN"/>
        </w:rPr>
        <w:t>无土壤污染事故发生。四是持续打好固废歼灭战，守牢环境底线。</w:t>
      </w:r>
      <w:r>
        <w:rPr>
          <w:rFonts w:hint="default" w:ascii="Times New Roman" w:hAnsi="Times New Roman" w:eastAsia="仿宋_GB2312" w:cs="Times New Roman"/>
          <w:b w:val="0"/>
          <w:bCs w:val="0"/>
          <w:color w:val="000000"/>
          <w:sz w:val="32"/>
          <w:szCs w:val="32"/>
          <w:highlight w:val="none"/>
          <w:lang w:val="en-US" w:eastAsia="zh-CN"/>
        </w:rPr>
        <w:t>持续强化危险废物规范化管理工作，督促指导水电、汽修、加油站等产废企业完成</w:t>
      </w:r>
      <w:r>
        <w:rPr>
          <w:rFonts w:hint="eastAsia" w:ascii="Times New Roman" w:hAnsi="Times New Roman" w:eastAsia="仿宋_GB2312" w:cs="Times New Roman"/>
          <w:b w:val="0"/>
          <w:bCs w:val="0"/>
          <w:color w:val="000000"/>
          <w:sz w:val="32"/>
          <w:szCs w:val="32"/>
          <w:highlight w:val="none"/>
          <w:lang w:val="en-US" w:eastAsia="zh-CN"/>
        </w:rPr>
        <w:t>2025年度</w:t>
      </w:r>
      <w:r>
        <w:rPr>
          <w:rFonts w:hint="default" w:ascii="Times New Roman" w:hAnsi="Times New Roman" w:eastAsia="仿宋_GB2312" w:cs="Times New Roman"/>
          <w:b w:val="0"/>
          <w:bCs w:val="0"/>
          <w:color w:val="000000"/>
          <w:sz w:val="32"/>
          <w:szCs w:val="32"/>
          <w:highlight w:val="none"/>
          <w:lang w:val="en-US" w:eastAsia="zh-CN"/>
        </w:rPr>
        <w:t>年报工作。加强一般固废管理工作，重点监管建筑垃圾、工业固废、污泥和农业废弃物处置情况，完成</w:t>
      </w:r>
      <w:r>
        <w:rPr>
          <w:rFonts w:hint="eastAsia" w:ascii="Times New Roman" w:hAnsi="Times New Roman" w:eastAsia="仿宋_GB2312" w:cs="Times New Roman"/>
          <w:b w:val="0"/>
          <w:bCs w:val="0"/>
          <w:color w:val="000000"/>
          <w:sz w:val="32"/>
          <w:szCs w:val="32"/>
          <w:highlight w:val="none"/>
          <w:lang w:val="en-US" w:eastAsia="zh-CN"/>
        </w:rPr>
        <w:t>2025年度</w:t>
      </w:r>
      <w:r>
        <w:rPr>
          <w:rFonts w:hint="default" w:ascii="Times New Roman" w:hAnsi="Times New Roman" w:eastAsia="仿宋_GB2312" w:cs="Times New Roman"/>
          <w:b w:val="0"/>
          <w:bCs w:val="0"/>
          <w:color w:val="000000"/>
          <w:sz w:val="32"/>
          <w:szCs w:val="32"/>
          <w:highlight w:val="none"/>
          <w:lang w:val="en-US" w:eastAsia="zh-CN"/>
        </w:rPr>
        <w:t>固体废物信息发布。加强医疗废物及核与辐射监督管理工作，督促医疗机构按要求储存医疗废物、按时转移医疗废物、按规定填报转移联单。</w:t>
      </w:r>
      <w:r>
        <w:rPr>
          <w:rFonts w:hint="default" w:ascii="Times New Roman" w:hAnsi="Times New Roman" w:eastAsia="仿宋_GB2312" w:cs="Times New Roman"/>
          <w:b w:val="0"/>
          <w:bCs w:val="0"/>
          <w:color w:val="000000"/>
          <w:sz w:val="32"/>
          <w:szCs w:val="32"/>
          <w:lang w:val="en-US" w:eastAsia="zh-CN"/>
        </w:rPr>
        <w:t>五是严控噪声污染整治，守护宁静空间。聚焦建筑施工、交通干线、商业经营等重点领域，健全噪声污染投诉处置机制，强化日常巡查监管，黑水县功能区噪声昼夜声级≤55分贝，区域声环境质量等级为二级，道路交通声环境等级为一级，声环境质量达标率100%</w:t>
      </w:r>
      <w:r>
        <w:rPr>
          <w:rFonts w:hint="default" w:ascii="Times New Roman" w:hAnsi="Times New Roman" w:eastAsia="仿宋_GB2312" w:cs="Times New Roman"/>
          <w:b w:val="0"/>
          <w:bCs w:val="0"/>
          <w:color w:val="000000"/>
          <w:sz w:val="32"/>
          <w:szCs w:val="32"/>
          <w:lang w:eastAsia="zh-CN" w:bidi="ar-SA"/>
        </w:rPr>
        <w:t>。</w:t>
      </w:r>
    </w:p>
    <w:p w14:paraId="2614207C">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default" w:ascii="仿宋_GB2312" w:hAnsi="仿宋_GB2312" w:eastAsia="仿宋_GB2312" w:cs="仿宋_GB2312"/>
          <w:sz w:val="32"/>
          <w:szCs w:val="32"/>
          <w:lang w:val="en-US" w:eastAsia="zh-CN"/>
        </w:rPr>
        <w:t>提升执法监测质效，强化环境监管能力</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一是严格生态环境执法，守牢环境安全底线。严格落实“双随机、一公开”制度，采取“四不两直”的方式，聚焦重点区域、重点行业，深入开展“六项活动”，共计出动执法人员144人次，检查点位100余个，共立案查处环境违法案件3件，罚款金额3.02万元；受理环境污染投诉、来信来访6件，均及时进行了办理，调查处理率和办结率达100％。二是建设监测实验阵地，提升数据支撑能力。高标准推进实验室标准化建设，配齐配强水质、大气、土壤等监测设备，完善监测质量控制体系。按照全州生态环境系统监测能力提升“1+2+13”构架要求，</w:t>
      </w:r>
      <w:r>
        <w:rPr>
          <w:rFonts w:hint="eastAsia" w:ascii="仿宋_GB2312" w:hAnsi="仿宋_GB2312" w:eastAsia="仿宋_GB2312" w:cs="仿宋_GB2312"/>
          <w:sz w:val="32"/>
          <w:szCs w:val="32"/>
          <w:lang w:eastAsia="zh-CN"/>
        </w:rPr>
        <w:t>2025年度</w:t>
      </w:r>
      <w:r>
        <w:rPr>
          <w:rFonts w:hint="eastAsia" w:ascii="仿宋_GB2312" w:hAnsi="仿宋_GB2312" w:eastAsia="仿宋_GB2312" w:cs="仿宋_GB2312"/>
          <w:sz w:val="32"/>
          <w:szCs w:val="32"/>
        </w:rPr>
        <w:t>，已协调实验室用房，并向上争取了行业资金400.00万元，用于实验室改造和监测设备设施购买，完成了实验室建设项目的可研评审。三是强化人员素能提升，锻造专业监管队伍。制定常态化业务培训计划，围绕执法流程、监测技术、法规标准等内容开展专题培训和实操演练。组织业务骨干外出交流学习，借鉴先进经验做法，提升干部职工的专业素养和履职能力，打造一支政治过硬、业务精湛、作风优良的生态环境监管队伍，</w:t>
      </w:r>
      <w:r>
        <w:rPr>
          <w:rFonts w:hint="eastAsia" w:ascii="仿宋_GB2312" w:hAnsi="仿宋_GB2312" w:eastAsia="仿宋_GB2312" w:cs="仿宋_GB2312"/>
          <w:sz w:val="32"/>
          <w:szCs w:val="32"/>
          <w:lang w:eastAsia="zh-CN"/>
        </w:rPr>
        <w:t>2025年度</w:t>
      </w:r>
      <w:r>
        <w:rPr>
          <w:rFonts w:hint="eastAsia" w:ascii="仿宋_GB2312" w:hAnsi="仿宋_GB2312" w:eastAsia="仿宋_GB2312" w:cs="仿宋_GB2312"/>
          <w:sz w:val="32"/>
          <w:szCs w:val="32"/>
        </w:rPr>
        <w:t>已分批次派人员分别到绵阳、眉山等地跟班学习。</w:t>
      </w:r>
    </w:p>
    <w:p w14:paraId="5ADD6522">
      <w:pPr>
        <w:keepNext w:val="0"/>
        <w:keepLines w:val="0"/>
        <w:pageBreakBefore w:val="0"/>
        <w:numPr>
          <w:ilvl w:val="0"/>
          <w:numId w:val="0"/>
        </w:numPr>
        <w:kinsoku/>
        <w:wordWrap/>
        <w:overflowPunct/>
        <w:topLinePunct w:val="0"/>
        <w:autoSpaceDE w:val="0"/>
        <w:autoSpaceDN/>
        <w:bidi w:val="0"/>
        <w:adjustRightInd/>
        <w:snapToGrid/>
        <w:spacing w:beforeAutospacing="0" w:afterAutospacing="0" w:line="600" w:lineRule="exact"/>
        <w:ind w:firstLine="358" w:firstLineChars="112"/>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抓实督察问题整改，压实生态保护责任</w:t>
      </w:r>
      <w:r>
        <w:rPr>
          <w:rFonts w:hint="eastAsia" w:ascii="Times New Roman" w:hAnsi="Times New Roman" w:eastAsia="仿宋_GB2312" w:cs="Times New Roman"/>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坚持问题导向，严格落实“责任制+清单制+销号制”，坚决做到问题整改到位、成果巩固到位、机制建立到位。</w:t>
      </w:r>
    </w:p>
    <w:p w14:paraId="0B4E1A21">
      <w:pPr>
        <w:pStyle w:val="6"/>
        <w:keepNext w:val="0"/>
        <w:keepLines w:val="0"/>
        <w:pageBreakBefore w:val="0"/>
        <w:widowControl w:val="0"/>
        <w:kinsoku/>
        <w:wordWrap/>
        <w:overflowPunct/>
        <w:topLinePunct w:val="0"/>
        <w:autoSpaceDE/>
        <w:autoSpaceDN/>
        <w:bidi w:val="0"/>
        <w:adjustRightInd/>
        <w:snapToGrid/>
        <w:spacing w:line="600" w:lineRule="exact"/>
        <w:ind w:firstLine="358" w:firstLineChars="112"/>
        <w:textAlignment w:val="auto"/>
        <w:rPr>
          <w:rFonts w:hint="default" w:ascii="Times New Roman" w:hAnsi="Times New Roman" w:eastAsia="仿宋_GB2312" w:cs="Times New Roman"/>
          <w:b w:val="0"/>
          <w:bCs w:val="0"/>
          <w:color w:val="auto"/>
          <w:sz w:val="32"/>
          <w:szCs w:val="32"/>
          <w:lang w:val="en-US" w:eastAsia="zh-CN"/>
        </w:rPr>
      </w:pPr>
      <w:r>
        <w:rPr>
          <w:rFonts w:hint="default" w:ascii="Times New Roman" w:hAnsi="Times New Roman" w:eastAsia="仿宋_GB2312" w:cs="Times New Roman"/>
          <w:b w:val="0"/>
          <w:bCs w:val="0"/>
          <w:color w:val="auto"/>
          <w:sz w:val="32"/>
          <w:szCs w:val="32"/>
          <w:lang w:val="en-US" w:eastAsia="zh-CN"/>
        </w:rPr>
        <w:t>一是狠抓省级环保督察，压实整改责任。</w:t>
      </w:r>
      <w:r>
        <w:rPr>
          <w:rFonts w:hint="default" w:ascii="Times New Roman" w:hAnsi="Times New Roman" w:eastAsia="仿宋_GB2312" w:cs="Times New Roman"/>
          <w:b w:val="0"/>
          <w:bCs w:val="0"/>
          <w:color w:val="auto"/>
          <w:sz w:val="32"/>
          <w:szCs w:val="32"/>
          <w:lang w:eastAsia="zh-CN"/>
        </w:rPr>
        <w:t>坚决扛牢生态环境保护的政治责任，把中央、省、州决策部署和县委工作安排不折不扣落实到位，成立</w:t>
      </w:r>
      <w:r>
        <w:rPr>
          <w:rFonts w:hint="default" w:ascii="Times New Roman" w:hAnsi="Times New Roman" w:eastAsia="仿宋_GB2312" w:cs="Times New Roman"/>
          <w:b w:val="0"/>
          <w:bCs w:val="0"/>
          <w:color w:val="auto"/>
          <w:sz w:val="32"/>
          <w:szCs w:val="32"/>
          <w:lang w:val="en-US" w:eastAsia="zh-CN"/>
        </w:rPr>
        <w:t>迎接第三轮省级生态环境保护督察工作专班和</w:t>
      </w:r>
      <w:r>
        <w:rPr>
          <w:rFonts w:hint="default" w:ascii="Times New Roman" w:hAnsi="Times New Roman" w:eastAsia="仿宋_GB2312" w:cs="Times New Roman"/>
          <w:b w:val="0"/>
          <w:bCs w:val="0"/>
          <w:color w:val="auto"/>
          <w:sz w:val="32"/>
          <w:szCs w:val="32"/>
          <w:lang w:eastAsia="zh-CN"/>
        </w:rPr>
        <w:t>8个工作组</w:t>
      </w:r>
      <w:r>
        <w:rPr>
          <w:rFonts w:hint="default" w:ascii="Times New Roman" w:hAnsi="Times New Roman" w:eastAsia="仿宋_GB2312" w:cs="Times New Roman"/>
          <w:b w:val="0"/>
          <w:bCs w:val="0"/>
          <w:color w:val="auto"/>
          <w:sz w:val="32"/>
          <w:szCs w:val="32"/>
          <w:lang w:val="en-US" w:eastAsia="zh-CN"/>
        </w:rPr>
        <w:t>，明确责任分工，加强沟通协调，</w:t>
      </w:r>
      <w:r>
        <w:rPr>
          <w:rFonts w:hint="default" w:ascii="Times New Roman" w:hAnsi="Times New Roman" w:eastAsia="仿宋_GB2312" w:cs="Times New Roman"/>
          <w:b w:val="0"/>
          <w:bCs w:val="0"/>
          <w:color w:val="auto"/>
          <w:sz w:val="32"/>
          <w:szCs w:val="32"/>
          <w:lang w:eastAsia="zh-CN"/>
        </w:rPr>
        <w:t>建立协同机制，做好档案资料准备和矛盾纠纷源头化解；陪同省级督察下沉组检查问题点位</w:t>
      </w:r>
      <w:r>
        <w:rPr>
          <w:rFonts w:hint="default" w:ascii="Times New Roman" w:hAnsi="Times New Roman" w:eastAsia="仿宋_GB2312" w:cs="Times New Roman"/>
          <w:b w:val="0"/>
          <w:bCs w:val="0"/>
          <w:color w:val="auto"/>
          <w:sz w:val="32"/>
          <w:szCs w:val="32"/>
          <w:lang w:val="en-US" w:eastAsia="zh-CN"/>
        </w:rPr>
        <w:t>14个</w:t>
      </w:r>
      <w:r>
        <w:rPr>
          <w:rFonts w:hint="default" w:ascii="Times New Roman" w:hAnsi="Times New Roman" w:eastAsia="仿宋_GB2312" w:cs="Times New Roman"/>
          <w:b w:val="0"/>
          <w:bCs w:val="0"/>
          <w:color w:val="auto"/>
          <w:sz w:val="32"/>
          <w:szCs w:val="32"/>
          <w:lang w:eastAsia="zh-CN"/>
        </w:rPr>
        <w:t>，配合省级督察资料组收集资料</w:t>
      </w:r>
      <w:r>
        <w:rPr>
          <w:rFonts w:hint="default" w:ascii="Times New Roman" w:hAnsi="Times New Roman" w:eastAsia="仿宋_GB2312" w:cs="Times New Roman"/>
          <w:b w:val="0"/>
          <w:bCs w:val="0"/>
          <w:color w:val="auto"/>
          <w:sz w:val="32"/>
          <w:szCs w:val="32"/>
          <w:lang w:val="en-US" w:eastAsia="zh-CN"/>
        </w:rPr>
        <w:t>7批次。二是强化突出问题整改，提升治理效能。严格落实“责任制+清单制+销号制”，坚决做到问题整改到位、成果巩固到位、机制建立到位。</w:t>
      </w:r>
      <w:r>
        <w:rPr>
          <w:rFonts w:hint="default" w:ascii="Times New Roman" w:hAnsi="Times New Roman" w:eastAsia="仿宋_GB2312" w:cs="Times New Roman"/>
          <w:b w:val="0"/>
          <w:bCs w:val="0"/>
          <w:color w:val="auto"/>
          <w:sz w:val="32"/>
          <w:szCs w:val="32"/>
          <w:lang w:eastAsia="zh-CN"/>
        </w:rPr>
        <w:t>做到了“遏制增量、减少存量”。</w:t>
      </w:r>
      <w:r>
        <w:rPr>
          <w:rFonts w:hint="default" w:ascii="Times New Roman" w:hAnsi="Times New Roman" w:eastAsia="仿宋_GB2312" w:cs="Times New Roman"/>
          <w:b w:val="0"/>
          <w:bCs w:val="0"/>
          <w:color w:val="auto"/>
          <w:sz w:val="32"/>
          <w:szCs w:val="32"/>
          <w:lang w:val="en-US" w:eastAsia="zh-CN"/>
        </w:rPr>
        <w:t>目前，各类反馈生态环境突出问题</w:t>
      </w:r>
      <w:r>
        <w:rPr>
          <w:rFonts w:hint="eastAsia" w:ascii="Times New Roman" w:eastAsia="仿宋_GB2312" w:cs="Times New Roman"/>
          <w:b w:val="0"/>
          <w:bCs w:val="0"/>
          <w:color w:val="auto"/>
          <w:sz w:val="32"/>
          <w:szCs w:val="32"/>
          <w:lang w:val="en-US" w:eastAsia="zh-CN"/>
        </w:rPr>
        <w:t>206</w:t>
      </w:r>
      <w:r>
        <w:rPr>
          <w:rFonts w:hint="default" w:ascii="Times New Roman" w:hAnsi="Times New Roman" w:eastAsia="仿宋_GB2312" w:cs="Times New Roman"/>
          <w:b w:val="0"/>
          <w:bCs w:val="0"/>
          <w:color w:val="auto"/>
          <w:sz w:val="32"/>
          <w:szCs w:val="32"/>
          <w:lang w:val="en-US" w:eastAsia="zh-CN"/>
        </w:rPr>
        <w:t>个，已整改完成</w:t>
      </w:r>
      <w:r>
        <w:rPr>
          <w:rFonts w:hint="eastAsia" w:ascii="Times New Roman" w:eastAsia="仿宋_GB2312" w:cs="Times New Roman"/>
          <w:b w:val="0"/>
          <w:bCs w:val="0"/>
          <w:color w:val="auto"/>
          <w:sz w:val="32"/>
          <w:szCs w:val="32"/>
          <w:lang w:val="en-US" w:eastAsia="zh-CN"/>
        </w:rPr>
        <w:t>179</w:t>
      </w:r>
      <w:r>
        <w:rPr>
          <w:rFonts w:hint="default" w:ascii="Times New Roman" w:hAnsi="Times New Roman" w:eastAsia="仿宋_GB2312" w:cs="Times New Roman"/>
          <w:b w:val="0"/>
          <w:bCs w:val="0"/>
          <w:color w:val="auto"/>
          <w:sz w:val="32"/>
          <w:szCs w:val="32"/>
          <w:lang w:val="en-US" w:eastAsia="zh-CN"/>
        </w:rPr>
        <w:t>个、整改率</w:t>
      </w:r>
      <w:r>
        <w:rPr>
          <w:rFonts w:hint="eastAsia" w:ascii="Times New Roman" w:eastAsia="仿宋_GB2312" w:cs="Times New Roman"/>
          <w:b w:val="0"/>
          <w:bCs w:val="0"/>
          <w:color w:val="auto"/>
          <w:sz w:val="32"/>
          <w:szCs w:val="32"/>
          <w:lang w:val="en-US" w:eastAsia="zh-CN"/>
        </w:rPr>
        <w:t>87</w:t>
      </w:r>
      <w:r>
        <w:rPr>
          <w:rFonts w:hint="default" w:ascii="Times New Roman" w:hAnsi="Times New Roman" w:eastAsia="仿宋_GB2312" w:cs="Times New Roman"/>
          <w:b w:val="0"/>
          <w:bCs w:val="0"/>
          <w:color w:val="auto"/>
          <w:sz w:val="32"/>
          <w:szCs w:val="32"/>
          <w:lang w:val="en-US" w:eastAsia="zh-CN"/>
        </w:rPr>
        <w:t>%，</w:t>
      </w:r>
      <w:r>
        <w:rPr>
          <w:rFonts w:hint="eastAsia" w:ascii="Times New Roman" w:eastAsia="仿宋_GB2312" w:cs="Times New Roman"/>
          <w:b w:val="0"/>
          <w:bCs w:val="0"/>
          <w:color w:val="auto"/>
          <w:sz w:val="32"/>
          <w:szCs w:val="32"/>
          <w:lang w:val="en-US" w:eastAsia="zh-CN"/>
        </w:rPr>
        <w:t>正在整改27个</w:t>
      </w:r>
      <w:r>
        <w:rPr>
          <w:rFonts w:hint="default" w:ascii="Times New Roman" w:hAnsi="Times New Roman" w:eastAsia="仿宋_GB2312" w:cs="Times New Roman"/>
          <w:b w:val="0"/>
          <w:bCs w:val="0"/>
          <w:color w:val="auto"/>
          <w:sz w:val="32"/>
          <w:szCs w:val="32"/>
          <w:lang w:val="en-US" w:eastAsia="zh-CN"/>
        </w:rPr>
        <w:t>。三是健全长效管理机制，巩固整治成效。坚持“当下改”与“长久立”相结合，以督察整改为契机，深入剖析问题根源，完善生态环境监管、风险防范等制度机制，推动整改成果制度化、常态化，从源头上杜绝同类问题反复发生。</w:t>
      </w:r>
    </w:p>
    <w:p w14:paraId="2E7AF3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58" w:firstLineChars="112"/>
        <w:textAlignment w:val="auto"/>
        <w:rPr>
          <w:rFonts w:hint="default" w:ascii="Times New Roman" w:hAnsi="Times New Roman" w:eastAsia="仿宋_GB2312" w:cs="Times New Roman"/>
          <w:b w:val="0"/>
          <w:bCs w:val="0"/>
          <w:color w:val="auto"/>
          <w:kern w:val="2"/>
          <w:sz w:val="32"/>
          <w:szCs w:val="32"/>
          <w:lang w:val="en-US" w:eastAsia="zh-CN" w:bidi="ar-SA"/>
        </w:rPr>
      </w:pPr>
      <w:r>
        <w:rPr>
          <w:rFonts w:hint="default" w:ascii="Times New Roman" w:hAnsi="Times New Roman" w:eastAsia="仿宋_GB2312" w:cs="Times New Roman"/>
          <w:b w:val="0"/>
          <w:bCs w:val="0"/>
          <w:sz w:val="32"/>
          <w:szCs w:val="32"/>
          <w:lang w:val="en-US" w:eastAsia="zh-CN"/>
        </w:rPr>
        <w:t>强化要素保障，赋能绿色低碳发展</w:t>
      </w:r>
      <w:bookmarkStart w:id="25" w:name="OLE_LINK1"/>
      <w:r>
        <w:rPr>
          <w:rFonts w:hint="eastAsia"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eastAsia="zh-CN"/>
        </w:rPr>
        <w:t>一是前置精准服务，筑牢绿色准入关口。紧盯全县托底性帮扶重点工程、重点项目，主动上门对接发改、农水科、交通、住建、自然资源等部门，“一对一”指导项目审批类别、总量储备等具体问题，现场解读环保准入要求，从环境质量提升、监管服务、设施投入、制度创新四方面明确工作标准。二是优化审批举措，提速项目环评进程。转变环评审批工作思路，以“早启动、出实招、勤沟通、快办理”方式，聚焦补短板、强弱项、惠民生的县域高质量发展重点项目，提前介入报告编制阶段，建立工作台账、倒排工期，依法高效保障环评要素，为后续审批压缩时间。三是强化部门联动，破解绿色发展难题。组建多部门环评工作专班，落实“序时推进、专人对接、协调联动”机制，召开专题对接会，统筹解决用地预审、自然保护地、林地占用、排污总量等审批堵点。搭建“面对面”服务平台，解读政策、响应企业诉求，精准破解环评难题，推动托底性帮扶项目落地。</w:t>
      </w:r>
      <w:r>
        <w:rPr>
          <w:rFonts w:hint="eastAsia" w:ascii="Times New Roman" w:hAnsi="Times New Roman" w:eastAsia="仿宋_GB2312" w:cs="Times New Roman"/>
          <w:b w:val="0"/>
          <w:bCs w:val="0"/>
          <w:sz w:val="32"/>
          <w:szCs w:val="32"/>
          <w:lang w:eastAsia="zh-CN"/>
        </w:rPr>
        <w:t>2025年度</w:t>
      </w:r>
      <w:r>
        <w:rPr>
          <w:rFonts w:hint="default" w:ascii="Times New Roman" w:hAnsi="Times New Roman" w:eastAsia="仿宋_GB2312" w:cs="Times New Roman"/>
          <w:b w:val="0"/>
          <w:bCs w:val="0"/>
          <w:sz w:val="32"/>
          <w:szCs w:val="32"/>
          <w:lang w:eastAsia="zh-CN"/>
        </w:rPr>
        <w:t>，完成报告表审批项目5个、登记表备案项目12个，重点项目环评率达100%。四是</w:t>
      </w:r>
      <w:r>
        <w:rPr>
          <w:rFonts w:hint="default" w:ascii="Times New Roman" w:hAnsi="Times New Roman" w:eastAsia="楷体_GB2312" w:cs="Times New Roman"/>
          <w:b w:val="0"/>
          <w:bCs w:val="0"/>
          <w:color w:val="auto"/>
          <w:sz w:val="32"/>
          <w:szCs w:val="32"/>
          <w:lang w:val="en-US" w:eastAsia="zh-CN"/>
        </w:rPr>
        <w:t>加强宣传教育，厚植生态文明理念。</w:t>
      </w:r>
      <w:r>
        <w:rPr>
          <w:rFonts w:hint="default" w:ascii="Times New Roman" w:hAnsi="Times New Roman" w:eastAsia="仿宋_GB2312" w:cs="Times New Roman"/>
          <w:b w:val="0"/>
          <w:bCs w:val="0"/>
          <w:sz w:val="32"/>
          <w:szCs w:val="32"/>
          <w:lang w:val="en-US" w:eastAsia="zh-CN"/>
        </w:rPr>
        <w:t>协同县委组织部举办环境保护培训班1期，</w:t>
      </w:r>
      <w:r>
        <w:rPr>
          <w:rFonts w:hint="default" w:ascii="Times New Roman" w:hAnsi="Times New Roman" w:eastAsia="仿宋_GB2312" w:cs="Times New Roman"/>
          <w:b w:val="0"/>
          <w:bCs w:val="0"/>
          <w:color w:val="auto"/>
          <w:sz w:val="32"/>
          <w:szCs w:val="32"/>
          <w:lang w:val="en-US" w:eastAsia="zh-CN"/>
        </w:rPr>
        <w:t>以“5.22国际生物多样性日”“6.5世界环境日”等活动为契机，通过开放环保设施、横幅标语、宣传单等方式，积极宣传减污降碳、污染防治等生态环境保护相关内容，发放环保宣传资料及宣传用品总计1300余份（套），有力营造良好的生态环境保护社会氛围。</w:t>
      </w:r>
    </w:p>
    <w:p w14:paraId="164F679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358" w:firstLineChars="112"/>
        <w:textAlignment w:val="auto"/>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楷体_GB2312" w:cs="Times New Roman"/>
          <w:b w:val="0"/>
          <w:bCs w:val="0"/>
          <w:color w:val="auto"/>
          <w:sz w:val="32"/>
          <w:szCs w:val="32"/>
          <w:lang w:val="en-US" w:eastAsia="zh-CN"/>
        </w:rPr>
        <w:t>推进生态项目建设，夯实生态发展根基</w:t>
      </w:r>
      <w:bookmarkEnd w:id="25"/>
      <w:r>
        <w:rPr>
          <w:rFonts w:hint="eastAsia" w:ascii="Times New Roman" w:hAnsi="Times New Roman" w:eastAsia="楷体_GB2312" w:cs="Times New Roman"/>
          <w:b w:val="0"/>
          <w:bCs w:val="0"/>
          <w:color w:val="auto"/>
          <w:sz w:val="32"/>
          <w:szCs w:val="32"/>
          <w:lang w:val="en-US" w:eastAsia="zh-CN"/>
        </w:rPr>
        <w:t>。</w:t>
      </w:r>
      <w:r>
        <w:rPr>
          <w:rFonts w:hint="default" w:ascii="Times New Roman" w:hAnsi="Times New Roman" w:eastAsia="仿宋_GB2312" w:cs="Times New Roman"/>
          <w:b w:val="0"/>
          <w:bCs w:val="0"/>
          <w:color w:val="000000"/>
          <w:sz w:val="32"/>
          <w:szCs w:val="32"/>
          <w:lang w:val="en-US" w:eastAsia="zh-CN"/>
        </w:rPr>
        <w:t>一是精准谋划储备，筑牢项目建设基础。紧扣县域生态环保重点任务，聚焦污染治理、生态修复、清洁能源、水源地保护领域，结合政策导向和发展实际谋划储备项目。强化部门协同，向上争取政策资金，完善可研、环评等前期手续，确保项目落地可行。二是聚焦污染治理，补齐生态环境短板。以农村人居环境整治、流域治理为重点，</w:t>
      </w:r>
      <w:r>
        <w:rPr>
          <w:rFonts w:hint="eastAsia" w:ascii="Times New Roman" w:hAnsi="Times New Roman" w:eastAsia="仿宋_GB2312" w:cs="Times New Roman"/>
          <w:b w:val="0"/>
          <w:bCs w:val="0"/>
          <w:color w:val="000000"/>
          <w:sz w:val="32"/>
          <w:szCs w:val="32"/>
          <w:lang w:val="en-US" w:eastAsia="zh-CN"/>
        </w:rPr>
        <w:t>2025年度</w:t>
      </w:r>
      <w:r>
        <w:rPr>
          <w:rFonts w:hint="default" w:ascii="Times New Roman" w:hAnsi="Times New Roman" w:eastAsia="仿宋_GB2312" w:cs="Times New Roman"/>
          <w:b w:val="0"/>
          <w:bCs w:val="0"/>
          <w:color w:val="000000"/>
          <w:sz w:val="32"/>
          <w:szCs w:val="32"/>
          <w:lang w:val="en-US" w:eastAsia="zh-CN"/>
        </w:rPr>
        <w:t>争取资金3650万元，推进排污口规范化建设、农村生活污水治理、黑水河流域水生态修复等项目，农村生活污水治理率达70%。三是健全管护机制，巩固生态建设成果。构建“乡镇运维、村级巡护、部门监管”三级管护体系，落实运维经费，定期巡检维护。强化项目全过程监管，严格环评准入和竣工验收，常态化开展“回头看”，推动督察反馈问题整改，保障生态项目长效发挥效益。</w:t>
      </w:r>
    </w:p>
    <w:p w14:paraId="12C7AD05">
      <w:pPr>
        <w:pStyle w:val="8"/>
        <w:spacing w:before="0" w:beforeAutospacing="0" w:after="0" w:afterAutospacing="0" w:line="560" w:lineRule="exact"/>
        <w:ind w:firstLine="640" w:firstLineChars="200"/>
        <w:rPr>
          <w:rFonts w:ascii="仿宋_GB2312" w:hAnsi="仿宋_GB2312" w:eastAsia="仿宋_GB2312" w:cs="仿宋_GB2312"/>
          <w:kern w:val="2"/>
          <w:sz w:val="32"/>
          <w:szCs w:val="32"/>
          <w:highlight w:val="none"/>
        </w:rPr>
      </w:pPr>
      <w:bookmarkStart w:id="26" w:name="_Toc17558"/>
      <w:r>
        <w:rPr>
          <w:rFonts w:ascii="黑体" w:hAnsi="黑体" w:eastAsia="黑体" w:cs="黑体"/>
          <w:b w:val="0"/>
          <w:bCs w:val="0"/>
          <w:sz w:val="32"/>
          <w:szCs w:val="32"/>
          <w:highlight w:val="none"/>
          <w:shd w:val="clear" w:color="auto" w:fill="FFFFFF"/>
        </w:rPr>
        <w:t>二、机构设置</w:t>
      </w:r>
      <w:bookmarkEnd w:id="26"/>
    </w:p>
    <w:p w14:paraId="114562C6">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bookmarkStart w:id="27" w:name="_Toc24057"/>
      <w:r>
        <w:rPr>
          <w:rFonts w:hint="eastAsia" w:ascii="仿宋_GB2312" w:hAnsi="仿宋_GB2312" w:eastAsia="仿宋_GB2312" w:cs="仿宋_GB2312"/>
          <w:sz w:val="32"/>
          <w:szCs w:val="32"/>
        </w:rPr>
        <w:t>阿坝州黑水生态环境局为阿坝藏族羌族自治州生态环境局的派出机构，为正科级行政机构。独立核算机构数共2个。黑水生态环境局总编制</w:t>
      </w:r>
      <w:r>
        <w:rPr>
          <w:rFonts w:hint="eastAsia" w:ascii="仿宋_GB2312" w:hAnsi="仿宋_GB2312" w:eastAsia="仿宋_GB2312" w:cs="仿宋_GB2312"/>
          <w:sz w:val="32"/>
          <w:szCs w:val="32"/>
          <w:lang w:val="en-US" w:eastAsia="zh-CN"/>
        </w:rPr>
        <w:t>27</w:t>
      </w:r>
      <w:r>
        <w:rPr>
          <w:rFonts w:hint="eastAsia" w:ascii="仿宋_GB2312" w:hAnsi="仿宋_GB2312" w:eastAsia="仿宋_GB2312" w:cs="仿宋_GB2312"/>
          <w:sz w:val="32"/>
          <w:szCs w:val="32"/>
        </w:rPr>
        <w:t>名，其中：阿坝州黑水生态环境</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机关行政编制3名，阿坝州黑水生态环境保护中心参公编制3名，阿坝州黑水生态环境保护综合行政执法大队参公编制10名，阿坝州黑水环境监测站事业编制1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名。在职人员总数2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人，其中：局机关3人，中心3人；参照公务员法管理的事业编制</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人，其他事业人员</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人，退休人员</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人。编外长期聘用的人员0名。</w:t>
      </w:r>
      <w:bookmarkEnd w:id="27"/>
    </w:p>
    <w:p w14:paraId="2DEB041F">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阿坝州</w:t>
      </w:r>
      <w:r>
        <w:rPr>
          <w:rFonts w:hint="eastAsia" w:ascii="仿宋_GB2312" w:hAnsi="仿宋_GB2312" w:eastAsia="仿宋_GB2312" w:cs="仿宋_GB2312"/>
          <w:sz w:val="32"/>
          <w:szCs w:val="32"/>
          <w:highlight w:val="none"/>
        </w:rPr>
        <w:t>黑水生态环境局设下列内设机构：</w:t>
      </w:r>
    </w:p>
    <w:p w14:paraId="0CE8945B">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1.办公室（财务室）。承担机关政务、党务、工青妇等工作。组织协调政风行风建设、政务督查、目标考</w:t>
      </w:r>
      <w:bookmarkStart w:id="51" w:name="_GoBack"/>
      <w:bookmarkEnd w:id="51"/>
      <w:r>
        <w:rPr>
          <w:rFonts w:hint="eastAsia" w:ascii="仿宋_GB2312" w:hAnsi="仿宋_GB2312" w:eastAsia="仿宋_GB2312" w:cs="仿宋_GB2312"/>
          <w:sz w:val="32"/>
          <w:szCs w:val="32"/>
        </w:rPr>
        <w:t>核、综合性会议、公务接待等工作。承担支部日常工作。负责人事管理、文秘、档案、机要、保密、政务公开、信息安全、人事、培训、行政后勤、退休人员管理、爱国卫生等工作。承担财务、固定资产、政府采购、项目资金监督管理。完成领导交办的其他任务。</w:t>
      </w:r>
    </w:p>
    <w:p w14:paraId="13614DE6">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污染防治股。负责辖区内大气、水、土壤、噪声、光、恶臭、固体废物、化学品、机动车、核技术应用、电磁辐射、伴有放射性矿产资源开发利用等污染防治监督管理。负责核与辐射安全的监督管理、污染物减排工作，承担排污口设置、应对气候变化工作、生态环境统计工作、强制性清洁生产审核工作。组织实施大气、水、土壤污染防治行动计划，参与河（湖）长制相关工作。指导开展垃圾分类工作。完成领导交办的其他任务。</w:t>
      </w:r>
    </w:p>
    <w:p w14:paraId="0F85DBA0">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自然生态股。承担生态保护红线、自然保护地相关工作。开展生态状况评估，组织开展各类生态示范创建。组织监督实施各类自然保护地监管制度的执行，监督野生动植物保护、湿地生态环境保护、荒漠化防治等工作。监督生物技术环境安全，牵头生物物种（含遗传资源）管理工作，组织协调生物多样性保护工作。负责辖区农村生态环境保护、农业面源污染治理，参与指导农村生态环境综合整治。会同有关部门监督指导饮用水水源地生态环境保护工作。监督防止地下水污染。完成领导交办的其他任务。</w:t>
      </w:r>
    </w:p>
    <w:p w14:paraId="7C5B125E">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综合服务股（行政审批股、生态环境督察整改办公室）。按规定权限负责项目环境影响评价的审批工作。负责法律法规执行、宣传教育、环境监测管理、污染源普查、信息化建设管理等综合性工作。承担生态环境领域意识形态相关工作，承担排污许可管理工作、对外交流和区域合作工作。监督实施建设项目生态环境保护设施“三同时”制度。承接中央、省、州生态环境保护督察工作。指导协调辖区生态环境保护督察、整改各项工作。完成领导交办的其他任务。</w:t>
      </w:r>
    </w:p>
    <w:p w14:paraId="132B2E76">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黑体" w:hAnsi="黑体" w:eastAsia="黑体" w:cs="黑体"/>
          <w:sz w:val="36"/>
          <w:szCs w:val="36"/>
          <w:shd w:val="clear" w:color="auto" w:fill="FFFFFF"/>
        </w:rPr>
      </w:pPr>
      <w:r>
        <w:rPr>
          <w:rFonts w:hint="eastAsia" w:ascii="仿宋_GB2312" w:hAnsi="仿宋_GB2312" w:eastAsia="仿宋_GB2312" w:cs="仿宋_GB2312"/>
          <w:sz w:val="32"/>
          <w:szCs w:val="32"/>
        </w:rPr>
        <w:t>5.生态环境执法股。负责局机关信访、维稳、综治等工作。开展生态环境保护行政执法检查，强化现场生态环境保护执法和事中事后监管，查处生态环境违法问题。负责从源头上预防、控制环境污染和生态破坏。负责县域生态环境问题的统筹协调和监督管理。负责辖区内重点排污单位污染源治理设施运转的监督查，负责辖区内企业污染源自动监控设施建设。负责辖区内排污单位的环境违法案件查处过程中的法律文书制作、行政处罚结案报告的办理和后续督查工作，负责对辖区内环境污染事故、纠纷及环境违法行为的调查、取证，提出处理建议并参与处理。完成领导交办的其他任务。</w:t>
      </w:r>
    </w:p>
    <w:p w14:paraId="1735A9A6">
      <w:pPr>
        <w:pStyle w:val="7"/>
        <w:numPr>
          <w:ilvl w:val="0"/>
          <w:numId w:val="0"/>
        </w:numPr>
        <w:spacing w:before="0" w:beforeAutospacing="0" w:after="0" w:afterAutospacing="0" w:line="560" w:lineRule="exact"/>
        <w:jc w:val="center"/>
      </w:pPr>
      <w:bookmarkStart w:id="28" w:name="_Toc6751"/>
      <w:r>
        <w:rPr>
          <w:rFonts w:hint="eastAsia" w:ascii="黑体" w:hAnsi="黑体" w:eastAsia="黑体" w:cs="黑体"/>
          <w:b w:val="0"/>
          <w:bCs w:val="0"/>
          <w:kern w:val="44"/>
          <w:sz w:val="44"/>
          <w:szCs w:val="44"/>
          <w:highlight w:val="none"/>
          <w:shd w:val="clear" w:fill="FFFFFF"/>
          <w:lang w:val="en-US" w:eastAsia="zh-CN" w:bidi="ar-SA"/>
        </w:rPr>
        <w:t>第二部分</w:t>
      </w:r>
      <w:r>
        <w:rPr>
          <w:rFonts w:hint="eastAsia" w:ascii="黑体" w:hAnsi="黑体" w:eastAsia="黑体" w:cs="黑体"/>
          <w:b w:val="0"/>
          <w:bCs w:val="0"/>
          <w:sz w:val="44"/>
          <w:szCs w:val="44"/>
          <w:shd w:val="clear" w:color="auto" w:fill="FFFFFF"/>
          <w:lang w:eastAsia="zh-CN"/>
        </w:rPr>
        <w:t>2025年度</w:t>
      </w:r>
      <w:r>
        <w:rPr>
          <w:rFonts w:ascii="黑体" w:hAnsi="黑体" w:eastAsia="黑体" w:cs="黑体"/>
          <w:b w:val="0"/>
          <w:bCs w:val="0"/>
          <w:sz w:val="44"/>
          <w:szCs w:val="44"/>
          <w:shd w:val="clear" w:color="auto" w:fill="FFFFFF"/>
        </w:rPr>
        <w:t>单位决算情况说明</w:t>
      </w:r>
      <w:bookmarkEnd w:id="28"/>
    </w:p>
    <w:p w14:paraId="167B64B9">
      <w:pPr>
        <w:pStyle w:val="8"/>
        <w:numPr>
          <w:ilvl w:val="0"/>
          <w:numId w:val="1"/>
        </w:numPr>
        <w:rPr>
          <w:rFonts w:ascii="黑体" w:hAnsi="黑体" w:eastAsia="黑体" w:cs="黑体"/>
          <w:b w:val="0"/>
          <w:bCs w:val="0"/>
          <w:sz w:val="32"/>
          <w:szCs w:val="32"/>
        </w:rPr>
      </w:pPr>
      <w:bookmarkStart w:id="29" w:name="_Toc7932"/>
      <w:r>
        <w:rPr>
          <w:rFonts w:ascii="黑体" w:hAnsi="黑体" w:eastAsia="黑体" w:cs="黑体"/>
          <w:b w:val="0"/>
          <w:bCs w:val="0"/>
          <w:sz w:val="32"/>
          <w:szCs w:val="32"/>
        </w:rPr>
        <w:t>收入支出决算总体情况说明</w:t>
      </w:r>
      <w:bookmarkEnd w:id="29"/>
    </w:p>
    <w:p w14:paraId="16D3BD9D">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2025年度</w:t>
      </w:r>
      <w:r>
        <w:rPr>
          <w:rFonts w:hint="eastAsia" w:ascii="仿宋_GB2312" w:hAnsi="仿宋_GB2312" w:eastAsia="仿宋_GB2312" w:cs="仿宋_GB2312"/>
          <w:sz w:val="32"/>
          <w:szCs w:val="32"/>
        </w:rPr>
        <w:t>收</w:t>
      </w:r>
      <w:r>
        <w:rPr>
          <w:rFonts w:hint="eastAsia" w:ascii="仿宋_GB2312" w:hAnsi="仿宋_GB2312" w:eastAsia="仿宋_GB2312" w:cs="仿宋_GB2312"/>
          <w:sz w:val="32"/>
          <w:szCs w:val="32"/>
          <w:lang w:val="en-US" w:eastAsia="zh-CN"/>
        </w:rPr>
        <w:t>入</w:t>
      </w:r>
      <w:r>
        <w:rPr>
          <w:rFonts w:hint="eastAsia" w:ascii="仿宋_GB2312" w:hAnsi="仿宋_GB2312" w:eastAsia="仿宋_GB2312" w:cs="仿宋_GB2312"/>
          <w:sz w:val="32"/>
          <w:szCs w:val="32"/>
        </w:rPr>
        <w:t>、支</w:t>
      </w:r>
      <w:r>
        <w:rPr>
          <w:rFonts w:hint="eastAsia" w:ascii="仿宋_GB2312" w:hAnsi="仿宋_GB2312" w:eastAsia="仿宋_GB2312" w:cs="仿宋_GB2312"/>
          <w:sz w:val="32"/>
          <w:szCs w:val="32"/>
          <w:lang w:val="en-US" w:eastAsia="zh-CN"/>
        </w:rPr>
        <w:t>出</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val="en-US" w:eastAsia="zh-CN"/>
        </w:rPr>
        <w:t>均为3002.96</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上年度</w:t>
      </w:r>
      <w:r>
        <w:rPr>
          <w:rFonts w:hint="eastAsia" w:ascii="仿宋_GB2312" w:hAnsi="仿宋_GB2312" w:eastAsia="仿宋_GB2312" w:cs="仿宋_GB2312"/>
          <w:sz w:val="32"/>
          <w:szCs w:val="32"/>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仿宋_GB2312" w:hAnsi="仿宋_GB2312" w:eastAsia="仿宋_GB2312" w:cs="仿宋_GB2312"/>
          <w:sz w:val="32"/>
          <w:szCs w:val="32"/>
        </w:rPr>
        <w:t>总计</w:t>
      </w:r>
      <w:r>
        <w:rPr>
          <w:rFonts w:hint="eastAsia" w:ascii="Times New Roman" w:hAnsi="Times New Roman" w:eastAsia="仿宋_GB2312" w:cs="仿宋_GB2312"/>
          <w:color w:val="auto"/>
          <w:sz w:val="32"/>
          <w:szCs w:val="32"/>
          <w:highlight w:val="none"/>
        </w:rPr>
        <w:t>各</w:t>
      </w:r>
      <w:r>
        <w:rPr>
          <w:rFonts w:hint="eastAsia" w:ascii="Times New Roman" w:hAnsi="Times New Roman" w:eastAsia="仿宋_GB2312" w:cs="仿宋_GB2312"/>
          <w:color w:val="auto"/>
          <w:sz w:val="32"/>
          <w:szCs w:val="32"/>
          <w:highlight w:val="none"/>
          <w:lang w:val="en-US" w:eastAsia="zh-CN"/>
        </w:rPr>
        <w:t>减少</w:t>
      </w:r>
      <w:r>
        <w:rPr>
          <w:rFonts w:hint="eastAsia" w:ascii="仿宋_GB2312" w:hAnsi="仿宋_GB2312" w:eastAsia="仿宋_GB2312" w:cs="仿宋_GB2312"/>
          <w:sz w:val="32"/>
          <w:szCs w:val="32"/>
          <w:lang w:val="en-US" w:eastAsia="zh-CN"/>
        </w:rPr>
        <w:t>80.17</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sz w:val="32"/>
          <w:szCs w:val="32"/>
          <w:highlight w:val="none"/>
        </w:rPr>
        <w:t>下降</w:t>
      </w:r>
      <w:r>
        <w:rPr>
          <w:rFonts w:hint="eastAsia" w:ascii="仿宋_GB2312" w:hAnsi="仿宋_GB2312" w:eastAsia="仿宋_GB2312" w:cs="仿宋_GB2312"/>
          <w:sz w:val="32"/>
          <w:szCs w:val="32"/>
          <w:lang w:val="en-US" w:eastAsia="zh-CN"/>
        </w:rPr>
        <w:t>2.60</w:t>
      </w:r>
      <w:r>
        <w:rPr>
          <w:rFonts w:hint="eastAsia" w:ascii="仿宋_GB2312" w:hAnsi="仿宋_GB2312" w:eastAsia="仿宋_GB2312" w:cs="仿宋_GB2312"/>
          <w:sz w:val="32"/>
          <w:szCs w:val="32"/>
        </w:rPr>
        <w:t>%。主要变动原因是项目</w:t>
      </w:r>
      <w:r>
        <w:rPr>
          <w:rFonts w:hint="eastAsia" w:ascii="仿宋_GB2312" w:hAnsi="仿宋_GB2312" w:eastAsia="仿宋_GB2312" w:cs="仿宋_GB2312"/>
          <w:sz w:val="32"/>
          <w:szCs w:val="32"/>
          <w:lang w:val="en-US" w:eastAsia="zh-CN"/>
        </w:rPr>
        <w:t>支出减少</w:t>
      </w:r>
      <w:r>
        <w:rPr>
          <w:rFonts w:hint="eastAsia" w:ascii="仿宋_GB2312" w:hAnsi="仿宋_GB2312" w:eastAsia="仿宋_GB2312" w:cs="仿宋_GB2312"/>
          <w:sz w:val="32"/>
          <w:szCs w:val="32"/>
        </w:rPr>
        <w:t>，导致预算收入、支出</w:t>
      </w:r>
      <w:r>
        <w:rPr>
          <w:rFonts w:hint="eastAsia" w:ascii="仿宋_GB2312" w:hAnsi="仿宋_GB2312" w:eastAsia="仿宋_GB2312" w:cs="仿宋_GB2312"/>
          <w:sz w:val="32"/>
          <w:szCs w:val="32"/>
          <w:lang w:val="en-US" w:eastAsia="zh-CN"/>
        </w:rPr>
        <w:t>减少</w:t>
      </w:r>
      <w:r>
        <w:rPr>
          <w:rFonts w:hint="eastAsia" w:ascii="仿宋_GB2312" w:hAnsi="仿宋_GB2312" w:eastAsia="仿宋_GB2312" w:cs="仿宋_GB2312"/>
          <w:sz w:val="32"/>
          <w:szCs w:val="32"/>
        </w:rPr>
        <w:t>。</w:t>
      </w:r>
    </w:p>
    <w:p w14:paraId="1BA213C3">
      <w:pPr>
        <w:pStyle w:val="20"/>
        <w:spacing w:before="0" w:beforeAutospacing="0"/>
        <w:ind w:firstLine="320" w:firstLineChars="1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6292DB14">
      <w:pPr>
        <w:pStyle w:val="20"/>
        <w:spacing w:before="0" w:beforeAutospacing="0"/>
        <w:ind w:firstLine="240" w:firstLineChars="100"/>
        <w:rPr>
          <w:rFonts w:hint="eastAsia" w:ascii="Times New Roman" w:hAnsi="Times New Roman" w:eastAsia="仿宋_GB2312" w:cs="仿宋_GB2312"/>
          <w:color w:val="auto"/>
          <w:sz w:val="32"/>
          <w:szCs w:val="32"/>
          <w:highlight w:val="none"/>
        </w:rPr>
      </w:pPr>
      <w:r>
        <w:drawing>
          <wp:inline distT="0" distB="0" distL="114300" distR="114300">
            <wp:extent cx="5434965" cy="2980690"/>
            <wp:effectExtent l="5080" t="4445" r="8255" b="5715"/>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3DCDEB5">
      <w:pPr>
        <w:pStyle w:val="8"/>
        <w:ind w:firstLine="640" w:firstLineChars="200"/>
        <w:rPr>
          <w:rFonts w:ascii="黑体" w:hAnsi="黑体" w:eastAsia="黑体" w:cs="黑体"/>
          <w:b w:val="0"/>
          <w:bCs w:val="0"/>
          <w:sz w:val="32"/>
          <w:szCs w:val="32"/>
        </w:rPr>
      </w:pPr>
      <w:bookmarkStart w:id="30" w:name="_Toc2987"/>
      <w:r>
        <w:rPr>
          <w:rFonts w:ascii="黑体" w:hAnsi="黑体" w:eastAsia="黑体" w:cs="黑体"/>
          <w:b w:val="0"/>
          <w:bCs w:val="0"/>
          <w:sz w:val="32"/>
          <w:szCs w:val="32"/>
        </w:rPr>
        <w:t>二、收入决算情况说明</w:t>
      </w:r>
      <w:bookmarkEnd w:id="30"/>
    </w:p>
    <w:p w14:paraId="4E7723DA">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 w:hAnsi="仿宋" w:eastAsia="仿宋" w:cs="仿宋"/>
          <w:b/>
          <w:bCs/>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本年收入合计3</w:t>
      </w:r>
      <w:r>
        <w:rPr>
          <w:rFonts w:hint="eastAsia" w:ascii="仿宋_GB2312" w:hAnsi="仿宋_GB2312" w:eastAsia="仿宋_GB2312" w:cs="仿宋_GB2312"/>
          <w:sz w:val="32"/>
          <w:szCs w:val="32"/>
          <w:lang w:val="en-US" w:eastAsia="zh-CN"/>
        </w:rPr>
        <w:t>002.96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809.97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26.97</w:t>
      </w:r>
      <w:r>
        <w:rPr>
          <w:rFonts w:hint="eastAsia" w:ascii="仿宋_GB2312" w:hAnsi="仿宋_GB2312" w:eastAsia="仿宋_GB2312" w:cs="仿宋_GB2312"/>
          <w:sz w:val="32"/>
          <w:szCs w:val="32"/>
        </w:rPr>
        <w:t>%；政府性基金预算财政拨款收入0万元，占0%；国有资本经营预算财政拨款收入0万元，占0%；上级补助收入0万元，占0%；事业收入0万元，占0%；经营收入0万元，占0%；附属单位上缴收入0万元，占0%；其他收入</w:t>
      </w:r>
      <w:r>
        <w:rPr>
          <w:rFonts w:hint="eastAsia" w:ascii="仿宋_GB2312" w:hAnsi="仿宋_GB2312" w:eastAsia="仿宋_GB2312" w:cs="仿宋_GB2312"/>
          <w:sz w:val="32"/>
          <w:szCs w:val="32"/>
          <w:lang w:val="en-US" w:eastAsia="zh-CN"/>
        </w:rPr>
        <w:t>2192.99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73.03</w:t>
      </w:r>
      <w:r>
        <w:rPr>
          <w:rFonts w:hint="eastAsia" w:ascii="仿宋_GB2312" w:hAnsi="仿宋_GB2312" w:eastAsia="仿宋_GB2312" w:cs="仿宋_GB2312"/>
          <w:sz w:val="32"/>
          <w:szCs w:val="32"/>
        </w:rPr>
        <w:t>%。</w:t>
      </w:r>
      <w:r>
        <w:rPr>
          <w:rFonts w:hint="eastAsia" w:ascii="仿宋" w:hAnsi="仿宋" w:eastAsia="仿宋" w:cs="仿宋"/>
          <w:b/>
          <w:bCs/>
          <w:sz w:val="32"/>
          <w:szCs w:val="32"/>
        </w:rPr>
        <w:t>（注：仅罗列本</w:t>
      </w:r>
      <w:r>
        <w:rPr>
          <w:rFonts w:hint="eastAsia" w:ascii="仿宋" w:hAnsi="仿宋" w:eastAsia="仿宋" w:cs="仿宋"/>
          <w:b/>
          <w:bCs/>
          <w:sz w:val="32"/>
          <w:szCs w:val="32"/>
          <w:lang w:val="en-US" w:eastAsia="zh-CN"/>
        </w:rPr>
        <w:t>部门</w:t>
      </w:r>
      <w:r>
        <w:rPr>
          <w:rFonts w:hint="eastAsia" w:ascii="仿宋" w:hAnsi="仿宋" w:eastAsia="仿宋" w:cs="仿宋"/>
          <w:b/>
          <w:bCs/>
          <w:sz w:val="32"/>
          <w:szCs w:val="32"/>
        </w:rPr>
        <w:t>涉及的收入。）</w:t>
      </w:r>
    </w:p>
    <w:p w14:paraId="4BA74301">
      <w:pPr>
        <w:pStyle w:val="20"/>
        <w:spacing w:before="0" w:beforeAutospacing="0" w:after="0" w:afterAutospacing="0" w:line="560" w:lineRule="atLeast"/>
        <w:ind w:firstLine="640" w:firstLineChars="200"/>
        <w:rPr>
          <w:rFonts w:hint="eastAsia" w:ascii="仿宋" w:hAnsi="仿宋" w:eastAsia="仿宋" w:cs="仿宋"/>
          <w:sz w:val="32"/>
          <w:szCs w:val="32"/>
        </w:rPr>
      </w:pPr>
      <w:r>
        <w:rPr>
          <w:rFonts w:hint="eastAsia" w:ascii="仿宋" w:hAnsi="仿宋" w:eastAsia="仿宋" w:cs="仿宋"/>
          <w:sz w:val="32"/>
          <w:szCs w:val="32"/>
        </w:rPr>
        <w:t>（图2：收入决算结构图）（饼状图）</w:t>
      </w:r>
    </w:p>
    <w:p w14:paraId="2F0CD559">
      <w:pPr>
        <w:pStyle w:val="20"/>
        <w:spacing w:before="0" w:beforeAutospacing="0" w:after="0" w:afterAutospacing="0" w:line="560" w:lineRule="atLeast"/>
        <w:ind w:firstLine="480" w:firstLineChars="200"/>
        <w:rPr>
          <w:rFonts w:hint="eastAsia" w:ascii="仿宋" w:hAnsi="仿宋" w:eastAsia="仿宋" w:cs="仿宋"/>
          <w:sz w:val="32"/>
          <w:szCs w:val="32"/>
        </w:rPr>
      </w:pPr>
      <w:r>
        <w:drawing>
          <wp:inline distT="0" distB="0" distL="114300" distR="114300">
            <wp:extent cx="5280660" cy="3039745"/>
            <wp:effectExtent l="4445" t="4445" r="10795" b="22860"/>
            <wp:docPr id="6" name="图表 5"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AC24AE9">
      <w:pPr>
        <w:pStyle w:val="8"/>
        <w:ind w:firstLine="640" w:firstLineChars="200"/>
        <w:rPr>
          <w:rFonts w:ascii="黑体" w:hAnsi="黑体" w:eastAsia="黑体" w:cs="黑体"/>
          <w:b w:val="0"/>
          <w:bCs w:val="0"/>
          <w:sz w:val="32"/>
          <w:szCs w:val="32"/>
        </w:rPr>
      </w:pPr>
      <w:bookmarkStart w:id="31" w:name="_Toc28857"/>
      <w:r>
        <w:rPr>
          <w:rFonts w:ascii="黑体" w:hAnsi="黑体" w:eastAsia="黑体" w:cs="黑体"/>
          <w:b w:val="0"/>
          <w:bCs w:val="0"/>
          <w:sz w:val="32"/>
          <w:szCs w:val="32"/>
        </w:rPr>
        <w:t>三、支出决算情况说明</w:t>
      </w:r>
      <w:bookmarkEnd w:id="31"/>
    </w:p>
    <w:p w14:paraId="117C92A3">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 w:hAnsi="仿宋" w:eastAsia="仿宋" w:cs="仿宋"/>
          <w:b/>
          <w:bCs/>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本年支出合计3</w:t>
      </w:r>
      <w:r>
        <w:rPr>
          <w:rFonts w:hint="eastAsia" w:ascii="仿宋_GB2312" w:hAnsi="仿宋_GB2312" w:eastAsia="仿宋_GB2312" w:cs="仿宋_GB2312"/>
          <w:sz w:val="32"/>
          <w:szCs w:val="32"/>
          <w:lang w:val="en-US" w:eastAsia="zh-CN"/>
        </w:rPr>
        <w:t>002.96</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597.56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19.90</w:t>
      </w:r>
      <w:r>
        <w:rPr>
          <w:rFonts w:hint="eastAsia" w:ascii="仿宋_GB2312" w:hAnsi="仿宋_GB2312" w:eastAsia="仿宋_GB2312" w:cs="仿宋_GB2312"/>
          <w:sz w:val="32"/>
          <w:szCs w:val="32"/>
        </w:rPr>
        <w:t>%；项目支出</w:t>
      </w:r>
      <w:r>
        <w:rPr>
          <w:rFonts w:hint="eastAsia" w:ascii="仿宋_GB2312" w:hAnsi="仿宋_GB2312" w:eastAsia="仿宋_GB2312" w:cs="仿宋_GB2312"/>
          <w:sz w:val="32"/>
          <w:szCs w:val="32"/>
          <w:lang w:val="en-US" w:eastAsia="zh-CN"/>
        </w:rPr>
        <w:t>2405.4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80.10</w:t>
      </w:r>
      <w:r>
        <w:rPr>
          <w:rFonts w:hint="eastAsia" w:ascii="仿宋_GB2312" w:hAnsi="仿宋_GB2312" w:eastAsia="仿宋_GB2312" w:cs="仿宋_GB2312"/>
          <w:sz w:val="32"/>
          <w:szCs w:val="32"/>
        </w:rPr>
        <w:t>%；上缴上级支出0万元，占0%；经营支出0万元，占0%；对附属单位补助支出0万元，占0%。</w:t>
      </w:r>
      <w:r>
        <w:rPr>
          <w:rFonts w:hint="eastAsia" w:ascii="仿宋" w:hAnsi="仿宋" w:eastAsia="仿宋" w:cs="仿宋"/>
          <w:b/>
          <w:bCs/>
          <w:sz w:val="32"/>
          <w:szCs w:val="32"/>
        </w:rPr>
        <w:t>（注：仅罗列本</w:t>
      </w:r>
      <w:r>
        <w:rPr>
          <w:rFonts w:hint="eastAsia" w:ascii="仿宋" w:hAnsi="仿宋" w:eastAsia="仿宋" w:cs="仿宋"/>
          <w:b/>
          <w:bCs/>
          <w:sz w:val="32"/>
          <w:szCs w:val="32"/>
          <w:lang w:val="en-US" w:eastAsia="zh-CN"/>
        </w:rPr>
        <w:t>部门</w:t>
      </w:r>
      <w:r>
        <w:rPr>
          <w:rFonts w:hint="eastAsia" w:ascii="仿宋" w:hAnsi="仿宋" w:eastAsia="仿宋" w:cs="仿宋"/>
          <w:b/>
          <w:bCs/>
          <w:sz w:val="32"/>
          <w:szCs w:val="32"/>
        </w:rPr>
        <w:t>涉及的支出。）</w:t>
      </w:r>
    </w:p>
    <w:p w14:paraId="73122E5C">
      <w:pPr>
        <w:pStyle w:val="20"/>
        <w:spacing w:before="0" w:beforeAutospacing="0" w:after="0" w:afterAutospacing="0" w:line="560" w:lineRule="exact"/>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（图3：支出决算结构图）（饼状图）</w:t>
      </w:r>
    </w:p>
    <w:p w14:paraId="1B8973A3">
      <w:pPr>
        <w:pStyle w:val="20"/>
        <w:spacing w:before="0" w:beforeAutospacing="0"/>
        <w:jc w:val="center"/>
        <w:rPr>
          <w:rFonts w:hint="eastAsia"/>
        </w:rPr>
      </w:pPr>
      <w:r>
        <w:drawing>
          <wp:inline distT="0" distB="0" distL="114300" distR="114300">
            <wp:extent cx="5365115" cy="2386965"/>
            <wp:effectExtent l="4445" t="4445" r="21590" b="8890"/>
            <wp:docPr id="8" name="图表 5"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3260391">
      <w:pPr>
        <w:pStyle w:val="8"/>
        <w:ind w:firstLine="640" w:firstLineChars="200"/>
        <w:rPr>
          <w:rFonts w:ascii="黑体" w:hAnsi="黑体" w:eastAsia="黑体" w:cs="黑体"/>
          <w:b w:val="0"/>
          <w:bCs w:val="0"/>
          <w:sz w:val="32"/>
          <w:szCs w:val="32"/>
        </w:rPr>
      </w:pPr>
      <w:bookmarkStart w:id="32" w:name="_Toc12334"/>
      <w:r>
        <w:rPr>
          <w:rFonts w:ascii="黑体" w:hAnsi="黑体" w:eastAsia="黑体" w:cs="黑体"/>
          <w:b w:val="0"/>
          <w:bCs w:val="0"/>
          <w:sz w:val="32"/>
          <w:szCs w:val="32"/>
        </w:rPr>
        <w:t>四、财政拨款收入支出决算总体情况说明</w:t>
      </w:r>
      <w:bookmarkEnd w:id="32"/>
    </w:p>
    <w:p w14:paraId="646392DD">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财政拨款</w:t>
      </w:r>
      <w:r>
        <w:rPr>
          <w:rFonts w:hint="eastAsia" w:ascii="Times New Roman" w:hAnsi="Times New Roman" w:eastAsia="仿宋_GB2312" w:cs="仿宋_GB2312"/>
          <w:color w:val="auto"/>
          <w:kern w:val="2"/>
          <w:sz w:val="32"/>
          <w:szCs w:val="32"/>
          <w:highlight w:val="none"/>
          <w:lang w:val="en-US" w:eastAsia="zh-CN" w:bidi="ar-SA"/>
        </w:rPr>
        <w:t>收入、支出</w:t>
      </w:r>
      <w:r>
        <w:rPr>
          <w:rFonts w:hint="eastAsia" w:ascii="仿宋_GB2312" w:hAnsi="仿宋_GB2312" w:eastAsia="仿宋_GB2312" w:cs="仿宋_GB2312"/>
          <w:sz w:val="32"/>
          <w:szCs w:val="32"/>
        </w:rPr>
        <w:t>总计</w:t>
      </w:r>
      <w:r>
        <w:rPr>
          <w:rFonts w:hint="eastAsia" w:ascii="仿宋_GB2312" w:hAnsi="仿宋_GB2312" w:eastAsia="仿宋_GB2312" w:cs="仿宋_GB2312"/>
          <w:sz w:val="32"/>
          <w:szCs w:val="32"/>
          <w:lang w:val="en-US" w:eastAsia="zh-CN"/>
        </w:rPr>
        <w:t>6005.92</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上年度</w:t>
      </w:r>
      <w:r>
        <w:rPr>
          <w:rFonts w:hint="eastAsia" w:ascii="仿宋_GB2312" w:hAnsi="仿宋_GB2312" w:eastAsia="仿宋_GB2312" w:cs="仿宋_GB2312"/>
          <w:sz w:val="32"/>
          <w:szCs w:val="32"/>
        </w:rPr>
        <w:t>相比，财政拨款收、支总计</w:t>
      </w:r>
      <w:r>
        <w:rPr>
          <w:rFonts w:hint="eastAsia" w:ascii="Times New Roman" w:hAnsi="Times New Roman" w:eastAsia="仿宋_GB2312" w:cs="仿宋_GB2312"/>
          <w:color w:val="auto"/>
          <w:sz w:val="32"/>
          <w:szCs w:val="32"/>
          <w:highlight w:val="none"/>
        </w:rPr>
        <w:t>各</w:t>
      </w:r>
      <w:r>
        <w:rPr>
          <w:rFonts w:hint="eastAsia" w:ascii="Times New Roman" w:hAnsi="Times New Roman" w:eastAsia="仿宋_GB2312" w:cs="仿宋_GB2312"/>
          <w:color w:val="auto"/>
          <w:sz w:val="32"/>
          <w:szCs w:val="32"/>
          <w:highlight w:val="none"/>
          <w:lang w:val="en-US" w:eastAsia="zh-CN"/>
        </w:rPr>
        <w:t>减少</w:t>
      </w:r>
      <w:r>
        <w:rPr>
          <w:rFonts w:hint="eastAsia" w:ascii="仿宋_GB2312" w:hAnsi="仿宋_GB2312" w:eastAsia="仿宋_GB2312" w:cs="仿宋_GB2312"/>
          <w:sz w:val="32"/>
          <w:szCs w:val="32"/>
          <w:lang w:val="en-US" w:eastAsia="zh-CN"/>
        </w:rPr>
        <w:t>80.17</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lang w:val="en-US" w:eastAsia="zh-CN"/>
        </w:rPr>
        <w:t>2.60</w:t>
      </w:r>
      <w:r>
        <w:rPr>
          <w:rFonts w:hint="eastAsia" w:ascii="仿宋_GB2312" w:hAnsi="仿宋_GB2312" w:eastAsia="仿宋_GB2312" w:cs="仿宋_GB2312"/>
          <w:sz w:val="32"/>
          <w:szCs w:val="32"/>
        </w:rPr>
        <w:t>%。主要变动原因是项目</w:t>
      </w:r>
      <w:r>
        <w:rPr>
          <w:rFonts w:hint="eastAsia" w:ascii="仿宋_GB2312" w:hAnsi="仿宋_GB2312" w:eastAsia="仿宋_GB2312" w:cs="仿宋_GB2312"/>
          <w:sz w:val="32"/>
          <w:szCs w:val="32"/>
          <w:lang w:val="en-US" w:eastAsia="zh-CN"/>
        </w:rPr>
        <w:t>支出减少</w:t>
      </w:r>
      <w:r>
        <w:rPr>
          <w:rFonts w:hint="eastAsia" w:ascii="仿宋_GB2312" w:hAnsi="仿宋_GB2312" w:eastAsia="仿宋_GB2312" w:cs="仿宋_GB2312"/>
          <w:sz w:val="32"/>
          <w:szCs w:val="32"/>
        </w:rPr>
        <w:t>，导致预算收入、支出</w:t>
      </w:r>
      <w:r>
        <w:rPr>
          <w:rFonts w:hint="eastAsia" w:ascii="仿宋_GB2312" w:hAnsi="仿宋_GB2312" w:eastAsia="仿宋_GB2312" w:cs="仿宋_GB2312"/>
          <w:sz w:val="32"/>
          <w:szCs w:val="32"/>
          <w:lang w:val="en-US" w:eastAsia="zh-CN"/>
        </w:rPr>
        <w:t>减少</w:t>
      </w:r>
      <w:r>
        <w:rPr>
          <w:rFonts w:hint="eastAsia" w:ascii="仿宋_GB2312" w:hAnsi="仿宋_GB2312" w:eastAsia="仿宋_GB2312" w:cs="仿宋_GB2312"/>
          <w:sz w:val="32"/>
          <w:szCs w:val="32"/>
        </w:rPr>
        <w:t>。</w:t>
      </w:r>
    </w:p>
    <w:p w14:paraId="10B4AC7E">
      <w:pPr>
        <w:snapToGrid w:val="0"/>
        <w:spacing w:line="52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（图4：财政</w:t>
      </w:r>
      <w:r>
        <w:rPr>
          <w:rFonts w:hint="eastAsia" w:ascii="仿宋_GB2312" w:hAnsi="仿宋_GB2312" w:eastAsia="仿宋_GB2312" w:cs="仿宋_GB2312"/>
          <w:sz w:val="32"/>
          <w:szCs w:val="32"/>
        </w:rPr>
        <w:t>拨款</w:t>
      </w:r>
      <w:r>
        <w:rPr>
          <w:rFonts w:hint="eastAsia" w:ascii="仿宋_GB2312" w:hAnsi="仿宋_GB2312" w:eastAsia="仿宋_GB2312" w:cs="仿宋_GB2312"/>
          <w:sz w:val="32"/>
          <w:szCs w:val="32"/>
          <w:shd w:val="clear" w:color="auto" w:fill="FFFFFF"/>
        </w:rPr>
        <w:t>收、支决算总计变动情况）（柱状图）</w:t>
      </w:r>
    </w:p>
    <w:p w14:paraId="7E4A1AC3">
      <w:pPr>
        <w:pStyle w:val="20"/>
        <w:spacing w:before="0" w:beforeAutospacing="0"/>
        <w:rPr>
          <w:rFonts w:hint="eastAsia"/>
        </w:rPr>
      </w:pPr>
      <w:r>
        <w:drawing>
          <wp:inline distT="0" distB="0" distL="114300" distR="114300">
            <wp:extent cx="5378450" cy="3019425"/>
            <wp:effectExtent l="4445" t="4445" r="8255" b="5080"/>
            <wp:docPr id="7"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BF1A57E">
      <w:pPr>
        <w:pStyle w:val="8"/>
        <w:ind w:firstLine="640" w:firstLineChars="200"/>
        <w:rPr>
          <w:rFonts w:ascii="黑体" w:hAnsi="黑体" w:eastAsia="黑体" w:cs="黑体"/>
          <w:b w:val="0"/>
          <w:bCs w:val="0"/>
          <w:sz w:val="32"/>
          <w:szCs w:val="32"/>
        </w:rPr>
      </w:pPr>
      <w:bookmarkStart w:id="33" w:name="_Toc5667"/>
      <w:r>
        <w:rPr>
          <w:rFonts w:ascii="黑体" w:hAnsi="黑体" w:eastAsia="黑体" w:cs="黑体"/>
          <w:b w:val="0"/>
          <w:bCs w:val="0"/>
          <w:sz w:val="32"/>
          <w:szCs w:val="32"/>
        </w:rPr>
        <w:t>五、一般公共预算财政拨款支出决算情况说明</w:t>
      </w:r>
      <w:bookmarkEnd w:id="33"/>
    </w:p>
    <w:p w14:paraId="0066E051">
      <w:pPr>
        <w:autoSpaceDE w:val="0"/>
        <w:autoSpaceDN w:val="0"/>
        <w:adjustRightInd w:val="0"/>
        <w:ind w:left="480" w:left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（一）一般公共预算财政拨款支出决算总体情况</w:t>
      </w:r>
    </w:p>
    <w:p w14:paraId="05B83B8D">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度</w:t>
      </w:r>
      <w:r>
        <w:rPr>
          <w:rFonts w:hint="eastAsia" w:ascii="仿宋_GB2312" w:hAnsi="仿宋_GB2312" w:eastAsia="仿宋_GB2312" w:cs="仿宋_GB2312"/>
          <w:sz w:val="32"/>
          <w:szCs w:val="32"/>
        </w:rPr>
        <w:t>一般公共预算财政拨款支出</w:t>
      </w:r>
      <w:r>
        <w:rPr>
          <w:rFonts w:hint="eastAsia" w:ascii="仿宋_GB2312" w:hAnsi="仿宋_GB2312" w:eastAsia="仿宋_GB2312" w:cs="仿宋_GB2312"/>
          <w:sz w:val="32"/>
          <w:szCs w:val="32"/>
          <w:lang w:val="en-US" w:eastAsia="zh-CN"/>
        </w:rPr>
        <w:t>809.97</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26.97</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上年度</w:t>
      </w:r>
      <w:r>
        <w:rPr>
          <w:rFonts w:hint="eastAsia" w:ascii="仿宋_GB2312" w:hAnsi="仿宋_GB2312" w:eastAsia="仿宋_GB2312" w:cs="仿宋_GB2312"/>
          <w:sz w:val="32"/>
          <w:szCs w:val="32"/>
        </w:rPr>
        <w:t>一般公共预算财政拨款支出</w:t>
      </w:r>
      <w:r>
        <w:rPr>
          <w:rFonts w:hint="eastAsia" w:ascii="仿宋_GB2312" w:hAnsi="仿宋_GB2312" w:eastAsia="仿宋_GB2312" w:cs="仿宋_GB2312"/>
          <w:sz w:val="32"/>
          <w:szCs w:val="32"/>
          <w:lang w:val="en-US" w:eastAsia="zh-CN"/>
        </w:rPr>
        <w:t>322.14万元</w:t>
      </w:r>
      <w:r>
        <w:rPr>
          <w:rFonts w:hint="eastAsia" w:ascii="仿宋_GB2312" w:hAnsi="仿宋_GB2312" w:eastAsia="仿宋_GB2312" w:cs="仿宋_GB2312"/>
          <w:sz w:val="32"/>
          <w:szCs w:val="32"/>
        </w:rPr>
        <w:t>相比，一般公共预算财政拨款支出增加</w:t>
      </w:r>
      <w:r>
        <w:rPr>
          <w:rFonts w:hint="eastAsia" w:ascii="仿宋_GB2312" w:hAnsi="仿宋_GB2312" w:eastAsia="仿宋_GB2312" w:cs="仿宋_GB2312"/>
          <w:sz w:val="32"/>
          <w:szCs w:val="32"/>
          <w:lang w:val="en-US" w:eastAsia="zh-CN"/>
        </w:rPr>
        <w:t>487.83</w:t>
      </w:r>
      <w:r>
        <w:rPr>
          <w:rFonts w:hint="eastAsia" w:ascii="仿宋_GB2312" w:hAnsi="仿宋_GB2312"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增长</w:t>
      </w:r>
      <w:r>
        <w:rPr>
          <w:rFonts w:hint="eastAsia" w:ascii="仿宋_GB2312" w:hAnsi="仿宋_GB2312" w:eastAsia="仿宋_GB2312" w:cs="仿宋_GB2312"/>
          <w:sz w:val="32"/>
          <w:szCs w:val="32"/>
          <w:lang w:val="en-US" w:eastAsia="zh-CN"/>
        </w:rPr>
        <w:t>151.43</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节能环保支出增加</w:t>
      </w:r>
      <w:r>
        <w:rPr>
          <w:rFonts w:hint="eastAsia" w:ascii="仿宋_GB2312" w:hAnsi="仿宋_GB2312" w:eastAsia="仿宋_GB2312" w:cs="仿宋_GB2312"/>
          <w:sz w:val="32"/>
          <w:szCs w:val="32"/>
        </w:rPr>
        <w:t>，导致决算支出增加。</w:t>
      </w:r>
    </w:p>
    <w:p w14:paraId="07D14594">
      <w:pPr>
        <w:autoSpaceDE w:val="0"/>
        <w:autoSpaceDN w:val="0"/>
        <w:adjustRightInd w:val="0"/>
        <w:ind w:left="48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（图5：一般公共预算财政拨款支出决算变动情况）（柱状图）</w:t>
      </w:r>
    </w:p>
    <w:p w14:paraId="0266E6D8">
      <w:pPr>
        <w:pStyle w:val="20"/>
        <w:spacing w:before="0" w:beforeAutospacing="0"/>
        <w:ind w:firstLine="480" w:firstLineChars="200"/>
        <w:jc w:val="center"/>
        <w:rPr>
          <w:rFonts w:hint="eastAsia"/>
          <w:shd w:val="clear" w:color="auto" w:fill="FFFFFF"/>
        </w:rPr>
      </w:pPr>
      <w:r>
        <w:drawing>
          <wp:inline distT="0" distB="0" distL="114300" distR="114300">
            <wp:extent cx="5344160" cy="2795905"/>
            <wp:effectExtent l="4445" t="4445" r="23495" b="19050"/>
            <wp:docPr id="1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0B28FDF">
      <w:pPr>
        <w:autoSpaceDE w:val="0"/>
        <w:autoSpaceDN w:val="0"/>
        <w:adjustRightInd w:val="0"/>
        <w:ind w:left="480" w:left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（二）一般公共预算财政拨款支出决算结构情况</w:t>
      </w:r>
    </w:p>
    <w:p w14:paraId="2BB8294D">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2025年度一般公共预算财政拨款支出809.97万元，主要用于以下方面：社会保障和就业（类）支出45.03万元，占5.56%；卫生健康支出17.08万元，占2.11%；节能环保支出724.5万元，占89.45%；住房保障支出23.35万元，占2.88%。</w:t>
      </w:r>
      <w:r>
        <w:rPr>
          <w:rFonts w:hint="eastAsia" w:ascii="仿宋_GB2312" w:hAnsi="仿宋_GB2312" w:eastAsia="仿宋_GB2312" w:cs="仿宋_GB2312"/>
          <w:b/>
          <w:bCs/>
          <w:sz w:val="32"/>
          <w:szCs w:val="32"/>
        </w:rPr>
        <w:t>（注：仅罗列本</w:t>
      </w:r>
      <w:r>
        <w:rPr>
          <w:rFonts w:hint="eastAsia" w:ascii="仿宋_GB2312" w:hAnsi="仿宋_GB2312" w:eastAsia="仿宋_GB2312" w:cs="仿宋_GB2312"/>
          <w:b/>
          <w:bCs/>
          <w:sz w:val="32"/>
          <w:szCs w:val="32"/>
          <w:lang w:val="en-US" w:eastAsia="zh-CN"/>
        </w:rPr>
        <w:t>部门</w:t>
      </w:r>
      <w:r>
        <w:rPr>
          <w:rFonts w:hint="eastAsia" w:ascii="仿宋_GB2312" w:hAnsi="仿宋_GB2312" w:eastAsia="仿宋_GB2312" w:cs="仿宋_GB2312"/>
          <w:b/>
          <w:bCs/>
          <w:sz w:val="32"/>
          <w:szCs w:val="32"/>
        </w:rPr>
        <w:t>涉及的全部功能分类科目，至类级。）</w:t>
      </w:r>
    </w:p>
    <w:p w14:paraId="53154032">
      <w:pPr>
        <w:autoSpaceDE w:val="0"/>
        <w:autoSpaceDN w:val="0"/>
        <w:adjustRightInd w:val="0"/>
        <w:ind w:left="48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（图6：一般公共预算财政拨款支出决算结构）（饼状图）</w:t>
      </w:r>
    </w:p>
    <w:p w14:paraId="714C941B">
      <w:pPr>
        <w:pStyle w:val="20"/>
        <w:spacing w:before="0" w:beforeAutospacing="0"/>
        <w:jc w:val="center"/>
        <w:rPr>
          <w:rFonts w:hint="eastAsia"/>
        </w:rPr>
      </w:pPr>
      <w:r>
        <w:drawing>
          <wp:inline distT="0" distB="0" distL="114300" distR="114300">
            <wp:extent cx="5281295" cy="2731770"/>
            <wp:effectExtent l="4445" t="4445" r="10160" b="6985"/>
            <wp:docPr id="13" name="图表 5"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1DAB6C3">
      <w:pP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（三）一般公共预算财政拨款支出决算具体情况</w:t>
      </w:r>
    </w:p>
    <w:p w14:paraId="5EA2207E">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2025年度一般公共预算支出决算数为809.97万元，完成预算100%。其中：</w:t>
      </w:r>
    </w:p>
    <w:p w14:paraId="0CC570D2">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1.社会保障和就业支出（208）行政事业单位养老支出（20805）机关事业单位基本养老保险缴费支出（2080505）机关事业单位职业年金缴费支出（2080506）：支出决算为45.03万元，完成预算100%。</w:t>
      </w:r>
    </w:p>
    <w:p w14:paraId="64667333">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2.卫生健康支出（210）行政事业单位医疗（21011）行政单位医疗（2101101）公务员医疗补助（2101103）：支出决算为17.08万元，完成预算100%。</w:t>
      </w:r>
    </w:p>
    <w:p w14:paraId="433E5A4D">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4.节能环保支出（211）环境保护管理事务（21101）行政运行（2110101）生态环境保护宣传（2110104）生态环境保护行政许可（2110107）其他环境保护管理事务支出（2110199）：支出决算为724.50万元，完成预算100%。</w:t>
      </w:r>
    </w:p>
    <w:p w14:paraId="008C4F84">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5.污染防治（21103）大气（2110301）水体（2110302）：支出决算为50.84万元，完成预算100%。</w:t>
      </w:r>
    </w:p>
    <w:p w14:paraId="761C6D17">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6.自然生态保护（21104）农村环境保护（2110402）：支出决算为201.22万元，完成预算100%。</w:t>
      </w:r>
    </w:p>
    <w:p w14:paraId="4A1B07E0">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7.住房保障支出（221）住房改革支出（22102）住房公积金（2210201）：支出决算为23.35万元，完成预算100%。</w:t>
      </w:r>
    </w:p>
    <w:p w14:paraId="0A09F64B">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（注：仅罗列本单位涉及的全部功能分类科目，至项级。上述“预算”口径为全年预算数。增减变动原因为决算数</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项级</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和全年预算数</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项级</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比较，与预算数持平可以不写原因）</w:t>
      </w:r>
    </w:p>
    <w:p w14:paraId="3B3A4D86">
      <w:pPr>
        <w:pStyle w:val="3"/>
        <w:ind w:left="480"/>
      </w:pPr>
    </w:p>
    <w:p w14:paraId="46BCE2F3">
      <w:pPr>
        <w:pStyle w:val="8"/>
        <w:ind w:firstLine="640" w:firstLineChars="200"/>
        <w:rPr>
          <w:rFonts w:ascii="黑体" w:hAnsi="黑体" w:eastAsia="黑体" w:cs="黑体"/>
          <w:b w:val="0"/>
          <w:bCs w:val="0"/>
          <w:sz w:val="32"/>
          <w:szCs w:val="32"/>
        </w:rPr>
      </w:pPr>
      <w:bookmarkStart w:id="34" w:name="_Toc26294"/>
      <w:r>
        <w:rPr>
          <w:rFonts w:ascii="黑体" w:hAnsi="黑体" w:eastAsia="黑体" w:cs="黑体"/>
          <w:b w:val="0"/>
          <w:bCs w:val="0"/>
          <w:sz w:val="32"/>
          <w:szCs w:val="32"/>
        </w:rPr>
        <w:t>六、一般公共预算财政拨款基本支出决算情况说明</w:t>
      </w:r>
      <w:bookmarkEnd w:id="34"/>
    </w:p>
    <w:p w14:paraId="575B52E0">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2025年度一般公共预算财政拨款基本支出541.05万元，其中：</w:t>
      </w:r>
    </w:p>
    <w:p w14:paraId="658749F8">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员经费235.51万元，主要包括：基本工资80.90万元、津贴补贴61.40万元、奖金5.49万元、机关事业单位基本养老保险缴费30.02万元、职业年金缴费15.01万元、职工基本医疗保险缴费13.94万元、公务员医疗补助缴费3.14万元、其他社会保障缴费0.50万元、其他工资福利支出1.76万元、住房公积金23.35万元、奖励金0.02万元。</w:t>
      </w:r>
    </w:p>
    <w:p w14:paraId="122D8CD5">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用经费305.52万元，主要包括：办公费7.06万元、水费0.36万元、电费0.48万元、邮电费2.33万元、差旅费9.20万元、维修（护）费0.26万元、培训费0.3万元、委托业务费273.46万元、福利费1.99万元、公务用车运行维护费8.3万元、其他商品和服务支出1.8万元。</w:t>
      </w:r>
    </w:p>
    <w:p w14:paraId="788083C5">
      <w:pPr>
        <w:ind w:firstLine="643" w:firstLineChars="20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（注：仅罗列本单位实际支出涉及的经济分类科目。）</w:t>
      </w:r>
    </w:p>
    <w:p w14:paraId="754C05D6">
      <w:pPr>
        <w:pStyle w:val="20"/>
        <w:spacing w:before="0" w:beforeAutospacing="0" w:after="0" w:afterAutospacing="0" w:line="560" w:lineRule="exact"/>
        <w:ind w:firstLine="640"/>
        <w:rPr>
          <w:rFonts w:hint="eastAsia" w:ascii="仿宋_GB2312" w:hAnsi="仿宋_GB2312" w:eastAsia="仿宋_GB2312" w:cs="仿宋_GB2312"/>
          <w:sz w:val="32"/>
          <w:szCs w:val="32"/>
          <w:shd w:val="clear" w:color="auto" w:fill="FFFFFF"/>
        </w:rPr>
      </w:pPr>
    </w:p>
    <w:p w14:paraId="0088EAE4">
      <w:pPr>
        <w:pStyle w:val="8"/>
        <w:ind w:firstLine="640" w:firstLineChars="200"/>
        <w:rPr>
          <w:rFonts w:ascii="黑体" w:hAnsi="黑体" w:eastAsia="黑体" w:cs="黑体"/>
          <w:b w:val="0"/>
          <w:bCs w:val="0"/>
          <w:sz w:val="32"/>
          <w:szCs w:val="32"/>
        </w:rPr>
      </w:pPr>
      <w:bookmarkStart w:id="35" w:name="_Toc24412"/>
      <w:r>
        <w:rPr>
          <w:rFonts w:ascii="黑体" w:hAnsi="黑体" w:eastAsia="黑体" w:cs="黑体"/>
          <w:b w:val="0"/>
          <w:bCs w:val="0"/>
          <w:sz w:val="32"/>
          <w:szCs w:val="32"/>
        </w:rPr>
        <w:t>七、财政拨款“三公”经费财政拨款支出决算情况说明</w:t>
      </w:r>
      <w:bookmarkEnd w:id="35"/>
    </w:p>
    <w:p w14:paraId="1FA7E1F4">
      <w:pPr>
        <w:pStyle w:val="9"/>
        <w:keepNext/>
        <w:keepLines/>
        <w:pageBreakBefore w:val="0"/>
        <w:widowControl/>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rPr>
      </w:pPr>
      <w:bookmarkStart w:id="36" w:name="_Toc8512"/>
      <w:r>
        <w:rPr>
          <w:rFonts w:hint="eastAsia" w:ascii="楷体" w:hAnsi="楷体" w:eastAsia="楷体" w:cs="楷体"/>
        </w:rPr>
        <w:t>（一）财政拨款“三公”经费支出决算总体情况说明</w:t>
      </w:r>
      <w:bookmarkEnd w:id="36"/>
    </w:p>
    <w:p w14:paraId="06941F2B">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2025年度财政拨款“三公”经费支出决算为8.30万元，完成预算67.80%，较上年减少1.42万元，下降14.61%。决算数小于预算数的主要原因是厉行节约。</w:t>
      </w:r>
    </w:p>
    <w:p w14:paraId="7B7C6535">
      <w:pPr>
        <w:keepNext w:val="0"/>
        <w:keepLines w:val="0"/>
        <w:pageBreakBefore w:val="0"/>
        <w:widowControl/>
        <w:kinsoku/>
        <w:wordWrap/>
        <w:overflowPunct/>
        <w:topLinePunct w:val="0"/>
        <w:bidi w:val="0"/>
        <w:snapToGrid/>
        <w:spacing w:line="600" w:lineRule="exact"/>
        <w:ind w:firstLine="360" w:firstLineChars="112"/>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（注：上述“预算”口径为全年预算数，包括一般公共预算和政府性基金预算财政拨款支出决算情况</w:t>
      </w:r>
      <w:r>
        <w:rPr>
          <w:rFonts w:hint="eastAsia" w:ascii="仿宋_GB2312" w:hAnsi="仿宋_GB2312" w:eastAsia="仿宋_GB2312" w:cs="仿宋_GB2312"/>
          <w:b/>
          <w:bCs/>
          <w:sz w:val="32"/>
          <w:szCs w:val="32"/>
          <w:lang w:eastAsia="zh-CN"/>
        </w:rPr>
        <w:t>，</w:t>
      </w:r>
      <w:r>
        <w:rPr>
          <w:rFonts w:hint="eastAsia" w:ascii="Times New Roman" w:hAnsi="Times New Roman" w:eastAsia="仿宋_GB2312" w:cs="仿宋_GB2312"/>
          <w:b/>
          <w:bCs/>
          <w:color w:val="auto"/>
          <w:kern w:val="2"/>
          <w:sz w:val="32"/>
          <w:szCs w:val="32"/>
          <w:highlight w:val="none"/>
          <w:lang w:val="en-US" w:eastAsia="zh-CN" w:bidi="ar-SA"/>
        </w:rPr>
        <w:t>与预算数持平可以不写原因</w:t>
      </w:r>
      <w:r>
        <w:rPr>
          <w:rFonts w:hint="eastAsia" w:ascii="仿宋_GB2312" w:hAnsi="仿宋_GB2312" w:eastAsia="仿宋_GB2312" w:cs="仿宋_GB2312"/>
          <w:b/>
          <w:bCs/>
          <w:sz w:val="32"/>
          <w:szCs w:val="32"/>
        </w:rPr>
        <w:t>。）</w:t>
      </w:r>
    </w:p>
    <w:p w14:paraId="6E43ADBB">
      <w:pPr>
        <w:pStyle w:val="9"/>
        <w:keepNext/>
        <w:keepLines/>
        <w:pageBreakBefore w:val="0"/>
        <w:widowControl/>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b/>
        </w:rPr>
      </w:pPr>
      <w:bookmarkStart w:id="37" w:name="_Toc22338"/>
      <w:r>
        <w:rPr>
          <w:rFonts w:hint="eastAsia" w:ascii="楷体" w:hAnsi="楷体" w:eastAsia="楷体" w:cs="楷体"/>
          <w:b/>
        </w:rPr>
        <w:t>（二）财政拨款“三公”经费支出决算具体情况说明</w:t>
      </w:r>
      <w:bookmarkEnd w:id="37"/>
    </w:p>
    <w:p w14:paraId="7CA7D3E9">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2025年度财政拨款“三公”经费支出决算中，因公出国（境）费支出决算0万元，占0%；公务用车购置及运行维护费支出决算8.30万元，占100.00%。公务接待费支出决算0万元，占0%。具体情况如下：</w:t>
      </w:r>
    </w:p>
    <w:p w14:paraId="356CD0C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（图7：“三公”经费财政拨款支出结构）（饼状图）</w:t>
      </w:r>
    </w:p>
    <w:p w14:paraId="2A912C4B">
      <w:pPr>
        <w:pStyle w:val="20"/>
        <w:spacing w:before="0" w:beforeAutospacing="0"/>
        <w:rPr>
          <w:rFonts w:hint="eastAsia"/>
          <w:shd w:val="clear" w:color="auto" w:fill="FFFFFF"/>
        </w:rPr>
      </w:pPr>
      <w:r>
        <w:drawing>
          <wp:inline distT="0" distB="0" distL="114300" distR="114300">
            <wp:extent cx="5426075" cy="2971800"/>
            <wp:effectExtent l="4445" t="4445" r="17780" b="1460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E5D0B38">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60" w:firstLineChars="112"/>
        <w:textAlignment w:val="auto"/>
        <w:rPr>
          <w:rFonts w:hint="eastAsia" w:ascii="仿宋_GB2312" w:hAnsi="仿宋_GB2312" w:eastAsia="仿宋_GB2312" w:cs="仿宋_GB2312"/>
          <w:sz w:val="32"/>
          <w:szCs w:val="32"/>
          <w:lang w:val="en-US" w:eastAsia="zh-CN"/>
        </w:rPr>
      </w:pPr>
      <w:r>
        <w:rPr>
          <w:rFonts w:hint="eastAsia" w:ascii="仿宋" w:hAnsi="仿宋" w:eastAsia="仿宋" w:cs="仿宋"/>
          <w:b/>
          <w:bCs/>
          <w:sz w:val="32"/>
          <w:szCs w:val="32"/>
          <w:lang w:bidi="ar"/>
        </w:rPr>
        <w:t>1</w:t>
      </w:r>
      <w:r>
        <w:rPr>
          <w:rFonts w:hint="eastAsia" w:ascii="仿宋_GB2312" w:hAnsi="仿宋_GB2312" w:eastAsia="仿宋_GB2312" w:cs="仿宋_GB2312"/>
          <w:b/>
          <w:bCs/>
          <w:sz w:val="32"/>
          <w:szCs w:val="32"/>
          <w:lang w:val="en-US" w:eastAsia="zh-CN"/>
        </w:rPr>
        <w:t>.因公出国（境）经费支出0万元，完成预算0%。</w:t>
      </w:r>
      <w:r>
        <w:rPr>
          <w:rFonts w:hint="eastAsia" w:ascii="仿宋_GB2312" w:hAnsi="仿宋_GB2312" w:eastAsia="仿宋_GB2312" w:cs="仿宋_GB2312"/>
          <w:sz w:val="32"/>
          <w:szCs w:val="32"/>
          <w:lang w:val="en-US" w:eastAsia="zh-CN"/>
        </w:rPr>
        <w:t>全年安排因公出国（境）团组0次，出国（境）0人。因公出国（境）支出决算比上年度增加0万元，增长0%。</w:t>
      </w:r>
    </w:p>
    <w:p w14:paraId="7284323E">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60"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2.公务用车购置及运行维护费支出8.3万元，完成预算72.05%。</w:t>
      </w:r>
      <w:r>
        <w:rPr>
          <w:rFonts w:hint="eastAsia" w:ascii="仿宋_GB2312" w:hAnsi="仿宋_GB2312" w:eastAsia="仿宋_GB2312" w:cs="仿宋_GB2312"/>
          <w:sz w:val="32"/>
          <w:szCs w:val="32"/>
          <w:lang w:val="en-US" w:eastAsia="zh-CN"/>
        </w:rPr>
        <w:t>公务用车购置及运行维护费支出决算比上年度减少1.42万元，减少14.61%。主要原因是厉行节约。</w:t>
      </w:r>
    </w:p>
    <w:p w14:paraId="7B13A995">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中：公务用车购置支出0万元。全年按规定更新购置公务用车0辆，其中：轿车0辆、金额0万元，越野车0辆、金额0万元，载客汽车0辆、金额0万元。截至2025年12月31日，单位共有公务用车4辆，其中：轿车0辆、越野车4辆、载客汽车0辆。</w:t>
      </w:r>
    </w:p>
    <w:p w14:paraId="7D254955">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公务用车运行维护费支出8.3万元。主要用于日常办理公务、执法处理突发事件和公务活动工作等所需的公务用车燃料费、维修费、过路过桥费、保险费等支出。</w:t>
      </w:r>
    </w:p>
    <w:p w14:paraId="22C667EB">
      <w:pPr>
        <w:keepNext w:val="0"/>
        <w:keepLines w:val="0"/>
        <w:pageBreakBefore w:val="0"/>
        <w:widowControl/>
        <w:kinsoku/>
        <w:wordWrap/>
        <w:overflowPunct/>
        <w:topLinePunct w:val="0"/>
        <w:autoSpaceDE/>
        <w:autoSpaceDN/>
        <w:bidi w:val="0"/>
        <w:adjustRightInd/>
        <w:snapToGrid/>
        <w:spacing w:line="600" w:lineRule="exact"/>
        <w:ind w:firstLine="641"/>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b/>
          <w:bCs/>
          <w:sz w:val="32"/>
          <w:szCs w:val="32"/>
          <w:lang w:val="en-US" w:eastAsia="zh-CN" w:bidi="ar-SA"/>
        </w:rPr>
        <w:t>3.公务接待费支出0万元，完成预算0%。</w:t>
      </w:r>
      <w:r>
        <w:rPr>
          <w:rFonts w:hint="eastAsia" w:ascii="仿宋_GB2312" w:hAnsi="仿宋_GB2312" w:eastAsia="仿宋_GB2312" w:cs="仿宋_GB2312"/>
          <w:sz w:val="32"/>
          <w:szCs w:val="32"/>
          <w:lang w:val="en-US" w:eastAsia="zh-CN" w:bidi="ar-SA"/>
        </w:rPr>
        <w:t>公务接待费支出决算比上年度增加0万元，增长0%。</w:t>
      </w:r>
    </w:p>
    <w:p w14:paraId="308D5732">
      <w:pPr>
        <w:keepNext w:val="0"/>
        <w:keepLines w:val="0"/>
        <w:pageBreakBefore w:val="0"/>
        <w:widowControl/>
        <w:kinsoku/>
        <w:wordWrap/>
        <w:overflowPunct/>
        <w:topLinePunct w:val="0"/>
        <w:autoSpaceDE/>
        <w:autoSpaceDN/>
        <w:bidi w:val="0"/>
        <w:adjustRightInd/>
        <w:snapToGrid/>
        <w:spacing w:line="600" w:lineRule="exact"/>
        <w:ind w:firstLine="641"/>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国内公务接待支出0万元，国内公务接待0批次，0人次（不包括陪同人员），共计支出0万元。</w:t>
      </w:r>
    </w:p>
    <w:p w14:paraId="3956F52D">
      <w:pPr>
        <w:keepNext w:val="0"/>
        <w:keepLines w:val="0"/>
        <w:pageBreakBefore w:val="0"/>
        <w:widowControl/>
        <w:kinsoku/>
        <w:wordWrap/>
        <w:overflowPunct/>
        <w:topLinePunct w:val="0"/>
        <w:autoSpaceDE/>
        <w:autoSpaceDN/>
        <w:bidi w:val="0"/>
        <w:adjustRightInd/>
        <w:snapToGrid/>
        <w:spacing w:line="600" w:lineRule="exact"/>
        <w:ind w:firstLine="641"/>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bidi="ar-SA"/>
        </w:rPr>
        <w:t>外事接待支出0万元，外事接待0批次，0人，共计支出0万</w:t>
      </w:r>
      <w:r>
        <w:rPr>
          <w:rFonts w:hint="eastAsia" w:ascii="仿宋_GB2312" w:hAnsi="仿宋_GB2312" w:eastAsia="仿宋_GB2312" w:cs="仿宋_GB2312"/>
          <w:sz w:val="32"/>
          <w:szCs w:val="32"/>
          <w:lang w:val="en-US" w:eastAsia="zh-CN"/>
        </w:rPr>
        <w:t>元。</w:t>
      </w:r>
    </w:p>
    <w:p w14:paraId="58089B49">
      <w:pPr>
        <w:pStyle w:val="8"/>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sz w:val="32"/>
          <w:szCs w:val="32"/>
        </w:rPr>
      </w:pPr>
      <w:bookmarkStart w:id="38" w:name="_Toc1186"/>
      <w:r>
        <w:rPr>
          <w:rFonts w:hint="eastAsia" w:ascii="黑体" w:hAnsi="黑体" w:eastAsia="黑体" w:cs="黑体"/>
          <w:b w:val="0"/>
          <w:bCs w:val="0"/>
          <w:sz w:val="32"/>
          <w:szCs w:val="32"/>
        </w:rPr>
        <w:t>八、政府性基金预算支出决算情况说明</w:t>
      </w:r>
      <w:bookmarkEnd w:id="38"/>
    </w:p>
    <w:p w14:paraId="5D3A147D">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2025年度政府性基金预算财政拨款支出0万元，占本年支出合计的0%。与上年度相比，政府性基金预算财政拨款支出增加0万元，增长0%。</w:t>
      </w:r>
    </w:p>
    <w:p w14:paraId="0CCF4F25">
      <w:pPr>
        <w:pStyle w:val="20"/>
        <w:spacing w:before="0" w:beforeAutospacing="0" w:after="0" w:afterAutospacing="0" w:line="560" w:lineRule="exact"/>
        <w:ind w:firstLine="643" w:firstLineChars="200"/>
        <w:rPr>
          <w:rFonts w:hint="eastAsia" w:ascii="仿宋_GB2312" w:hAnsi="仿宋_GB2312" w:eastAsia="仿宋_GB2312" w:cs="仿宋_GB2312"/>
          <w:sz w:val="32"/>
          <w:szCs w:val="32"/>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1830D881">
      <w:pPr>
        <w:pStyle w:val="8"/>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sz w:val="32"/>
          <w:szCs w:val="32"/>
        </w:rPr>
      </w:pPr>
      <w:bookmarkStart w:id="39" w:name="_Toc1789"/>
      <w:r>
        <w:rPr>
          <w:rFonts w:hint="eastAsia" w:ascii="黑体" w:hAnsi="黑体" w:eastAsia="黑体" w:cs="黑体"/>
          <w:b w:val="0"/>
          <w:bCs w:val="0"/>
          <w:sz w:val="32"/>
          <w:szCs w:val="32"/>
        </w:rPr>
        <w:t>九、国有资本经营预算支出决算情况说明</w:t>
      </w:r>
      <w:bookmarkEnd w:id="39"/>
    </w:p>
    <w:p w14:paraId="1CA418F0">
      <w:pPr>
        <w:keepNext w:val="0"/>
        <w:keepLines w:val="0"/>
        <w:pageBreakBefore w:val="0"/>
        <w:widowControl/>
        <w:kinsoku/>
        <w:wordWrap/>
        <w:overflowPunct/>
        <w:topLinePunct w:val="0"/>
        <w:autoSpaceDE/>
        <w:autoSpaceDN/>
        <w:bidi w:val="0"/>
        <w:adjustRightInd/>
        <w:snapToGrid/>
        <w:spacing w:line="6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lang w:val="en-US" w:eastAsia="zh-CN" w:bidi="ar-SA"/>
        </w:rPr>
        <w:t>2025年度国有资本经营预算财政拨款支出0万元，占本年支出合计的0%。与上年度相比，国有资本经营预算财政拨款支出增加0万元，增长0%。</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9F62486">
      <w:pPr>
        <w:ind w:firstLine="480" w:firstLineChars="200"/>
        <w:rPr>
          <w:rFonts w:hint="eastAsia" w:ascii="仿宋_GB2312" w:hAnsi="仿宋_GB2312" w:eastAsia="仿宋_GB2312" w:cs="仿宋_GB2312"/>
          <w:szCs w:val="32"/>
          <w:shd w:val="clear" w:color="auto" w:fill="FFFFFF"/>
        </w:rPr>
      </w:pPr>
    </w:p>
    <w:p w14:paraId="6C933D37">
      <w:pPr>
        <w:pStyle w:val="8"/>
        <w:ind w:firstLine="640" w:firstLineChars="200"/>
        <w:rPr>
          <w:rFonts w:ascii="黑体" w:hAnsi="黑体" w:eastAsia="黑体" w:cs="黑体"/>
          <w:b w:val="0"/>
          <w:bCs w:val="0"/>
          <w:sz w:val="32"/>
          <w:szCs w:val="32"/>
        </w:rPr>
      </w:pPr>
      <w:bookmarkStart w:id="40" w:name="_Toc13926"/>
      <w:r>
        <w:rPr>
          <w:rFonts w:ascii="黑体" w:hAnsi="黑体" w:eastAsia="黑体" w:cs="黑体"/>
          <w:b w:val="0"/>
          <w:bCs w:val="0"/>
          <w:sz w:val="32"/>
          <w:szCs w:val="32"/>
        </w:rPr>
        <w:t>十、其他重要事项的情况说明</w:t>
      </w:r>
      <w:bookmarkEnd w:id="40"/>
    </w:p>
    <w:p w14:paraId="67A057D2">
      <w:pPr>
        <w:pStyle w:val="9"/>
        <w:keepNext/>
        <w:keepLines/>
        <w:pageBreakBefore w:val="0"/>
        <w:widowControl/>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rPr>
      </w:pPr>
      <w:bookmarkStart w:id="41" w:name="_Toc17133"/>
      <w:r>
        <w:rPr>
          <w:rFonts w:hint="eastAsia" w:ascii="楷体" w:hAnsi="楷体" w:eastAsia="楷体" w:cs="楷体"/>
        </w:rPr>
        <w:t>（一）机关运行经费支出情况</w:t>
      </w:r>
      <w:bookmarkEnd w:id="41"/>
    </w:p>
    <w:p w14:paraId="0D560269">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2025年度，阿坝州黑水生态环境局机关运行经费支出305.52万元，比上年度增加259.77万元，增长567.80%。主要原因是2025年度产生的委托业务费占比较大，导致决算数增加。</w:t>
      </w:r>
    </w:p>
    <w:p w14:paraId="37A737EF">
      <w:pPr>
        <w:rPr>
          <w:rFonts w:hint="eastAsia" w:ascii="仿宋" w:hAnsi="仿宋" w:eastAsia="仿宋" w:cs="仿宋"/>
          <w:sz w:val="32"/>
          <w:szCs w:val="32"/>
        </w:rPr>
      </w:pP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251991BC">
      <w:pPr>
        <w:pStyle w:val="9"/>
        <w:keepNext/>
        <w:keepLines/>
        <w:pageBreakBefore w:val="0"/>
        <w:widowControl/>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b/>
        </w:rPr>
      </w:pPr>
      <w:bookmarkStart w:id="42" w:name="_Toc21120"/>
      <w:r>
        <w:rPr>
          <w:rFonts w:hint="eastAsia" w:ascii="楷体" w:hAnsi="楷体" w:eastAsia="楷体" w:cs="楷体"/>
          <w:b/>
        </w:rPr>
        <w:t>（二）政府采购支出情况</w:t>
      </w:r>
      <w:bookmarkEnd w:id="42"/>
    </w:p>
    <w:p w14:paraId="4F336529">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 w:hAnsi="仿宋" w:eastAsia="仿宋" w:cs="仿宋"/>
          <w:b/>
          <w:bCs/>
          <w:sz w:val="32"/>
          <w:szCs w:val="32"/>
        </w:rPr>
      </w:pPr>
      <w:r>
        <w:rPr>
          <w:rFonts w:hint="eastAsia" w:ascii="仿宋_GB2312" w:hAnsi="仿宋_GB2312" w:eastAsia="仿宋_GB2312" w:cs="仿宋_GB2312"/>
          <w:sz w:val="32"/>
          <w:szCs w:val="32"/>
          <w:lang w:val="en-US" w:eastAsia="zh-CN" w:bidi="ar-SA"/>
        </w:rPr>
        <w:t>2025年度，阿坝州黑水生态环境局政府采购支出总额605.35万元，其中：政府采购货物支出2.00万元、政府采购工程支出0万元、政府采购服务支出603.32万元。主要用于黑水县2023年、2024年、2025年环境监测服务采购项目，黑水县创建国家生态文明建设示范县技术服务采购项目。授予中小企业合同金额605.32万元，占政府采购支出总额的100.00%，其中：授予小微企业合同金额605.32万元，占政府采购支出总额的100.00%。</w:t>
      </w:r>
    </w:p>
    <w:p w14:paraId="2EECF1FC">
      <w:pPr>
        <w:pStyle w:val="9"/>
        <w:keepNext/>
        <w:keepLines/>
        <w:pageBreakBefore w:val="0"/>
        <w:widowControl/>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b/>
        </w:rPr>
      </w:pPr>
      <w:bookmarkStart w:id="43" w:name="_Toc13310"/>
      <w:r>
        <w:rPr>
          <w:rFonts w:hint="eastAsia" w:ascii="楷体" w:hAnsi="楷体" w:eastAsia="楷体" w:cs="楷体"/>
          <w:b/>
        </w:rPr>
        <w:t>（三）国有资产占有使用情况</w:t>
      </w:r>
      <w:bookmarkEnd w:id="43"/>
    </w:p>
    <w:p w14:paraId="6E599AB2">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 w:hAnsi="仿宋" w:eastAsia="仿宋" w:cs="仿宋"/>
          <w:b/>
          <w:bCs/>
          <w:sz w:val="32"/>
          <w:szCs w:val="32"/>
          <w:highlight w:val="none"/>
        </w:rPr>
      </w:pPr>
      <w:r>
        <w:rPr>
          <w:rFonts w:hint="eastAsia" w:ascii="仿宋_GB2312" w:hAnsi="仿宋_GB2312" w:eastAsia="仿宋_GB2312" w:cs="仿宋_GB2312"/>
          <w:sz w:val="32"/>
          <w:szCs w:val="32"/>
          <w:lang w:val="en-US" w:eastAsia="zh-CN" w:bidi="ar-SA"/>
        </w:rPr>
        <w:t>截至2025年12月31日，阿坝州黑水生态环境局共有车辆4辆，其中：副部（省）级及以上领导用车0辆、主要负责人用车0辆、机要通信用车0辆、应急保障用车0辆、执法执勤用车0辆、特种专业技术用车0辆、离退休干部服务用车0辆、其他用车4辆，其他用车主要是用于日常办理公务、执法处理突发事件和公务活动工作等。单价100万元（含）以上设备（不含车辆）0台（套）。</w:t>
      </w:r>
    </w:p>
    <w:p w14:paraId="47B0ACC3">
      <w:pPr>
        <w:pStyle w:val="9"/>
        <w:keepNext/>
        <w:keepLines/>
        <w:pageBreakBefore w:val="0"/>
        <w:widowControl/>
        <w:kinsoku/>
        <w:wordWrap/>
        <w:overflowPunct/>
        <w:topLinePunct w:val="0"/>
        <w:autoSpaceDE/>
        <w:autoSpaceDN/>
        <w:bidi w:val="0"/>
        <w:adjustRightInd/>
        <w:snapToGrid/>
        <w:spacing w:before="0" w:after="0" w:line="600" w:lineRule="exact"/>
        <w:ind w:firstLine="643" w:firstLineChars="200"/>
        <w:textAlignment w:val="auto"/>
        <w:rPr>
          <w:rFonts w:hint="eastAsia" w:ascii="楷体" w:hAnsi="楷体" w:eastAsia="楷体" w:cs="楷体"/>
          <w:b/>
        </w:rPr>
      </w:pPr>
      <w:bookmarkStart w:id="44" w:name="_Toc4047"/>
      <w:r>
        <w:rPr>
          <w:rFonts w:hint="eastAsia" w:ascii="楷体" w:hAnsi="楷体" w:eastAsia="楷体" w:cs="楷体"/>
          <w:b/>
        </w:rPr>
        <w:t>（四）预算绩效管理情况</w:t>
      </w:r>
      <w:bookmarkEnd w:id="44"/>
    </w:p>
    <w:p w14:paraId="644424E1">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根据预算绩效管理要求，</w:t>
      </w:r>
      <w:r>
        <w:rPr>
          <w:rFonts w:hint="eastAsia" w:ascii="仿宋" w:hAnsi="仿宋" w:eastAsia="仿宋" w:cs="仿宋"/>
          <w:sz w:val="32"/>
          <w:szCs w:val="32"/>
          <w:highlight w:val="none"/>
          <w:lang w:val="en-US" w:eastAsia="zh-CN"/>
        </w:rPr>
        <w:t>阿坝州黑水生态环境局</w:t>
      </w:r>
      <w:r>
        <w:rPr>
          <w:rFonts w:hint="eastAsia" w:ascii="仿宋" w:hAnsi="仿宋" w:eastAsia="仿宋" w:cs="仿宋"/>
          <w:sz w:val="32"/>
          <w:szCs w:val="32"/>
          <w:highlight w:val="none"/>
        </w:rPr>
        <w:t>在</w:t>
      </w:r>
      <w:r>
        <w:rPr>
          <w:rFonts w:hint="eastAsia" w:ascii="仿宋" w:hAnsi="仿宋" w:eastAsia="仿宋" w:cs="仿宋"/>
          <w:sz w:val="32"/>
          <w:szCs w:val="32"/>
          <w:highlight w:val="none"/>
          <w:lang w:eastAsia="zh-CN"/>
        </w:rPr>
        <w:t>2025年度，</w:t>
      </w:r>
      <w:r>
        <w:rPr>
          <w:rFonts w:hint="eastAsia" w:ascii="仿宋" w:hAnsi="仿宋" w:eastAsia="仿宋" w:cs="仿宋"/>
          <w:sz w:val="32"/>
          <w:szCs w:val="32"/>
          <w:highlight w:val="none"/>
        </w:rPr>
        <w:t>组织对2023年生态环境监测服务采购项目</w:t>
      </w:r>
      <w:r>
        <w:rPr>
          <w:rFonts w:hint="eastAsia" w:ascii="仿宋" w:hAnsi="仿宋" w:eastAsia="仿宋" w:cs="仿宋"/>
          <w:sz w:val="32"/>
          <w:szCs w:val="32"/>
          <w:highlight w:val="none"/>
          <w:lang w:eastAsia="zh-CN"/>
        </w:rPr>
        <w:t>、202</w:t>
      </w: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lang w:eastAsia="zh-CN"/>
        </w:rPr>
        <w:t>年生态环境监测服务采购项目、202</w:t>
      </w:r>
      <w:r>
        <w:rPr>
          <w:rFonts w:hint="eastAsia" w:ascii="仿宋" w:hAnsi="仿宋" w:eastAsia="仿宋" w:cs="仿宋"/>
          <w:sz w:val="32"/>
          <w:szCs w:val="32"/>
          <w:highlight w:val="none"/>
          <w:lang w:val="en-US" w:eastAsia="zh-CN"/>
        </w:rPr>
        <w:t>5</w:t>
      </w:r>
      <w:r>
        <w:rPr>
          <w:rFonts w:hint="eastAsia" w:ascii="仿宋" w:hAnsi="仿宋" w:eastAsia="仿宋" w:cs="仿宋"/>
          <w:sz w:val="32"/>
          <w:szCs w:val="32"/>
          <w:highlight w:val="none"/>
          <w:lang w:eastAsia="zh-CN"/>
        </w:rPr>
        <w:t>年生态环境监测服务采购项目、2024年省级生态环境保护专项资金第四批环境空气质量奖励资金项目</w:t>
      </w:r>
      <w:r>
        <w:rPr>
          <w:rFonts w:hint="eastAsia" w:ascii="仿宋" w:hAnsi="仿宋" w:eastAsia="仿宋" w:cs="仿宋"/>
          <w:sz w:val="32"/>
          <w:szCs w:val="32"/>
          <w:highlight w:val="none"/>
        </w:rPr>
        <w:t>等</w:t>
      </w:r>
      <w:r>
        <w:rPr>
          <w:rFonts w:hint="eastAsia" w:ascii="仿宋" w:hAnsi="仿宋" w:eastAsia="仿宋" w:cs="仿宋"/>
          <w:sz w:val="32"/>
          <w:szCs w:val="32"/>
          <w:highlight w:val="none"/>
          <w:lang w:val="en-US" w:eastAsia="zh-CN"/>
        </w:rPr>
        <w:t>15</w:t>
      </w:r>
      <w:r>
        <w:rPr>
          <w:rFonts w:hint="eastAsia" w:ascii="仿宋" w:hAnsi="仿宋" w:eastAsia="仿宋" w:cs="仿宋"/>
          <w:sz w:val="32"/>
          <w:szCs w:val="32"/>
          <w:highlight w:val="none"/>
        </w:rPr>
        <w:t>个项目</w:t>
      </w:r>
      <w:r>
        <w:rPr>
          <w:rFonts w:hint="eastAsia" w:ascii="Times New Roman" w:hAnsi="Times New Roman" w:eastAsia="仿宋_GB2312" w:cs="仿宋_GB2312"/>
          <w:color w:val="auto"/>
          <w:kern w:val="2"/>
          <w:sz w:val="32"/>
          <w:szCs w:val="32"/>
          <w:highlight w:val="none"/>
          <w:lang w:val="en-US" w:eastAsia="zh-CN" w:bidi="ar-SA"/>
        </w:rPr>
        <w:t>涉及金额万元</w:t>
      </w:r>
      <w:r>
        <w:rPr>
          <w:rFonts w:hint="eastAsia" w:ascii="仿宋" w:hAnsi="仿宋" w:eastAsia="仿宋" w:cs="仿宋"/>
          <w:sz w:val="32"/>
          <w:szCs w:val="32"/>
          <w:highlight w:val="none"/>
        </w:rPr>
        <w:t>开展了预算事前绩效评估，对</w:t>
      </w:r>
      <w:r>
        <w:rPr>
          <w:rFonts w:hint="eastAsia" w:ascii="仿宋" w:hAnsi="仿宋" w:eastAsia="仿宋" w:cs="仿宋"/>
          <w:sz w:val="32"/>
          <w:szCs w:val="32"/>
          <w:highlight w:val="none"/>
          <w:lang w:val="en-US" w:eastAsia="zh-CN"/>
        </w:rPr>
        <w:t>15</w:t>
      </w:r>
      <w:r>
        <w:rPr>
          <w:rFonts w:hint="eastAsia" w:ascii="仿宋" w:hAnsi="仿宋" w:eastAsia="仿宋" w:cs="仿宋"/>
          <w:sz w:val="32"/>
          <w:szCs w:val="32"/>
          <w:highlight w:val="none"/>
        </w:rPr>
        <w:t>个项目编制了绩效目标</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rPr>
        <w:t>预算执行过程中，选取</w:t>
      </w:r>
      <w:r>
        <w:rPr>
          <w:rFonts w:hint="eastAsia" w:ascii="仿宋" w:hAnsi="仿宋" w:eastAsia="仿宋" w:cs="仿宋"/>
          <w:sz w:val="32"/>
          <w:szCs w:val="32"/>
          <w:highlight w:val="none"/>
          <w:lang w:val="en-US" w:eastAsia="zh-CN"/>
        </w:rPr>
        <w:t>15</w:t>
      </w:r>
      <w:r>
        <w:rPr>
          <w:rFonts w:hint="eastAsia" w:ascii="仿宋" w:hAnsi="仿宋" w:eastAsia="仿宋" w:cs="仿宋"/>
          <w:sz w:val="32"/>
          <w:szCs w:val="32"/>
          <w:highlight w:val="none"/>
        </w:rPr>
        <w:t>个项目开展绩效监控</w:t>
      </w:r>
      <w:r>
        <w:rPr>
          <w:rFonts w:hint="eastAsia" w:ascii="仿宋" w:hAnsi="仿宋" w:eastAsia="仿宋" w:cs="仿宋"/>
          <w:sz w:val="32"/>
          <w:szCs w:val="32"/>
          <w:highlight w:val="none"/>
          <w:lang w:eastAsia="zh-CN"/>
        </w:rPr>
        <w:t>。</w:t>
      </w:r>
    </w:p>
    <w:p w14:paraId="2E53FD45">
      <w:pPr>
        <w:pStyle w:val="7"/>
        <w:ind w:firstLine="2200" w:firstLineChars="500"/>
        <w:rPr>
          <w:rFonts w:hint="eastAsia"/>
        </w:rPr>
      </w:pPr>
      <w:bookmarkStart w:id="45" w:name="_Toc10416"/>
      <w:r>
        <w:rPr>
          <w:rFonts w:ascii="黑体" w:hAnsi="黑体" w:eastAsia="黑体" w:cs="黑体"/>
          <w:b w:val="0"/>
          <w:bCs w:val="0"/>
          <w:sz w:val="44"/>
          <w:szCs w:val="44"/>
        </w:rPr>
        <w:t>第三部分 名词解释</w:t>
      </w:r>
      <w:bookmarkEnd w:id="45"/>
    </w:p>
    <w:p w14:paraId="672800CD">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shd w:val="clear" w:color="auto" w:fill="FFFFFF"/>
        </w:rPr>
      </w:pPr>
      <w:bookmarkStart w:id="46" w:name="_Toc13676"/>
      <w:r>
        <w:rPr>
          <w:rFonts w:hint="eastAsia" w:ascii="仿宋_GB2312" w:hAnsi="仿宋_GB2312" w:eastAsia="仿宋_GB2312" w:cs="仿宋_GB2312"/>
          <w:sz w:val="32"/>
          <w:szCs w:val="32"/>
          <w:shd w:val="clear" w:color="auto" w:fill="FFFFFF"/>
        </w:rPr>
        <w:t>1.财政拨款收入：指单位从同级财政部门取得的财政预算资金。</w:t>
      </w:r>
      <w:bookmarkEnd w:id="46"/>
    </w:p>
    <w:p w14:paraId="04B3B648">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2.事业收入：指事业单位开展专业业务活动及辅助活动取得的收入。</w:t>
      </w:r>
    </w:p>
    <w:p w14:paraId="7D649AA8">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3.经营收入：指事业单位在专业业务活动及其辅助活动之外开展非独立核算经营活动取得的收入。</w:t>
      </w:r>
    </w:p>
    <w:p w14:paraId="178E0935">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shd w:val="clear" w:color="auto" w:fill="FFFFFF"/>
        </w:rPr>
      </w:pPr>
      <w:bookmarkStart w:id="47" w:name="_Toc7749"/>
      <w:r>
        <w:rPr>
          <w:rFonts w:hint="eastAsia" w:ascii="仿宋_GB2312" w:hAnsi="仿宋_GB2312" w:eastAsia="仿宋_GB2312" w:cs="仿宋_GB2312"/>
          <w:sz w:val="32"/>
          <w:szCs w:val="32"/>
          <w:shd w:val="clear" w:color="auto" w:fill="FFFFFF"/>
        </w:rPr>
        <w:t>4.其他收入：指单位取得的除上述收入以外的各项收入。</w:t>
      </w:r>
      <w:bookmarkEnd w:id="47"/>
    </w:p>
    <w:p w14:paraId="3F03F891">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5.使用非财政拨款结余：指事业单位使用以前年度积累的非财政拨款结余弥补当年收支差额的金额。</w:t>
      </w:r>
    </w:p>
    <w:p w14:paraId="1663A300">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6.年初结转和结余：指以前年度尚未完成、结转到本年按有关规定继续使用的资金。</w:t>
      </w:r>
    </w:p>
    <w:p w14:paraId="0771060E">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7.结余分配：指事业单位按照会计制度规定缴纳的所得税、提取的专用结余以及转入非财政拨款结余的金额等。</w:t>
      </w:r>
    </w:p>
    <w:p w14:paraId="1601EC67">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lang w:eastAsia="zh-CN"/>
        </w:rPr>
        <w:t>8.</w:t>
      </w:r>
      <w:r>
        <w:rPr>
          <w:rFonts w:hint="eastAsia" w:ascii="仿宋_GB2312" w:hAnsi="仿宋_GB2312" w:eastAsia="仿宋_GB2312" w:cs="仿宋_GB2312"/>
          <w:sz w:val="32"/>
          <w:szCs w:val="32"/>
          <w:shd w:val="clear" w:color="auto" w:fill="FFFFFF"/>
        </w:rPr>
        <w:t>年末结转和结余：指单位按有关规定结转到下年或以后年度继续使用的资金。</w:t>
      </w:r>
    </w:p>
    <w:p w14:paraId="62D6F06D">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9.社会保障和就业支出（208）行政事业单位养老支出（20805）机关事业单位基本养老保险缴费支出（2080505）：指反映机关事业单位实施养老保险制度由单位缴纳的基本养老保险费支出。</w:t>
      </w:r>
    </w:p>
    <w:p w14:paraId="6AD26A99">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10.社会保障和就业支出（208）行政事业单位养老支出（20805）机关事业单位职业年金缴费支出（2080506）：指反映机关事业单位实施养老保险制度由单位实际缴纳的职业年金支出。</w:t>
      </w:r>
    </w:p>
    <w:p w14:paraId="25506A17">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卫生健康支出（210）行政事业单位医疗（21011）行政单位医疗（2101101）：指反映财政部门安排的行政单位（包括实行公务员管理的事业单位）基本医疗保险缴费经费，未参加医疗保险的行政单位的公费医疗经费，按国家规定享受离休人员、红军老战士待遇人员的医疗经费。</w:t>
      </w:r>
    </w:p>
    <w:p w14:paraId="1902CD99">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12.卫生健康支出（210）行政事业单位医疗（21011）公务员医疗补助（2101103）：指反映财政部门安排的公务员医疗补助。</w:t>
      </w:r>
    </w:p>
    <w:p w14:paraId="1B9626E0">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13.节能环保支出（211）环境保护管理事务（21101）行政运行（2110101）：主要用于单位正常运转的基本支出，包括基本工资、津贴补贴等人员经费以及办公费、印刷费、水电费、公务接待费等日常公用经费。</w:t>
      </w:r>
    </w:p>
    <w:p w14:paraId="6A5E0D01">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14.节能环保支出（211）污染减排（21111）生态环境监测与信息（2111101）：反映生态环境部门监测和信息方面的支出，包括环境质量监测、污染治理设施竣工验收监测、污染源监督性监测、污染事故应急监测和污染纠纷监测等支出，环境统计和调查、环境质量评价、绿色国民经济核算等支出，环境信息系统建设、维护、运行、信息发布及其技术支持等方面的支出。</w:t>
      </w:r>
    </w:p>
    <w:p w14:paraId="3525D0F5">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15.节能环保支出（211）污染减排（21111）生态环境执法监察（2111102）：</w:t>
      </w:r>
      <w:r>
        <w:rPr>
          <w:rFonts w:hint="eastAsia" w:ascii="仿宋_GB2312" w:hAnsi="仿宋_GB2312" w:eastAsia="仿宋_GB2312" w:cs="仿宋_GB2312"/>
          <w:color w:val="000000" w:themeColor="text1"/>
          <w:kern w:val="2"/>
          <w:sz w:val="32"/>
          <w:szCs w:val="32"/>
          <w14:textFill>
            <w14:solidFill>
              <w14:schemeClr w14:val="tx1"/>
            </w14:solidFill>
          </w14:textFill>
        </w:rPr>
        <w:t>反映生态环境部门监督检查环保法律法规、标准等执行情况的支出，行政处罚、行政诉讼、行政复议支出，环境行政稽查支出，执法装备支出，排污费申报、征收与使用管理支出，环境问题举报、环境纠纷调查处理支出，突发性污染事故预防、应急处置等支出。</w:t>
      </w:r>
    </w:p>
    <w:p w14:paraId="06CE0892">
      <w:pPr>
        <w:keepNext w:val="0"/>
        <w:keepLines w:val="0"/>
        <w:pageBreakBefore w:val="0"/>
        <w:widowControl/>
        <w:kinsoku/>
        <w:wordWrap/>
        <w:overflowPunct/>
        <w:topLinePunct w:val="0"/>
        <w:autoSpaceDE/>
        <w:autoSpaceDN/>
        <w:bidi w:val="0"/>
        <w:adjustRightInd/>
        <w:snapToGrid/>
        <w:spacing w:line="600" w:lineRule="exact"/>
        <w:ind w:firstLine="358" w:firstLineChars="112"/>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16.住房保障支出（221）住房改革支出（22102）住房公积金（2210201）：指反映事业单位按人力资源部、财政部规定的基本工资和津贴补贴以及规定比例为职工缴纳的住房公积金。</w:t>
      </w:r>
    </w:p>
    <w:p w14:paraId="292B7A0B">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17.基本支出：指为保障机构正常运转、完成日常工作任务而发生的人员支出和公用支出。</w:t>
      </w:r>
    </w:p>
    <w:p w14:paraId="03F5C9E6">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18.项目支出：指在基本支出之外为完成特定行政任务和事业发展目标所发生的支出。</w:t>
      </w:r>
    </w:p>
    <w:p w14:paraId="074F1E20">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19.经营支出：指事业单位在专业业务活动及其辅助活动之外开展非独立核算经营活动发生的支出。</w:t>
      </w:r>
    </w:p>
    <w:p w14:paraId="0143737E">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20.“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B24F4A">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600" w:lineRule="exact"/>
        <w:ind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shd w:val="clear" w:color="auto" w:fill="FFFFFF"/>
        </w:rPr>
        <w:t>21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A988B4C">
      <w:pPr>
        <w:pStyle w:val="20"/>
        <w:spacing w:before="0" w:beforeAutospacing="0"/>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 </w:t>
      </w:r>
    </w:p>
    <w:p w14:paraId="0924B78B">
      <w:pPr>
        <w:pStyle w:val="20"/>
        <w:spacing w:before="0" w:beforeAutospacing="0"/>
        <w:rPr>
          <w:rFonts w:hint="eastAsia"/>
        </w:rPr>
      </w:pPr>
    </w:p>
    <w:p w14:paraId="60A211E2">
      <w:pPr>
        <w:pStyle w:val="20"/>
        <w:spacing w:before="0" w:beforeAutospacing="0"/>
        <w:rPr>
          <w:rFonts w:hint="eastAsia"/>
        </w:rPr>
      </w:pPr>
    </w:p>
    <w:p w14:paraId="4494E265">
      <w:pPr>
        <w:pStyle w:val="20"/>
        <w:spacing w:before="0" w:beforeAutospacing="0"/>
        <w:rPr>
          <w:rFonts w:hint="eastAsia"/>
        </w:rPr>
      </w:pPr>
    </w:p>
    <w:p w14:paraId="1EBE079F">
      <w:pPr>
        <w:pStyle w:val="20"/>
        <w:spacing w:before="0" w:beforeAutospacing="0"/>
        <w:rPr>
          <w:rFonts w:hint="eastAsia"/>
        </w:rPr>
      </w:pPr>
    </w:p>
    <w:p w14:paraId="7B372AD0">
      <w:pPr>
        <w:pStyle w:val="20"/>
        <w:spacing w:before="0" w:beforeAutospacing="0"/>
        <w:rPr>
          <w:rFonts w:hint="eastAsia"/>
        </w:rPr>
      </w:pPr>
    </w:p>
    <w:p w14:paraId="0E72556B">
      <w:pPr>
        <w:pStyle w:val="20"/>
        <w:spacing w:before="0" w:beforeAutospacing="0"/>
        <w:rPr>
          <w:rFonts w:hint="eastAsia"/>
        </w:rPr>
      </w:pPr>
    </w:p>
    <w:p w14:paraId="5343940E">
      <w:pPr>
        <w:pStyle w:val="20"/>
        <w:spacing w:before="0" w:beforeAutospacing="0"/>
        <w:rPr>
          <w:rFonts w:hint="eastAsia"/>
        </w:rPr>
      </w:pPr>
    </w:p>
    <w:p w14:paraId="6293C10A">
      <w:pPr>
        <w:pStyle w:val="20"/>
        <w:spacing w:before="0" w:beforeAutospacing="0"/>
        <w:rPr>
          <w:rFonts w:hint="eastAsia"/>
        </w:rPr>
      </w:pPr>
    </w:p>
    <w:p w14:paraId="488E419A">
      <w:pPr>
        <w:pStyle w:val="20"/>
        <w:spacing w:before="0" w:beforeAutospacing="0"/>
        <w:rPr>
          <w:rFonts w:hint="eastAsia"/>
        </w:rPr>
        <w:sectPr>
          <w:footerReference r:id="rId7" w:type="default"/>
          <w:pgSz w:w="11915" w:h="16851"/>
          <w:pgMar w:top="2098" w:right="1474" w:bottom="1984" w:left="1587" w:header="851" w:footer="992" w:gutter="0"/>
          <w:pgNumType w:fmt="numberInDash"/>
          <w:cols w:space="720" w:num="1"/>
          <w:docGrid w:type="lines" w:linePitch="312" w:charSpace="0"/>
        </w:sectPr>
      </w:pPr>
    </w:p>
    <w:p w14:paraId="14779401">
      <w:pPr>
        <w:pStyle w:val="20"/>
        <w:spacing w:before="0" w:beforeAutospacing="0"/>
        <w:rPr>
          <w:rFonts w:hint="eastAsia"/>
        </w:rPr>
      </w:pPr>
    </w:p>
    <w:p w14:paraId="4A75A2C9">
      <w:pPr>
        <w:pStyle w:val="7"/>
        <w:numPr>
          <w:ilvl w:val="0"/>
          <w:numId w:val="0"/>
        </w:numPr>
        <w:jc w:val="center"/>
        <w:rPr>
          <w:rFonts w:ascii="黑体" w:hAnsi="黑体" w:eastAsia="黑体" w:cs="黑体"/>
          <w:b w:val="0"/>
          <w:bCs w:val="0"/>
          <w:sz w:val="44"/>
          <w:szCs w:val="44"/>
        </w:rPr>
      </w:pPr>
      <w:bookmarkStart w:id="48" w:name="_Toc4483"/>
      <w:r>
        <w:rPr>
          <w:rFonts w:hint="eastAsia" w:ascii="黑体" w:hAnsi="黑体" w:eastAsia="黑体" w:cs="黑体"/>
          <w:b w:val="0"/>
          <w:bCs w:val="0"/>
          <w:kern w:val="44"/>
          <w:sz w:val="44"/>
          <w:szCs w:val="44"/>
          <w:lang w:val="en-US" w:eastAsia="zh-CN" w:bidi="ar-SA"/>
        </w:rPr>
        <w:t xml:space="preserve">第四部分  </w:t>
      </w:r>
      <w:r>
        <w:rPr>
          <w:rFonts w:ascii="黑体" w:hAnsi="黑体" w:eastAsia="黑体" w:cs="黑体"/>
          <w:b w:val="0"/>
          <w:bCs w:val="0"/>
          <w:sz w:val="44"/>
          <w:szCs w:val="44"/>
        </w:rPr>
        <w:t>附件</w:t>
      </w:r>
      <w:bookmarkEnd w:id="48"/>
    </w:p>
    <w:p w14:paraId="471B8BEC">
      <w:pPr>
        <w:bidi w:val="0"/>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14:paraId="5FC116E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AEDB44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报告范本</w:t>
      </w:r>
    </w:p>
    <w:p w14:paraId="53AA5FF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仿宋_GB2312" w:cs="Times New Roman"/>
          <w:sz w:val="32"/>
          <w:szCs w:val="32"/>
          <w:highlight w:val="none"/>
          <w:shd w:val="clear" w:color="auto" w:fill="FFFFFF"/>
        </w:rPr>
      </w:pPr>
      <w:r>
        <w:rPr>
          <w:rFonts w:hint="default" w:ascii="Times New Roman" w:hAnsi="Times New Roman" w:eastAsia="仿宋_GB2312" w:cs="Times New Roman"/>
          <w:sz w:val="32"/>
          <w:szCs w:val="32"/>
          <w:highlight w:val="none"/>
          <w:shd w:val="clear" w:color="auto" w:fill="FFFFFF"/>
        </w:rPr>
        <w:t>（报告范围包括机关和下属单位）</w:t>
      </w:r>
    </w:p>
    <w:p w14:paraId="20B99D8D">
      <w:pPr>
        <w:bidi w:val="0"/>
        <w:rPr>
          <w:rFonts w:hint="eastAsia" w:ascii="方正小标宋_GBK" w:hAnsi="方正小标宋_GBK" w:eastAsia="方正小标宋_GBK" w:cs="方正小标宋_GBK"/>
        </w:rPr>
      </w:pPr>
    </w:p>
    <w:p w14:paraId="1D03F26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一、部门（单位）概况</w:t>
      </w:r>
    </w:p>
    <w:p w14:paraId="3B77BF3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kern w:val="2"/>
          <w:sz w:val="32"/>
          <w:szCs w:val="32"/>
          <w:highlight w:val="none"/>
          <w:lang w:val="zh-CN"/>
        </w:rPr>
      </w:pPr>
      <w:r>
        <w:rPr>
          <w:rFonts w:hint="eastAsia" w:ascii="Times New Roman" w:hAnsi="Times New Roman" w:eastAsia="楷体_GB2312" w:cs="楷体_GB2312"/>
          <w:b/>
          <w:color w:val="auto"/>
          <w:kern w:val="2"/>
          <w:sz w:val="32"/>
          <w:szCs w:val="32"/>
          <w:highlight w:val="none"/>
          <w:lang w:val="zh-CN"/>
        </w:rPr>
        <w:t>（一）机构组成。</w:t>
      </w:r>
    </w:p>
    <w:p w14:paraId="225E179C">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阿坝州</w:t>
      </w:r>
      <w:r>
        <w:rPr>
          <w:rFonts w:hint="eastAsia" w:ascii="仿宋_GB2312" w:hAnsi="仿宋_GB2312" w:eastAsia="仿宋_GB2312" w:cs="仿宋_GB2312"/>
          <w:sz w:val="32"/>
          <w:szCs w:val="32"/>
        </w:rPr>
        <w:t>黑水生态环境局设下列内设机构：</w:t>
      </w:r>
    </w:p>
    <w:p w14:paraId="656E0C1D">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办公室（财务室）。承担机关政务、党务、工青妇等工作。组织协调政风行风建设、政务督查、目标考核、综合性会议、公务接待等工作。承担支部日常工作。负责文秘、档案、机要、保密、政务公开、信息安全、培训、行政后勤、爱国卫生等工作。承担财务、固定资产、项目资金监督管理。完成领导交办的其他任务。</w:t>
      </w:r>
    </w:p>
    <w:p w14:paraId="3D2AFDAB">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科技人事与项目管理科。负责参与和推动绿色采购、清洁生产、循环经济、生态环保产业发展和生态保护补偿。负责机关和所属单位的干部人事、机构编制、人事档案、退休人员管理、工资等工作。负责机关和所属单位班子建设、领导干部选任、干部培训教育、考核和监督管理工作。干部兼职、出国(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、个人事项查核等干部监督日常工作。负责生态环境保护行政奖励、生态环境保护社会表彰工作。负责专业技术资格与职务评聘工作。负责双拥工作。完成领导交办的其他工作任务。</w:t>
      </w:r>
    </w:p>
    <w:p w14:paraId="35703BCC">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3.党的建设与宣传教育科。负责党的建设与宣传教育工作。党支部“三会一课”、领导班子民主生活会、党员组织生活会、民主评议党员、</w:t>
      </w:r>
      <w:r>
        <w:rPr>
          <w:rFonts w:hint="eastAsia" w:ascii="仿宋_GB2312" w:hAnsi="仿宋_GB2312" w:eastAsia="仿宋_GB2312" w:cs="仿宋_GB2312"/>
          <w:sz w:val="32"/>
          <w:szCs w:val="32"/>
          <w:lang w:eastAsia="zh-CN"/>
        </w:rPr>
        <w:t>党组理论学习中心组</w:t>
      </w:r>
      <w:r>
        <w:rPr>
          <w:rFonts w:hint="eastAsia" w:ascii="仿宋_GB2312" w:hAnsi="仿宋_GB2312" w:eastAsia="仿宋_GB2312" w:cs="仿宋_GB2312"/>
          <w:sz w:val="32"/>
          <w:szCs w:val="32"/>
        </w:rPr>
        <w:t>学习、树立和践行正确政绩观学习教育</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民族团结创建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新闻审核和发布，推动社会组织和公众参与生态环境保护，妇女儿童、双语、志愿服务等工作。负责组织开展重大专题调研，负责重大政策建议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开展全县生态文明建设和环境友好型社会建设宣传教育。完成领导交办的其他工作任务。</w:t>
      </w:r>
    </w:p>
    <w:p w14:paraId="4D7CB2AC">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法规与执法监督科。负责辖区内生态环境监督执法管理、指导工作。拟定生态环境保护综合行政执法工作标准和规范并监督实施。负责机关规范性文件的合法性审查工作。负责行政执法监督、行政处罚审查、行政应诉调解等工作。实施全县生态环境损害赔偿、环境信用体系建设等制度。负责全县生态环境权责清单制度建设、动态调整等工作。完成领导交办的其他工作任务。</w:t>
      </w:r>
    </w:p>
    <w:p w14:paraId="7DCBC73B">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综合规划与督察整改科。负责组织起草全县生态环境保护规划，协调相关专项规划。统筹“美丽黑水”建设。参与我县推进长江经济带发展有关工作。负责全县重点环境监管重点单位名录管理工作。负责污染物排放总量，总量减排目标分解及考核。负责全县生态环境保护目标责任制。负责生态环境统计、污染源普查。</w:t>
      </w:r>
    </w:p>
    <w:p w14:paraId="03F220E0">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组织开展</w:t>
      </w:r>
      <w:r>
        <w:rPr>
          <w:rFonts w:hint="eastAsia" w:ascii="仿宋_GB2312" w:hAnsi="仿宋_GB2312" w:eastAsia="仿宋_GB2312" w:cs="仿宋_GB2312"/>
          <w:sz w:val="32"/>
          <w:szCs w:val="32"/>
          <w:lang w:eastAsia="zh-CN"/>
        </w:rPr>
        <w:t>生态环境保护督察</w:t>
      </w:r>
      <w:r>
        <w:rPr>
          <w:rFonts w:hint="eastAsia" w:ascii="仿宋_GB2312" w:hAnsi="仿宋_GB2312" w:eastAsia="仿宋_GB2312" w:cs="仿宋_GB2312"/>
          <w:sz w:val="32"/>
          <w:szCs w:val="32"/>
        </w:rPr>
        <w:t>工作，监督指导生态环境保护督察工作贯彻落实。承担环委会办公室日常工作。完成领导交办的其他任务。</w:t>
      </w:r>
    </w:p>
    <w:p w14:paraId="4B030A8A">
      <w:pPr>
        <w:keepNext w:val="0"/>
        <w:keepLines w:val="0"/>
        <w:pageBreakBefore w:val="0"/>
        <w:widowControl/>
        <w:numPr>
          <w:ilvl w:val="0"/>
          <w:numId w:val="0"/>
        </w:numPr>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bidi="ar-SA"/>
        </w:rPr>
        <w:t>6.</w:t>
      </w:r>
      <w:r>
        <w:rPr>
          <w:rFonts w:hint="eastAsia" w:ascii="仿宋_GB2312" w:hAnsi="仿宋_GB2312" w:eastAsia="仿宋_GB2312" w:cs="仿宋_GB2312"/>
          <w:sz w:val="32"/>
          <w:szCs w:val="32"/>
        </w:rPr>
        <w:t>水与土壤生态环境科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负责地表水生态环境监督管理；监督实施辖区内所涉重点流域生态 环境规划内容；协调编制水功能区划，确定水体纳污能力。负责排污口设置管理工作；负责水环境质量和水污染防治工作。 负责对接河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湖</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长制、田长制相关工作。负责土壤污染防治，污染地块、农用地土壤污染防治监督管理。负责强制性清洁生产审核。完成领导交办的其他工作任务</w:t>
      </w:r>
    </w:p>
    <w:p w14:paraId="5A4757F5">
      <w:pPr>
        <w:keepNext w:val="0"/>
        <w:keepLines w:val="0"/>
        <w:pageBreakBefore w:val="0"/>
        <w:widowControl/>
        <w:numPr>
          <w:ilvl w:val="0"/>
          <w:numId w:val="0"/>
        </w:numPr>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大气生 态环境 与固体废物管理科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负责应对气候变化工作。组织实施清洁发展机制相关工作。负责大气、噪声、光、化石能源等污染防治工作。组织拟订重污染天气应对政策措施，组织协调大气面源污染防 治工作，实施区域大气污染联防联控。负责固体废物、化学品、重金属等污染防治。组织实施全县危险废 物经营许可环境管理制度，监督管理危险废物的处置。负责新化学物质生产、加工使用活动的环境监督管理工作。完成领导交办的其他工作任务。</w:t>
      </w:r>
    </w:p>
    <w:p w14:paraId="61839C49">
      <w:pPr>
        <w:keepNext w:val="0"/>
        <w:keepLines w:val="0"/>
        <w:pageBreakBefore w:val="0"/>
        <w:widowControl/>
        <w:kinsoku/>
        <w:wordWrap/>
        <w:overflowPunct/>
        <w:topLinePunct w:val="0"/>
        <w:bidi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8.行政审批与环境影响评价科。</w:t>
      </w:r>
      <w:r>
        <w:rPr>
          <w:rFonts w:hint="eastAsia" w:ascii="仿宋_GB2312" w:hAnsi="仿宋_GB2312" w:eastAsia="仿宋_GB2312" w:cs="仿宋_GB2312"/>
          <w:sz w:val="32"/>
          <w:szCs w:val="32"/>
        </w:rPr>
        <w:t>负责协调推进全县政府职能转变、优化政府服务提升行政效能、</w:t>
      </w:r>
      <w:r>
        <w:rPr>
          <w:rFonts w:hint="eastAsia" w:ascii="仿宋_GB2312" w:hAnsi="仿宋_GB2312" w:eastAsia="仿宋_GB2312" w:cs="仿宋_GB2312"/>
          <w:sz w:val="32"/>
          <w:szCs w:val="32"/>
          <w:lang w:eastAsia="zh-CN"/>
        </w:rPr>
        <w:t>行政审批制度改革</w:t>
      </w:r>
      <w:r>
        <w:rPr>
          <w:rFonts w:hint="eastAsia" w:ascii="仿宋_GB2312" w:hAnsi="仿宋_GB2312" w:eastAsia="仿宋_GB2312" w:cs="仿宋_GB2312"/>
          <w:sz w:val="32"/>
          <w:szCs w:val="32"/>
        </w:rPr>
        <w:t>，负责审批服务便民化有关工作。拟订并组织实施全县生态环境准入清单。按规定权限承担政策、 规划及建设项目环境影响评价的审查、审批工作。组织开展区域空间生态环境影响评价和建设项目环境影响后评价。 负责监督实施建设项目生态环境保护设施“三同时”制度。负责欠发达地区托底性帮扶工作。负责排污许可综合协调和管理工作。负责农村宅基地7+2会审工作。协助开展建设项目环评受理审查、生态环境准入清单落地、环保设施“三同时”制度监督等行政审批相关工作，推进审批服务“一网通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做好政务服务咨询、政策解读及企业诉求收集。</w:t>
      </w:r>
    </w:p>
    <w:p w14:paraId="6AB81613">
      <w:pPr>
        <w:keepNext w:val="0"/>
        <w:keepLines w:val="0"/>
        <w:pageBreakBefore w:val="0"/>
        <w:widowControl/>
        <w:kinsoku/>
        <w:wordWrap/>
        <w:overflowPunct/>
        <w:topLinePunct w:val="0"/>
        <w:bidi w:val="0"/>
        <w:snapToGrid/>
        <w:spacing w:line="600" w:lineRule="exact"/>
        <w:ind w:left="0" w:leftChars="0" w:firstLine="358" w:firstLineChars="112"/>
        <w:textAlignment w:val="auto"/>
        <w:rPr>
          <w:rFonts w:ascii="宋体" w:hAnsi="宋体" w:eastAsia="宋体" w:cs="宋体"/>
          <w:sz w:val="24"/>
          <w:szCs w:val="24"/>
        </w:rPr>
      </w:pPr>
      <w:r>
        <w:rPr>
          <w:rFonts w:hint="eastAsia" w:ascii="仿宋_GB2312" w:hAnsi="仿宋_GB2312" w:eastAsia="仿宋_GB2312" w:cs="仿宋_GB2312"/>
          <w:sz w:val="32"/>
          <w:szCs w:val="32"/>
        </w:rPr>
        <w:t>负责行政审批相关业务台账更新、档案整理归档和数据统计上报。完成领导交办的其他工作任务。</w:t>
      </w:r>
    </w:p>
    <w:p w14:paraId="046BDDDC">
      <w:pPr>
        <w:keepNext w:val="0"/>
        <w:keepLines w:val="0"/>
        <w:pageBreakBefore w:val="0"/>
        <w:widowControl/>
        <w:kinsoku/>
        <w:wordWrap/>
        <w:overflowPunct/>
        <w:topLinePunct w:val="0"/>
        <w:bidi w:val="0"/>
        <w:snapToGrid/>
        <w:spacing w:line="600" w:lineRule="exact"/>
        <w:ind w:left="0" w:leftChars="0" w:firstLine="358" w:firstLineChars="112"/>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生态保护与农村环境科。负责自然保护地、生态保护红线相关监管工作。监督野生动植物保护、湿地生态环境保护、荒漠化防治等工作。负责监督生物技术环境安全，生物物种（含遗传资源）管理工作，生物多样性保护工作。负责监督协调有机食品发展。监督防止地下水污染。参与实施全县乡村振兴战略。负责对接林长制等工作。负责农村生态环境保护、农业面源污染治理、农村生态环境综合整治。完成领导交办的其他工作任务。</w:t>
      </w:r>
    </w:p>
    <w:p w14:paraId="7BEFCB1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楷体_GB2312" w:cs="楷体_GB2312"/>
          <w:b/>
          <w:color w:val="auto"/>
          <w:kern w:val="2"/>
          <w:sz w:val="32"/>
          <w:szCs w:val="32"/>
          <w:highlight w:val="none"/>
          <w:lang w:val="zh-CN"/>
        </w:rPr>
      </w:pPr>
      <w:r>
        <w:rPr>
          <w:rFonts w:hint="eastAsia" w:ascii="Times New Roman" w:hAnsi="Times New Roman" w:eastAsia="楷体_GB2312" w:cs="楷体_GB2312"/>
          <w:b/>
          <w:color w:val="auto"/>
          <w:kern w:val="2"/>
          <w:sz w:val="32"/>
          <w:szCs w:val="32"/>
          <w:highlight w:val="none"/>
          <w:lang w:val="zh-CN"/>
        </w:rPr>
        <w:t>（二）机构职能。</w:t>
      </w:r>
    </w:p>
    <w:p w14:paraId="6CC73295">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负责贯彻落实国家、省、州生态环境基本制度。组织编制县域环境功能区划，会同有关部门编制并监督实施重点区域、流域、饮用水水源地生态环境规划和水功能区划。参与制定与我县生态环境相关的经济、技术、资源配置和产业政策。</w:t>
      </w:r>
    </w:p>
    <w:p w14:paraId="0E08882C">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负责县域重大生态环境问题的统筹协调和监督管理。牵头协调对县突发生态环境事件和生态破坏事件的调查处理，指导协调县对重特大突发生态环境事件的应急、预警工作，协调指导生态环境损害赔偿制度的实施。参与协调有关跨区域环境污染纠纷，解决有关跨县环境污染纠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统筹协调辖区内重点区域、流域生态环境保护工作。</w:t>
      </w:r>
    </w:p>
    <w:p w14:paraId="68698051">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3.负责落实县污染物减排工作。完成县污染物减排任务，落实排污许可制度，确定大气、水等环境纳污功能，组织实施中央、省、州总量控制的污染物名称和控制指标，实施生态环境保护目标责任制。</w:t>
      </w:r>
    </w:p>
    <w:p w14:paraId="54CC0B17">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负责县环境污染防治的监督管理。负责大气、水、土壤、噪声、光、恶臭、固体废物、化学品、机动车等的污染防治工作。会同有关部门监督管理饮用水水源地生态环境保护工作，参与指导城乡生态环境综合整治工作，指导全县垃圾分类工作，监督指导农业面源污染治理工作。监督指导区域大气环境保护工作，牵头建立区域大气污染联防联控</w:t>
      </w:r>
      <w:r>
        <w:rPr>
          <w:rFonts w:hint="eastAsia" w:ascii="仿宋_GB2312" w:hAnsi="仿宋_GB2312" w:eastAsia="仿宋_GB2312" w:cs="仿宋_GB2312"/>
          <w:sz w:val="32"/>
          <w:szCs w:val="32"/>
          <w:lang w:eastAsia="zh-CN"/>
        </w:rPr>
        <w:t>协作</w:t>
      </w:r>
      <w:r>
        <w:rPr>
          <w:rFonts w:hint="eastAsia" w:ascii="仿宋_GB2312" w:hAnsi="仿宋_GB2312" w:eastAsia="仿宋_GB2312" w:cs="仿宋_GB2312"/>
          <w:sz w:val="32"/>
          <w:szCs w:val="32"/>
        </w:rPr>
        <w:t>机制并监督实施。</w:t>
      </w:r>
    </w:p>
    <w:p w14:paraId="2078E79B">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指导协调和监督生态保护修复工作。组织编制全县生态环境保护规划，监督对生态环境有影响的自然资源开发利用活动、重要生态环境建设和生态破坏恢复工作。组织监督检查全县各类自然保护地生态环境监管制度的执法。组织开展各类生态示范创建工作。监督野生动植物保护、湿地生态环境保护、荒漠化防治等工作。指导协调和监督农村生态环境保护，监督生物技术环境安全，牵头生物物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含遗传资源</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管理工作，组织协调生物多样性保护工作。参与生态保护补偿工作。</w:t>
      </w:r>
    </w:p>
    <w:p w14:paraId="50A3A19A">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负责全县核与辐射安全的监督管理。监督实施国家、省、州核与辐射安全政策、规划、标准、法规和规章。牵头负责全县核安全工作协调机制有关工作，负责辐射环境事故应急处理工作，参与核事故应急处理。监督管理放射源与射线装置安全，监督管理全县核技术应用、电磁辐射、伴有放射性矿产资源开发利用中的污染防治，参与核设施安全监督管理相关工作。</w:t>
      </w:r>
    </w:p>
    <w:p w14:paraId="0EFD8DAE">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负责全县生态环境监测工作。贯彻执行国家、省生态环境监测制度和规范，严格落实生态环境监测地方标准。会同有关部门统一规划全县生态环境质量监测站点设置，组织实施生态环境质量监测、污染源监督性监测、应急监测。组织对全县生态环境质量状况进行调查评价、预警预测，配合州生态环境局建设生态环境监测网和生态环境信息网。负责全县生态环境</w:t>
      </w:r>
      <w:r>
        <w:rPr>
          <w:rFonts w:hint="eastAsia" w:ascii="仿宋_GB2312" w:hAnsi="仿宋_GB2312" w:eastAsia="仿宋_GB2312" w:cs="仿宋_GB2312"/>
          <w:sz w:val="32"/>
          <w:szCs w:val="32"/>
          <w:lang w:eastAsia="zh-CN"/>
        </w:rPr>
        <w:t>治理</w:t>
      </w:r>
      <w:r>
        <w:rPr>
          <w:rFonts w:hint="eastAsia" w:ascii="仿宋_GB2312" w:hAnsi="仿宋_GB2312" w:eastAsia="仿宋_GB2312" w:cs="仿宋_GB2312"/>
          <w:sz w:val="32"/>
          <w:szCs w:val="32"/>
        </w:rPr>
        <w:t>考核和生态环境统计工作。建立和实行生态环境质量公告制度，统一发布全县生态环境综合性报告和重大环境信息。</w:t>
      </w:r>
    </w:p>
    <w:p w14:paraId="044D8627">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8.负责应对气候变化工作。组织实施国家、省、州应对气候变化及温室气体减排重大战略、规划和政策，组织拟定全县应对气候变化的规划和政策措施。</w:t>
      </w:r>
    </w:p>
    <w:p w14:paraId="17259E02">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9.协调开展全县生态环境保护督察问题整改工作。组织协调迎接中央、省、州环境保护督察工作，建立健全生态环境保护督察制度，监督指导各有关部门整改落实中央、省、州环境保护督察反馈意见。</w:t>
      </w:r>
    </w:p>
    <w:p w14:paraId="228B95EA">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负责县生态环境监督执法。组织开展县生态环境保护执法检查。监督实施全县建设项目生态环境保护设施同时设计、同时施工、同时投产使用制度。查处全县重大生态环境违法问题。开展县生态环境保护综合执法队伍建设和业务工作。</w:t>
      </w:r>
    </w:p>
    <w:p w14:paraId="4D4F93FD">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组织全县生态环境宣传教育工作。制定并组织实施全县生态环境保护宣传教育有关规划和计划。推动社会组织和公众参与生态环境保护。会同有关部门依法对全县保护和改善生态环境有显著成绩的单位和个人给予表彰和奖励。</w:t>
      </w:r>
    </w:p>
    <w:p w14:paraId="03CDD793">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12.开展生态环境对外合作交流。参与协调县内重要生态环境保护国际活动和区域合作，管理全县生态环境系统对外合作，参与处理涉外生态环境事务。</w:t>
      </w:r>
    </w:p>
    <w:p w14:paraId="129E978A">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13.负责职责范围内的安全生产和职业健康、审批服务便民化等工作。</w:t>
      </w:r>
    </w:p>
    <w:p w14:paraId="1892327A">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统一行使全县生态和城乡各类污染排放监管与行政执法职责，统一负责全县生态环境质量监测、调查评价和考核，切实履行监管责任，加强事中事后监管，全面落实大气、水、土壤污染防治行动计划，强化固体废物、化学品、重金属污染防治监督管理。构建政府为主导、企业为主体、社会组织和公众共同参与的生态环境治理体系，试行最严格的生态环境保护制度，严守生态保护红线和环境质量底线，坚决打好污染防治攻坚战，</w:t>
      </w:r>
      <w:r>
        <w:rPr>
          <w:rFonts w:hint="eastAsia" w:ascii="仿宋_GB2312" w:hAnsi="仿宋_GB2312" w:eastAsia="仿宋_GB2312" w:cs="仿宋_GB2312"/>
          <w:sz w:val="32"/>
          <w:szCs w:val="32"/>
          <w:lang w:eastAsia="zh-CN"/>
        </w:rPr>
        <w:t>筑牢</w:t>
      </w:r>
      <w:r>
        <w:rPr>
          <w:rFonts w:hint="eastAsia" w:ascii="仿宋_GB2312" w:hAnsi="仿宋_GB2312" w:eastAsia="仿宋_GB2312" w:cs="仿宋_GB2312"/>
          <w:sz w:val="32"/>
          <w:szCs w:val="32"/>
        </w:rPr>
        <w:t>长江上游生态屏障，保障国家生态安全。</w:t>
      </w:r>
    </w:p>
    <w:p w14:paraId="7602E4A6">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15.完成县委、县政府和州生态环境局交办的其他任务。</w:t>
      </w:r>
    </w:p>
    <w:p w14:paraId="394E3174">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（三）人员概况。</w:t>
      </w:r>
    </w:p>
    <w:p w14:paraId="70ACBE3A">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358" w:firstLineChars="112"/>
        <w:textAlignment w:val="auto"/>
        <w:rPr>
          <w:rFonts w:hint="eastAsia" w:ascii="仿宋_GB2312" w:hAnsi="仿宋" w:eastAsia="仿宋_GB2312" w:cs="仿宋_GB2312"/>
          <w:sz w:val="32"/>
          <w:szCs w:val="32"/>
        </w:rPr>
      </w:pPr>
      <w:r>
        <w:rPr>
          <w:rFonts w:hint="eastAsia" w:ascii="仿宋_GB2312" w:hAnsi="仿宋_GB2312" w:eastAsia="仿宋_GB2312" w:cs="仿宋_GB2312"/>
          <w:sz w:val="32"/>
          <w:szCs w:val="32"/>
        </w:rPr>
        <w:t>阿坝州黑水生态环境局为阿坝藏族羌族自治州生态环境局的派出机构，为正科级行政机构。独立核算机构数共2个。黑水生态环境局总编制29名，其中：阿坝州黑水生态环境</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机关行政编制3名，阿坝州黑水生态环境保护中心参公编制3名，阿坝州黑水生态环境保护综合行政执法大队参公编制10名，阿坝州黑水环境监测站事业编制13名。在职人员总数24人，其中：局机关3人，中心3人；参照公务员法管理的事业编制6人，其他事业人员12人，退休人员0人。编外长期聘用的人员0名。</w:t>
      </w:r>
    </w:p>
    <w:p w14:paraId="07CC06BC">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黑体" w:cs="Times New Roman"/>
          <w:color w:val="000000"/>
          <w:kern w:val="0"/>
          <w:sz w:val="32"/>
          <w:szCs w:val="32"/>
          <w:highlight w:val="none"/>
          <w:shd w:val="clear" w:color="auto" w:fill="FFFFFF"/>
          <w:lang w:val="zh-CN" w:eastAsia="zh-CN"/>
        </w:rPr>
      </w:pPr>
      <w:r>
        <w:rPr>
          <w:rFonts w:hint="eastAsia" w:ascii="Times New Roman" w:hAnsi="Times New Roman" w:eastAsia="黑体" w:cs="Times New Roman"/>
          <w:color w:val="000000"/>
          <w:kern w:val="0"/>
          <w:sz w:val="32"/>
          <w:szCs w:val="32"/>
          <w:highlight w:val="none"/>
          <w:shd w:val="clear" w:color="auto" w:fill="FFFFFF"/>
          <w:lang w:val="zh-CN" w:eastAsia="zh-CN"/>
        </w:rPr>
        <w:t>二、部门财政资金收支情况</w:t>
      </w:r>
    </w:p>
    <w:p w14:paraId="01521DB2">
      <w:pPr>
        <w:autoSpaceDE w:val="0"/>
        <w:autoSpaceDN w:val="0"/>
        <w:adjustRightInd w:val="0"/>
        <w:ind w:left="480" w:leftChars="200"/>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p>
    <w:p w14:paraId="1016106B">
      <w:pPr>
        <w:keepNext w:val="0"/>
        <w:keepLines w:val="0"/>
        <w:pageBreakBefore w:val="0"/>
        <w:widowControl/>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2025年度</w:t>
      </w:r>
      <w:r>
        <w:rPr>
          <w:rFonts w:hint="eastAsia" w:ascii="仿宋_GB2312" w:hAnsi="仿宋_GB2312" w:eastAsia="仿宋_GB2312" w:cs="仿宋_GB2312"/>
          <w:sz w:val="32"/>
          <w:szCs w:val="32"/>
        </w:rPr>
        <w:t>本年收入合计</w:t>
      </w:r>
      <w:r>
        <w:rPr>
          <w:rFonts w:hint="eastAsia" w:ascii="仿宋_GB2312" w:hAnsi="仿宋_GB2312" w:eastAsia="仿宋_GB2312" w:cs="仿宋_GB2312"/>
          <w:sz w:val="32"/>
          <w:szCs w:val="32"/>
          <w:lang w:val="en-US" w:eastAsia="zh-CN"/>
        </w:rPr>
        <w:t>3002.96</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809.97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26.97</w:t>
      </w:r>
      <w:r>
        <w:rPr>
          <w:rFonts w:hint="eastAsia" w:ascii="仿宋_GB2312" w:hAnsi="仿宋_GB2312" w:eastAsia="仿宋_GB2312" w:cs="仿宋_GB2312"/>
          <w:sz w:val="32"/>
          <w:szCs w:val="32"/>
        </w:rPr>
        <w:t>%；政府性基金预算财政拨款收入0万元，占0%；国有资本经营预算财政拨款收入0万元，占0%；上级补助收入0万元，占0%；事业收入0万元，占0%；经营收入0万元，占0%；附属单位上缴收入0万元，占0%；其他收入</w:t>
      </w:r>
      <w:r>
        <w:rPr>
          <w:rFonts w:hint="eastAsia" w:ascii="仿宋_GB2312" w:hAnsi="仿宋_GB2312" w:eastAsia="仿宋_GB2312" w:cs="仿宋_GB2312"/>
          <w:sz w:val="32"/>
          <w:szCs w:val="32"/>
          <w:lang w:val="en-US" w:eastAsia="zh-CN"/>
        </w:rPr>
        <w:t>2192.99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73.03</w:t>
      </w:r>
      <w:r>
        <w:rPr>
          <w:rFonts w:hint="eastAsia" w:ascii="仿宋_GB2312" w:hAnsi="仿宋_GB2312" w:eastAsia="仿宋_GB2312" w:cs="仿宋_GB2312"/>
          <w:sz w:val="32"/>
          <w:szCs w:val="32"/>
        </w:rPr>
        <w:t>%。</w:t>
      </w:r>
    </w:p>
    <w:p w14:paraId="32F41D78">
      <w:pPr>
        <w:keepNext w:val="0"/>
        <w:keepLines w:val="0"/>
        <w:pageBreakBefore w:val="0"/>
        <w:widowControl/>
        <w:numPr>
          <w:ilvl w:val="0"/>
          <w:numId w:val="0"/>
        </w:numPr>
        <w:kinsoku/>
        <w:wordWrap/>
        <w:overflowPunct/>
        <w:topLinePunct w:val="0"/>
        <w:autoSpaceDE w:val="0"/>
        <w:autoSpaceDN w:val="0"/>
        <w:bidi w:val="0"/>
        <w:adjustRightInd w:val="0"/>
        <w:snapToGrid/>
        <w:spacing w:line="600" w:lineRule="exact"/>
        <w:ind w:left="0" w:leftChars="0"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shd w:val="clear" w:fill="FFFFFF"/>
          <w:lang w:val="zh-CN" w:eastAsia="zh-CN" w:bidi="ar-SA"/>
        </w:rPr>
        <w:t>（二）</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6EB9A68A">
      <w:pPr>
        <w:keepNext w:val="0"/>
        <w:keepLines w:val="0"/>
        <w:pageBreakBefore w:val="0"/>
        <w:widowControl/>
        <w:numPr>
          <w:ilvl w:val="0"/>
          <w:numId w:val="0"/>
        </w:numPr>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2025年度本年支出合计</w:t>
      </w:r>
      <w:r>
        <w:rPr>
          <w:rFonts w:hint="eastAsia" w:ascii="仿宋_GB2312" w:hAnsi="仿宋_GB2312" w:eastAsia="仿宋_GB2312" w:cs="仿宋_GB2312"/>
          <w:sz w:val="32"/>
          <w:szCs w:val="32"/>
          <w:lang w:val="en-US" w:eastAsia="zh-CN"/>
        </w:rPr>
        <w:t>3002.96</w:t>
      </w:r>
      <w:r>
        <w:rPr>
          <w:rFonts w:hint="eastAsia" w:ascii="仿宋_GB2312" w:hAnsi="仿宋_GB2312" w:eastAsia="仿宋_GB2312" w:cs="仿宋_GB2312"/>
          <w:sz w:val="32"/>
          <w:szCs w:val="32"/>
          <w:lang w:eastAsia="zh-CN"/>
        </w:rPr>
        <w:t>万元，其中：基本支出</w:t>
      </w:r>
      <w:r>
        <w:rPr>
          <w:rFonts w:hint="eastAsia" w:ascii="仿宋_GB2312" w:hAnsi="仿宋_GB2312" w:eastAsia="仿宋_GB2312" w:cs="仿宋_GB2312"/>
          <w:sz w:val="32"/>
          <w:szCs w:val="32"/>
          <w:lang w:val="en-US" w:eastAsia="zh-CN"/>
        </w:rPr>
        <w:t>597.56</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19.90</w:t>
      </w:r>
      <w:r>
        <w:rPr>
          <w:rFonts w:hint="eastAsia" w:ascii="仿宋_GB2312" w:hAnsi="仿宋_GB2312" w:eastAsia="仿宋_GB2312" w:cs="仿宋_GB2312"/>
          <w:sz w:val="32"/>
          <w:szCs w:val="32"/>
          <w:lang w:eastAsia="zh-CN"/>
        </w:rPr>
        <w:t>%；项目支出</w:t>
      </w:r>
      <w:r>
        <w:rPr>
          <w:rFonts w:hint="eastAsia" w:ascii="仿宋_GB2312" w:hAnsi="仿宋_GB2312" w:eastAsia="仿宋_GB2312" w:cs="仿宋_GB2312"/>
          <w:sz w:val="32"/>
          <w:szCs w:val="32"/>
          <w:lang w:val="en-US" w:eastAsia="zh-CN"/>
        </w:rPr>
        <w:t>2405.40</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80.10</w:t>
      </w:r>
      <w:r>
        <w:rPr>
          <w:rFonts w:hint="eastAsia" w:ascii="仿宋_GB2312" w:hAnsi="仿宋_GB2312" w:eastAsia="仿宋_GB2312" w:cs="仿宋_GB2312"/>
          <w:sz w:val="32"/>
          <w:szCs w:val="32"/>
          <w:lang w:eastAsia="zh-CN"/>
        </w:rPr>
        <w:t>%；上缴上级支出0万元，占0%；经营支出0万元，占0%；对附属单位补助支出0万元，占0%。</w:t>
      </w:r>
    </w:p>
    <w:p w14:paraId="331342B9">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阿坝州黑水生态环境局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年度决算报表</w:t>
      </w:r>
      <w:r>
        <w:rPr>
          <w:rFonts w:hint="default" w:ascii="Times New Roman" w:hAnsi="Times New Roman" w:eastAsia="仿宋_GB2312" w:cs="Times New Roman"/>
          <w:sz w:val="32"/>
          <w:szCs w:val="32"/>
          <w:lang w:val="en-US" w:eastAsia="zh-CN"/>
        </w:rPr>
        <w:t>结转结余</w:t>
      </w:r>
      <w:r>
        <w:rPr>
          <w:rFonts w:hint="eastAsia" w:ascii="Times New Roman" w:hAnsi="Times New Roman" w:eastAsia="仿宋_GB2312" w:cs="Times New Roman"/>
          <w:sz w:val="32"/>
          <w:szCs w:val="32"/>
          <w:lang w:val="en-US" w:eastAsia="zh-CN"/>
        </w:rPr>
        <w:t>0万元</w:t>
      </w:r>
      <w:r>
        <w:rPr>
          <w:rFonts w:hint="default" w:ascii="Times New Roman" w:hAnsi="Times New Roman" w:eastAsia="仿宋_GB2312" w:cs="Times New Roman"/>
          <w:sz w:val="32"/>
          <w:szCs w:val="32"/>
          <w:lang w:val="en-US" w:eastAsia="zh-CN"/>
        </w:rPr>
        <w:t>。</w:t>
      </w:r>
    </w:p>
    <w:p w14:paraId="64618A1D">
      <w:pPr>
        <w:pStyle w:val="2"/>
        <w:rPr>
          <w:rFonts w:hint="eastAsia"/>
          <w:lang w:eastAsia="zh-CN"/>
        </w:rPr>
      </w:pPr>
    </w:p>
    <w:p w14:paraId="2CB69E63">
      <w:pPr>
        <w:pStyle w:val="3"/>
        <w:keepNext w:val="0"/>
        <w:keepLines w:val="0"/>
        <w:pageBreakBefore w:val="0"/>
        <w:numPr>
          <w:ilvl w:val="0"/>
          <w:numId w:val="0"/>
        </w:numPr>
        <w:kinsoku/>
        <w:wordWrap/>
        <w:overflowPunct/>
        <w:topLinePunct w:val="0"/>
        <w:autoSpaceDE/>
        <w:autoSpaceDN/>
        <w:bidi w:val="0"/>
        <w:adjustRightInd/>
        <w:snapToGrid/>
        <w:spacing w:line="520" w:lineRule="exact"/>
        <w:ind w:leftChars="200"/>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三、部门预算绩效</w:t>
      </w:r>
      <w:r>
        <w:rPr>
          <w:rFonts w:hint="eastAsia" w:ascii="黑体" w:hAnsi="黑体" w:eastAsia="黑体" w:cs="黑体"/>
          <w:color w:val="auto"/>
          <w:sz w:val="32"/>
          <w:szCs w:val="32"/>
          <w:lang w:eastAsia="zh-CN"/>
        </w:rPr>
        <w:t>分析</w:t>
      </w:r>
    </w:p>
    <w:p w14:paraId="22F6357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5854398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履职效能。保障机关运转、履行职能职责。其中：基本支出包括人员类经费和公用经费。人员类经费主要用于人员工资、保险等支出；公用经费主要用于日常运转支出。</w:t>
      </w:r>
    </w:p>
    <w:p w14:paraId="1E9C191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机关厉行节约。</w:t>
      </w:r>
      <w:r>
        <w:rPr>
          <w:rFonts w:hint="eastAsia" w:ascii="Times New Roman" w:hAnsi="Times New Roman" w:eastAsia="仿宋_GB2312" w:cs="仿宋_GB2312"/>
          <w:color w:val="auto"/>
          <w:kern w:val="2"/>
          <w:sz w:val="32"/>
          <w:szCs w:val="32"/>
          <w:highlight w:val="none"/>
          <w:lang w:val="en-US" w:eastAsia="zh-CN" w:bidi="ar-SA"/>
        </w:rPr>
        <w:t>一是单位没有因公</w:t>
      </w:r>
      <w:r>
        <w:rPr>
          <w:rFonts w:hint="eastAsia" w:ascii="Times New Roman" w:hAnsi="Times New Roman" w:eastAsia="仿宋_GB2312" w:cs="仿宋_GB2312"/>
          <w:color w:val="auto"/>
          <w:kern w:val="2"/>
          <w:sz w:val="32"/>
          <w:szCs w:val="32"/>
          <w:highlight w:val="none"/>
          <w:lang w:val="zh-CN" w:eastAsia="zh-CN" w:bidi="ar-SA"/>
        </w:rPr>
        <w:t>出国（境）费用预算安排支出。二是</w:t>
      </w:r>
      <w:r>
        <w:rPr>
          <w:rFonts w:hint="eastAsia" w:ascii="Times New Roman" w:hAnsi="Times New Roman" w:eastAsia="仿宋_GB2312" w:cs="仿宋_GB2312"/>
          <w:color w:val="auto"/>
          <w:kern w:val="2"/>
          <w:sz w:val="32"/>
          <w:szCs w:val="32"/>
          <w:highlight w:val="none"/>
          <w:lang w:val="en-US" w:eastAsia="zh-CN" w:bidi="ar-SA"/>
        </w:rPr>
        <w:t>尽量减少不必要的公务用车使用台次，提高使用效率，严禁公车私用，实行专人管理。三是严格控制接待标准，减少陪同人数，</w:t>
      </w:r>
      <w:r>
        <w:rPr>
          <w:rFonts w:hint="eastAsia" w:ascii="Times New Roman" w:hAnsi="Times New Roman" w:eastAsia="仿宋_GB2312" w:cs="仿宋_GB2312"/>
          <w:color w:val="auto"/>
          <w:kern w:val="2"/>
          <w:sz w:val="32"/>
          <w:szCs w:val="32"/>
          <w:highlight w:val="none"/>
          <w:lang w:val="zh-CN" w:eastAsia="zh-CN" w:bidi="ar-SA"/>
        </w:rPr>
        <w:t>车辆购置及运行费用和公务接待经费都严格控制在预算范围内。</w:t>
      </w:r>
    </w:p>
    <w:p w14:paraId="6B677A9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机关节能降耗。</w:t>
      </w:r>
      <w:r>
        <w:rPr>
          <w:rFonts w:hint="eastAsia" w:ascii="Times New Roman" w:hAnsi="Times New Roman" w:eastAsia="仿宋_GB2312" w:cs="仿宋_GB2312"/>
          <w:color w:val="auto"/>
          <w:kern w:val="2"/>
          <w:sz w:val="32"/>
          <w:szCs w:val="32"/>
          <w:highlight w:val="none"/>
          <w:lang w:val="en-US" w:eastAsia="zh-CN" w:bidi="ar-SA"/>
        </w:rPr>
        <w:t>要求干部职工节约水电，下班后自觉关闭各类电器电源。</w:t>
      </w:r>
      <w:r>
        <w:rPr>
          <w:rFonts w:hint="eastAsia" w:ascii="Times New Roman" w:hAnsi="Times New Roman" w:eastAsia="仿宋_GB2312" w:cs="仿宋_GB2312"/>
          <w:color w:val="auto"/>
          <w:kern w:val="2"/>
          <w:sz w:val="32"/>
          <w:szCs w:val="32"/>
          <w:highlight w:val="none"/>
          <w:lang w:val="zh-CN" w:eastAsia="zh-CN" w:bidi="ar-SA"/>
        </w:rPr>
        <w:t>严格控制单位水、电、燃油的开支，确保能耗下降。</w:t>
      </w:r>
    </w:p>
    <w:p w14:paraId="6B70C40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项目支出绩效。资金绩效分配情况，严格按照资金下达文件要求进行项目实施，</w:t>
      </w:r>
      <w:r>
        <w:rPr>
          <w:rFonts w:hint="eastAsia" w:ascii="Times New Roman" w:hAnsi="Times New Roman" w:eastAsia="仿宋_GB2312" w:cs="仿宋_GB2312"/>
          <w:color w:val="auto"/>
          <w:kern w:val="2"/>
          <w:sz w:val="32"/>
          <w:szCs w:val="32"/>
          <w:highlight w:val="none"/>
          <w:lang w:val="en-US" w:eastAsia="zh-CN" w:bidi="ar-SA"/>
        </w:rPr>
        <w:t>同时</w:t>
      </w:r>
      <w:r>
        <w:rPr>
          <w:rFonts w:hint="eastAsia" w:ascii="Times New Roman" w:hAnsi="Times New Roman" w:eastAsia="仿宋_GB2312" w:cs="仿宋_GB2312"/>
          <w:color w:val="auto"/>
          <w:kern w:val="2"/>
          <w:sz w:val="32"/>
          <w:szCs w:val="32"/>
          <w:highlight w:val="none"/>
          <w:lang w:val="zh-CN" w:eastAsia="zh-CN" w:bidi="ar-SA"/>
        </w:rPr>
        <w:t>根据合同约定和项目进度情况，支付资金。</w:t>
      </w:r>
    </w:p>
    <w:p w14:paraId="33060DD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项目资金管理情况。层层把关，认真审核项目资料、票据按照支付程序、合同要求及项目进度支付项目资金。</w:t>
      </w:r>
    </w:p>
    <w:p w14:paraId="444964C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绩效目标完成情况。</w:t>
      </w:r>
      <w:r>
        <w:rPr>
          <w:rFonts w:hint="eastAsia" w:ascii="Times New Roman" w:hAnsi="Times New Roman" w:eastAsia="仿宋_GB2312" w:cs="仿宋_GB2312"/>
          <w:color w:val="auto"/>
          <w:kern w:val="2"/>
          <w:sz w:val="32"/>
          <w:szCs w:val="32"/>
          <w:highlight w:val="none"/>
          <w:lang w:val="en-US" w:eastAsia="zh-CN" w:bidi="ar-SA"/>
        </w:rPr>
        <w:t>生态环境执法监察主要是</w:t>
      </w:r>
      <w:r>
        <w:rPr>
          <w:rFonts w:hint="eastAsia" w:ascii="Times New Roman" w:hAnsi="Times New Roman" w:eastAsia="仿宋_GB2312" w:cs="仿宋_GB2312"/>
          <w:color w:val="auto"/>
          <w:kern w:val="2"/>
          <w:sz w:val="32"/>
          <w:szCs w:val="32"/>
          <w:highlight w:val="none"/>
          <w:lang w:val="zh-CN" w:eastAsia="zh-CN" w:bidi="ar-SA"/>
        </w:rPr>
        <w:t>对生态环境有影响的自然资源开发利用活动、重要生态环境建设和生态破坏恢复工作，负责环境监理和环境保护行政稽查；组织开展环境保护执法检查活动。</w:t>
      </w:r>
      <w:r>
        <w:rPr>
          <w:rFonts w:hint="eastAsia" w:ascii="Times New Roman" w:hAnsi="Times New Roman" w:eastAsia="仿宋_GB2312" w:cs="仿宋_GB2312"/>
          <w:color w:val="auto"/>
          <w:kern w:val="2"/>
          <w:sz w:val="32"/>
          <w:szCs w:val="32"/>
          <w:highlight w:val="none"/>
          <w:lang w:val="en-US" w:eastAsia="zh-CN" w:bidi="ar-SA"/>
        </w:rPr>
        <w:t>本年度黑水生态环境局全面完成相关工作。</w:t>
      </w:r>
    </w:p>
    <w:p w14:paraId="22734D0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按照州财政安排和要求，我单位根据实际情况对2025年度部门基本支出进行了预算编制，并按时提交了预算草案经主管部门（州生态环境局）及州财政局审核，做到预算编制及时、准确。支出也完全按照预算安排支出。预算执行严格按照预算安排支出</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严格按照财政要求，每月按时完成计划，根据单位实际情况进行支付。上级专款严格按照资金下达文件执行，专款专用。“三公”经费严格按照预算执行，未超预算支出。</w:t>
      </w:r>
    </w:p>
    <w:p w14:paraId="797A9C8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。建立了财务管理规章制度，严格按照财务制度执行报账，依照政府采购制度，严格按程序进行政府采购。</w:t>
      </w:r>
    </w:p>
    <w:p w14:paraId="5C094A8B">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。建立了</w:t>
      </w:r>
      <w:r>
        <w:rPr>
          <w:rFonts w:hint="eastAsia" w:ascii="Times New Roman" w:hAnsi="Times New Roman" w:eastAsia="仿宋_GB2312" w:cs="仿宋_GB2312"/>
          <w:color w:val="auto"/>
          <w:kern w:val="2"/>
          <w:sz w:val="32"/>
          <w:szCs w:val="32"/>
          <w:highlight w:val="none"/>
          <w:lang w:val="en-US" w:eastAsia="zh-CN" w:bidi="ar-SA"/>
        </w:rPr>
        <w:t>资产</w:t>
      </w:r>
      <w:r>
        <w:rPr>
          <w:rFonts w:hint="eastAsia" w:ascii="Times New Roman" w:hAnsi="Times New Roman" w:eastAsia="仿宋_GB2312" w:cs="仿宋_GB2312"/>
          <w:color w:val="auto"/>
          <w:kern w:val="2"/>
          <w:sz w:val="32"/>
          <w:szCs w:val="32"/>
          <w:highlight w:val="none"/>
          <w:lang w:val="zh-CN" w:eastAsia="zh-CN" w:bidi="ar-SA"/>
        </w:rPr>
        <w:t>管理规章制度，严格按照</w:t>
      </w:r>
      <w:r>
        <w:rPr>
          <w:rFonts w:hint="eastAsia" w:ascii="Times New Roman" w:hAnsi="Times New Roman" w:eastAsia="仿宋_GB2312" w:cs="仿宋_GB2312"/>
          <w:color w:val="auto"/>
          <w:kern w:val="2"/>
          <w:sz w:val="32"/>
          <w:szCs w:val="32"/>
          <w:highlight w:val="none"/>
          <w:lang w:val="en-US" w:eastAsia="zh-CN" w:bidi="ar-SA"/>
        </w:rPr>
        <w:t>资产</w:t>
      </w:r>
      <w:r>
        <w:rPr>
          <w:rFonts w:hint="eastAsia" w:ascii="Times New Roman" w:hAnsi="Times New Roman" w:eastAsia="仿宋_GB2312" w:cs="仿宋_GB2312"/>
          <w:color w:val="auto"/>
          <w:kern w:val="2"/>
          <w:sz w:val="32"/>
          <w:szCs w:val="32"/>
          <w:highlight w:val="none"/>
          <w:lang w:val="zh-CN" w:eastAsia="zh-CN" w:bidi="ar-SA"/>
        </w:rPr>
        <w:t>管理规章制度执行</w:t>
      </w:r>
      <w:r>
        <w:rPr>
          <w:rFonts w:hint="eastAsia" w:ascii="Times New Roman" w:hAnsi="Times New Roman" w:eastAsia="仿宋_GB2312" w:cs="仿宋_GB2312"/>
          <w:color w:val="auto"/>
          <w:kern w:val="2"/>
          <w:sz w:val="32"/>
          <w:szCs w:val="32"/>
          <w:highlight w:val="none"/>
          <w:lang w:val="en-US" w:eastAsia="zh-CN" w:bidi="ar-SA"/>
        </w:rPr>
        <w:t>资产验收、资产登记</w:t>
      </w:r>
      <w:r>
        <w:rPr>
          <w:rFonts w:hint="eastAsia" w:ascii="Times New Roman" w:hAnsi="Times New Roman" w:eastAsia="仿宋_GB2312" w:cs="仿宋_GB2312"/>
          <w:color w:val="auto"/>
          <w:kern w:val="2"/>
          <w:sz w:val="32"/>
          <w:szCs w:val="32"/>
          <w:highlight w:val="none"/>
          <w:lang w:val="zh-CN" w:eastAsia="zh-CN" w:bidi="ar-SA"/>
        </w:rPr>
        <w:t>、</w:t>
      </w:r>
      <w:r>
        <w:rPr>
          <w:rFonts w:hint="eastAsia" w:ascii="Times New Roman" w:hAnsi="Times New Roman" w:eastAsia="仿宋_GB2312" w:cs="仿宋_GB2312"/>
          <w:color w:val="auto"/>
          <w:kern w:val="2"/>
          <w:sz w:val="32"/>
          <w:szCs w:val="32"/>
          <w:highlight w:val="none"/>
          <w:lang w:val="en-US" w:eastAsia="zh-CN" w:bidi="ar-SA"/>
        </w:rPr>
        <w:t>资产管理。</w:t>
      </w:r>
    </w:p>
    <w:p w14:paraId="761FBCE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。支持中小企业发展，</w:t>
      </w:r>
      <w:r>
        <w:rPr>
          <w:rFonts w:hint="eastAsia" w:ascii="Times New Roman" w:hAnsi="Times New Roman" w:eastAsia="仿宋_GB2312" w:cs="仿宋_GB2312"/>
          <w:color w:val="auto"/>
          <w:kern w:val="2"/>
          <w:sz w:val="32"/>
          <w:szCs w:val="32"/>
          <w:highlight w:val="none"/>
          <w:lang w:val="en-US" w:eastAsia="zh-CN" w:bidi="ar-SA"/>
        </w:rPr>
        <w:t>政府采购支出605.32万元，</w:t>
      </w:r>
      <w:r>
        <w:rPr>
          <w:rFonts w:hint="eastAsia" w:ascii="Times New Roman" w:hAnsi="Times New Roman" w:eastAsia="仿宋_GB2312" w:cs="仿宋_GB2312"/>
          <w:color w:val="auto"/>
          <w:kern w:val="2"/>
          <w:sz w:val="32"/>
          <w:szCs w:val="32"/>
          <w:highlight w:val="none"/>
          <w:lang w:val="zh-CN" w:eastAsia="zh-CN" w:bidi="ar-SA"/>
        </w:rPr>
        <w:t>采购执行率</w:t>
      </w:r>
      <w:r>
        <w:rPr>
          <w:rFonts w:hint="eastAsia" w:ascii="Times New Roman" w:hAnsi="Times New Roman" w:eastAsia="仿宋_GB2312" w:cs="仿宋_GB2312"/>
          <w:color w:val="auto"/>
          <w:kern w:val="2"/>
          <w:sz w:val="32"/>
          <w:szCs w:val="32"/>
          <w:highlight w:val="none"/>
          <w:lang w:val="en-US" w:eastAsia="zh-CN" w:bidi="ar-SA"/>
        </w:rPr>
        <w:t>达100%</w:t>
      </w:r>
      <w:r>
        <w:rPr>
          <w:rFonts w:hint="eastAsia" w:ascii="Times New Roman" w:hAnsi="Times New Roman" w:eastAsia="仿宋_GB2312" w:cs="仿宋_GB2312"/>
          <w:color w:val="auto"/>
          <w:kern w:val="2"/>
          <w:sz w:val="32"/>
          <w:szCs w:val="32"/>
          <w:highlight w:val="none"/>
          <w:lang w:val="zh-CN" w:eastAsia="zh-CN" w:bidi="ar-SA"/>
        </w:rPr>
        <w:t>。</w:t>
      </w:r>
    </w:p>
    <w:p w14:paraId="2594718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楷体_GB2312" w:cs="Times New Roman"/>
          <w:b/>
          <w:bCs/>
          <w:color w:val="000000"/>
          <w:kern w:val="0"/>
          <w:sz w:val="32"/>
          <w:szCs w:val="32"/>
          <w:highlight w:val="none"/>
          <w:shd w:val="clear" w:fill="FFFFFF"/>
          <w:lang w:val="zh-CN" w:eastAsia="zh-CN" w:bidi="ar-SA"/>
        </w:rPr>
        <w:t>（二）</w:t>
      </w:r>
      <w:r>
        <w:rPr>
          <w:rFonts w:hint="default" w:ascii="Times New Roman" w:hAnsi="Times New Roman" w:eastAsia="楷体_GB2312" w:cs="Times New Roman"/>
          <w:b/>
          <w:bCs/>
          <w:color w:val="000000"/>
          <w:kern w:val="0"/>
          <w:sz w:val="32"/>
          <w:szCs w:val="32"/>
          <w:highlight w:val="none"/>
          <w:shd w:val="clear" w:color="auto" w:fill="FFFFFF"/>
          <w:lang w:val="zh-CN"/>
        </w:rPr>
        <w:t>部门预算项目绩效分析。</w:t>
      </w:r>
      <w:r>
        <w:rPr>
          <w:rFonts w:hint="eastAsia" w:ascii="Times New Roman" w:hAnsi="Times New Roman" w:eastAsia="仿宋_GB2312" w:cs="仿宋_GB2312"/>
          <w:color w:val="auto"/>
          <w:kern w:val="2"/>
          <w:sz w:val="32"/>
          <w:szCs w:val="32"/>
          <w:highlight w:val="none"/>
          <w:lang w:val="zh-CN" w:eastAsia="zh-CN" w:bidi="ar-SA"/>
        </w:rPr>
        <w:t>填报以下数据，并</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项目绩效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，依次包括项目</w:t>
      </w:r>
      <w:r>
        <w:rPr>
          <w:rFonts w:hint="default" w:ascii="Times New Roman" w:hAnsi="Times New Roman" w:eastAsia="仿宋_GB2312" w:cs="仿宋_GB2312"/>
          <w:color w:val="auto"/>
          <w:kern w:val="2"/>
          <w:sz w:val="32"/>
          <w:szCs w:val="32"/>
          <w:highlight w:val="none"/>
          <w:lang w:val="en-US" w:eastAsia="zh-CN" w:bidi="ar-SA"/>
        </w:rPr>
        <w:t>决策、项目执行、目标实现等情况</w:t>
      </w:r>
      <w:r>
        <w:rPr>
          <w:rFonts w:hint="eastAsia" w:ascii="Times New Roman" w:hAnsi="Times New Roman" w:eastAsia="仿宋_GB2312" w:cs="仿宋_GB2312"/>
          <w:color w:val="auto"/>
          <w:kern w:val="2"/>
          <w:sz w:val="32"/>
          <w:szCs w:val="32"/>
          <w:highlight w:val="none"/>
          <w:lang w:val="en-US" w:eastAsia="zh-CN" w:bidi="ar-SA"/>
        </w:rPr>
        <w:t>。</w:t>
      </w:r>
    </w:p>
    <w:p w14:paraId="75A8C3BD">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17.6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95.78</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79DDA9E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11</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140.20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100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6444C6B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w:t>
      </w:r>
      <w:r>
        <w:rPr>
          <w:rFonts w:hint="eastAsia" w:ascii="仿宋_GB2312" w:hAnsi="仿宋_GB2312" w:eastAsia="仿宋_GB2312" w:cs="仿宋_GB2312"/>
          <w:sz w:val="32"/>
          <w:szCs w:val="32"/>
        </w:rPr>
        <w:t>项目决策程序较为规范，严格按照部门项目管理要求开展前期论证，履行相关申报审批流程；绩效目标设置基本贴合项目职能任务，指标清晰可衡量，但部分细化指标完整性有待提升；按规定完成项目入库申报，入库资料基本齐全，满足预算申报前置条件。</w:t>
      </w:r>
    </w:p>
    <w:p w14:paraId="19F2CD8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2.项目执行</w:t>
      </w:r>
      <w:r>
        <w:rPr>
          <w:rFonts w:hint="eastAsia"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rPr>
        <w:t>项目资金执行与项目实施进度总体同向匹配，资金拨付流程合规。项目实施期间无重大调整事项，个别内容微调按程序报批；项目按计划组织实施，内控管理落实到位，各项业务工作有序推进，未发生挤占挪用资金问题。</w:t>
      </w:r>
    </w:p>
    <w:p w14:paraId="23383DA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val="zh-CN" w:eastAsia="zh-CN"/>
        </w:rPr>
        <w:t>目标实现。</w:t>
      </w:r>
      <w:r>
        <w:rPr>
          <w:rFonts w:hint="eastAsia" w:ascii="仿宋_GB2312" w:hAnsi="仿宋_GB2312" w:eastAsia="仿宋_GB2312" w:cs="仿宋_GB2312"/>
          <w:sz w:val="32"/>
          <w:szCs w:val="32"/>
        </w:rPr>
        <w:t>项目总体绩效目标基本完成，多数数量、质量、时效指标达成预期；少数指标存在小幅目标偏离，主要受客观因素影响；项目实施取得相应社会效益，较好保障部门履职需求，但部分效益挖掘仍有提升空间。</w:t>
      </w:r>
    </w:p>
    <w:p w14:paraId="39E0877A">
      <w:pPr>
        <w:pStyle w:val="2"/>
        <w:keepNext w:val="0"/>
        <w:keepLines w:val="0"/>
        <w:pageBreakBefore w:val="0"/>
        <w:widowControl/>
        <w:kinsoku/>
        <w:wordWrap/>
        <w:overflowPunct/>
        <w:topLinePunct w:val="0"/>
        <w:autoSpaceDE/>
        <w:autoSpaceDN/>
        <w:bidi w:val="0"/>
        <w:adjustRightInd/>
        <w:snapToGrid w:val="0"/>
        <w:spacing w:line="600" w:lineRule="exact"/>
        <w:ind w:firstLine="640" w:firstLineChars="200"/>
        <w:textAlignment w:val="auto"/>
        <w:rPr>
          <w:rFonts w:hint="eastAsia" w:ascii="仿宋_GB2312" w:hAnsi="仿宋_GB2312" w:eastAsia="仿宋_GB2312" w:cs="仿宋_GB2312"/>
          <w:sz w:val="32"/>
          <w:szCs w:val="32"/>
          <w:lang w:val="en-US" w:eastAsia="zh-CN" w:bidi="ar-SA"/>
        </w:rPr>
      </w:pPr>
      <w:r>
        <w:rPr>
          <w:rFonts w:hint="eastAsia" w:ascii="仿宋_GB2312" w:hAnsi="仿宋_GB2312" w:eastAsia="仿宋_GB2312" w:cs="仿宋_GB2312"/>
          <w:sz w:val="32"/>
          <w:szCs w:val="32"/>
          <w:lang w:val="en-US" w:eastAsia="zh-CN" w:bidi="ar-SA"/>
        </w:rPr>
        <w:t>州</w:t>
      </w:r>
      <w:r>
        <w:rPr>
          <w:rFonts w:hint="default" w:ascii="仿宋_GB2312" w:hAnsi="仿宋_GB2312" w:eastAsia="仿宋_GB2312" w:cs="仿宋_GB2312"/>
          <w:sz w:val="32"/>
          <w:szCs w:val="32"/>
          <w:lang w:val="en-US" w:eastAsia="zh-CN" w:bidi="ar-SA"/>
        </w:rPr>
        <w:t>级部门对</w:t>
      </w:r>
      <w:r>
        <w:rPr>
          <w:rFonts w:hint="eastAsia" w:ascii="仿宋_GB2312" w:hAnsi="仿宋_GB2312" w:eastAsia="仿宋_GB2312" w:cs="仿宋_GB2312"/>
          <w:sz w:val="32"/>
          <w:szCs w:val="32"/>
          <w:lang w:val="en-US" w:eastAsia="zh-CN" w:bidi="ar-SA"/>
        </w:rPr>
        <w:t>2025年度</w:t>
      </w:r>
      <w:r>
        <w:rPr>
          <w:rFonts w:hint="default" w:ascii="仿宋_GB2312" w:hAnsi="仿宋_GB2312" w:eastAsia="仿宋_GB2312" w:cs="仿宋_GB2312"/>
          <w:sz w:val="32"/>
          <w:szCs w:val="32"/>
          <w:lang w:val="en-US" w:eastAsia="zh-CN" w:bidi="ar-SA"/>
        </w:rPr>
        <w:t>一般公共预算、政府性基金预算、国有资本经营预算安排的常年项目、阶段项目绩效目标完成情况，以及债券资金、政府购买服务有关情况进行梳理阐述</w:t>
      </w:r>
      <w:r>
        <w:rPr>
          <w:rFonts w:hint="eastAsia" w:ascii="仿宋_GB2312" w:hAnsi="仿宋_GB2312" w:eastAsia="仿宋_GB2312" w:cs="仿宋_GB2312"/>
          <w:sz w:val="32"/>
          <w:szCs w:val="32"/>
          <w:lang w:val="en-US" w:eastAsia="zh-CN" w:bidi="ar-SA"/>
        </w:rPr>
        <w:t>。</w:t>
      </w:r>
    </w:p>
    <w:p w14:paraId="7DA60AF5">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default"/>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仿宋_GB2312" w:hAnsi="仿宋_GB2312" w:eastAsia="仿宋_GB2312" w:cs="仿宋_GB2312"/>
          <w:sz w:val="32"/>
          <w:szCs w:val="32"/>
        </w:rPr>
        <w:t>部门整体支出绩效评价在单位公示栏进行公示。对评价结果不同等级的项目，采用优先安排、适当安排、压缩直至不安排等方式，分类管理，分类施策。督促单位加强项目管理，提升项目质量。对未实施的项目下一年度不再安排</w:t>
      </w:r>
      <w:r>
        <w:rPr>
          <w:rFonts w:hint="eastAsia" w:ascii="仿宋_GB2312" w:hAnsi="仿宋_GB2312" w:eastAsia="仿宋_GB2312" w:cs="仿宋_GB2312"/>
          <w:sz w:val="32"/>
          <w:szCs w:val="32"/>
          <w:lang w:val="en-US" w:eastAsia="zh-CN" w:bidi="ar-SA"/>
        </w:rPr>
        <w:t>。整改反馈方面，</w:t>
      </w:r>
      <w:r>
        <w:rPr>
          <w:rFonts w:hint="eastAsia" w:ascii="仿宋_GB2312" w:hAnsi="仿宋_GB2312" w:eastAsia="仿宋_GB2312" w:cs="仿宋_GB2312"/>
          <w:sz w:val="32"/>
          <w:szCs w:val="32"/>
        </w:rPr>
        <w:t>未收到有关绩效评价结果整改的通知。</w:t>
      </w:r>
    </w:p>
    <w:p w14:paraId="6B419A79">
      <w:pPr>
        <w:keepNext w:val="0"/>
        <w:keepLines w:val="0"/>
        <w:pageBreakBefore w:val="0"/>
        <w:widowControl/>
        <w:kinsoku/>
        <w:wordWrap/>
        <w:overflowPunct/>
        <w:topLinePunct w:val="0"/>
        <w:autoSpaceDE/>
        <w:autoSpaceDN/>
        <w:bidi w:val="0"/>
        <w:adjustRightInd/>
        <w:snapToGrid/>
        <w:spacing w:line="520" w:lineRule="exact"/>
        <w:ind w:firstLine="640" w:firstLineChars="200"/>
        <w:textAlignment w:val="baseline"/>
        <w:rPr>
          <w:rFonts w:hint="eastAsia" w:ascii="黑体" w:hAnsi="黑体" w:eastAsia="黑体" w:cs="黑体"/>
          <w:sz w:val="32"/>
          <w:szCs w:val="32"/>
        </w:rPr>
      </w:pPr>
      <w:r>
        <w:rPr>
          <w:rFonts w:hint="eastAsia" w:ascii="黑体" w:hAnsi="黑体" w:eastAsia="黑体" w:cs="黑体"/>
          <w:sz w:val="32"/>
          <w:szCs w:val="32"/>
        </w:rPr>
        <w:t>四、评价结论及建议</w:t>
      </w:r>
    </w:p>
    <w:p w14:paraId="1730E42A">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（一）评价结论</w:t>
      </w:r>
    </w:p>
    <w:p w14:paraId="5014215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2025年度</w:t>
      </w:r>
      <w:r>
        <w:rPr>
          <w:rFonts w:hint="eastAsia" w:ascii="仿宋_GB2312" w:hAnsi="仿宋_GB2312" w:eastAsia="仿宋_GB2312" w:cs="仿宋_GB2312"/>
          <w:sz w:val="32"/>
          <w:szCs w:val="32"/>
          <w:lang w:val="en-US" w:eastAsia="zh-CN"/>
        </w:rPr>
        <w:t>黑水</w:t>
      </w:r>
      <w:r>
        <w:rPr>
          <w:rFonts w:hint="eastAsia" w:ascii="仿宋_GB2312" w:hAnsi="仿宋_GB2312" w:eastAsia="仿宋_GB2312" w:cs="仿宋_GB2312"/>
          <w:sz w:val="32"/>
          <w:szCs w:val="32"/>
        </w:rPr>
        <w:t>生态环境局50</w:t>
      </w:r>
      <w:r>
        <w:rPr>
          <w:rFonts w:hint="eastAsia" w:ascii="仿宋_GB2312" w:hAnsi="仿宋_GB2312" w:eastAsia="仿宋_GB2312" w:cs="仿宋_GB2312"/>
          <w:sz w:val="32"/>
          <w:szCs w:val="32"/>
          <w:lang w:eastAsia="zh-CN"/>
        </w:rPr>
        <w:t>万元</w:t>
      </w:r>
      <w:r>
        <w:rPr>
          <w:rFonts w:hint="eastAsia" w:ascii="仿宋_GB2312" w:hAnsi="仿宋_GB2312" w:eastAsia="仿宋_GB2312" w:cs="仿宋_GB2312"/>
          <w:sz w:val="32"/>
          <w:szCs w:val="32"/>
        </w:rPr>
        <w:t>及以上的特定目标类部门预算项目</w:t>
      </w:r>
      <w:r>
        <w:rPr>
          <w:rFonts w:hint="eastAsia" w:ascii="仿宋_GB2312" w:hAnsi="仿宋_GB2312" w:eastAsia="仿宋_GB2312" w:cs="仿宋_GB2312"/>
          <w:sz w:val="32"/>
          <w:szCs w:val="32"/>
          <w:lang w:eastAsia="zh-CN"/>
        </w:rPr>
        <w:t>共计</w:t>
      </w:r>
      <w:r>
        <w:rPr>
          <w:rFonts w:hint="eastAsia" w:ascii="仿宋_GB2312" w:hAnsi="仿宋_GB2312" w:eastAsia="仿宋_GB2312" w:cs="仿宋_GB2312"/>
          <w:sz w:val="32"/>
          <w:szCs w:val="32"/>
          <w:lang w:val="en-US" w:eastAsia="zh-CN"/>
        </w:rPr>
        <w:t>5个</w:t>
      </w:r>
      <w:r>
        <w:rPr>
          <w:rFonts w:hint="eastAsia" w:ascii="仿宋_GB2312" w:hAnsi="仿宋_GB2312" w:eastAsia="仿宋_GB2312" w:cs="仿宋_GB2312"/>
          <w:sz w:val="32"/>
          <w:szCs w:val="32"/>
        </w:rPr>
        <w:t>，部门整体支出绩效自评良好。</w:t>
      </w:r>
    </w:p>
    <w:p w14:paraId="2119D9C9">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（二）存在问题</w:t>
      </w:r>
    </w:p>
    <w:p w14:paraId="538ED0C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zh-CN"/>
        </w:rPr>
        <w:t>预算编制准确性还不够，预算编制质量有待提高。</w:t>
      </w:r>
    </w:p>
    <w:p w14:paraId="1412882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2.内控制度更新不及时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有执行不到位的地方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有效监督不够。</w:t>
      </w:r>
    </w:p>
    <w:p w14:paraId="68DFD6D3">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3.账务处理有待进一步提高，还存在不规范的现象。 .</w:t>
      </w:r>
    </w:p>
    <w:p w14:paraId="46252D07">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4.固定资产管理需要进一步加强，该报废的没有及时报废</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情况。</w:t>
      </w:r>
    </w:p>
    <w:p w14:paraId="47C0DCBB">
      <w:pPr>
        <w:keepNext w:val="0"/>
        <w:keepLines w:val="0"/>
        <w:pageBreakBefore w:val="0"/>
        <w:widowControl/>
        <w:kinsoku/>
        <w:wordWrap/>
        <w:overflowPunct/>
        <w:topLinePunct w:val="0"/>
        <w:autoSpaceDE/>
        <w:autoSpaceDN/>
        <w:bidi w:val="0"/>
        <w:adjustRightInd/>
        <w:snapToGrid/>
        <w:spacing w:line="520" w:lineRule="exact"/>
        <w:ind w:firstLine="643" w:firstLineChars="200"/>
        <w:textAlignment w:val="baseline"/>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lang w:val="zh-CN"/>
        </w:rPr>
        <w:t xml:space="preserve">（三）改进建议  </w:t>
      </w:r>
      <w:r>
        <w:rPr>
          <w:rFonts w:hint="eastAsia" w:ascii="仿宋_GB2312" w:hAnsi="仿宋_GB2312" w:eastAsia="仿宋_GB2312" w:cs="仿宋_GB2312"/>
          <w:sz w:val="32"/>
          <w:szCs w:val="32"/>
        </w:rPr>
        <w:t xml:space="preserve">                                                    </w:t>
      </w:r>
    </w:p>
    <w:p w14:paraId="232B1A9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1.进一步完善、明确和细化各项费用支出管理制度，严格控制接待费、公务用车运行及维护等费用支出。</w:t>
      </w:r>
    </w:p>
    <w:p w14:paraId="7779CF89">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2.加强固定资产的管理，配置专管部门和专管人员，对固定资产进行一次全面清查盘点，建立固定资产卡片，切实做到账卡相符、账物相符。</w:t>
      </w:r>
    </w:p>
    <w:p w14:paraId="496B43D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baseline"/>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3.</w:t>
      </w:r>
      <w:r>
        <w:rPr>
          <w:rFonts w:hint="eastAsia" w:ascii="仿宋_GB2312" w:hAnsi="仿宋_GB2312" w:eastAsia="仿宋_GB2312" w:cs="仿宋_GB2312"/>
          <w:sz w:val="32"/>
          <w:szCs w:val="32"/>
          <w:lang w:val="zh-CN"/>
        </w:rPr>
        <w:t>进一步加强内控管理，提高认知程度，强化单位纪检监督作用。</w:t>
      </w:r>
    </w:p>
    <w:p w14:paraId="26065CF9">
      <w:pPr>
        <w:pStyle w:val="2"/>
        <w:rPr>
          <w:rFonts w:hint="eastAsia"/>
          <w:lang w:val="zh-CN"/>
        </w:rPr>
      </w:pPr>
    </w:p>
    <w:p w14:paraId="1B23225F">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74E6813E">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r>
        <w:rPr>
          <w:rFonts w:hint="eastAsia" w:ascii="宋体" w:hAnsi="宋体" w:eastAsia="仿宋_GB2312" w:cs="仿宋_GB2312"/>
          <w:b w:val="0"/>
          <w:sz w:val="32"/>
          <w:szCs w:val="32"/>
          <w:highlight w:val="none"/>
          <w:u w:val="none"/>
          <w:lang w:eastAsia="zh-CN"/>
        </w:rPr>
        <w:t>部门评价项目数量</w:t>
      </w:r>
      <w:r>
        <w:rPr>
          <w:rFonts w:hint="eastAsia" w:ascii="宋体" w:hAnsi="宋体" w:cs="仿宋_GB2312"/>
          <w:b w:val="0"/>
          <w:sz w:val="32"/>
          <w:szCs w:val="32"/>
          <w:highlight w:val="none"/>
          <w:u w:val="none"/>
          <w:lang w:eastAsia="zh-CN"/>
        </w:rPr>
        <w:t>在</w:t>
      </w:r>
      <w:r>
        <w:rPr>
          <w:rFonts w:hint="eastAsia" w:ascii="宋体" w:hAnsi="宋体" w:eastAsia="仿宋_GB2312" w:cs="仿宋_GB2312"/>
          <w:b w:val="0"/>
          <w:sz w:val="32"/>
          <w:szCs w:val="32"/>
          <w:highlight w:val="none"/>
          <w:u w:val="none"/>
          <w:lang w:val="en-US" w:eastAsia="zh-CN"/>
        </w:rPr>
        <w:t>3个以内的，</w:t>
      </w:r>
      <w:r>
        <w:rPr>
          <w:rFonts w:hint="eastAsia" w:ascii="宋体" w:hAnsi="宋体" w:eastAsia="仿宋_GB2312" w:cs="仿宋_GB2312"/>
          <w:sz w:val="32"/>
          <w:szCs w:val="32"/>
          <w:highlight w:val="none"/>
          <w:u w:val="none"/>
        </w:rPr>
        <w:t>至少将1个部门评价报告向社会公开</w:t>
      </w:r>
      <w:r>
        <w:rPr>
          <w:rFonts w:hint="eastAsia" w:ascii="宋体" w:hAnsi="宋体" w:eastAsia="仿宋_GB2312" w:cs="仿宋_GB2312"/>
          <w:sz w:val="32"/>
          <w:szCs w:val="32"/>
          <w:highlight w:val="none"/>
          <w:u w:val="none"/>
          <w:lang w:eastAsia="zh-CN"/>
        </w:rPr>
        <w:t>；</w:t>
      </w:r>
      <w:r>
        <w:rPr>
          <w:rFonts w:hint="eastAsia" w:ascii="宋体" w:hAnsi="宋体" w:eastAsia="仿宋_GB2312" w:cs="仿宋_GB2312"/>
          <w:b w:val="0"/>
          <w:sz w:val="32"/>
          <w:szCs w:val="32"/>
          <w:highlight w:val="none"/>
          <w:u w:val="none"/>
          <w:lang w:eastAsia="zh-CN"/>
        </w:rPr>
        <w:t>部门评价项目数量大于</w:t>
      </w:r>
      <w:r>
        <w:rPr>
          <w:rFonts w:hint="eastAsia" w:ascii="宋体" w:hAnsi="宋体" w:eastAsia="仿宋_GB2312" w:cs="仿宋_GB2312"/>
          <w:b w:val="0"/>
          <w:sz w:val="32"/>
          <w:szCs w:val="32"/>
          <w:highlight w:val="none"/>
          <w:u w:val="none"/>
          <w:lang w:val="en-US" w:eastAsia="zh-CN"/>
        </w:rPr>
        <w:t>3个的，</w:t>
      </w:r>
      <w:r>
        <w:rPr>
          <w:rFonts w:hint="eastAsia" w:ascii="宋体" w:hAnsi="宋体" w:eastAsia="仿宋_GB2312" w:cs="仿宋_GB2312"/>
          <w:sz w:val="32"/>
          <w:szCs w:val="32"/>
          <w:highlight w:val="none"/>
          <w:u w:val="none"/>
        </w:rPr>
        <w:t>至少将</w:t>
      </w:r>
      <w:r>
        <w:rPr>
          <w:rFonts w:hint="eastAsia" w:ascii="宋体" w:hAnsi="宋体" w:eastAsia="仿宋_GB2312" w:cs="仿宋_GB2312"/>
          <w:sz w:val="32"/>
          <w:szCs w:val="32"/>
          <w:highlight w:val="none"/>
          <w:u w:val="none"/>
          <w:lang w:val="en-US" w:eastAsia="zh-CN"/>
        </w:rPr>
        <w:t>2</w:t>
      </w:r>
      <w:r>
        <w:rPr>
          <w:rFonts w:hint="eastAsia" w:ascii="宋体" w:hAnsi="宋体" w:eastAsia="仿宋_GB2312" w:cs="仿宋_GB2312"/>
          <w:sz w:val="32"/>
          <w:szCs w:val="32"/>
          <w:highlight w:val="none"/>
          <w:u w:val="none"/>
        </w:rPr>
        <w:t>个部门评价报告向社会公开</w:t>
      </w:r>
      <w:r>
        <w:rPr>
          <w:rFonts w:hint="eastAsia" w:ascii="宋体" w:hAnsi="宋体" w:eastAsia="仿宋_GB2312" w:cs="仿宋_GB2312"/>
          <w:sz w:val="32"/>
          <w:szCs w:val="32"/>
          <w:highlight w:val="none"/>
          <w:u w:val="none"/>
          <w:lang w:eastAsia="zh-CN"/>
        </w:rPr>
        <w:t>。</w:t>
      </w:r>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14:paraId="33DE46D6">
      <w:pPr>
        <w:pStyle w:val="3"/>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3F3FD595"/>
    <w:p w14:paraId="1202251A"/>
    <w:p w14:paraId="08329DB6"/>
    <w:p w14:paraId="5413F22A"/>
    <w:p w14:paraId="5A60E6FB"/>
    <w:p w14:paraId="2DB9030A"/>
    <w:p w14:paraId="3AC81FDC"/>
    <w:p w14:paraId="3EE994BD"/>
    <w:p w14:paraId="61F50916"/>
    <w:p w14:paraId="5AF29B1B"/>
    <w:p w14:paraId="70215DED"/>
    <w:p w14:paraId="0F6C66DF"/>
    <w:p w14:paraId="59FAE8EF"/>
    <w:p w14:paraId="50E72D1A"/>
    <w:p w14:paraId="7E20A3BB"/>
    <w:p w14:paraId="0E0696C0"/>
    <w:p w14:paraId="6ADB4EA8"/>
    <w:p w14:paraId="4A6B8972"/>
    <w:p w14:paraId="18899699"/>
    <w:p w14:paraId="077508A0"/>
    <w:p w14:paraId="792251AF"/>
    <w:p w14:paraId="4685F3D1"/>
    <w:p w14:paraId="664AEDAA"/>
    <w:p w14:paraId="010CEB4C"/>
    <w:p w14:paraId="428D6B03"/>
    <w:p w14:paraId="2B8C6BF1">
      <w:pPr>
        <w:bidi w:val="0"/>
      </w:pPr>
    </w:p>
    <w:p w14:paraId="4F994A94"/>
    <w:p w14:paraId="180E27AF"/>
    <w:p w14:paraId="0BB2BD0B"/>
    <w:p w14:paraId="5990658B"/>
    <w:p w14:paraId="4C165375">
      <w:pPr>
        <w:bidi w:val="0"/>
      </w:pPr>
    </w:p>
    <w:p w14:paraId="02638E87"/>
    <w:p w14:paraId="2E7DF68B"/>
    <w:p w14:paraId="37107ECF"/>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27B7D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7D6BD51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754EB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4FDAF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031BC9E">
            <w:pPr>
              <w:pStyle w:val="37"/>
              <w:numPr>
                <w:ilvl w:val="0"/>
                <w:numId w:val="0"/>
              </w:numP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2"/>
                <w:sz w:val="24"/>
                <w:szCs w:val="24"/>
                <w:u w:val="none"/>
                <w:lang w:val="en-US" w:eastAsia="zh-CN" w:bidi="ar-SA"/>
              </w:rPr>
              <w:t>黑水县空气自动监测系统子站备机采购项目（质保金）</w:t>
            </w:r>
          </w:p>
        </w:tc>
      </w:tr>
      <w:tr w14:paraId="69078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B8E8AC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831DEB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7B385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4E450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D41FB3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8414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53168C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2DF72D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207A98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CA85B88">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FD82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756F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1E7A72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72E7B53">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代管资金、2024年省级生态环境保护专项资金（第四批）水、空气奖励金 阿州财资环</w:t>
            </w:r>
            <w:r>
              <w:rPr>
                <w:rFonts w:hint="eastAsia" w:cs="Times New Roman"/>
                <w:i w:val="0"/>
                <w:color w:val="000000"/>
                <w:sz w:val="24"/>
                <w:szCs w:val="24"/>
                <w:u w:val="none"/>
                <w:lang w:val="en-US" w:eastAsia="zh-CN"/>
              </w:rPr>
              <w:t>【2024】36号</w:t>
            </w:r>
          </w:p>
        </w:tc>
      </w:tr>
      <w:tr w14:paraId="5E344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BF5D3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7FA62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22FCAE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2A8CDD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720FB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E1E9B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5776E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3941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39BC9B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A2CE9F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5678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B2783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B7C6A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eastAsia" w:ascii="Times New Roman" w:hAnsi="Times New Roman"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7C86D9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DD23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31290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1EF34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6A4E83A">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4D6E5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20107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4FB219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F0E3A8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64B9E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6EFF2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3200D66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51B572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314C5B9">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37.61</w:t>
            </w:r>
          </w:p>
        </w:tc>
      </w:tr>
      <w:tr w14:paraId="5434F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888501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5C7E6B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406E1FF">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37.61</w:t>
            </w:r>
          </w:p>
        </w:tc>
      </w:tr>
      <w:tr w14:paraId="74F2A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F0E6E1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9CDC3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B4542EB">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0D3FF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3A273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A165B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34F7E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7A9AB0A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75F11B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完成县城集中式饮用水水源地水质监测、农村环境质量试点监测、乡镇饮用水水源地监测（含汛期加密监测）、县城城区声环境监测、污染源监督性监测、生态功能区生态环境地表水监测、农村生活污水处理设施出水水质监测、国控点地下水监测。</w:t>
            </w:r>
          </w:p>
        </w:tc>
      </w:tr>
      <w:tr w14:paraId="65539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5E5C1B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auto" w:sz="4" w:space="0"/>
              <w:bottom w:val="single" w:color="000000" w:sz="4" w:space="0"/>
              <w:right w:val="single" w:color="000000" w:sz="4" w:space="0"/>
            </w:tcBorders>
            <w:noWrap w:val="0"/>
            <w:vAlign w:val="center"/>
          </w:tcPr>
          <w:p w14:paraId="09DE28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D8F8A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1EF6F5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DC05EB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65F25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A741CD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766CC4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B664C9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2BFE8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3159FC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left w:val="single" w:color="auto" w:sz="4" w:space="0"/>
              <w:right w:val="single" w:color="000000" w:sz="4" w:space="0"/>
            </w:tcBorders>
            <w:noWrap w:val="0"/>
            <w:vAlign w:val="center"/>
          </w:tcPr>
          <w:p w14:paraId="16E7EF76">
            <w:pPr>
              <w:keepNext w:val="0"/>
              <w:keepLines w:val="0"/>
              <w:pageBreakBefore w:val="0"/>
              <w:widowControl/>
              <w:suppressLineNumbers w:val="0"/>
              <w:tabs>
                <w:tab w:val="left" w:pos="500"/>
              </w:tabs>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tcBorders>
              <w:left w:val="single" w:color="000000" w:sz="4" w:space="0"/>
              <w:right w:val="single" w:color="000000" w:sz="4" w:space="0"/>
            </w:tcBorders>
            <w:noWrap w:val="0"/>
            <w:vAlign w:val="center"/>
          </w:tcPr>
          <w:p w14:paraId="6F104A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C6F1A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完成时限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35F2C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E4844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2D5EF5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4213C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15445F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14:paraId="139E0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4F5F5B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left w:val="single" w:color="auto" w:sz="4" w:space="0"/>
              <w:right w:val="single" w:color="000000" w:sz="4" w:space="0"/>
            </w:tcBorders>
            <w:noWrap w:val="0"/>
            <w:vAlign w:val="center"/>
          </w:tcPr>
          <w:p w14:paraId="16453D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left w:val="single" w:color="000000" w:sz="4" w:space="0"/>
              <w:bottom w:val="single" w:color="000000" w:sz="4" w:space="0"/>
              <w:right w:val="single" w:color="000000" w:sz="4" w:space="0"/>
            </w:tcBorders>
            <w:noWrap w:val="0"/>
            <w:vAlign w:val="center"/>
          </w:tcPr>
          <w:p w14:paraId="7689D5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E6A7D8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改善环境质量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E76065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E1187A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C8FD2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DF00B1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C1783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w:t>
            </w:r>
          </w:p>
        </w:tc>
      </w:tr>
      <w:tr w14:paraId="1567A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0CB1E13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left w:val="single" w:color="auto" w:sz="4" w:space="0"/>
              <w:bottom w:val="single" w:color="auto" w:sz="4" w:space="0"/>
              <w:right w:val="single" w:color="000000" w:sz="4" w:space="0"/>
            </w:tcBorders>
            <w:noWrap w:val="0"/>
            <w:vAlign w:val="center"/>
          </w:tcPr>
          <w:p w14:paraId="21BC01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满意度指标</w:t>
            </w:r>
          </w:p>
        </w:tc>
        <w:tc>
          <w:tcPr>
            <w:tcW w:w="1250" w:type="dxa"/>
            <w:tcBorders>
              <w:left w:val="single" w:color="000000" w:sz="4" w:space="0"/>
              <w:right w:val="single" w:color="000000" w:sz="4" w:space="0"/>
            </w:tcBorders>
            <w:noWrap w:val="0"/>
            <w:vAlign w:val="center"/>
          </w:tcPr>
          <w:p w14:paraId="62A6E0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w:t>
            </w:r>
            <w:r>
              <w:rPr>
                <w:rFonts w:hint="eastAsia" w:ascii="Times New Roman" w:hAnsi="Times New Roman" w:eastAsia="宋体" w:cs="Times New Roman"/>
                <w:i w:val="0"/>
                <w:color w:val="000000"/>
                <w:kern w:val="0"/>
                <w:sz w:val="24"/>
                <w:szCs w:val="24"/>
                <w:u w:val="none"/>
                <w:lang w:val="en-US" w:eastAsia="zh-CN" w:bidi="ar"/>
              </w:rPr>
              <w:br w:type="textWrapping"/>
            </w:r>
            <w:r>
              <w:rPr>
                <w:rFonts w:hint="eastAsia"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2278B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8DDB42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8026E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1CD8F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1CA37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EC165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587DA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508D31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3DED456D">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成本指标</w:t>
            </w:r>
          </w:p>
        </w:tc>
        <w:tc>
          <w:tcPr>
            <w:tcW w:w="1250" w:type="dxa"/>
            <w:tcBorders>
              <w:left w:val="single" w:color="auto" w:sz="4" w:space="0"/>
              <w:bottom w:val="single" w:color="000000" w:sz="4" w:space="0"/>
              <w:right w:val="single" w:color="000000" w:sz="4" w:space="0"/>
            </w:tcBorders>
            <w:noWrap w:val="0"/>
            <w:vAlign w:val="center"/>
          </w:tcPr>
          <w:p w14:paraId="2811DA22">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经济成本指标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5B77B88">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成本金额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BD799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宋体" w:hAnsi="宋体" w:eastAsia="宋体" w:cs="宋体"/>
                <w:sz w:val="28"/>
                <w:szCs w:val="28"/>
                <w:highlight w:val="none"/>
                <w:lang w:val="en-US" w:eastAsia="zh-CN"/>
              </w:rPr>
            </w:pPr>
            <w:r>
              <w:rPr>
                <w:rFonts w:hint="default"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6FD7B2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877400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BC057E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BE9978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BEC6E2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877400</w:t>
            </w:r>
          </w:p>
        </w:tc>
      </w:tr>
    </w:tbl>
    <w:p w14:paraId="249A2A1E">
      <w:pPr>
        <w:rPr>
          <w:rFonts w:hint="eastAsia"/>
        </w:rPr>
      </w:pPr>
    </w:p>
    <w:p w14:paraId="55AF94B3">
      <w:pPr>
        <w:rPr>
          <w:rFonts w:hint="eastAsia"/>
        </w:rPr>
      </w:pPr>
    </w:p>
    <w:p w14:paraId="16682B8B">
      <w:pPr>
        <w:rPr>
          <w:rFonts w:hint="eastAsia"/>
        </w:rPr>
      </w:pPr>
    </w:p>
    <w:p w14:paraId="447E188B">
      <w:pPr>
        <w:rPr>
          <w:rFonts w:hint="eastAsia"/>
        </w:rPr>
      </w:pPr>
    </w:p>
    <w:p w14:paraId="609715A0">
      <w:pPr>
        <w:rPr>
          <w:rFonts w:hint="eastAsia"/>
        </w:rPr>
      </w:pPr>
    </w:p>
    <w:p w14:paraId="4067ABF5">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25A54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5B1A162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60578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0A20A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E69AF8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202</w:t>
            </w:r>
            <w:r>
              <w:rPr>
                <w:rFonts w:hint="eastAsia" w:eastAsia="宋体" w:cs="Times New Roman"/>
                <w:i w:val="0"/>
                <w:color w:val="000000"/>
                <w:sz w:val="24"/>
                <w:szCs w:val="24"/>
                <w:u w:val="none"/>
                <w:lang w:val="en-US" w:eastAsia="zh-CN"/>
              </w:rPr>
              <w:t>4</w:t>
            </w:r>
            <w:r>
              <w:rPr>
                <w:rFonts w:hint="default" w:ascii="Times New Roman" w:hAnsi="Times New Roman" w:eastAsia="宋体" w:cs="Times New Roman"/>
                <w:i w:val="0"/>
                <w:color w:val="000000"/>
                <w:sz w:val="24"/>
                <w:szCs w:val="24"/>
                <w:u w:val="none"/>
              </w:rPr>
              <w:t>年生态环境监测服务采购项目</w:t>
            </w:r>
          </w:p>
        </w:tc>
      </w:tr>
      <w:tr w14:paraId="69D3B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686A1F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1D5B18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15FB4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B3F7E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08F5969">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6E3AF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1AE05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46502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4A02FDD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E52C096">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6B6DB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6C889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7D1B82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D473F1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代管资金、2024年省级生态环境保护专项资金（第四批）水、空气奖励金 阿州财资环</w:t>
            </w:r>
            <w:r>
              <w:rPr>
                <w:rFonts w:hint="eastAsia" w:cs="Times New Roman"/>
                <w:i w:val="0"/>
                <w:color w:val="000000"/>
                <w:sz w:val="24"/>
                <w:szCs w:val="24"/>
                <w:u w:val="none"/>
                <w:lang w:val="en-US" w:eastAsia="zh-CN"/>
              </w:rPr>
              <w:t>【2024】36号</w:t>
            </w:r>
          </w:p>
        </w:tc>
      </w:tr>
      <w:tr w14:paraId="2A399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F43BB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335F4B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1899F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0E6F4F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470837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D8B3C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02E4A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5CBEF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995798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07BBD46">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FDEA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FF5E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CC9FA9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859F2D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44EBB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2B23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D87F3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CE2E7F2">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3BD6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42C6A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85CF6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D275A6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2</w:t>
            </w:r>
            <w:r>
              <w:rPr>
                <w:rFonts w:hint="eastAsia" w:eastAsia="宋体" w:cs="Times New Roman"/>
                <w:i w:val="0"/>
                <w:color w:val="000000"/>
                <w:sz w:val="24"/>
                <w:szCs w:val="24"/>
                <w:u w:val="none"/>
                <w:lang w:val="en-US" w:eastAsia="zh-CN"/>
              </w:rPr>
              <w:t>024-2025</w:t>
            </w:r>
          </w:p>
        </w:tc>
      </w:tr>
      <w:tr w14:paraId="78595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4A22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13CF4D2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76CFF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A9789F7">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99</w:t>
            </w:r>
          </w:p>
        </w:tc>
      </w:tr>
      <w:tr w14:paraId="65D21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AEB6A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5245F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FFE0BBE">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99</w:t>
            </w:r>
          </w:p>
        </w:tc>
      </w:tr>
      <w:tr w14:paraId="098A8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34E47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C84368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B544977">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694FE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DB218B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115E1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3F131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462871C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EE0C88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完成县城集中式饮用水水源地水质监测、农村环境质量试点监测、乡镇饮用水水源地监测（含汛期加密监测）、县城城区声环境监测、污染源监督性监测、生态功能区生态环境地表水监测、农村生活污水处理设施出水水质监测、国控点地下水监测。</w:t>
            </w:r>
          </w:p>
        </w:tc>
      </w:tr>
      <w:tr w14:paraId="7B112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33B52A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auto" w:sz="4" w:space="0"/>
              <w:bottom w:val="single" w:color="000000" w:sz="4" w:space="0"/>
              <w:right w:val="single" w:color="000000" w:sz="4" w:space="0"/>
            </w:tcBorders>
            <w:noWrap w:val="0"/>
            <w:vAlign w:val="center"/>
          </w:tcPr>
          <w:p w14:paraId="353F8E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8B49D1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E2E2E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5B9AD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A574A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B826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53AB8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68C18E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1BDC1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47A82EF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auto" w:sz="4" w:space="0"/>
              <w:right w:val="single" w:color="000000" w:sz="4" w:space="0"/>
            </w:tcBorders>
            <w:noWrap w:val="0"/>
            <w:vAlign w:val="center"/>
          </w:tcPr>
          <w:p w14:paraId="5B676D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tcBorders>
              <w:top w:val="single" w:color="000000" w:sz="4" w:space="0"/>
              <w:left w:val="single" w:color="000000" w:sz="4" w:space="0"/>
              <w:right w:val="single" w:color="000000" w:sz="4" w:space="0"/>
            </w:tcBorders>
            <w:noWrap w:val="0"/>
            <w:vAlign w:val="center"/>
          </w:tcPr>
          <w:p w14:paraId="51D8CB9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A10093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E8A01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E7CBB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FC62E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CB499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D0F91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35D13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CBFD88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left w:val="single" w:color="auto" w:sz="4" w:space="0"/>
              <w:bottom w:val="single" w:color="auto" w:sz="4" w:space="0"/>
              <w:right w:val="single" w:color="000000" w:sz="4" w:space="0"/>
            </w:tcBorders>
            <w:noWrap w:val="0"/>
            <w:vAlign w:val="center"/>
          </w:tcPr>
          <w:p w14:paraId="2B932D3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tcBorders>
              <w:left w:val="single" w:color="000000" w:sz="4" w:space="0"/>
              <w:right w:val="single" w:color="000000" w:sz="4" w:space="0"/>
            </w:tcBorders>
            <w:noWrap w:val="0"/>
            <w:vAlign w:val="center"/>
          </w:tcPr>
          <w:p w14:paraId="7258C4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D3114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0BC4B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BA9B6B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04DC5F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06FDDF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4100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6CFDD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037C4C2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4F29D3F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left w:val="single" w:color="auto" w:sz="4" w:space="0"/>
              <w:bottom w:val="single" w:color="000000" w:sz="4" w:space="0"/>
              <w:right w:val="single" w:color="000000" w:sz="4" w:space="0"/>
            </w:tcBorders>
            <w:noWrap w:val="0"/>
            <w:vAlign w:val="center"/>
          </w:tcPr>
          <w:p w14:paraId="08C55E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4324D2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4492E9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CE445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5A1F0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AED42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127171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58EDE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E0CAA5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00A643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tcBorders>
              <w:left w:val="single" w:color="auto" w:sz="4" w:space="0"/>
              <w:bottom w:val="single" w:color="000000" w:sz="4" w:space="0"/>
              <w:right w:val="single" w:color="000000" w:sz="4" w:space="0"/>
            </w:tcBorders>
            <w:noWrap w:val="0"/>
            <w:vAlign w:val="center"/>
          </w:tcPr>
          <w:p w14:paraId="43D34A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20F42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环境影响</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52385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639A5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改善人居环境</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68B09D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3B7D6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DF2A16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w:t>
            </w:r>
          </w:p>
        </w:tc>
      </w:tr>
      <w:tr w14:paraId="7B77B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C337AF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780FC5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tcBorders>
              <w:top w:val="single" w:color="000000" w:sz="4" w:space="0"/>
              <w:left w:val="single" w:color="auto" w:sz="4" w:space="0"/>
              <w:right w:val="single" w:color="000000" w:sz="4" w:space="0"/>
            </w:tcBorders>
            <w:noWrap w:val="0"/>
            <w:vAlign w:val="center"/>
          </w:tcPr>
          <w:p w14:paraId="73D9F3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可持续影响</w:t>
            </w:r>
            <w:r>
              <w:rPr>
                <w:rFonts w:hint="eastAsia" w:ascii="Times New Roman" w:hAnsi="Times New Roman" w:eastAsia="宋体" w:cs="Times New Roman"/>
                <w:i w:val="0"/>
                <w:color w:val="000000"/>
                <w:kern w:val="0"/>
                <w:sz w:val="24"/>
                <w:szCs w:val="24"/>
                <w:u w:val="none"/>
                <w:lang w:val="en-US" w:eastAsia="zh-CN" w:bidi="ar"/>
              </w:rPr>
              <w:br w:type="textWrapping"/>
            </w:r>
            <w:r>
              <w:rPr>
                <w:rFonts w:hint="eastAsia"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17A66A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促进农业农村可持续发展</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F536F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0C399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长期</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79A8C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66D83F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FFD1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促进</w:t>
            </w:r>
          </w:p>
        </w:tc>
      </w:tr>
      <w:tr w14:paraId="0F30D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8090FB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DE6A14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满意度指标</w:t>
            </w:r>
          </w:p>
        </w:tc>
        <w:tc>
          <w:tcPr>
            <w:tcW w:w="1250" w:type="dxa"/>
            <w:tcBorders>
              <w:left w:val="single" w:color="auto" w:sz="4" w:space="0"/>
              <w:bottom w:val="single" w:color="000000" w:sz="4" w:space="0"/>
              <w:right w:val="single" w:color="000000" w:sz="4" w:space="0"/>
            </w:tcBorders>
            <w:noWrap w:val="0"/>
            <w:vAlign w:val="center"/>
          </w:tcPr>
          <w:p w14:paraId="7C7B81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w:t>
            </w:r>
            <w:r>
              <w:rPr>
                <w:rFonts w:hint="eastAsia" w:ascii="Times New Roman" w:hAnsi="Times New Roman" w:eastAsia="宋体" w:cs="Times New Roman"/>
                <w:i w:val="0"/>
                <w:color w:val="000000"/>
                <w:kern w:val="0"/>
                <w:sz w:val="24"/>
                <w:szCs w:val="24"/>
                <w:u w:val="none"/>
                <w:lang w:val="en-US" w:eastAsia="zh-CN" w:bidi="ar"/>
              </w:rPr>
              <w:br w:type="textWrapping"/>
            </w:r>
            <w:r>
              <w:rPr>
                <w:rFonts w:hint="eastAsia"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D7528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A96565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C4541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FA40CE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C10AD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1F1B7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r>
    </w:tbl>
    <w:p w14:paraId="53F390F5">
      <w:pPr>
        <w:rPr>
          <w:rFonts w:hint="eastAsia"/>
        </w:rPr>
      </w:pPr>
    </w:p>
    <w:p w14:paraId="3973C0C0">
      <w:pPr>
        <w:rPr>
          <w:rFonts w:hint="eastAsia"/>
        </w:rPr>
      </w:pPr>
    </w:p>
    <w:p w14:paraId="3231B480">
      <w:pPr>
        <w:rPr>
          <w:rFonts w:hint="eastAsia"/>
        </w:rPr>
      </w:pPr>
    </w:p>
    <w:p w14:paraId="469B2571">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02481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04576C57">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2CEDE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10781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51000C4">
            <w:pPr>
              <w:pStyle w:val="37"/>
              <w:numPr>
                <w:ilvl w:val="0"/>
                <w:numId w:val="0"/>
              </w:numPr>
              <w:ind w:left="160" w:leftChars="0" w:firstLine="480" w:firstLineChars="20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2"/>
                <w:sz w:val="24"/>
                <w:szCs w:val="24"/>
                <w:u w:val="none"/>
                <w:lang w:val="en-US" w:eastAsia="zh-CN" w:bidi="ar-SA"/>
              </w:rPr>
              <w:t>202</w:t>
            </w:r>
            <w:r>
              <w:rPr>
                <w:rFonts w:hint="eastAsia" w:ascii="Times New Roman" w:hAnsi="Times New Roman" w:eastAsia="宋体" w:cs="Times New Roman"/>
                <w:i w:val="0"/>
                <w:color w:val="000000"/>
                <w:kern w:val="2"/>
                <w:sz w:val="24"/>
                <w:szCs w:val="24"/>
                <w:u w:val="none"/>
                <w:lang w:val="en-US" w:eastAsia="zh-CN" w:bidi="ar-SA"/>
              </w:rPr>
              <w:t>4</w:t>
            </w:r>
            <w:r>
              <w:rPr>
                <w:rFonts w:hint="default" w:ascii="Times New Roman" w:hAnsi="Times New Roman" w:eastAsia="宋体" w:cs="Times New Roman"/>
                <w:i w:val="0"/>
                <w:color w:val="000000"/>
                <w:kern w:val="2"/>
                <w:sz w:val="24"/>
                <w:szCs w:val="24"/>
                <w:u w:val="none"/>
                <w:lang w:val="en-US" w:eastAsia="zh-CN" w:bidi="ar-SA"/>
              </w:rPr>
              <w:t>年</w:t>
            </w:r>
            <w:r>
              <w:rPr>
                <w:rFonts w:hint="eastAsia" w:ascii="Times New Roman" w:hAnsi="Times New Roman" w:eastAsia="宋体" w:cs="Times New Roman"/>
                <w:i w:val="0"/>
                <w:color w:val="000000"/>
                <w:kern w:val="2"/>
                <w:sz w:val="24"/>
                <w:szCs w:val="24"/>
                <w:u w:val="none"/>
                <w:lang w:val="en-US" w:eastAsia="zh-CN" w:bidi="ar-SA"/>
              </w:rPr>
              <w:t>省级生态环境保护专项资金第四批环境空气质量奖励资金</w:t>
            </w:r>
          </w:p>
        </w:tc>
      </w:tr>
      <w:tr w14:paraId="7C962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6A483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53E44F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3DAC2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EF666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6FEBF7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0F0AC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49480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5D175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0D920A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CA2EED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6CCB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15486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5AD41A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E9EE0A0">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2024年省级生态环境保护专项资金（第四批）水、空气奖励金 </w:t>
            </w:r>
          </w:p>
        </w:tc>
      </w:tr>
      <w:tr w14:paraId="511C3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203D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355AF3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C9DE9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40DC3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30A3C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849C8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757E5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9DAA2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CA36D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4FAE33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06DD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937CA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AA989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27042D3">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168A9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957A4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0BC03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A76A0D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A658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DCB71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7B215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0A0E01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2</w:t>
            </w:r>
            <w:r>
              <w:rPr>
                <w:rFonts w:hint="eastAsia" w:eastAsia="宋体" w:cs="Times New Roman"/>
                <w:i w:val="0"/>
                <w:color w:val="000000"/>
                <w:sz w:val="24"/>
                <w:szCs w:val="24"/>
                <w:u w:val="none"/>
                <w:lang w:val="en-US" w:eastAsia="zh-CN"/>
              </w:rPr>
              <w:t>024-2025</w:t>
            </w:r>
          </w:p>
        </w:tc>
      </w:tr>
      <w:tr w14:paraId="2C061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334C18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7F1D215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29CC4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ED048F3">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30.00</w:t>
            </w:r>
          </w:p>
        </w:tc>
      </w:tr>
      <w:tr w14:paraId="3088B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E2486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760623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D1A0682">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30.00</w:t>
            </w:r>
          </w:p>
        </w:tc>
      </w:tr>
      <w:tr w14:paraId="17143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7AD87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872816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069E741">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7CDC2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AB60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6205E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3C508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0A2D63B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E930A6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完成县城集中式饮用水水源地水质监测、农村环境质量试点监测、乡镇饮用水水源地监测（含汛期加密监测）、县城城区声环境监测、污染源监督性监测、生态功能区生态环境地表水监测、农村生活污水处理设施出水水质监测、国控点地下水监测。</w:t>
            </w:r>
          </w:p>
        </w:tc>
      </w:tr>
      <w:tr w14:paraId="234D7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131D92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auto" w:sz="4" w:space="0"/>
              <w:bottom w:val="single" w:color="000000" w:sz="4" w:space="0"/>
              <w:right w:val="single" w:color="000000" w:sz="4" w:space="0"/>
            </w:tcBorders>
            <w:noWrap w:val="0"/>
            <w:vAlign w:val="center"/>
          </w:tcPr>
          <w:p w14:paraId="668E6B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0E10D8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66F6E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35E05C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2B69AE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4B989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D2C87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74AE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69F59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A7F839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auto" w:sz="4" w:space="0"/>
              <w:bottom w:val="single" w:color="auto" w:sz="4" w:space="0"/>
              <w:right w:val="single" w:color="000000" w:sz="4" w:space="0"/>
            </w:tcBorders>
            <w:noWrap w:val="0"/>
            <w:vAlign w:val="center"/>
          </w:tcPr>
          <w:p w14:paraId="272DCA7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70BCB7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604057C0">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数量指标</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2F0A22EC">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发放（缴纳）覆盖率</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3DEF1B0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7698C98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5B875F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14:paraId="665A301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r>
      <w:tr w14:paraId="2E95F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41A46D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000000" w:sz="4" w:space="0"/>
            </w:tcBorders>
            <w:noWrap w:val="0"/>
            <w:vAlign w:val="center"/>
          </w:tcPr>
          <w:p w14:paraId="074DC0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auto" w:sz="4" w:space="0"/>
              <w:left w:val="single" w:color="000000" w:sz="4" w:space="0"/>
              <w:bottom w:val="single" w:color="auto" w:sz="4" w:space="0"/>
              <w:right w:val="single" w:color="000000" w:sz="4" w:space="0"/>
            </w:tcBorders>
            <w:noWrap w:val="0"/>
            <w:vAlign w:val="center"/>
          </w:tcPr>
          <w:p w14:paraId="0B9CA22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auto" w:sz="4" w:space="0"/>
              <w:left w:val="single" w:color="000000" w:sz="4" w:space="0"/>
              <w:bottom w:val="single" w:color="auto" w:sz="4" w:space="0"/>
              <w:right w:val="single" w:color="000000" w:sz="4" w:space="0"/>
            </w:tcBorders>
            <w:noWrap w:val="0"/>
            <w:vAlign w:val="center"/>
          </w:tcPr>
          <w:p w14:paraId="11A2FE8A">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社会效益指标</w:t>
            </w:r>
          </w:p>
        </w:tc>
        <w:tc>
          <w:tcPr>
            <w:tcW w:w="1127" w:type="dxa"/>
            <w:tcBorders>
              <w:top w:val="single" w:color="auto" w:sz="4" w:space="0"/>
              <w:left w:val="single" w:color="000000" w:sz="4" w:space="0"/>
              <w:bottom w:val="single" w:color="auto" w:sz="4" w:space="0"/>
              <w:right w:val="single" w:color="000000" w:sz="4" w:space="0"/>
            </w:tcBorders>
            <w:noWrap w:val="0"/>
            <w:vAlign w:val="center"/>
          </w:tcPr>
          <w:p w14:paraId="15A5A779">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足额保障率</w:t>
            </w:r>
          </w:p>
        </w:tc>
        <w:tc>
          <w:tcPr>
            <w:tcW w:w="971" w:type="dxa"/>
            <w:tcBorders>
              <w:top w:val="single" w:color="auto" w:sz="4" w:space="0"/>
              <w:left w:val="single" w:color="000000" w:sz="4" w:space="0"/>
              <w:bottom w:val="single" w:color="auto" w:sz="4" w:space="0"/>
              <w:right w:val="single" w:color="000000" w:sz="4" w:space="0"/>
            </w:tcBorders>
            <w:noWrap w:val="0"/>
            <w:vAlign w:val="center"/>
          </w:tcPr>
          <w:p w14:paraId="271F49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auto" w:sz="4" w:space="0"/>
              <w:left w:val="single" w:color="000000" w:sz="4" w:space="0"/>
              <w:bottom w:val="single" w:color="auto" w:sz="4" w:space="0"/>
              <w:right w:val="single" w:color="000000" w:sz="4" w:space="0"/>
            </w:tcBorders>
            <w:noWrap w:val="0"/>
            <w:vAlign w:val="center"/>
          </w:tcPr>
          <w:p w14:paraId="3BF8EFA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auto" w:sz="4" w:space="0"/>
              <w:left w:val="single" w:color="000000" w:sz="4" w:space="0"/>
              <w:bottom w:val="single" w:color="auto" w:sz="4" w:space="0"/>
              <w:right w:val="single" w:color="000000" w:sz="4" w:space="0"/>
            </w:tcBorders>
            <w:noWrap w:val="0"/>
            <w:vAlign w:val="center"/>
          </w:tcPr>
          <w:p w14:paraId="6A80D3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c>
          <w:tcPr>
            <w:tcW w:w="1841" w:type="dxa"/>
            <w:tcBorders>
              <w:top w:val="single" w:color="auto" w:sz="4" w:space="0"/>
              <w:left w:val="single" w:color="000000" w:sz="4" w:space="0"/>
              <w:bottom w:val="single" w:color="auto" w:sz="4" w:space="0"/>
              <w:right w:val="single" w:color="auto" w:sz="4" w:space="0"/>
            </w:tcBorders>
            <w:noWrap w:val="0"/>
            <w:vAlign w:val="center"/>
          </w:tcPr>
          <w:p w14:paraId="6728348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r>
    </w:tbl>
    <w:p w14:paraId="15E7926D">
      <w:pPr>
        <w:rPr>
          <w:rFonts w:hint="eastAsia"/>
        </w:rPr>
      </w:pPr>
    </w:p>
    <w:p w14:paraId="3E924A13">
      <w:pPr>
        <w:rPr>
          <w:rFonts w:hint="eastAsia"/>
        </w:rPr>
      </w:pPr>
    </w:p>
    <w:p w14:paraId="5EB433E8">
      <w:pPr>
        <w:rPr>
          <w:rFonts w:hint="eastAsia"/>
        </w:rPr>
      </w:pPr>
    </w:p>
    <w:p w14:paraId="66AE0A4F">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6D4F2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6BA1ABA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5CE91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2D425A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CFD3D6A">
            <w:pPr>
              <w:pStyle w:val="37"/>
              <w:numPr>
                <w:ilvl w:val="0"/>
                <w:numId w:val="0"/>
              </w:numPr>
              <w:ind w:left="160" w:leftChars="0" w:firstLine="480" w:firstLineChars="20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2"/>
                <w:sz w:val="24"/>
                <w:szCs w:val="24"/>
                <w:u w:val="none"/>
                <w:lang w:val="en-US" w:eastAsia="zh-CN" w:bidi="ar-SA"/>
              </w:rPr>
              <w:t>202</w:t>
            </w:r>
            <w:r>
              <w:rPr>
                <w:rFonts w:hint="eastAsia" w:ascii="Times New Roman" w:hAnsi="Times New Roman" w:eastAsia="宋体" w:cs="Times New Roman"/>
                <w:i w:val="0"/>
                <w:color w:val="000000"/>
                <w:kern w:val="2"/>
                <w:sz w:val="24"/>
                <w:szCs w:val="24"/>
                <w:u w:val="none"/>
                <w:lang w:val="en-US" w:eastAsia="zh-CN" w:bidi="ar-SA"/>
              </w:rPr>
              <w:t>4</w:t>
            </w:r>
            <w:r>
              <w:rPr>
                <w:rFonts w:hint="default" w:ascii="Times New Roman" w:hAnsi="Times New Roman" w:eastAsia="宋体" w:cs="Times New Roman"/>
                <w:i w:val="0"/>
                <w:color w:val="000000"/>
                <w:kern w:val="2"/>
                <w:sz w:val="24"/>
                <w:szCs w:val="24"/>
                <w:u w:val="none"/>
                <w:lang w:val="en-US" w:eastAsia="zh-CN" w:bidi="ar-SA"/>
              </w:rPr>
              <w:t>年</w:t>
            </w:r>
            <w:r>
              <w:rPr>
                <w:rFonts w:hint="eastAsia" w:ascii="Times New Roman" w:hAnsi="Times New Roman" w:eastAsia="宋体" w:cs="Times New Roman"/>
                <w:i w:val="0"/>
                <w:color w:val="000000"/>
                <w:kern w:val="2"/>
                <w:sz w:val="24"/>
                <w:szCs w:val="24"/>
                <w:u w:val="none"/>
                <w:lang w:val="en-US" w:eastAsia="zh-CN" w:bidi="ar-SA"/>
              </w:rPr>
              <w:t>省级生态环境保护专项资金第四批水生态环境质量约束资金</w:t>
            </w:r>
          </w:p>
        </w:tc>
      </w:tr>
      <w:tr w14:paraId="65D61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7DE8C3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273B47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44B24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2455C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01D7B36">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410FF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4255F5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4E3579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5AC280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2920908">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42DD3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20A7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AB33BC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D44959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 xml:space="preserve">2024年省级生态环境保护专项资金（第四批）水、空气奖励金 </w:t>
            </w:r>
          </w:p>
        </w:tc>
      </w:tr>
      <w:tr w14:paraId="0F267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A1270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99D00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DA0CF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78C82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41DEE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77514D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5DA2C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233D1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3865B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7B7F73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5CE3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2E101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7EA42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F1C6B0E">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5EC2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853B6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97797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8000AB8">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6C661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C7CB0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49503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C466FF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eastAsia="zh-CN"/>
              </w:rPr>
              <w:t>2</w:t>
            </w:r>
            <w:r>
              <w:rPr>
                <w:rFonts w:hint="eastAsia" w:eastAsia="宋体" w:cs="Times New Roman"/>
                <w:i w:val="0"/>
                <w:color w:val="000000"/>
                <w:sz w:val="24"/>
                <w:szCs w:val="24"/>
                <w:u w:val="none"/>
                <w:lang w:val="en-US" w:eastAsia="zh-CN"/>
              </w:rPr>
              <w:t>024-2025</w:t>
            </w:r>
          </w:p>
        </w:tc>
      </w:tr>
      <w:tr w14:paraId="64865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D91EB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270078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9A8C24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9A41FA8">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30.00</w:t>
            </w:r>
          </w:p>
        </w:tc>
      </w:tr>
      <w:tr w14:paraId="687D6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5FBBC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55307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91A9BBC">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30.00</w:t>
            </w:r>
          </w:p>
        </w:tc>
      </w:tr>
      <w:tr w14:paraId="3846C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B1E72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2CD4C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4BF34B3">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5A82C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C56E01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E6B2A6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557FD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567C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271842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用于黑水县生态环境保护水方面的项目。</w:t>
            </w:r>
          </w:p>
        </w:tc>
      </w:tr>
      <w:tr w14:paraId="2578D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auto" w:sz="4" w:space="0"/>
            </w:tcBorders>
            <w:noWrap w:val="0"/>
            <w:vAlign w:val="center"/>
          </w:tcPr>
          <w:p w14:paraId="349B201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5E64A8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379BA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60C9AA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C2D59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DDECD2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5C2EB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EF62FF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AF2B1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7657A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auto" w:sz="4" w:space="0"/>
            </w:tcBorders>
            <w:noWrap w:val="0"/>
            <w:vAlign w:val="center"/>
          </w:tcPr>
          <w:p w14:paraId="01C3917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nil"/>
              <w:right w:val="single" w:color="000000" w:sz="4" w:space="0"/>
            </w:tcBorders>
            <w:noWrap w:val="0"/>
            <w:vAlign w:val="center"/>
          </w:tcPr>
          <w:p w14:paraId="0AFBBD6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tcBorders>
              <w:top w:val="single" w:color="000000" w:sz="4" w:space="0"/>
              <w:left w:val="single" w:color="000000" w:sz="4" w:space="0"/>
              <w:right w:val="single" w:color="000000" w:sz="4" w:space="0"/>
            </w:tcBorders>
            <w:noWrap w:val="0"/>
            <w:vAlign w:val="center"/>
          </w:tcPr>
          <w:p w14:paraId="1CA040E0">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22C2FF4">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项目个数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ADF8F00">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2FA38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29671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0B105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B9D83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r>
      <w:tr w14:paraId="5BA0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auto" w:sz="4" w:space="0"/>
            </w:tcBorders>
            <w:noWrap w:val="0"/>
            <w:vAlign w:val="center"/>
          </w:tcPr>
          <w:p w14:paraId="561AE93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nil"/>
              <w:left w:val="single" w:color="000000" w:sz="4" w:space="0"/>
              <w:bottom w:val="nil"/>
              <w:right w:val="single" w:color="000000" w:sz="4" w:space="0"/>
            </w:tcBorders>
            <w:noWrap w:val="0"/>
            <w:vAlign w:val="center"/>
          </w:tcPr>
          <w:p w14:paraId="308C03D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000000" w:sz="4" w:space="0"/>
              <w:left w:val="single" w:color="000000" w:sz="4" w:space="0"/>
              <w:right w:val="single" w:color="000000" w:sz="4" w:space="0"/>
            </w:tcBorders>
            <w:noWrap w:val="0"/>
            <w:vAlign w:val="center"/>
          </w:tcPr>
          <w:p w14:paraId="74400637">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B098757">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796AD78">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019B0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67729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E16BE4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C079C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246DB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auto" w:sz="4" w:space="0"/>
              <w:bottom w:val="single" w:color="auto" w:sz="4" w:space="0"/>
            </w:tcBorders>
            <w:noWrap w:val="0"/>
            <w:vAlign w:val="center"/>
          </w:tcPr>
          <w:p w14:paraId="315903A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nil"/>
              <w:left w:val="single" w:color="000000" w:sz="4" w:space="0"/>
              <w:bottom w:val="nil"/>
              <w:right w:val="single" w:color="000000" w:sz="4" w:space="0"/>
            </w:tcBorders>
            <w:noWrap w:val="0"/>
            <w:vAlign w:val="center"/>
          </w:tcPr>
          <w:p w14:paraId="424DA3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180E6F87">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5AFDCA0">
            <w:pPr>
              <w:keepNext w:val="0"/>
              <w:keepLines w:val="0"/>
              <w:pageBreakBefore w:val="0"/>
              <w:widowControl w:val="0"/>
              <w:kinsoku/>
              <w:wordWrap/>
              <w:overflowPunct/>
              <w:topLinePunct w:val="0"/>
              <w:autoSpaceDE/>
              <w:autoSpaceDN/>
              <w:bidi w:val="0"/>
              <w:adjustRightInd/>
              <w:snapToGrid/>
              <w:spacing w:line="360" w:lineRule="auto"/>
              <w:ind w:firstLine="215" w:firstLineChars="77"/>
              <w:jc w:val="both"/>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正常使用率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298943F">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3580A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7118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63C69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64E04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1136E1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tcBorders>
            <w:noWrap w:val="0"/>
            <w:vAlign w:val="center"/>
          </w:tcPr>
          <w:p w14:paraId="03827C0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nil"/>
              <w:left w:val="single" w:color="000000" w:sz="4" w:space="0"/>
              <w:bottom w:val="nil"/>
              <w:right w:val="single" w:color="000000" w:sz="4" w:space="0"/>
            </w:tcBorders>
            <w:noWrap w:val="0"/>
            <w:vAlign w:val="center"/>
          </w:tcPr>
          <w:p w14:paraId="17339F0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000000" w:sz="4" w:space="0"/>
              <w:bottom w:val="single" w:color="auto" w:sz="4" w:space="0"/>
              <w:right w:val="single" w:color="auto" w:sz="4" w:space="0"/>
            </w:tcBorders>
            <w:noWrap w:val="0"/>
            <w:vAlign w:val="center"/>
          </w:tcPr>
          <w:p w14:paraId="4EDA36B1">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时效指标</w:t>
            </w:r>
          </w:p>
        </w:tc>
        <w:tc>
          <w:tcPr>
            <w:tcW w:w="1312" w:type="dxa"/>
            <w:tcBorders>
              <w:top w:val="single" w:color="000000" w:sz="4" w:space="0"/>
              <w:left w:val="single" w:color="auto" w:sz="4" w:space="0"/>
              <w:bottom w:val="single" w:color="auto" w:sz="4" w:space="0"/>
              <w:right w:val="single" w:color="000000" w:sz="4" w:space="0"/>
            </w:tcBorders>
            <w:noWrap w:val="0"/>
            <w:vAlign w:val="center"/>
          </w:tcPr>
          <w:p w14:paraId="22AC6A10">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开工率</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2FF42D25">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0C382A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5084D0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53CD83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14:paraId="36E79F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02C71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auto" w:sz="4" w:space="0"/>
            </w:tcBorders>
            <w:noWrap w:val="0"/>
            <w:vAlign w:val="center"/>
          </w:tcPr>
          <w:p w14:paraId="5613A39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nil"/>
              <w:left w:val="single" w:color="000000" w:sz="4" w:space="0"/>
              <w:bottom w:val="nil"/>
              <w:right w:val="single" w:color="auto" w:sz="4" w:space="0"/>
            </w:tcBorders>
            <w:noWrap w:val="0"/>
            <w:vAlign w:val="center"/>
          </w:tcPr>
          <w:p w14:paraId="7700B6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right w:val="single" w:color="auto" w:sz="4" w:space="0"/>
            </w:tcBorders>
            <w:noWrap w:val="0"/>
            <w:vAlign w:val="center"/>
          </w:tcPr>
          <w:p w14:paraId="65EF684A">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时效指标</w:t>
            </w:r>
          </w:p>
        </w:tc>
        <w:tc>
          <w:tcPr>
            <w:tcW w:w="1312" w:type="dxa"/>
            <w:tcBorders>
              <w:top w:val="single" w:color="auto" w:sz="4" w:space="0"/>
              <w:left w:val="single" w:color="auto" w:sz="4" w:space="0"/>
              <w:bottom w:val="single" w:color="000000" w:sz="4" w:space="0"/>
              <w:right w:val="single" w:color="000000" w:sz="4" w:space="0"/>
            </w:tcBorders>
            <w:noWrap w:val="0"/>
            <w:vAlign w:val="center"/>
          </w:tcPr>
          <w:p w14:paraId="1FD1EA1C">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项目完成及时率</w:t>
            </w:r>
          </w:p>
        </w:tc>
        <w:tc>
          <w:tcPr>
            <w:tcW w:w="1127" w:type="dxa"/>
            <w:tcBorders>
              <w:top w:val="single" w:color="auto" w:sz="4" w:space="0"/>
              <w:left w:val="single" w:color="000000" w:sz="4" w:space="0"/>
              <w:bottom w:val="single" w:color="000000" w:sz="4" w:space="0"/>
              <w:right w:val="single" w:color="000000" w:sz="4" w:space="0"/>
            </w:tcBorders>
            <w:noWrap w:val="0"/>
            <w:vAlign w:val="center"/>
          </w:tcPr>
          <w:p w14:paraId="6343E824">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w:t>
            </w:r>
          </w:p>
        </w:tc>
        <w:tc>
          <w:tcPr>
            <w:tcW w:w="971" w:type="dxa"/>
            <w:tcBorders>
              <w:top w:val="single" w:color="auto" w:sz="4" w:space="0"/>
              <w:left w:val="single" w:color="000000" w:sz="4" w:space="0"/>
              <w:bottom w:val="single" w:color="000000" w:sz="4" w:space="0"/>
              <w:right w:val="single" w:color="000000" w:sz="4" w:space="0"/>
            </w:tcBorders>
            <w:noWrap w:val="0"/>
            <w:vAlign w:val="center"/>
          </w:tcPr>
          <w:p w14:paraId="56410E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auto" w:sz="4" w:space="0"/>
              <w:left w:val="single" w:color="000000" w:sz="4" w:space="0"/>
              <w:bottom w:val="single" w:color="000000" w:sz="4" w:space="0"/>
              <w:right w:val="single" w:color="000000" w:sz="4" w:space="0"/>
            </w:tcBorders>
            <w:noWrap w:val="0"/>
            <w:vAlign w:val="center"/>
          </w:tcPr>
          <w:p w14:paraId="7747E01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auto" w:sz="4" w:space="0"/>
              <w:left w:val="single" w:color="000000" w:sz="4" w:space="0"/>
              <w:bottom w:val="single" w:color="000000" w:sz="4" w:space="0"/>
              <w:right w:val="single" w:color="000000" w:sz="4" w:space="0"/>
            </w:tcBorders>
            <w:noWrap w:val="0"/>
            <w:vAlign w:val="center"/>
          </w:tcPr>
          <w:p w14:paraId="4E624F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000000" w:sz="4" w:space="0"/>
              <w:bottom w:val="single" w:color="000000" w:sz="4" w:space="0"/>
              <w:right w:val="single" w:color="auto" w:sz="4" w:space="0"/>
            </w:tcBorders>
            <w:noWrap w:val="0"/>
            <w:vAlign w:val="center"/>
          </w:tcPr>
          <w:p w14:paraId="259B8B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5243B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auto" w:sz="4" w:space="0"/>
            </w:tcBorders>
            <w:noWrap w:val="0"/>
            <w:vAlign w:val="center"/>
          </w:tcPr>
          <w:p w14:paraId="6F9E085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nil"/>
              <w:left w:val="single" w:color="000000" w:sz="4" w:space="0"/>
              <w:bottom w:val="nil"/>
              <w:right w:val="single" w:color="auto" w:sz="4" w:space="0"/>
            </w:tcBorders>
            <w:noWrap w:val="0"/>
            <w:vAlign w:val="center"/>
          </w:tcPr>
          <w:p w14:paraId="21E380B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left w:val="single" w:color="auto" w:sz="4" w:space="0"/>
              <w:right w:val="single" w:color="auto" w:sz="4" w:space="0"/>
            </w:tcBorders>
            <w:noWrap w:val="0"/>
            <w:vAlign w:val="center"/>
          </w:tcPr>
          <w:p w14:paraId="075337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2417F8F1">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农村基础设施环境提升情况</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CF95DB8">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0FEC6A2">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持续改善</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C25EA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8EA79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auto" w:sz="4" w:space="0"/>
            </w:tcBorders>
            <w:noWrap w:val="0"/>
            <w:vAlign w:val="center"/>
          </w:tcPr>
          <w:p w14:paraId="13962713">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持续改善</w:t>
            </w:r>
          </w:p>
        </w:tc>
      </w:tr>
      <w:tr w14:paraId="3AAA8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left w:val="single" w:color="auto" w:sz="4" w:space="0"/>
            </w:tcBorders>
            <w:noWrap w:val="0"/>
            <w:vAlign w:val="center"/>
          </w:tcPr>
          <w:p w14:paraId="6154C30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nil"/>
              <w:left w:val="single" w:color="000000" w:sz="4" w:space="0"/>
              <w:bottom w:val="nil"/>
              <w:right w:val="single" w:color="auto" w:sz="4" w:space="0"/>
            </w:tcBorders>
            <w:noWrap w:val="0"/>
            <w:vAlign w:val="center"/>
          </w:tcPr>
          <w:p w14:paraId="71BC2C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auto" w:sz="4" w:space="0"/>
              <w:right w:val="single" w:color="auto" w:sz="4" w:space="0"/>
            </w:tcBorders>
            <w:noWrap w:val="0"/>
            <w:vAlign w:val="center"/>
          </w:tcPr>
          <w:p w14:paraId="2571721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073F3414">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改善农村地区生态环境</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4904D8F">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D7245E3">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持续改善</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AA4CF1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A584FC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auto" w:sz="4" w:space="0"/>
            </w:tcBorders>
            <w:noWrap w:val="0"/>
            <w:vAlign w:val="center"/>
          </w:tcPr>
          <w:p w14:paraId="68B5C4F3">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持续改善</w:t>
            </w:r>
          </w:p>
        </w:tc>
      </w:tr>
      <w:tr w14:paraId="4F40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left w:val="single" w:color="auto" w:sz="4" w:space="0"/>
              <w:bottom w:val="single" w:color="auto" w:sz="4" w:space="0"/>
            </w:tcBorders>
            <w:noWrap w:val="0"/>
            <w:vAlign w:val="center"/>
          </w:tcPr>
          <w:p w14:paraId="7B469C7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nil"/>
              <w:left w:val="single" w:color="000000" w:sz="4" w:space="0"/>
              <w:bottom w:val="nil"/>
              <w:right w:val="single" w:color="auto" w:sz="4" w:space="0"/>
            </w:tcBorders>
            <w:noWrap w:val="0"/>
            <w:vAlign w:val="center"/>
          </w:tcPr>
          <w:p w14:paraId="66054F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auto" w:sz="4" w:space="0"/>
              <w:bottom w:val="single" w:color="auto" w:sz="4" w:space="0"/>
              <w:right w:val="single" w:color="auto" w:sz="4" w:space="0"/>
            </w:tcBorders>
            <w:noWrap w:val="0"/>
            <w:vAlign w:val="center"/>
          </w:tcPr>
          <w:p w14:paraId="54F4C5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可持续影响</w:t>
            </w:r>
          </w:p>
        </w:tc>
        <w:tc>
          <w:tcPr>
            <w:tcW w:w="1312" w:type="dxa"/>
            <w:tcBorders>
              <w:top w:val="single" w:color="000000" w:sz="4" w:space="0"/>
              <w:left w:val="single" w:color="auto" w:sz="4" w:space="0"/>
              <w:bottom w:val="single" w:color="auto" w:sz="4" w:space="0"/>
              <w:right w:val="single" w:color="000000" w:sz="4" w:space="0"/>
            </w:tcBorders>
            <w:noWrap w:val="0"/>
            <w:vAlign w:val="center"/>
          </w:tcPr>
          <w:p w14:paraId="0683B05F">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工程设计使用年限</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74EC711E">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1EAF542F">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30</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5E6057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年</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53A850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auto" w:sz="4" w:space="0"/>
              <w:right w:val="single" w:color="auto" w:sz="4" w:space="0"/>
            </w:tcBorders>
            <w:noWrap w:val="0"/>
            <w:vAlign w:val="center"/>
          </w:tcPr>
          <w:p w14:paraId="7B3254AE">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30</w:t>
            </w:r>
          </w:p>
        </w:tc>
      </w:tr>
      <w:tr w14:paraId="08985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auto" w:sz="4" w:space="0"/>
              <w:left w:val="single" w:color="auto" w:sz="4" w:space="0"/>
              <w:bottom w:val="single" w:color="auto" w:sz="4" w:space="0"/>
              <w:right w:val="single" w:color="auto" w:sz="4" w:space="0"/>
            </w:tcBorders>
            <w:noWrap w:val="0"/>
            <w:vAlign w:val="top"/>
          </w:tcPr>
          <w:p w14:paraId="21D2ACE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nil"/>
              <w:left w:val="single" w:color="auto" w:sz="4" w:space="0"/>
              <w:bottom w:val="single" w:color="auto" w:sz="4" w:space="0"/>
              <w:right w:val="single" w:color="auto" w:sz="4" w:space="0"/>
            </w:tcBorders>
            <w:noWrap w:val="0"/>
            <w:vAlign w:val="center"/>
          </w:tcPr>
          <w:p w14:paraId="6B10BD5D">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满意度指标</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A5615EB">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服务对象满意度</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58E94D8">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收益贫困人口满意度</w:t>
            </w:r>
          </w:p>
        </w:tc>
        <w:tc>
          <w:tcPr>
            <w:tcW w:w="0" w:type="auto"/>
            <w:tcBorders>
              <w:top w:val="single" w:color="auto" w:sz="4" w:space="0"/>
              <w:left w:val="single" w:color="auto" w:sz="4" w:space="0"/>
              <w:bottom w:val="single" w:color="auto" w:sz="4" w:space="0"/>
              <w:right w:val="single" w:color="auto" w:sz="4" w:space="0"/>
            </w:tcBorders>
            <w:noWrap w:val="0"/>
            <w:vAlign w:val="top"/>
          </w:tcPr>
          <w:p w14:paraId="40A3E65B">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A79A97F">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95</w:t>
            </w:r>
          </w:p>
        </w:tc>
        <w:tc>
          <w:tcPr>
            <w:tcW w:w="0" w:type="auto"/>
            <w:tcBorders>
              <w:top w:val="single" w:color="auto" w:sz="4" w:space="0"/>
              <w:left w:val="single" w:color="auto" w:sz="4" w:space="0"/>
              <w:bottom w:val="single" w:color="auto" w:sz="4" w:space="0"/>
              <w:right w:val="single" w:color="auto" w:sz="4" w:space="0"/>
            </w:tcBorders>
            <w:noWrap w:val="0"/>
            <w:vAlign w:val="top"/>
          </w:tcPr>
          <w:p w14:paraId="2573D1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5D48E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4AED1A36">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95</w:t>
            </w:r>
          </w:p>
        </w:tc>
      </w:tr>
      <w:tr w14:paraId="06A44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auto" w:sz="4" w:space="0"/>
              <w:left w:val="single" w:color="auto" w:sz="4" w:space="0"/>
              <w:bottom w:val="single" w:color="auto" w:sz="4" w:space="0"/>
              <w:right w:val="single" w:color="auto" w:sz="4" w:space="0"/>
            </w:tcBorders>
            <w:noWrap w:val="0"/>
            <w:vAlign w:val="top"/>
          </w:tcPr>
          <w:p w14:paraId="76A6CD6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4278A108">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成本指标</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1950CEE">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经济成本指标</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2B39111">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资金奖励</w:t>
            </w:r>
          </w:p>
        </w:tc>
        <w:tc>
          <w:tcPr>
            <w:tcW w:w="0" w:type="auto"/>
            <w:tcBorders>
              <w:top w:val="single" w:color="auto" w:sz="4" w:space="0"/>
              <w:left w:val="single" w:color="auto" w:sz="4" w:space="0"/>
              <w:bottom w:val="single" w:color="auto" w:sz="4" w:space="0"/>
              <w:right w:val="single" w:color="auto" w:sz="4" w:space="0"/>
            </w:tcBorders>
            <w:noWrap w:val="0"/>
            <w:vAlign w:val="top"/>
          </w:tcPr>
          <w:p w14:paraId="53F7FC7E">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AFE3442">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40</w:t>
            </w:r>
          </w:p>
        </w:tc>
        <w:tc>
          <w:tcPr>
            <w:tcW w:w="0" w:type="auto"/>
            <w:tcBorders>
              <w:top w:val="single" w:color="auto" w:sz="4" w:space="0"/>
              <w:left w:val="single" w:color="auto" w:sz="4" w:space="0"/>
              <w:bottom w:val="single" w:color="auto" w:sz="4" w:space="0"/>
              <w:right w:val="single" w:color="auto" w:sz="4" w:space="0"/>
            </w:tcBorders>
            <w:noWrap w:val="0"/>
            <w:vAlign w:val="top"/>
          </w:tcPr>
          <w:p w14:paraId="050694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万元</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57D790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052C4D44">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20.8722</w:t>
            </w:r>
          </w:p>
        </w:tc>
      </w:tr>
    </w:tbl>
    <w:p w14:paraId="6BA95C13">
      <w:pPr>
        <w:rPr>
          <w:rFonts w:hint="eastAsia"/>
        </w:rPr>
      </w:pPr>
    </w:p>
    <w:p w14:paraId="7F3202FE">
      <w:pPr>
        <w:rPr>
          <w:rFonts w:hint="eastAsia"/>
        </w:rPr>
      </w:pPr>
    </w:p>
    <w:p w14:paraId="001F24B0">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7B197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6668EDF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373DB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D4F38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B2C6312">
            <w:pPr>
              <w:pStyle w:val="37"/>
              <w:numPr>
                <w:ilvl w:val="0"/>
                <w:numId w:val="0"/>
              </w:numP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w:t>
            </w:r>
            <w:r>
              <w:rPr>
                <w:rFonts w:hint="eastAsia" w:ascii="Times New Roman" w:hAnsi="Times New Roman" w:eastAsia="宋体" w:cs="Times New Roman"/>
                <w:i w:val="0"/>
                <w:color w:val="000000"/>
                <w:kern w:val="0"/>
                <w:sz w:val="24"/>
                <w:szCs w:val="24"/>
                <w:u w:val="none"/>
                <w:lang w:val="en-US" w:eastAsia="zh-CN" w:bidi="ar"/>
              </w:rPr>
              <w:t>2025年黑水县农村生活污水治理“千村示范工程”</w:t>
            </w:r>
          </w:p>
        </w:tc>
      </w:tr>
      <w:tr w14:paraId="7D137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52D53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A7CAA0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3ACA9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D8D51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B5C97F3">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8183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15AB0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38C47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102523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848465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432D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29A74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B2F43B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DE508E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2025年中央和省级生态环境金阿州财资环【2025】8号</w:t>
            </w:r>
          </w:p>
        </w:tc>
      </w:tr>
      <w:tr w14:paraId="68224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76BB7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D226D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87504D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24122E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B33497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4E318E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11C74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616C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C2947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B13FE27">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77E33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E03F9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CD8F3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DD4DD80">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1509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9F2D7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CCDC5D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ADDD24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4C54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F493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A494A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8C81D0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2745D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E59E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72A5EA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72F43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1C4ED3A">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kern w:val="0"/>
                <w:sz w:val="24"/>
                <w:szCs w:val="24"/>
                <w:u w:val="none"/>
                <w:lang w:val="en-US" w:eastAsia="zh-CN" w:bidi="ar"/>
              </w:rPr>
              <w:t>201.215</w:t>
            </w:r>
          </w:p>
        </w:tc>
      </w:tr>
      <w:tr w14:paraId="14A48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03BF5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C66778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0B47790">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kern w:val="0"/>
                <w:sz w:val="24"/>
                <w:szCs w:val="24"/>
                <w:u w:val="none"/>
                <w:lang w:val="en-US" w:eastAsia="zh-CN" w:bidi="ar"/>
              </w:rPr>
              <w:t>201.215</w:t>
            </w:r>
          </w:p>
        </w:tc>
      </w:tr>
      <w:tr w14:paraId="468A8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9D723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9529F1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D226F3F">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2AFA0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B5A34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23F714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29651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04F55F3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4E4999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项目实施区域农村生活污水治理率可明显提高，村庄内污水横流乱排乱放情况基本消除，农村人居生活环境明显改善，运维护管理机制基本建立，行政村有效治理率达到70%。</w:t>
            </w:r>
          </w:p>
        </w:tc>
      </w:tr>
      <w:tr w14:paraId="35BA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0E2BB4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auto" w:sz="4" w:space="0"/>
              <w:bottom w:val="single" w:color="auto" w:sz="4" w:space="0"/>
              <w:right w:val="single" w:color="000000" w:sz="4" w:space="0"/>
            </w:tcBorders>
            <w:noWrap w:val="0"/>
            <w:vAlign w:val="center"/>
          </w:tcPr>
          <w:p w14:paraId="11C638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5688A7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5F5AAA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390D3C0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593AB85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586584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auto" w:sz="4" w:space="0"/>
              <w:right w:val="single" w:color="000000" w:sz="4" w:space="0"/>
            </w:tcBorders>
            <w:noWrap w:val="0"/>
            <w:vAlign w:val="center"/>
          </w:tcPr>
          <w:p w14:paraId="6B9653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auto" w:sz="4" w:space="0"/>
              <w:right w:val="single" w:color="000000" w:sz="4" w:space="0"/>
            </w:tcBorders>
            <w:noWrap w:val="0"/>
            <w:vAlign w:val="center"/>
          </w:tcPr>
          <w:p w14:paraId="67A84F0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53280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B15ED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0E83D6E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auto" w:sz="4" w:space="0"/>
              <w:left w:val="single" w:color="auto" w:sz="4" w:space="0"/>
              <w:bottom w:val="single" w:color="auto" w:sz="4" w:space="0"/>
              <w:right w:val="single" w:color="auto" w:sz="4" w:space="0"/>
            </w:tcBorders>
            <w:noWrap w:val="0"/>
            <w:vAlign w:val="center"/>
          </w:tcPr>
          <w:p w14:paraId="5F4329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39E149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治理行政村数量</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0FE47E3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5EA57DD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46E09D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5404D45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76243F0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r>
      <w:tr w14:paraId="652BC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6B3B5A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439CDE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0CF047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196439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治理户数</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5AE9685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5E0B1A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837</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37CFF27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户</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7CA055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3D6870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837</w:t>
            </w:r>
          </w:p>
        </w:tc>
      </w:tr>
      <w:tr w14:paraId="3D83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40BC03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02EC308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54CB18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498AFA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治理人口数</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5FDA24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4F1B8E2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2561</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EA3CA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人</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203DC7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2528FF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2561</w:t>
            </w:r>
          </w:p>
        </w:tc>
      </w:tr>
      <w:tr w14:paraId="36537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D451C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191491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4A265BD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2D06C7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1m³储存池</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16CD810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4DE89C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168</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60DD9AE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5800B0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76CAD3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168</w:t>
            </w:r>
          </w:p>
        </w:tc>
      </w:tr>
      <w:tr w14:paraId="519FE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0BA4DBC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7152D5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47544A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BAD39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2m³化粪池</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76DE9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040702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196</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4E7E17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071F2E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45A102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196</w:t>
            </w:r>
          </w:p>
        </w:tc>
      </w:tr>
      <w:tr w14:paraId="7C1E3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68029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7B3FA7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7DA369E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757377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入户支管</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7C18B2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5BB11B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2946</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37DC9C3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米</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4252FDB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33A346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2946</w:t>
            </w:r>
          </w:p>
        </w:tc>
      </w:tr>
      <w:tr w14:paraId="21D95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F196A2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7CA097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40AC4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3A864D4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建设周期</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71A8CA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548B0E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EA3E5A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月</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013C5E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61EBF74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r>
      <w:tr w14:paraId="23352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DEBED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1716BBC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79AC2F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经济效益指标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2832FE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由污水导致的经济损失</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87130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29F5E4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显著减少</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21F1F0D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687D388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1F01F71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3A76B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8"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8CE13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1004E7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restart"/>
            <w:tcBorders>
              <w:top w:val="single" w:color="auto" w:sz="4" w:space="0"/>
              <w:left w:val="single" w:color="auto" w:sz="4" w:space="0"/>
              <w:right w:val="single" w:color="auto" w:sz="4" w:space="0"/>
            </w:tcBorders>
            <w:noWrap w:val="0"/>
            <w:vAlign w:val="center"/>
          </w:tcPr>
          <w:p w14:paraId="7D1275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DDAB1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居民自觉参与生态环境保护意识</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7A80B9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647E413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提高</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034909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1EBE69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1B01DF5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7848F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0B26308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5D3099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auto" w:sz="4" w:space="0"/>
              <w:bottom w:val="single" w:color="auto" w:sz="4" w:space="0"/>
              <w:right w:val="single" w:color="auto" w:sz="4" w:space="0"/>
            </w:tcBorders>
            <w:noWrap w:val="0"/>
            <w:vAlign w:val="center"/>
          </w:tcPr>
          <w:p w14:paraId="714B77E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59CC4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改善人居环境</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71C13A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0D51CF5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563F6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0AE80E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70965D4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23776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744FB9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377EF68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restart"/>
            <w:tcBorders>
              <w:top w:val="single" w:color="auto" w:sz="4" w:space="0"/>
              <w:left w:val="single" w:color="auto" w:sz="4" w:space="0"/>
              <w:right w:val="single" w:color="auto" w:sz="4" w:space="0"/>
            </w:tcBorders>
            <w:noWrap w:val="0"/>
            <w:vAlign w:val="center"/>
          </w:tcPr>
          <w:p w14:paraId="575822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2CC3A5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COD削减量</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48417B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19ED6A6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24.28t/a</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948446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5D1C194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01EEF62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49FBF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05612E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0BA26E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auto" w:sz="4" w:space="0"/>
              <w:right w:val="single" w:color="auto" w:sz="4" w:space="0"/>
            </w:tcBorders>
            <w:noWrap w:val="0"/>
            <w:vAlign w:val="center"/>
          </w:tcPr>
          <w:p w14:paraId="5529AD3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736A55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氨氮削减量</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6A9D53F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519874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0.71t/a</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3C2CB39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5ECE20A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28CDB8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78011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424F1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393887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auto" w:sz="4" w:space="0"/>
              <w:right w:val="single" w:color="auto" w:sz="4" w:space="0"/>
            </w:tcBorders>
            <w:noWrap w:val="0"/>
            <w:vAlign w:val="center"/>
          </w:tcPr>
          <w:p w14:paraId="3A7380C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3350CB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总氮削减量</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265E6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2FAA5D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1.08t/a</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7EDA409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22BEAED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2D1943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797BD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3B665A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3E5C9A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auto" w:sz="4" w:space="0"/>
              <w:bottom w:val="single" w:color="auto" w:sz="4" w:space="0"/>
              <w:right w:val="single" w:color="auto" w:sz="4" w:space="0"/>
            </w:tcBorders>
            <w:noWrap w:val="0"/>
            <w:vAlign w:val="center"/>
          </w:tcPr>
          <w:p w14:paraId="2B70B2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74F579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总磷削减量</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154EAA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65CF36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0.12t/a</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26A625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auto" w:sz="4" w:space="0"/>
              <w:left w:val="single" w:color="auto" w:sz="4" w:space="0"/>
              <w:bottom w:val="single" w:color="auto" w:sz="4" w:space="0"/>
              <w:right w:val="single" w:color="auto" w:sz="4" w:space="0"/>
            </w:tcBorders>
            <w:noWrap w:val="0"/>
            <w:vAlign w:val="center"/>
          </w:tcPr>
          <w:p w14:paraId="506BE73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1E9FA6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757A4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27B60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1CA0A8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1AEDA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可持续影响指标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3247A4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长期运行管理</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7B1093F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20</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0FF45A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0D3F4E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年</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7CB9C9E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57001A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r>
      <w:tr w14:paraId="44389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F64B53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4F8DA5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6E499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w:t>
            </w:r>
            <w:r>
              <w:rPr>
                <w:rFonts w:hint="eastAsia" w:ascii="Times New Roman" w:hAnsi="Times New Roman" w:eastAsia="宋体" w:cs="Times New Roman"/>
                <w:i w:val="0"/>
                <w:color w:val="000000"/>
                <w:kern w:val="0"/>
                <w:sz w:val="24"/>
                <w:szCs w:val="24"/>
                <w:u w:val="none"/>
                <w:lang w:val="en-US" w:eastAsia="zh-CN" w:bidi="ar"/>
              </w:rPr>
              <w:br w:type="textWrapping"/>
            </w:r>
            <w:r>
              <w:rPr>
                <w:rFonts w:hint="eastAsia"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6C90D28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群众满意度</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2BEFBF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29D3F0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60B305C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25FF0D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7A0410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r>
      <w:tr w14:paraId="5D898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9D82E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52A595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36D564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经济成本指标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91BE6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项目总投资</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2E5CB9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25C7240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257</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11C679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万元</w:t>
            </w:r>
          </w:p>
        </w:tc>
        <w:tc>
          <w:tcPr>
            <w:tcW w:w="938" w:type="dxa"/>
            <w:tcBorders>
              <w:top w:val="single" w:color="auto" w:sz="4" w:space="0"/>
              <w:left w:val="single" w:color="auto" w:sz="4" w:space="0"/>
              <w:bottom w:val="single" w:color="auto" w:sz="4" w:space="0"/>
              <w:right w:val="single" w:color="auto" w:sz="4" w:space="0"/>
            </w:tcBorders>
            <w:noWrap w:val="0"/>
            <w:vAlign w:val="center"/>
          </w:tcPr>
          <w:p w14:paraId="782713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auto" w:sz="4" w:space="0"/>
              <w:left w:val="single" w:color="auto" w:sz="4" w:space="0"/>
              <w:bottom w:val="single" w:color="auto" w:sz="4" w:space="0"/>
              <w:right w:val="single" w:color="auto" w:sz="4" w:space="0"/>
            </w:tcBorders>
            <w:noWrap w:val="0"/>
            <w:vAlign w:val="center"/>
          </w:tcPr>
          <w:p w14:paraId="4AD8F8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201.215</w:t>
            </w:r>
          </w:p>
        </w:tc>
      </w:tr>
    </w:tbl>
    <w:p w14:paraId="3C0DFE7A">
      <w:pPr>
        <w:rPr>
          <w:rFonts w:hint="eastAsia"/>
        </w:rPr>
      </w:pPr>
    </w:p>
    <w:p w14:paraId="59257BF2">
      <w:pPr>
        <w:rPr>
          <w:rFonts w:hint="eastAsia"/>
        </w:rPr>
      </w:pPr>
    </w:p>
    <w:p w14:paraId="3A2D51E4">
      <w:pPr>
        <w:rPr>
          <w:rFonts w:hint="eastAsia"/>
        </w:rPr>
      </w:pPr>
    </w:p>
    <w:p w14:paraId="31430A8F">
      <w:pPr>
        <w:rPr>
          <w:rFonts w:hint="eastAsia"/>
        </w:rPr>
      </w:pPr>
    </w:p>
    <w:p w14:paraId="68F16684">
      <w:pPr>
        <w:rPr>
          <w:rFonts w:hint="eastAsia"/>
        </w:rPr>
      </w:pPr>
    </w:p>
    <w:p w14:paraId="5C50282D">
      <w:pPr>
        <w:rPr>
          <w:rFonts w:hint="eastAsia"/>
        </w:rPr>
      </w:pPr>
    </w:p>
    <w:p w14:paraId="269B02BB">
      <w:pPr>
        <w:rPr>
          <w:rFonts w:hint="eastAsia"/>
        </w:rPr>
      </w:pPr>
    </w:p>
    <w:p w14:paraId="25594E13">
      <w:pPr>
        <w:rPr>
          <w:rFonts w:hint="eastAsia"/>
        </w:rPr>
      </w:pPr>
    </w:p>
    <w:p w14:paraId="3D554802">
      <w:pPr>
        <w:rPr>
          <w:rFonts w:hint="eastAsia"/>
        </w:rPr>
      </w:pPr>
    </w:p>
    <w:p w14:paraId="173BE9FC">
      <w:pPr>
        <w:rPr>
          <w:rFonts w:hint="eastAsia"/>
        </w:rPr>
      </w:pPr>
    </w:p>
    <w:p w14:paraId="7A33593B">
      <w:pPr>
        <w:rPr>
          <w:rFonts w:hint="eastAsia"/>
        </w:rPr>
      </w:pPr>
    </w:p>
    <w:p w14:paraId="60102D40">
      <w:pPr>
        <w:rPr>
          <w:rFonts w:hint="eastAsia"/>
        </w:rPr>
      </w:pPr>
    </w:p>
    <w:p w14:paraId="7459C008">
      <w:pPr>
        <w:rPr>
          <w:rFonts w:hint="eastAsia"/>
        </w:rPr>
      </w:pPr>
    </w:p>
    <w:p w14:paraId="5301D479">
      <w:pPr>
        <w:rPr>
          <w:rFonts w:hint="eastAsia"/>
        </w:rPr>
      </w:pPr>
    </w:p>
    <w:p w14:paraId="0C59D473">
      <w:pPr>
        <w:rPr>
          <w:rFonts w:hint="eastAsia"/>
        </w:rPr>
      </w:pPr>
    </w:p>
    <w:p w14:paraId="0767C1E3">
      <w:pPr>
        <w:rPr>
          <w:rFonts w:hint="eastAsia"/>
        </w:rPr>
      </w:pPr>
    </w:p>
    <w:p w14:paraId="33707EFA">
      <w:pPr>
        <w:rPr>
          <w:rFonts w:hint="eastAsia"/>
        </w:rPr>
      </w:pPr>
    </w:p>
    <w:p w14:paraId="083BE729">
      <w:pPr>
        <w:rPr>
          <w:rFonts w:hint="eastAsia"/>
        </w:rPr>
      </w:pPr>
    </w:p>
    <w:p w14:paraId="4933C402">
      <w:pPr>
        <w:rPr>
          <w:rFonts w:hint="eastAsia"/>
        </w:rPr>
      </w:pPr>
    </w:p>
    <w:p w14:paraId="3F655C99">
      <w:pPr>
        <w:rPr>
          <w:rFonts w:hint="eastAsia"/>
        </w:rPr>
      </w:pPr>
    </w:p>
    <w:p w14:paraId="7EDE6A7D">
      <w:pPr>
        <w:rPr>
          <w:rFonts w:hint="eastAsia"/>
        </w:rPr>
      </w:pPr>
    </w:p>
    <w:p w14:paraId="38510D3F">
      <w:pPr>
        <w:rPr>
          <w:rFonts w:hint="eastAsia"/>
        </w:rPr>
      </w:pPr>
    </w:p>
    <w:p w14:paraId="1E6683ED">
      <w:pPr>
        <w:rPr>
          <w:rFonts w:hint="eastAsia"/>
        </w:rPr>
      </w:pPr>
    </w:p>
    <w:p w14:paraId="305157C6">
      <w:pPr>
        <w:rPr>
          <w:rFonts w:hint="eastAsia"/>
        </w:rPr>
      </w:pPr>
    </w:p>
    <w:p w14:paraId="478A3107">
      <w:pPr>
        <w:rPr>
          <w:rFonts w:hint="eastAsia"/>
        </w:rPr>
      </w:pPr>
    </w:p>
    <w:p w14:paraId="2298724C">
      <w:pPr>
        <w:rPr>
          <w:rFonts w:hint="eastAsia"/>
        </w:rPr>
      </w:pPr>
    </w:p>
    <w:p w14:paraId="7C404DA8">
      <w:pPr>
        <w:rPr>
          <w:rFonts w:hint="eastAsia"/>
        </w:rPr>
      </w:pPr>
    </w:p>
    <w:p w14:paraId="42A6E695">
      <w:pPr>
        <w:rPr>
          <w:rFonts w:hint="eastAsia"/>
        </w:rPr>
      </w:pPr>
    </w:p>
    <w:p w14:paraId="0B598F9A">
      <w:pPr>
        <w:rPr>
          <w:rFonts w:hint="eastAsia"/>
        </w:rPr>
      </w:pPr>
    </w:p>
    <w:p w14:paraId="34E6D537">
      <w:pPr>
        <w:rPr>
          <w:rFonts w:hint="eastAsia"/>
        </w:rPr>
      </w:pPr>
    </w:p>
    <w:p w14:paraId="40692838">
      <w:pPr>
        <w:rPr>
          <w:rFonts w:hint="eastAsia"/>
        </w:rPr>
      </w:pPr>
    </w:p>
    <w:p w14:paraId="6506E902">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2BFD5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6F01E1D1">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3FC3D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3B958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CB514E9">
            <w:pPr>
              <w:pStyle w:val="37"/>
              <w:numPr>
                <w:ilvl w:val="0"/>
                <w:numId w:val="0"/>
              </w:numPr>
              <w:ind w:left="160" w:leftChars="0" w:firstLine="480" w:firstLineChars="200"/>
              <w:rPr>
                <w:rFonts w:hint="default" w:ascii="Times New Roman" w:hAnsi="Times New Roman" w:eastAsia="宋体" w:cs="Times New Roman"/>
                <w:i w:val="0"/>
                <w:color w:val="000000"/>
                <w:kern w:val="2"/>
                <w:sz w:val="24"/>
                <w:szCs w:val="24"/>
                <w:u w:val="none"/>
                <w:lang w:val="en-US" w:eastAsia="zh-CN" w:bidi="ar-SA"/>
              </w:rPr>
            </w:pPr>
            <w:r>
              <w:rPr>
                <w:rFonts w:hint="default" w:ascii="Times New Roman" w:hAnsi="Times New Roman" w:eastAsia="宋体" w:cs="Times New Roman"/>
                <w:i w:val="0"/>
                <w:color w:val="000000"/>
                <w:kern w:val="2"/>
                <w:sz w:val="24"/>
                <w:szCs w:val="24"/>
                <w:u w:val="none"/>
                <w:lang w:val="en-US" w:eastAsia="zh-CN" w:bidi="ar-SA"/>
              </w:rPr>
              <w:t>202</w:t>
            </w:r>
            <w:r>
              <w:rPr>
                <w:rFonts w:hint="eastAsia" w:ascii="Times New Roman" w:hAnsi="Times New Roman" w:eastAsia="宋体" w:cs="Times New Roman"/>
                <w:i w:val="0"/>
                <w:color w:val="000000"/>
                <w:kern w:val="2"/>
                <w:sz w:val="24"/>
                <w:szCs w:val="24"/>
                <w:u w:val="none"/>
                <w:lang w:val="en-US" w:eastAsia="zh-CN" w:bidi="ar-SA"/>
              </w:rPr>
              <w:t>5</w:t>
            </w:r>
            <w:r>
              <w:rPr>
                <w:rFonts w:hint="default" w:ascii="Times New Roman" w:hAnsi="Times New Roman" w:eastAsia="宋体" w:cs="Times New Roman"/>
                <w:i w:val="0"/>
                <w:color w:val="000000"/>
                <w:kern w:val="2"/>
                <w:sz w:val="24"/>
                <w:szCs w:val="24"/>
                <w:u w:val="none"/>
                <w:lang w:val="en-US" w:eastAsia="zh-CN" w:bidi="ar-SA"/>
              </w:rPr>
              <w:t>年生态环境监测服务采购项目</w:t>
            </w:r>
          </w:p>
          <w:p w14:paraId="41A880D3">
            <w:pPr>
              <w:pStyle w:val="37"/>
              <w:numPr>
                <w:ilvl w:val="0"/>
                <w:numId w:val="0"/>
              </w:numPr>
              <w:rPr>
                <w:rFonts w:hint="default" w:ascii="Times New Roman" w:hAnsi="Times New Roman" w:eastAsia="宋体" w:cs="Times New Roman"/>
                <w:i w:val="0"/>
                <w:color w:val="000000"/>
                <w:sz w:val="24"/>
                <w:szCs w:val="24"/>
                <w:u w:val="none"/>
              </w:rPr>
            </w:pPr>
          </w:p>
        </w:tc>
      </w:tr>
      <w:tr w14:paraId="504C6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A707B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65BF7E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581A0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2BDD3F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713169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4281C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31F7A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9C135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4A16FBA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24138E2">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03C0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9FF53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70B06C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9EB9BE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单位资金，财政代管</w:t>
            </w:r>
          </w:p>
        </w:tc>
      </w:tr>
      <w:tr w14:paraId="5C750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05808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36CE25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9433A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E3942E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B8A705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BA4AA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008F5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46CF3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5C5F0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C04252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4428E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C2503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956BA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530377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7C40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69278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C8F4A5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418943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DFA6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698F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BA205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C67BC4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01DA8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B02188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42ABA6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48CDEA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B248327">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96.00</w:t>
            </w:r>
          </w:p>
        </w:tc>
      </w:tr>
      <w:tr w14:paraId="74FCD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C4BCB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9695FB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44C5F39">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96.00</w:t>
            </w:r>
          </w:p>
        </w:tc>
      </w:tr>
      <w:tr w14:paraId="3936E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90407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A8F97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6D49A32">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04178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FF479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AEE27B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7F5FE5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56B3543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45AEAF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完成县城集中式饮用水水源地水质监测、农村环境质量试点监测、乡镇饮用水水源地监测（含汛期加密监测）、县城城区声环境监测、污染源监督性监测、生态功能区生态环境地表水监测、农村生活污水处理设施出水水质监测、国控点地下水监测。</w:t>
            </w:r>
          </w:p>
        </w:tc>
      </w:tr>
      <w:tr w14:paraId="3424C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4DEBC1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auto" w:sz="4" w:space="0"/>
              <w:bottom w:val="single" w:color="auto" w:sz="4" w:space="0"/>
              <w:right w:val="single" w:color="000000" w:sz="4" w:space="0"/>
            </w:tcBorders>
            <w:noWrap w:val="0"/>
            <w:vAlign w:val="center"/>
          </w:tcPr>
          <w:p w14:paraId="6AAC35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7A0DE2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60D19F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14F301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auto" w:sz="4" w:space="0"/>
              <w:right w:val="single" w:color="000000" w:sz="4" w:space="0"/>
            </w:tcBorders>
            <w:noWrap w:val="0"/>
            <w:vAlign w:val="center"/>
          </w:tcPr>
          <w:p w14:paraId="314EEA8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auto" w:sz="4" w:space="0"/>
              <w:right w:val="single" w:color="000000" w:sz="4" w:space="0"/>
            </w:tcBorders>
            <w:noWrap w:val="0"/>
            <w:vAlign w:val="center"/>
          </w:tcPr>
          <w:p w14:paraId="66CCE1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92E16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4C5E1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4D4FA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44FCCE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5D0F1E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AC9700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27E29BD0">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数量指标</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09B3F689">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发放（缴纳）覆盖率</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1787232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452E39D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auto" w:sz="4" w:space="0"/>
              <w:bottom w:val="single" w:color="000000" w:sz="4" w:space="0"/>
              <w:right w:val="single" w:color="000000" w:sz="4" w:space="0"/>
            </w:tcBorders>
            <w:noWrap w:val="0"/>
            <w:vAlign w:val="center"/>
          </w:tcPr>
          <w:p w14:paraId="557C36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7976E4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r>
      <w:tr w14:paraId="338EB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2A6669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2AC7742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7FEAAF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26D2A846">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社会效益指标</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46E7A3BC">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足额保障率</w:t>
            </w:r>
          </w:p>
        </w:tc>
        <w:tc>
          <w:tcPr>
            <w:tcW w:w="971" w:type="dxa"/>
            <w:tcBorders>
              <w:top w:val="single" w:color="auto" w:sz="4" w:space="0"/>
              <w:left w:val="single" w:color="auto" w:sz="4" w:space="0"/>
              <w:bottom w:val="single" w:color="auto" w:sz="4" w:space="0"/>
              <w:right w:val="single" w:color="auto" w:sz="4" w:space="0"/>
            </w:tcBorders>
            <w:noWrap w:val="0"/>
            <w:vAlign w:val="center"/>
          </w:tcPr>
          <w:p w14:paraId="1E8F6C5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45EF81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auto" w:sz="4" w:space="0"/>
              <w:bottom w:val="single" w:color="000000" w:sz="4" w:space="0"/>
              <w:right w:val="single" w:color="000000" w:sz="4" w:space="0"/>
            </w:tcBorders>
            <w:noWrap w:val="0"/>
            <w:vAlign w:val="center"/>
          </w:tcPr>
          <w:p w14:paraId="5D5DB6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6064E8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r>
    </w:tbl>
    <w:p w14:paraId="31ED1C22">
      <w:pPr>
        <w:rPr>
          <w:rFonts w:hint="eastAsia"/>
        </w:rPr>
      </w:pPr>
    </w:p>
    <w:p w14:paraId="235CA42E">
      <w:pPr>
        <w:rPr>
          <w:rFonts w:hint="eastAsia"/>
        </w:rPr>
      </w:pPr>
    </w:p>
    <w:p w14:paraId="66BDB4A5">
      <w:pPr>
        <w:rPr>
          <w:rFonts w:hint="eastAsia"/>
        </w:rPr>
      </w:pPr>
    </w:p>
    <w:p w14:paraId="0B8F4A9A">
      <w:pPr>
        <w:rPr>
          <w:rFonts w:hint="eastAsia"/>
        </w:rPr>
      </w:pPr>
    </w:p>
    <w:p w14:paraId="3EBCA5F7">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28D0D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1B469992">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6BF0B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29E9B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C34BD1B">
            <w:pPr>
              <w:pStyle w:val="37"/>
              <w:numPr>
                <w:ilvl w:val="0"/>
                <w:numId w:val="0"/>
              </w:numP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2"/>
                <w:sz w:val="24"/>
                <w:szCs w:val="24"/>
                <w:u w:val="none"/>
                <w:lang w:val="en-US" w:eastAsia="zh-CN" w:bidi="ar-SA"/>
              </w:rPr>
              <w:t>黑水县2023年人居环境整治项目（质保金）</w:t>
            </w:r>
          </w:p>
        </w:tc>
      </w:tr>
      <w:tr w14:paraId="2200B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22DB02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824255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397AD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3341B0C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D5A5412">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C969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3E9969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5C4476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697813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571CFC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62D8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FB241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6A731A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4A9C609">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单位资金，财政代管</w:t>
            </w:r>
          </w:p>
        </w:tc>
      </w:tr>
      <w:tr w14:paraId="66A50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144E8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842FB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462B9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70090C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327EB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18AC6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2FF28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4D332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A1F9A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BD23A16">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6CBA5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16B82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757D9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1FB39EC">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D63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D2AFB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F865E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519C66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3FE1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780AF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C2945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2E679F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273F9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0CCCE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7F22781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420DDC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E21953E">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37.6056</w:t>
            </w:r>
          </w:p>
        </w:tc>
      </w:tr>
      <w:tr w14:paraId="614DC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FC1C96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C0440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6EA81ED">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37.6056</w:t>
            </w:r>
          </w:p>
        </w:tc>
      </w:tr>
      <w:tr w14:paraId="39420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A2912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28311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5F5F42A">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585BC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E61A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FA5E8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2D0D6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4C401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0F77788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完成县城集中式饮用水水源地水质监测、农村环境质量试点监测、乡镇饮用水水源地监测（含汛期加密监测）、县城城区声环境监测、污染源监督性监测、生态功能区生态环境地表水监测、农村生活污水处理设施出水水质监测、国控点地下水监测。</w:t>
            </w:r>
          </w:p>
        </w:tc>
      </w:tr>
      <w:tr w14:paraId="6507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5E3B66A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auto" w:sz="4" w:space="0"/>
              <w:left w:val="single" w:color="auto" w:sz="4" w:space="0"/>
              <w:bottom w:val="single" w:color="auto" w:sz="4" w:space="0"/>
              <w:right w:val="single" w:color="auto" w:sz="4" w:space="0"/>
            </w:tcBorders>
            <w:noWrap w:val="0"/>
            <w:vAlign w:val="center"/>
          </w:tcPr>
          <w:p w14:paraId="109005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52A8F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708439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4E27B8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490B9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C41908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94A8E8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853AE8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23A6E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35A0508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6E54966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E8A28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2109DF0E">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数量指标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1FF58D7">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发放（缴纳）覆盖率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00C83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73FDB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8808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F98B64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r>
      <w:tr w14:paraId="28597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CDC982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4F5C8B4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423A86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48292AC1">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社会效益指标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7B49FEA">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足额保障率</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17959D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DD1C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4FEEFB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9FAFC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50</w:t>
            </w:r>
          </w:p>
        </w:tc>
      </w:tr>
    </w:tbl>
    <w:p w14:paraId="67CCAF90">
      <w:pPr>
        <w:rPr>
          <w:rFonts w:hint="eastAsia"/>
        </w:rPr>
      </w:pPr>
    </w:p>
    <w:p w14:paraId="08517232">
      <w:pPr>
        <w:rPr>
          <w:rFonts w:hint="eastAsia"/>
        </w:rPr>
      </w:pPr>
    </w:p>
    <w:p w14:paraId="24CF587E">
      <w:pPr>
        <w:rPr>
          <w:rFonts w:hint="eastAsia"/>
        </w:rPr>
      </w:pPr>
    </w:p>
    <w:p w14:paraId="7D1A3558">
      <w:pPr>
        <w:rPr>
          <w:rFonts w:hint="eastAsia"/>
        </w:rPr>
      </w:pPr>
    </w:p>
    <w:p w14:paraId="77C61C0F">
      <w:pPr>
        <w:rPr>
          <w:rFonts w:hint="eastAsia"/>
        </w:rPr>
      </w:pPr>
    </w:p>
    <w:p w14:paraId="1DB2CD39">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25D45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540E10FA">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238E0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F0952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B47F1EE">
            <w:pPr>
              <w:pStyle w:val="37"/>
              <w:numPr>
                <w:ilvl w:val="0"/>
                <w:numId w:val="0"/>
              </w:numP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2"/>
                <w:sz w:val="24"/>
                <w:szCs w:val="24"/>
                <w:u w:val="none"/>
                <w:lang w:val="en-US" w:eastAsia="zh-CN" w:bidi="ar-SA"/>
              </w:rPr>
              <w:t xml:space="preserve"> </w:t>
            </w:r>
            <w:r>
              <w:rPr>
                <w:rFonts w:hint="eastAsia" w:ascii="Times New Roman" w:hAnsi="Times New Roman" w:eastAsia="宋体" w:cs="Times New Roman"/>
                <w:i w:val="0"/>
                <w:color w:val="000000"/>
                <w:kern w:val="2"/>
                <w:sz w:val="24"/>
                <w:szCs w:val="24"/>
                <w:u w:val="none"/>
                <w:lang w:val="en-US" w:eastAsia="zh-CN" w:bidi="ar-SA"/>
              </w:rPr>
              <w:t>黑水县2024年农村生活污水治理想项目</w:t>
            </w:r>
          </w:p>
        </w:tc>
      </w:tr>
      <w:tr w14:paraId="31CD9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964F3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77DDD2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4E9EE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37435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51FFB60">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76D3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99FFB2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3B137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59F83C9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EFF679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F215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41884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EA30F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4A09BA9">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单位代管资金</w:t>
            </w:r>
          </w:p>
        </w:tc>
      </w:tr>
      <w:tr w14:paraId="06D9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3287A9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C1453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217EDC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2B92B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1D25E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ACCC0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30AFB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89860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14944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D3C4A9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66585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A7A6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0C10A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C959385">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0FC6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CA9C7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46C4C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C2A641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8A7B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D6F11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6DD60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2118F0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7E8B8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C5F4F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143F25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5224A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FAE4373">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宋体" w:hAnsi="宋体" w:eastAsia="宋体" w:cs="宋体"/>
                <w:sz w:val="28"/>
                <w:szCs w:val="28"/>
                <w:highlight w:val="none"/>
                <w:lang w:val="en-US" w:eastAsia="zh-CN"/>
              </w:rPr>
              <w:t>39.825</w:t>
            </w:r>
          </w:p>
        </w:tc>
      </w:tr>
      <w:tr w14:paraId="49C86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0FFA7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85C6AB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D3DDBF5">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宋体" w:hAnsi="宋体" w:eastAsia="宋体" w:cs="宋体"/>
                <w:sz w:val="28"/>
                <w:szCs w:val="28"/>
                <w:highlight w:val="none"/>
                <w:lang w:val="en-US" w:eastAsia="zh-CN"/>
              </w:rPr>
              <w:t>39.825</w:t>
            </w:r>
          </w:p>
        </w:tc>
      </w:tr>
      <w:tr w14:paraId="7816A3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02A7B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5826B8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1108C19">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4C0E8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D34364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621C8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6B292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E52CB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34D28D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解决芦花镇四美村，扎窝镇俄窝村、若多村、朱坝村、扎窝村、西里村，晴朗乡达盖村、沙窝村、吉布村、八字村3个乡镇10个行政村的生活污水问题，改善农村生活环境，提升居民生活质量。</w:t>
            </w:r>
          </w:p>
        </w:tc>
      </w:tr>
      <w:tr w14:paraId="30D52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noWrap w:val="0"/>
            <w:vAlign w:val="center"/>
          </w:tcPr>
          <w:p w14:paraId="6472211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51719A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AC547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0CDD7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00287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59A6C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BC5B0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FC539E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CA32B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5E9B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541609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left w:val="single" w:color="000000" w:sz="4" w:space="0"/>
              <w:right w:val="single" w:color="000000" w:sz="4" w:space="0"/>
            </w:tcBorders>
            <w:noWrap w:val="0"/>
            <w:vAlign w:val="center"/>
          </w:tcPr>
          <w:p w14:paraId="440CC0A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left w:val="single" w:color="000000" w:sz="4" w:space="0"/>
              <w:right w:val="single" w:color="000000" w:sz="4" w:space="0"/>
            </w:tcBorders>
            <w:noWrap w:val="0"/>
            <w:vAlign w:val="center"/>
          </w:tcPr>
          <w:p w14:paraId="34A397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431525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治理行政村数量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7B58A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A0844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5AF31C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82CA7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40A53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r>
      <w:tr w14:paraId="52240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5DB92CF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257338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0FC320F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CC3554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治理户数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AD436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C75974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1803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6EBE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户</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6A5D9C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BF5D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1803</w:t>
            </w:r>
          </w:p>
        </w:tc>
      </w:tr>
      <w:tr w14:paraId="4FA05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7046EC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531A135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3FA60E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F019D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治理人口数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80F61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C9BB4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5209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4E847F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CCB875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31B279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5209</w:t>
            </w:r>
          </w:p>
        </w:tc>
      </w:tr>
      <w:tr w14:paraId="5C7AF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2123F3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5DB880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54D3A43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452629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散户污水资源化利用设施</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F1B8B6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E9B60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97595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D90E9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5CEB4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w:t>
            </w:r>
          </w:p>
        </w:tc>
      </w:tr>
      <w:tr w14:paraId="43845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773207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574F9A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2518C5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B712AB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15m³/d无动力污水处理设施</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E4D05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2A8C61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6029CB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BC8E9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9DCF28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w:t>
            </w:r>
          </w:p>
        </w:tc>
      </w:tr>
      <w:tr w14:paraId="6C97C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78373A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2E8567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6C55FC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2080AC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10m³/d无动力污水处理设施</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90F30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EE6B9A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7D788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84166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A42DC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w:t>
            </w:r>
          </w:p>
        </w:tc>
      </w:tr>
      <w:tr w14:paraId="3C3DE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3B3029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00D449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51CB56D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CCB511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5m³/d无动力污水处理设施</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0005D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03695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4B418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座</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4CE994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8C8AC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w:t>
            </w:r>
          </w:p>
        </w:tc>
      </w:tr>
      <w:tr w14:paraId="0181D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75977A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532F51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7F7420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43B94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检查井</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B659A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BCC4D3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403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29194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8FAAF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B1A880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403</w:t>
            </w:r>
          </w:p>
        </w:tc>
      </w:tr>
      <w:tr w14:paraId="2A161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3963DEE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1FB93CE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6055502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6A4E75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建设ND100污水收集接户管</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7C39F5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88260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46035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29285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A6DDC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4835A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46035</w:t>
            </w:r>
          </w:p>
        </w:tc>
      </w:tr>
      <w:tr w14:paraId="773D9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5C721C2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46D362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6F7CAD4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288432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ND200污水收集支管</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AF3972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29D63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7995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034CC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B8DB2E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F79B2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7995</w:t>
            </w:r>
          </w:p>
        </w:tc>
      </w:tr>
      <w:tr w14:paraId="124BB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7511AF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486CDA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147A7D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53F4F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ND300污水收集主管</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97952A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A0FE4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3310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C55D86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米</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CC81AE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E13B9A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3310</w:t>
            </w:r>
          </w:p>
        </w:tc>
      </w:tr>
      <w:tr w14:paraId="25378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5F18AA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0C510C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000000" w:sz="4" w:space="0"/>
              <w:right w:val="single" w:color="000000" w:sz="4" w:space="0"/>
            </w:tcBorders>
            <w:noWrap w:val="0"/>
            <w:vAlign w:val="center"/>
          </w:tcPr>
          <w:p w14:paraId="131E36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7255F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建设周期</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0CDD8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F49B1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15200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月</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FEF30E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A51D38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18</w:t>
            </w:r>
          </w:p>
        </w:tc>
      </w:tr>
      <w:tr w14:paraId="42742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4B04D18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left w:val="single" w:color="000000" w:sz="4" w:space="0"/>
              <w:right w:val="single" w:color="000000" w:sz="4" w:space="0"/>
            </w:tcBorders>
            <w:noWrap w:val="0"/>
            <w:vAlign w:val="center"/>
          </w:tcPr>
          <w:p w14:paraId="7110ACB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left w:val="single" w:color="000000" w:sz="4" w:space="0"/>
              <w:right w:val="single" w:color="000000" w:sz="4" w:space="0"/>
            </w:tcBorders>
            <w:noWrap w:val="0"/>
            <w:vAlign w:val="center"/>
          </w:tcPr>
          <w:p w14:paraId="67DED5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659AB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达标率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52979F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DC00A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1C403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7E7D9D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BA22DA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4081A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4FA285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0CE85D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000000" w:sz="4" w:space="0"/>
              <w:right w:val="single" w:color="000000" w:sz="4" w:space="0"/>
            </w:tcBorders>
            <w:noWrap w:val="0"/>
            <w:vAlign w:val="center"/>
          </w:tcPr>
          <w:p w14:paraId="002D548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经济效益指标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6FCDF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由污水导致的经济损失</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864D3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BF602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显著减少</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3E816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36519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7A668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05AD3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8" w:hRule="atLeast"/>
          <w:jc w:val="center"/>
        </w:trPr>
        <w:tc>
          <w:tcPr>
            <w:tcW w:w="652" w:type="dxa"/>
            <w:vMerge w:val="continue"/>
            <w:tcBorders>
              <w:left w:val="single" w:color="000000" w:sz="4" w:space="0"/>
            </w:tcBorders>
            <w:noWrap w:val="0"/>
            <w:vAlign w:val="center"/>
          </w:tcPr>
          <w:p w14:paraId="2ACD237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4D26A3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000000" w:sz="4" w:space="0"/>
              <w:right w:val="single" w:color="000000" w:sz="4" w:space="0"/>
            </w:tcBorders>
            <w:noWrap w:val="0"/>
            <w:vAlign w:val="center"/>
          </w:tcPr>
          <w:p w14:paraId="1E526E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670D3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居民自觉参与生态环境保护意识</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C2C2EE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19E4B6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提高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7BFD26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30729D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A8A3C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37A0F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5425BA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768A49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000000" w:sz="4" w:space="0"/>
              <w:bottom w:val="single" w:color="auto" w:sz="4" w:space="0"/>
              <w:right w:val="single" w:color="000000" w:sz="4" w:space="0"/>
            </w:tcBorders>
            <w:noWrap w:val="0"/>
            <w:vAlign w:val="center"/>
          </w:tcPr>
          <w:p w14:paraId="032705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6766B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改善人居环境</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96EC0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A7D68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0571F5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0E06F7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FD72F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38F29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1F94B9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477306C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restart"/>
            <w:tcBorders>
              <w:top w:val="single" w:color="auto" w:sz="4" w:space="0"/>
              <w:left w:val="single" w:color="auto" w:sz="4" w:space="0"/>
              <w:bottom w:val="single" w:color="auto" w:sz="4" w:space="0"/>
              <w:right w:val="single" w:color="auto" w:sz="4" w:space="0"/>
            </w:tcBorders>
            <w:noWrap w:val="0"/>
            <w:vAlign w:val="center"/>
          </w:tcPr>
          <w:p w14:paraId="1D7A6A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1F575854">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污染物削减量（化学需氧量）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05FCC3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24C80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24.28t/a</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F2ACF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921B84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116F5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79120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50FA6F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146B6C1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38BAD1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46B7F16C">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污染物削减量（氨氮）</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55A492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C07F2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24.28t/a</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3CE1E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805096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76ADA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73EB7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67B67B0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72783F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73D8E7B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3CE5A8FA">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污染物削减量（总磷）</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86606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ECDB68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24.28t/a</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CD6302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C9C7D0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829F7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是</w:t>
            </w:r>
          </w:p>
        </w:tc>
      </w:tr>
      <w:tr w14:paraId="6177F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4BB5BA9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772811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restart"/>
            <w:tcBorders>
              <w:top w:val="single" w:color="auto" w:sz="4" w:space="0"/>
              <w:left w:val="single" w:color="000000" w:sz="4" w:space="0"/>
              <w:bottom w:val="single" w:color="auto" w:sz="4" w:space="0"/>
              <w:right w:val="single" w:color="000000" w:sz="4" w:space="0"/>
            </w:tcBorders>
            <w:noWrap w:val="0"/>
            <w:vAlign w:val="center"/>
          </w:tcPr>
          <w:p w14:paraId="23496A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可持续影响指标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7DF134D1">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default"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项目完成后长期维护</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FB6E9C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r>
              <w:rPr>
                <w:rFonts w:hint="eastAsia" w:ascii="Times New Roman" w:hAnsi="Times New Roman" w:eastAsia="宋体" w:cs="Times New Roman"/>
                <w:i w:val="0"/>
                <w:color w:val="000000"/>
                <w:kern w:val="0"/>
                <w:sz w:val="24"/>
                <w:szCs w:val="24"/>
                <w:u w:val="none"/>
                <w:lang w:val="en-US" w:eastAsia="zh-CN" w:bidi="ar"/>
              </w:rPr>
              <w:t>20</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7768C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0D38E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年</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5AC5B1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710FC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r>
      <w:tr w14:paraId="3B31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62AC88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bottom w:val="single" w:color="auto" w:sz="4" w:space="0"/>
              <w:right w:val="single" w:color="000000" w:sz="4" w:space="0"/>
            </w:tcBorders>
            <w:noWrap w:val="0"/>
            <w:vAlign w:val="center"/>
          </w:tcPr>
          <w:p w14:paraId="4151ED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687E6E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5765EC6B">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支撑流域社会经济可持续发展</w:t>
            </w:r>
          </w:p>
        </w:tc>
        <w:tc>
          <w:tcPr>
            <w:tcW w:w="1127" w:type="dxa"/>
            <w:tcBorders>
              <w:top w:val="single" w:color="000000" w:sz="4" w:space="0"/>
              <w:left w:val="single" w:color="auto" w:sz="4" w:space="0"/>
              <w:bottom w:val="single" w:color="000000" w:sz="4" w:space="0"/>
              <w:right w:val="single" w:color="000000" w:sz="4" w:space="0"/>
            </w:tcBorders>
            <w:noWrap w:val="0"/>
            <w:vAlign w:val="center"/>
          </w:tcPr>
          <w:p w14:paraId="100176A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8656D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达成</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99AC9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C3FA2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BC23A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达成</w:t>
            </w:r>
          </w:p>
        </w:tc>
      </w:tr>
      <w:tr w14:paraId="48666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1A04F48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37B932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09F1A5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w:t>
            </w:r>
            <w:r>
              <w:rPr>
                <w:rFonts w:hint="eastAsia" w:ascii="Times New Roman" w:hAnsi="Times New Roman" w:eastAsia="宋体" w:cs="Times New Roman"/>
                <w:i w:val="0"/>
                <w:color w:val="000000"/>
                <w:kern w:val="0"/>
                <w:sz w:val="24"/>
                <w:szCs w:val="24"/>
                <w:u w:val="none"/>
                <w:lang w:val="en-US" w:eastAsia="zh-CN" w:bidi="ar"/>
              </w:rPr>
              <w:br w:type="textWrapping"/>
            </w:r>
            <w:r>
              <w:rPr>
                <w:rFonts w:hint="eastAsia"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1089E5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服务对象群众满意度</w:t>
            </w:r>
          </w:p>
        </w:tc>
        <w:tc>
          <w:tcPr>
            <w:tcW w:w="1127" w:type="dxa"/>
            <w:tcBorders>
              <w:top w:val="single" w:color="000000" w:sz="4" w:space="0"/>
              <w:left w:val="single" w:color="auto" w:sz="4" w:space="0"/>
              <w:bottom w:val="single" w:color="000000" w:sz="4" w:space="0"/>
              <w:right w:val="single" w:color="000000" w:sz="4" w:space="0"/>
            </w:tcBorders>
            <w:noWrap w:val="0"/>
            <w:vAlign w:val="center"/>
          </w:tcPr>
          <w:p w14:paraId="169AD30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24021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7043D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D9355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222BB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r>
      <w:tr w14:paraId="68F8B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bottom w:val="single" w:color="auto" w:sz="4" w:space="0"/>
            </w:tcBorders>
            <w:noWrap w:val="0"/>
            <w:vAlign w:val="center"/>
          </w:tcPr>
          <w:p w14:paraId="4E8777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1D4704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成本指标</w:t>
            </w:r>
          </w:p>
        </w:tc>
        <w:tc>
          <w:tcPr>
            <w:tcW w:w="1250" w:type="dxa"/>
            <w:vMerge w:val="restart"/>
            <w:tcBorders>
              <w:top w:val="single" w:color="auto" w:sz="4" w:space="0"/>
              <w:left w:val="single" w:color="auto" w:sz="4" w:space="0"/>
              <w:bottom w:val="single" w:color="auto" w:sz="4" w:space="0"/>
              <w:right w:val="single" w:color="auto" w:sz="4" w:space="0"/>
            </w:tcBorders>
            <w:noWrap w:val="0"/>
            <w:vAlign w:val="center"/>
          </w:tcPr>
          <w:p w14:paraId="69A0F28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经济成本指标</w:t>
            </w:r>
          </w:p>
        </w:tc>
        <w:tc>
          <w:tcPr>
            <w:tcW w:w="1312" w:type="dxa"/>
            <w:tcBorders>
              <w:top w:val="single" w:color="auto" w:sz="4" w:space="0"/>
              <w:left w:val="single" w:color="auto" w:sz="4" w:space="0"/>
              <w:bottom w:val="single" w:color="000000" w:sz="4" w:space="0"/>
              <w:right w:val="single" w:color="000000" w:sz="4" w:space="0"/>
            </w:tcBorders>
            <w:noWrap w:val="0"/>
            <w:vAlign w:val="center"/>
          </w:tcPr>
          <w:p w14:paraId="43910A44">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年运行费用</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91E50E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AF0B99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12.13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E9BA2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94841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EFF04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12.13</w:t>
            </w:r>
          </w:p>
        </w:tc>
      </w:tr>
      <w:tr w14:paraId="60EB2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tcBorders>
              <w:top w:val="single" w:color="auto" w:sz="4" w:space="0"/>
              <w:left w:val="single" w:color="auto" w:sz="4" w:space="0"/>
              <w:bottom w:val="single" w:color="auto" w:sz="4" w:space="0"/>
              <w:right w:val="single" w:color="auto" w:sz="4" w:space="0"/>
            </w:tcBorders>
            <w:noWrap w:val="0"/>
            <w:vAlign w:val="center"/>
          </w:tcPr>
          <w:p w14:paraId="1225F0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000000" w:sz="4" w:space="0"/>
            </w:tcBorders>
            <w:noWrap w:val="0"/>
            <w:vAlign w:val="center"/>
          </w:tcPr>
          <w:p w14:paraId="58FEDE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000000" w:sz="4" w:space="0"/>
              <w:bottom w:val="single" w:color="auto" w:sz="4" w:space="0"/>
              <w:right w:val="single" w:color="auto" w:sz="4" w:space="0"/>
            </w:tcBorders>
            <w:noWrap w:val="0"/>
            <w:vAlign w:val="center"/>
          </w:tcPr>
          <w:p w14:paraId="3B851B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61A7D4C5">
            <w:pPr>
              <w:keepNext w:val="0"/>
              <w:keepLines w:val="0"/>
              <w:pageBreakBefore w:val="0"/>
              <w:widowControl w:val="0"/>
              <w:kinsoku/>
              <w:wordWrap/>
              <w:overflowPunct/>
              <w:topLinePunct w:val="0"/>
              <w:autoSpaceDE/>
              <w:autoSpaceDN/>
              <w:bidi w:val="0"/>
              <w:adjustRightInd/>
              <w:snapToGrid/>
              <w:spacing w:line="360" w:lineRule="auto"/>
              <w:ind w:firstLine="215" w:firstLineChars="77"/>
              <w:jc w:val="center"/>
              <w:textAlignment w:val="auto"/>
              <w:rPr>
                <w:rFonts w:hint="eastAsia" w:ascii="宋体" w:hAnsi="宋体" w:eastAsia="宋体" w:cs="宋体"/>
                <w:kern w:val="2"/>
                <w:sz w:val="28"/>
                <w:szCs w:val="28"/>
                <w:highlight w:val="none"/>
                <w:lang w:val="en-US" w:eastAsia="zh-CN" w:bidi="ar-SA"/>
              </w:rPr>
            </w:pPr>
            <w:r>
              <w:rPr>
                <w:rFonts w:hint="eastAsia" w:ascii="宋体" w:hAnsi="宋体" w:eastAsia="宋体" w:cs="宋体"/>
                <w:sz w:val="28"/>
                <w:szCs w:val="28"/>
                <w:highlight w:val="none"/>
                <w:lang w:val="en-US" w:eastAsia="zh-CN"/>
              </w:rPr>
              <w:t>项目总投资</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918663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6163B3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2891.51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F2C09F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4EA56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83A765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39.825</w:t>
            </w:r>
          </w:p>
        </w:tc>
      </w:tr>
    </w:tbl>
    <w:p w14:paraId="2380D52E">
      <w:pPr>
        <w:rPr>
          <w:rFonts w:hint="eastAsia"/>
        </w:rPr>
      </w:pPr>
    </w:p>
    <w:p w14:paraId="6117D30D">
      <w:pPr>
        <w:rPr>
          <w:rFonts w:hint="eastAsia"/>
        </w:rPr>
      </w:pPr>
    </w:p>
    <w:p w14:paraId="51230C5C">
      <w:pPr>
        <w:rPr>
          <w:rFonts w:hint="eastAsia"/>
        </w:rPr>
      </w:pPr>
    </w:p>
    <w:p w14:paraId="07CDAF9A">
      <w:pPr>
        <w:rPr>
          <w:rFonts w:hint="eastAsia"/>
        </w:rPr>
      </w:pPr>
    </w:p>
    <w:p w14:paraId="350F2BE2">
      <w:pPr>
        <w:rPr>
          <w:rFonts w:hint="eastAsia"/>
        </w:rPr>
      </w:pPr>
    </w:p>
    <w:p w14:paraId="12B98685">
      <w:pPr>
        <w:rPr>
          <w:rFonts w:hint="eastAsia"/>
        </w:rPr>
      </w:pPr>
    </w:p>
    <w:p w14:paraId="27AB5D71">
      <w:pPr>
        <w:rPr>
          <w:rFonts w:hint="eastAsia"/>
        </w:rPr>
      </w:pPr>
    </w:p>
    <w:p w14:paraId="2D2B6DDD">
      <w:pPr>
        <w:rPr>
          <w:rFonts w:hint="eastAsia"/>
        </w:rPr>
      </w:pPr>
    </w:p>
    <w:p w14:paraId="7ABC047E">
      <w:pPr>
        <w:rPr>
          <w:rFonts w:hint="eastAsia"/>
        </w:rPr>
      </w:pPr>
    </w:p>
    <w:p w14:paraId="3DD46F39">
      <w:pPr>
        <w:rPr>
          <w:rFonts w:hint="eastAsia"/>
        </w:rPr>
      </w:pPr>
    </w:p>
    <w:p w14:paraId="76EA7D8B">
      <w:pPr>
        <w:rPr>
          <w:rFonts w:hint="eastAsia"/>
        </w:rPr>
      </w:pPr>
    </w:p>
    <w:p w14:paraId="2BF7DDDF">
      <w:pPr>
        <w:rPr>
          <w:rFonts w:hint="eastAsia"/>
        </w:rPr>
      </w:pPr>
    </w:p>
    <w:p w14:paraId="65D3C507">
      <w:pPr>
        <w:rPr>
          <w:rFonts w:hint="eastAsia"/>
        </w:rPr>
      </w:pPr>
    </w:p>
    <w:p w14:paraId="564EC073">
      <w:pPr>
        <w:rPr>
          <w:rFonts w:hint="eastAsia"/>
        </w:rPr>
      </w:pPr>
    </w:p>
    <w:p w14:paraId="679C2072">
      <w:pPr>
        <w:rPr>
          <w:rFonts w:hint="eastAsia"/>
        </w:rPr>
      </w:pPr>
    </w:p>
    <w:p w14:paraId="7DA81AE6">
      <w:pPr>
        <w:rPr>
          <w:rFonts w:hint="eastAsia"/>
        </w:rPr>
      </w:pPr>
    </w:p>
    <w:p w14:paraId="3BBF28C4">
      <w:pPr>
        <w:rPr>
          <w:rFonts w:hint="eastAsia"/>
        </w:rPr>
      </w:pPr>
    </w:p>
    <w:p w14:paraId="428FACA0">
      <w:pPr>
        <w:rPr>
          <w:rFonts w:hint="eastAsia"/>
        </w:rPr>
      </w:pPr>
    </w:p>
    <w:p w14:paraId="025ADE5E">
      <w:pPr>
        <w:rPr>
          <w:rFonts w:hint="eastAsia"/>
        </w:rPr>
      </w:pPr>
    </w:p>
    <w:p w14:paraId="0BA599CE">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5CB5A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07D920C6">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770EF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95F8B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4E19829">
            <w:pPr>
              <w:pStyle w:val="37"/>
              <w:numPr>
                <w:ilvl w:val="0"/>
                <w:numId w:val="0"/>
              </w:numP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w:t>
            </w:r>
            <w:r>
              <w:rPr>
                <w:rFonts w:hint="eastAsia" w:ascii="Times New Roman" w:hAnsi="Times New Roman" w:eastAsia="宋体" w:cs="Times New Roman"/>
                <w:i w:val="0"/>
                <w:color w:val="000000"/>
                <w:kern w:val="0"/>
                <w:sz w:val="24"/>
                <w:szCs w:val="24"/>
                <w:u w:val="none"/>
                <w:lang w:val="en-US" w:eastAsia="zh-CN" w:bidi="ar"/>
              </w:rPr>
              <w:t>黑水县创建国家生态文明建设示范县技术服务采购项目</w:t>
            </w:r>
          </w:p>
        </w:tc>
      </w:tr>
      <w:tr w14:paraId="49C7B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4C3C0C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2E8F4F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74751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C6FC4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4D913B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4692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1C68F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3352B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5CB592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60E799E">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6CD1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6804D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F57E5E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2B3A56A">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黑环【2024】23号</w:t>
            </w:r>
          </w:p>
        </w:tc>
      </w:tr>
      <w:tr w14:paraId="24E08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21B2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69EF0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2984A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324F8F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D03B62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B2102E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60CAB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671A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6DC6AF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ABAA01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E801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C0702F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49CDF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A7A13E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00D5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FA1C0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0C869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8E42BA9">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8D61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66743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77D4C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87C857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09045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B0F48F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509C03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31A3B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2A23459">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w:t>
            </w:r>
          </w:p>
        </w:tc>
      </w:tr>
      <w:tr w14:paraId="1C40C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96726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7405B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A9B50E8">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w:t>
            </w:r>
          </w:p>
        </w:tc>
      </w:tr>
      <w:tr w14:paraId="6D290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73591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B35B4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9591E9A">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623F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3B0A6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E0E06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0721C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6896404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F93E72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紧紧围绕国家生态文明建设示范县创建核心任务，聚焦创建工作中的技术需求，重点支持创建指标技术支撑、申报材料编制指导、创建过程技术指导、成效评估与总结提升、合规性与绩效管控支持，确保全方位支撑创建工作落地见效。</w:t>
            </w:r>
          </w:p>
        </w:tc>
      </w:tr>
      <w:tr w14:paraId="3D8FC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5AD93A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auto" w:sz="4" w:space="0"/>
              <w:bottom w:val="single" w:color="auto" w:sz="4" w:space="0"/>
              <w:right w:val="single" w:color="000000" w:sz="4" w:space="0"/>
            </w:tcBorders>
            <w:noWrap w:val="0"/>
            <w:vAlign w:val="center"/>
          </w:tcPr>
          <w:p w14:paraId="056EFF8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2B76DF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33E8397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auto" w:sz="4" w:space="0"/>
              <w:right w:val="single" w:color="000000" w:sz="4" w:space="0"/>
            </w:tcBorders>
            <w:noWrap w:val="0"/>
            <w:vAlign w:val="center"/>
          </w:tcPr>
          <w:p w14:paraId="4BAE2D1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D28A9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E2E2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E3771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398C6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63092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22F013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20775B5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auto" w:sz="4" w:space="0"/>
              <w:left w:val="single" w:color="auto" w:sz="4" w:space="0"/>
              <w:bottom w:val="single" w:color="auto" w:sz="4" w:space="0"/>
              <w:right w:val="single" w:color="auto" w:sz="4" w:space="0"/>
            </w:tcBorders>
            <w:noWrap w:val="0"/>
            <w:vAlign w:val="center"/>
          </w:tcPr>
          <w:p w14:paraId="3C4338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5009157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完成编制报告</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6A07DD2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auto" w:sz="4" w:space="0"/>
              <w:bottom w:val="single" w:color="000000" w:sz="4" w:space="0"/>
              <w:right w:val="single" w:color="000000" w:sz="4" w:space="0"/>
            </w:tcBorders>
            <w:noWrap w:val="0"/>
            <w:vAlign w:val="center"/>
          </w:tcPr>
          <w:p w14:paraId="579CC91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EBBA54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DAE294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5E2A94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14:paraId="5B9FE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C3DE4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4833A3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087146F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4F8DF1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完成创建工作资料收集</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6D40406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auto" w:sz="4" w:space="0"/>
              <w:bottom w:val="single" w:color="000000" w:sz="4" w:space="0"/>
              <w:right w:val="single" w:color="000000" w:sz="4" w:space="0"/>
            </w:tcBorders>
            <w:noWrap w:val="0"/>
            <w:vAlign w:val="center"/>
          </w:tcPr>
          <w:p w14:paraId="2F256E4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B5500A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7372B4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B3A092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14:paraId="2A3F0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42653C8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3217CC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2E78F8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auto" w:sz="4" w:space="0"/>
              <w:left w:val="single" w:color="auto" w:sz="4" w:space="0"/>
              <w:bottom w:val="single" w:color="auto" w:sz="4" w:space="0"/>
              <w:right w:val="single" w:color="auto" w:sz="4" w:space="0"/>
            </w:tcBorders>
            <w:noWrap w:val="0"/>
            <w:vAlign w:val="center"/>
          </w:tcPr>
          <w:p w14:paraId="0E27482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现场核查点位打造</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05FB4F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auto" w:sz="4" w:space="0"/>
              <w:bottom w:val="single" w:color="000000" w:sz="4" w:space="0"/>
              <w:right w:val="single" w:color="000000" w:sz="4" w:space="0"/>
            </w:tcBorders>
            <w:noWrap w:val="0"/>
            <w:vAlign w:val="center"/>
          </w:tcPr>
          <w:p w14:paraId="2B02796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77CE9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2F27B9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FBA937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w:t>
            </w:r>
          </w:p>
        </w:tc>
      </w:tr>
      <w:tr w14:paraId="58463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78DB9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4AAB19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6FE13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6ED433A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完成时间</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3099DB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auto" w:sz="4" w:space="0"/>
              <w:bottom w:val="single" w:color="000000" w:sz="4" w:space="0"/>
              <w:right w:val="single" w:color="000000" w:sz="4" w:space="0"/>
            </w:tcBorders>
            <w:noWrap w:val="0"/>
            <w:vAlign w:val="center"/>
          </w:tcPr>
          <w:p w14:paraId="39509CD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本年完成</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DD4F7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976E0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E6DE65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w:t>
            </w:r>
          </w:p>
        </w:tc>
      </w:tr>
      <w:tr w14:paraId="6596F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8EC6DF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756084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FDCD82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401F91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符合专家审查要求</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124028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auto" w:sz="4" w:space="0"/>
              <w:bottom w:val="single" w:color="000000" w:sz="4" w:space="0"/>
              <w:right w:val="single" w:color="000000" w:sz="4" w:space="0"/>
            </w:tcBorders>
            <w:noWrap w:val="0"/>
            <w:vAlign w:val="center"/>
          </w:tcPr>
          <w:p w14:paraId="5E9033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合格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827EC9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4D978C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55686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合格</w:t>
            </w:r>
          </w:p>
        </w:tc>
      </w:tr>
      <w:tr w14:paraId="30FD1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8"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69F4D5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106686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1037A22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10EC9E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对社会造成的影响</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620407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auto" w:sz="4" w:space="0"/>
              <w:bottom w:val="single" w:color="000000" w:sz="4" w:space="0"/>
              <w:right w:val="single" w:color="000000" w:sz="4" w:space="0"/>
            </w:tcBorders>
            <w:noWrap w:val="0"/>
            <w:vAlign w:val="center"/>
          </w:tcPr>
          <w:p w14:paraId="710532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培育引导全社会形成绿色生产生活方式</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32880D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5CBF6A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C47AF6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培育引导全社会形成绿色生产生活方式</w:t>
            </w:r>
          </w:p>
        </w:tc>
      </w:tr>
      <w:tr w14:paraId="77A5D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33E8B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64196E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E343E6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1364B7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持续改善</w:t>
            </w:r>
          </w:p>
        </w:tc>
        <w:tc>
          <w:tcPr>
            <w:tcW w:w="1127" w:type="dxa"/>
            <w:tcBorders>
              <w:top w:val="single" w:color="auto" w:sz="4" w:space="0"/>
              <w:left w:val="single" w:color="auto" w:sz="4" w:space="0"/>
              <w:bottom w:val="single" w:color="auto" w:sz="4" w:space="0"/>
              <w:right w:val="single" w:color="auto" w:sz="4" w:space="0"/>
            </w:tcBorders>
            <w:noWrap w:val="0"/>
            <w:vAlign w:val="center"/>
          </w:tcPr>
          <w:p w14:paraId="508FEDB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auto" w:sz="4" w:space="0"/>
              <w:bottom w:val="single" w:color="000000" w:sz="4" w:space="0"/>
              <w:right w:val="single" w:color="000000" w:sz="4" w:space="0"/>
            </w:tcBorders>
            <w:noWrap w:val="0"/>
            <w:vAlign w:val="center"/>
          </w:tcPr>
          <w:p w14:paraId="4F593E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长期</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5EFD2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2FF6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2CB504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长期改善</w:t>
            </w:r>
          </w:p>
        </w:tc>
      </w:tr>
      <w:tr w14:paraId="27E5E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1B9B8DD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92E40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3A024C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可持续影响指标</w:t>
            </w:r>
          </w:p>
        </w:tc>
        <w:tc>
          <w:tcPr>
            <w:tcW w:w="1312" w:type="dxa"/>
            <w:tcBorders>
              <w:top w:val="single" w:color="auto" w:sz="4" w:space="0"/>
              <w:left w:val="single" w:color="auto" w:sz="4" w:space="0"/>
              <w:bottom w:val="single" w:color="000000" w:sz="4" w:space="0"/>
              <w:right w:val="single" w:color="000000" w:sz="4" w:space="0"/>
            </w:tcBorders>
            <w:noWrap w:val="0"/>
            <w:vAlign w:val="center"/>
          </w:tcPr>
          <w:p w14:paraId="4E96CA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可持续性</w:t>
            </w:r>
          </w:p>
        </w:tc>
        <w:tc>
          <w:tcPr>
            <w:tcW w:w="1127" w:type="dxa"/>
            <w:tcBorders>
              <w:top w:val="single" w:color="auto" w:sz="4" w:space="0"/>
              <w:left w:val="single" w:color="000000" w:sz="4" w:space="0"/>
              <w:bottom w:val="single" w:color="000000" w:sz="4" w:space="0"/>
              <w:right w:val="single" w:color="000000" w:sz="4" w:space="0"/>
            </w:tcBorders>
            <w:noWrap w:val="0"/>
            <w:vAlign w:val="center"/>
          </w:tcPr>
          <w:p w14:paraId="3C870D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8E9FF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促进我县生态环境保护和生态文明建设工作迈上新台阶</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032D3A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012CA2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E2592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促进我县生态环境保护和生态文明建设工作迈上新台阶</w:t>
            </w:r>
          </w:p>
        </w:tc>
      </w:tr>
      <w:tr w14:paraId="4BB4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0062D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124132A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CBAC3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w:t>
            </w:r>
            <w:r>
              <w:rPr>
                <w:rFonts w:hint="eastAsia" w:ascii="Times New Roman" w:hAnsi="Times New Roman" w:eastAsia="宋体" w:cs="Times New Roman"/>
                <w:i w:val="0"/>
                <w:color w:val="000000"/>
                <w:kern w:val="0"/>
                <w:sz w:val="24"/>
                <w:szCs w:val="24"/>
                <w:u w:val="none"/>
                <w:lang w:val="en-US" w:eastAsia="zh-CN" w:bidi="ar"/>
              </w:rPr>
              <w:br w:type="textWrapping"/>
            </w:r>
            <w:r>
              <w:rPr>
                <w:rFonts w:hint="eastAsia"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7F57B36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0BDA9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10E759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44B31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2774BD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9958D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r>
      <w:tr w14:paraId="753EC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5329B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1974DCE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13C1FE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经济成本指标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27F30F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预算金额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6310B2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AAB49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208E37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A1F395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B1FFF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8.398</w:t>
            </w:r>
          </w:p>
        </w:tc>
      </w:tr>
    </w:tbl>
    <w:p w14:paraId="716E2537">
      <w:pPr>
        <w:rPr>
          <w:rFonts w:hint="eastAsia"/>
        </w:rPr>
      </w:pPr>
    </w:p>
    <w:p w14:paraId="63C9F7BC">
      <w:pPr>
        <w:rPr>
          <w:rFonts w:hint="eastAsia"/>
        </w:rPr>
      </w:pPr>
    </w:p>
    <w:p w14:paraId="7E490B39">
      <w:pPr>
        <w:rPr>
          <w:rFonts w:hint="eastAsia"/>
        </w:rPr>
      </w:pPr>
    </w:p>
    <w:p w14:paraId="14BFFA40">
      <w:pPr>
        <w:rPr>
          <w:rFonts w:hint="eastAsia"/>
        </w:rPr>
      </w:pPr>
    </w:p>
    <w:p w14:paraId="3A6BA955">
      <w:pPr>
        <w:rPr>
          <w:rFonts w:hint="eastAsia"/>
        </w:rPr>
      </w:pPr>
    </w:p>
    <w:p w14:paraId="55C0387E">
      <w:pPr>
        <w:rPr>
          <w:rFonts w:hint="eastAsia"/>
        </w:rPr>
      </w:pPr>
    </w:p>
    <w:p w14:paraId="2FE023BD">
      <w:pPr>
        <w:rPr>
          <w:rFonts w:hint="eastAsia"/>
        </w:rPr>
      </w:pPr>
    </w:p>
    <w:p w14:paraId="580FF6A1">
      <w:pPr>
        <w:rPr>
          <w:rFonts w:hint="eastAsia"/>
        </w:rPr>
      </w:pPr>
    </w:p>
    <w:p w14:paraId="31163D1B">
      <w:pPr>
        <w:rPr>
          <w:rFonts w:hint="eastAsia"/>
        </w:rPr>
      </w:pPr>
    </w:p>
    <w:p w14:paraId="12CC3E65">
      <w:pPr>
        <w:rPr>
          <w:rFonts w:hint="eastAsia"/>
        </w:rPr>
      </w:pPr>
    </w:p>
    <w:p w14:paraId="7E42C107">
      <w:pPr>
        <w:rPr>
          <w:rFonts w:hint="eastAsia"/>
        </w:rPr>
      </w:pPr>
    </w:p>
    <w:p w14:paraId="107788A7">
      <w:pPr>
        <w:rPr>
          <w:rFonts w:hint="eastAsia"/>
        </w:rPr>
      </w:pPr>
    </w:p>
    <w:p w14:paraId="6551BE69">
      <w:pPr>
        <w:rPr>
          <w:rFonts w:hint="eastAsia"/>
        </w:rPr>
      </w:pPr>
    </w:p>
    <w:p w14:paraId="3AAF2A85">
      <w:pPr>
        <w:rPr>
          <w:rFonts w:hint="eastAsia"/>
        </w:rPr>
      </w:pPr>
    </w:p>
    <w:p w14:paraId="5CF8A8A4">
      <w:pPr>
        <w:rPr>
          <w:rFonts w:hint="eastAsia"/>
        </w:rPr>
      </w:pPr>
    </w:p>
    <w:p w14:paraId="16FAB165">
      <w:pPr>
        <w:rPr>
          <w:rFonts w:hint="eastAsia"/>
        </w:rPr>
      </w:pPr>
    </w:p>
    <w:p w14:paraId="13BEC837">
      <w:pPr>
        <w:rPr>
          <w:rFonts w:hint="eastAsia"/>
        </w:rPr>
      </w:pPr>
    </w:p>
    <w:p w14:paraId="2CB3439B">
      <w:pPr>
        <w:rPr>
          <w:rFonts w:hint="eastAsia"/>
        </w:rPr>
      </w:pPr>
    </w:p>
    <w:p w14:paraId="17FC1071">
      <w:pPr>
        <w:rPr>
          <w:rFonts w:hint="eastAsia"/>
        </w:rPr>
      </w:pPr>
    </w:p>
    <w:p w14:paraId="3B06ADAD">
      <w:pPr>
        <w:rPr>
          <w:rFonts w:hint="eastAsia"/>
        </w:rPr>
      </w:pPr>
    </w:p>
    <w:p w14:paraId="490682FD">
      <w:pPr>
        <w:rPr>
          <w:rFonts w:hint="eastAsia"/>
        </w:rPr>
      </w:pPr>
    </w:p>
    <w:p w14:paraId="172BC514">
      <w:pPr>
        <w:rPr>
          <w:rFonts w:hint="eastAsia"/>
        </w:rPr>
      </w:pPr>
    </w:p>
    <w:p w14:paraId="5A3E2C3E">
      <w:pPr>
        <w:rPr>
          <w:rFonts w:hint="eastAsia"/>
        </w:rPr>
      </w:pPr>
    </w:p>
    <w:p w14:paraId="778137EE">
      <w:pPr>
        <w:rPr>
          <w:rFonts w:hint="eastAsia"/>
        </w:rPr>
      </w:pPr>
    </w:p>
    <w:p w14:paraId="3600BDF2">
      <w:pPr>
        <w:rPr>
          <w:rFonts w:hint="eastAsia"/>
        </w:rPr>
      </w:pPr>
    </w:p>
    <w:p w14:paraId="4A8E22FD">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66D51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18063FB9">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077A5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45E92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15E8E4A">
            <w:pPr>
              <w:pStyle w:val="37"/>
              <w:numPr>
                <w:ilvl w:val="0"/>
                <w:numId w:val="0"/>
              </w:numP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2"/>
                <w:sz w:val="24"/>
                <w:szCs w:val="24"/>
                <w:u w:val="none"/>
                <w:lang w:val="en-US" w:eastAsia="zh-CN" w:bidi="ar-SA"/>
              </w:rPr>
              <w:t>黑水县空气自动监测系统子站备机采购项目（质保金）</w:t>
            </w:r>
          </w:p>
        </w:tc>
      </w:tr>
      <w:tr w14:paraId="5A2F1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B91A29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10B593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4A6A5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F84ED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454EF1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A1A6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9BA21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CB2A4C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593595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252FAB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9932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A40E1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F1213D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DDCCFB9">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单位资金，财政代管</w:t>
            </w:r>
          </w:p>
        </w:tc>
      </w:tr>
      <w:tr w14:paraId="5FD59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4E4D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95C995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13916C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5BC4EF5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EB8A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258E58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3175A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9C7F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505AF8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B18CFD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2AE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BD83D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FE09E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951F07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45D5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E6976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542F3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D0D4A89">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41BEA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D9F72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B3867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CE9E3A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72CFE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3288A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2BCA36B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32F1E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AA6353A">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7</w:t>
            </w:r>
          </w:p>
        </w:tc>
      </w:tr>
      <w:tr w14:paraId="08F27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BF235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234AD9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3C7DB81">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7</w:t>
            </w:r>
          </w:p>
        </w:tc>
      </w:tr>
      <w:tr w14:paraId="2A9A3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8D0D2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AFDFB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8E4A680">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56E14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598EA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445025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71A2B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auto" w:sz="4" w:space="0"/>
              <w:right w:val="single" w:color="000000" w:sz="4" w:space="0"/>
            </w:tcBorders>
            <w:noWrap w:val="0"/>
            <w:vAlign w:val="center"/>
          </w:tcPr>
          <w:p w14:paraId="045D3A5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EECCE6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完成县城集中式饮用水水源地水质监测、农村环境质量试点监测、乡镇饮用水水源地监测（含汛期加密监测）、县城城区声环境监测、污染源监督性监测、生态功能区生态环境地表水监测、农村生活污水处理设施出水水质监测、国控点地下水监测。</w:t>
            </w:r>
          </w:p>
        </w:tc>
      </w:tr>
      <w:tr w14:paraId="7D546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52A7C28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auto" w:sz="4" w:space="0"/>
              <w:bottom w:val="single" w:color="000000" w:sz="4" w:space="0"/>
              <w:right w:val="single" w:color="000000" w:sz="4" w:space="0"/>
            </w:tcBorders>
            <w:noWrap w:val="0"/>
            <w:vAlign w:val="center"/>
          </w:tcPr>
          <w:p w14:paraId="0659C6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auto" w:sz="4" w:space="0"/>
              <w:right w:val="single" w:color="000000" w:sz="4" w:space="0"/>
            </w:tcBorders>
            <w:noWrap w:val="0"/>
            <w:vAlign w:val="center"/>
          </w:tcPr>
          <w:p w14:paraId="1DBAC3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5D16B9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F2F499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DB0C42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6AAC1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D33E9A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FA690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19EB8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615C3A9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left w:val="single" w:color="auto" w:sz="4" w:space="0"/>
              <w:right w:val="single" w:color="auto" w:sz="4" w:space="0"/>
            </w:tcBorders>
            <w:noWrap w:val="0"/>
            <w:vAlign w:val="center"/>
          </w:tcPr>
          <w:p w14:paraId="1559C5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auto" w:sz="4" w:space="0"/>
              <w:left w:val="single" w:color="auto" w:sz="4" w:space="0"/>
              <w:bottom w:val="single" w:color="auto" w:sz="4" w:space="0"/>
              <w:right w:val="single" w:color="auto" w:sz="4" w:space="0"/>
            </w:tcBorders>
            <w:noWrap w:val="0"/>
            <w:vAlign w:val="center"/>
          </w:tcPr>
          <w:p w14:paraId="1D3FF4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37637EF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标气及减压阀</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DD5FA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6B7207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482134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396F11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FBB230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3</w:t>
            </w:r>
          </w:p>
        </w:tc>
      </w:tr>
      <w:tr w14:paraId="17FD5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73BCA8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left w:val="single" w:color="auto" w:sz="4" w:space="0"/>
              <w:right w:val="single" w:color="auto" w:sz="4" w:space="0"/>
            </w:tcBorders>
            <w:noWrap w:val="0"/>
            <w:vAlign w:val="center"/>
          </w:tcPr>
          <w:p w14:paraId="30ECA6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6469437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4432B8C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空气监测采集系统</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7AAA5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05A95F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01696D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F1571E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C5B7D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7</w:t>
            </w:r>
          </w:p>
        </w:tc>
      </w:tr>
      <w:tr w14:paraId="4CDD5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4D76678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left w:val="single" w:color="auto" w:sz="4" w:space="0"/>
              <w:right w:val="single" w:color="auto" w:sz="4" w:space="0"/>
            </w:tcBorders>
            <w:noWrap w:val="0"/>
            <w:vAlign w:val="center"/>
          </w:tcPr>
          <w:p w14:paraId="25D4BFD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4CCD2B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11E22E5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空气监测站分析仪</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FBEDD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1AF2B4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5772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台</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24FE5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2792BB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w:t>
            </w:r>
          </w:p>
        </w:tc>
      </w:tr>
      <w:tr w14:paraId="63E60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31F2EF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left w:val="single" w:color="auto" w:sz="4" w:space="0"/>
              <w:right w:val="single" w:color="auto" w:sz="4" w:space="0"/>
            </w:tcBorders>
            <w:noWrap w:val="0"/>
            <w:vAlign w:val="center"/>
          </w:tcPr>
          <w:p w14:paraId="0FC2E27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DCDB3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080478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完成实施项目验收合格率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99D962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41E74E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A20C7A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90E52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143E8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2D86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91287F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left w:val="single" w:color="auto" w:sz="4" w:space="0"/>
              <w:right w:val="single" w:color="auto" w:sz="4" w:space="0"/>
            </w:tcBorders>
            <w:noWrap w:val="0"/>
            <w:vAlign w:val="center"/>
          </w:tcPr>
          <w:p w14:paraId="3C281DA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6CB953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78CDD5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8327E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43B75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按合同规定时间</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71C502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1FB8F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48B95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合同规定时间完成</w:t>
            </w:r>
          </w:p>
        </w:tc>
      </w:tr>
      <w:tr w14:paraId="59D6F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4BD2B2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left w:val="single" w:color="auto" w:sz="4" w:space="0"/>
              <w:right w:val="single" w:color="auto" w:sz="4" w:space="0"/>
            </w:tcBorders>
            <w:noWrap w:val="0"/>
            <w:vAlign w:val="center"/>
          </w:tcPr>
          <w:p w14:paraId="1F686FC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vMerge w:val="restart"/>
            <w:tcBorders>
              <w:top w:val="single" w:color="auto" w:sz="4" w:space="0"/>
              <w:left w:val="single" w:color="auto" w:sz="4" w:space="0"/>
              <w:bottom w:val="single" w:color="auto" w:sz="4" w:space="0"/>
              <w:right w:val="single" w:color="auto" w:sz="4" w:space="0"/>
            </w:tcBorders>
            <w:noWrap w:val="0"/>
            <w:vAlign w:val="center"/>
          </w:tcPr>
          <w:p w14:paraId="2BE285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6AC984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环境管理水平</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930A5C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64B93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提升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C85C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46E901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D3F02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r>
      <w:tr w14:paraId="32360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83C9C7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left w:val="single" w:color="auto" w:sz="4" w:space="0"/>
              <w:bottom w:val="single" w:color="auto" w:sz="4" w:space="0"/>
              <w:right w:val="single" w:color="auto" w:sz="4" w:space="0"/>
            </w:tcBorders>
            <w:noWrap w:val="0"/>
            <w:vAlign w:val="center"/>
          </w:tcPr>
          <w:p w14:paraId="5B7852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top w:val="single" w:color="auto" w:sz="4" w:space="0"/>
              <w:left w:val="single" w:color="auto" w:sz="4" w:space="0"/>
              <w:bottom w:val="single" w:color="auto" w:sz="4" w:space="0"/>
              <w:right w:val="single" w:color="auto" w:sz="4" w:space="0"/>
            </w:tcBorders>
            <w:noWrap w:val="0"/>
            <w:vAlign w:val="center"/>
          </w:tcPr>
          <w:p w14:paraId="7903653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129459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优良天数率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A3EB2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16C2A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达到州级下达要求天数率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BA86A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489382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26AEB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达到</w:t>
            </w:r>
          </w:p>
        </w:tc>
      </w:tr>
      <w:tr w14:paraId="3C98F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1DCB92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7B0E782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2B3BD9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1BF6AC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PM2.5年均浓度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08116C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4B5D7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达到州级下达要求浓度以下</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8D1CE2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471A6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479CE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达到</w:t>
            </w:r>
          </w:p>
        </w:tc>
      </w:tr>
      <w:tr w14:paraId="2979C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7857CFD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513F9D7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5763DC2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w:t>
            </w:r>
            <w:r>
              <w:rPr>
                <w:rFonts w:hint="eastAsia" w:ascii="Times New Roman" w:hAnsi="Times New Roman" w:eastAsia="宋体" w:cs="Times New Roman"/>
                <w:i w:val="0"/>
                <w:color w:val="000000"/>
                <w:kern w:val="0"/>
                <w:sz w:val="24"/>
                <w:szCs w:val="24"/>
                <w:u w:val="none"/>
                <w:lang w:val="en-US" w:eastAsia="zh-CN" w:bidi="ar"/>
              </w:rPr>
              <w:br w:type="textWrapping"/>
            </w:r>
            <w:r>
              <w:rPr>
                <w:rFonts w:hint="eastAsia"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5B93AF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2D860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ADFA6F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95672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2BA61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1B74BF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14AB8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70F036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032BA2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7FCD8A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经济成本指标</w:t>
            </w:r>
          </w:p>
        </w:tc>
        <w:tc>
          <w:tcPr>
            <w:tcW w:w="1312" w:type="dxa"/>
            <w:tcBorders>
              <w:top w:val="single" w:color="000000" w:sz="4" w:space="0"/>
              <w:left w:val="single" w:color="auto" w:sz="4" w:space="0"/>
              <w:bottom w:val="single" w:color="000000" w:sz="4" w:space="0"/>
              <w:right w:val="single" w:color="000000" w:sz="4" w:space="0"/>
            </w:tcBorders>
            <w:noWrap w:val="0"/>
            <w:vAlign w:val="center"/>
          </w:tcPr>
          <w:p w14:paraId="524E987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监测设备采购金额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55AA0A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97DB1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66401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F61D24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3D76F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BEDAB8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66401</w:t>
            </w:r>
          </w:p>
        </w:tc>
      </w:tr>
    </w:tbl>
    <w:p w14:paraId="742F724F">
      <w:pPr>
        <w:rPr>
          <w:rFonts w:hint="eastAsia"/>
        </w:rPr>
      </w:pPr>
    </w:p>
    <w:p w14:paraId="64BD3E77">
      <w:pPr>
        <w:rPr>
          <w:rFonts w:hint="eastAsia"/>
        </w:rPr>
      </w:pPr>
    </w:p>
    <w:p w14:paraId="22265BBF">
      <w:pPr>
        <w:rPr>
          <w:rFonts w:hint="eastAsia"/>
        </w:rPr>
      </w:pPr>
    </w:p>
    <w:p w14:paraId="5BADF214">
      <w:pPr>
        <w:rPr>
          <w:rFonts w:hint="eastAsia"/>
        </w:rPr>
      </w:pPr>
    </w:p>
    <w:p w14:paraId="01F4B2D1">
      <w:pPr>
        <w:rPr>
          <w:rFonts w:hint="eastAsia"/>
        </w:rPr>
      </w:pPr>
    </w:p>
    <w:p w14:paraId="0C4C728E">
      <w:pPr>
        <w:rPr>
          <w:rFonts w:hint="eastAsia"/>
        </w:rPr>
      </w:pPr>
    </w:p>
    <w:p w14:paraId="44D31BBC">
      <w:pPr>
        <w:rPr>
          <w:rFonts w:hint="eastAsia"/>
        </w:rPr>
      </w:pPr>
    </w:p>
    <w:p w14:paraId="798CCAC3">
      <w:pPr>
        <w:rPr>
          <w:rFonts w:hint="eastAsia"/>
        </w:rPr>
      </w:pPr>
    </w:p>
    <w:p w14:paraId="3F5BB134">
      <w:pPr>
        <w:rPr>
          <w:rFonts w:hint="eastAsia"/>
        </w:rPr>
      </w:pPr>
    </w:p>
    <w:p w14:paraId="15764F25">
      <w:pPr>
        <w:rPr>
          <w:rFonts w:hint="eastAsia"/>
        </w:rPr>
      </w:pPr>
    </w:p>
    <w:p w14:paraId="502CEDE9">
      <w:pPr>
        <w:rPr>
          <w:rFonts w:hint="eastAsia"/>
        </w:rPr>
      </w:pPr>
    </w:p>
    <w:p w14:paraId="64B3FBD6">
      <w:pPr>
        <w:rPr>
          <w:rFonts w:hint="eastAsia"/>
        </w:rPr>
      </w:pPr>
    </w:p>
    <w:p w14:paraId="78A2ABB3">
      <w:pPr>
        <w:rPr>
          <w:rFonts w:hint="eastAsia"/>
        </w:rPr>
      </w:pPr>
    </w:p>
    <w:p w14:paraId="697650E7">
      <w:pPr>
        <w:rPr>
          <w:rFonts w:hint="eastAsia"/>
        </w:rPr>
      </w:pPr>
    </w:p>
    <w:p w14:paraId="7A8424BC">
      <w:pPr>
        <w:rPr>
          <w:rFonts w:hint="eastAsia"/>
        </w:rPr>
      </w:pPr>
    </w:p>
    <w:p w14:paraId="2EA12894">
      <w:pPr>
        <w:rPr>
          <w:rFonts w:hint="eastAsia"/>
        </w:rPr>
      </w:pPr>
    </w:p>
    <w:p w14:paraId="1EA73E63">
      <w:pPr>
        <w:rPr>
          <w:rFonts w:hint="eastAsia"/>
        </w:rPr>
      </w:pPr>
    </w:p>
    <w:p w14:paraId="692F5422">
      <w:pPr>
        <w:rPr>
          <w:rFonts w:hint="eastAsia"/>
        </w:rPr>
      </w:pPr>
    </w:p>
    <w:p w14:paraId="76FE421C">
      <w:pPr>
        <w:rPr>
          <w:rFonts w:hint="eastAsia"/>
        </w:rPr>
      </w:pPr>
    </w:p>
    <w:p w14:paraId="067A7EFA">
      <w:pPr>
        <w:rPr>
          <w:rFonts w:hint="eastAsia"/>
        </w:rPr>
      </w:pPr>
    </w:p>
    <w:p w14:paraId="368C155A">
      <w:pPr>
        <w:rPr>
          <w:rFonts w:hint="eastAsia"/>
        </w:rPr>
      </w:pPr>
    </w:p>
    <w:p w14:paraId="5ADDE6F4">
      <w:pPr>
        <w:rPr>
          <w:rFonts w:hint="eastAsia"/>
        </w:rPr>
      </w:pPr>
    </w:p>
    <w:p w14:paraId="0E279ECF">
      <w:pPr>
        <w:rPr>
          <w:rFonts w:hint="eastAsia"/>
        </w:rPr>
      </w:pPr>
    </w:p>
    <w:p w14:paraId="750253F1">
      <w:pPr>
        <w:rPr>
          <w:rFonts w:hint="eastAsia"/>
        </w:rPr>
      </w:pPr>
    </w:p>
    <w:p w14:paraId="6BF56147">
      <w:pPr>
        <w:rPr>
          <w:rFonts w:hint="eastAsia"/>
        </w:rPr>
      </w:pPr>
    </w:p>
    <w:p w14:paraId="56894925">
      <w:pPr>
        <w:rPr>
          <w:rFonts w:hint="eastAsia"/>
        </w:rPr>
      </w:pPr>
    </w:p>
    <w:p w14:paraId="23E561E2">
      <w:pPr>
        <w:rPr>
          <w:rFonts w:hint="eastAsia"/>
        </w:rPr>
      </w:pPr>
    </w:p>
    <w:p w14:paraId="6D0211A2">
      <w:pPr>
        <w:rPr>
          <w:rFonts w:hint="eastAsia"/>
        </w:rPr>
      </w:pPr>
    </w:p>
    <w:p w14:paraId="5B5D2484">
      <w:pPr>
        <w:rPr>
          <w:rFonts w:hint="eastAsia"/>
        </w:rPr>
      </w:pPr>
    </w:p>
    <w:p w14:paraId="6B9C6ABF">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1B44C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463239CB">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5C8E0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3077D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837B2CE">
            <w:pPr>
              <w:pStyle w:val="37"/>
              <w:numPr>
                <w:ilvl w:val="0"/>
                <w:numId w:val="0"/>
              </w:numP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w:t>
            </w:r>
            <w:r>
              <w:rPr>
                <w:rFonts w:hint="eastAsia" w:ascii="Times New Roman" w:hAnsi="Times New Roman" w:eastAsia="宋体" w:cs="Times New Roman"/>
                <w:i w:val="0"/>
                <w:color w:val="000000"/>
                <w:kern w:val="0"/>
                <w:sz w:val="24"/>
                <w:szCs w:val="24"/>
                <w:u w:val="none"/>
                <w:lang w:val="en-US" w:eastAsia="zh-CN" w:bidi="ar"/>
              </w:rPr>
              <w:t>黑水县创建国家生态文明建设示范县技术服务采购项目</w:t>
            </w:r>
          </w:p>
        </w:tc>
      </w:tr>
      <w:tr w14:paraId="23BF7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34238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69625D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阿坝州黑水生态环境局</w:t>
            </w:r>
          </w:p>
        </w:tc>
      </w:tr>
      <w:tr w14:paraId="658DCB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40150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3B3A4D2">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2392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D2F2E9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0C4EA8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13AF52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999AB1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574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1758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363A7E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371739F">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黑环【2024】23号</w:t>
            </w:r>
          </w:p>
        </w:tc>
      </w:tr>
      <w:tr w14:paraId="21127F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C023A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CB958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EC9B3A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7E60A1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B4EEFD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BCFC91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0EF5C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091D3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0F0A68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0DAA0D6">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F32E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CB77B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9A329B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93B46BF">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550C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BC533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065FB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069825C">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887C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CCCA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FFF6D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2168B2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2025</w:t>
            </w:r>
          </w:p>
        </w:tc>
      </w:tr>
      <w:tr w14:paraId="70FEB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0754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735E18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DC9AE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34B7CC2">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w:t>
            </w:r>
          </w:p>
        </w:tc>
      </w:tr>
      <w:tr w14:paraId="75BB1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6BAE5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F2E7C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DAF165C">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w:t>
            </w:r>
          </w:p>
        </w:tc>
      </w:tr>
      <w:tr w14:paraId="3E1C0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93467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25AC1D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2B2ABCE">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0</w:t>
            </w:r>
          </w:p>
        </w:tc>
      </w:tr>
      <w:tr w14:paraId="6A025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10F2E5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4679E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53C12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86"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F887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04F6A69B">
            <w:pPr>
              <w:keepNext w:val="0"/>
              <w:keepLines w:val="0"/>
              <w:pageBreakBefore w:val="0"/>
              <w:widowControl w:val="0"/>
              <w:kinsoku/>
              <w:wordWrap/>
              <w:overflowPunct/>
              <w:topLinePunct w:val="0"/>
              <w:autoSpaceDE/>
              <w:autoSpaceDN/>
              <w:bidi w:val="0"/>
              <w:adjustRightInd w:val="0"/>
              <w:snapToGrid w:val="0"/>
              <w:spacing w:line="578" w:lineRule="exact"/>
              <w:ind w:firstLine="480" w:firstLineChars="200"/>
              <w:jc w:val="left"/>
              <w:textAlignment w:val="auto"/>
              <w:outlineLvl w:val="9"/>
              <w:rPr>
                <w:rFonts w:hint="eastAsia" w:ascii="Times New Roman" w:hAnsi="Times New Roman" w:cs="Times New Roman"/>
                <w:color w:val="auto"/>
                <w:kern w:val="2"/>
                <w:sz w:val="32"/>
                <w:szCs w:val="32"/>
                <w:highlight w:val="none"/>
                <w:lang w:val="en-US" w:eastAsia="zh-CN" w:bidi="ar-SA"/>
              </w:rPr>
            </w:pPr>
            <w:r>
              <w:rPr>
                <w:rFonts w:hint="eastAsia" w:ascii="Times New Roman" w:hAnsi="Times New Roman" w:eastAsia="宋体" w:cs="Times New Roman"/>
                <w:i w:val="0"/>
                <w:color w:val="000000"/>
                <w:kern w:val="0"/>
                <w:sz w:val="24"/>
                <w:szCs w:val="24"/>
                <w:u w:val="none"/>
                <w:lang w:val="en-US" w:eastAsia="zh-CN" w:bidi="ar"/>
              </w:rPr>
              <w:t>全面梳理整合排口管理业务流程，强化排口信息规范化管理，解决以前排口管理底数不清的棘手问题。因地制宜制定黑水县入河排污口分类整治方案，明确排口整治要求。具体措施、责任单位等建立整治销号制度，分类推进入河排污口规范整治，逐步开展黑水线入河排污口整治工作，有效管控入河污染物排放，改善黑水县生态环境质量。</w:t>
            </w:r>
          </w:p>
          <w:p w14:paraId="33DEE58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14:paraId="612D1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tcBorders>
            <w:noWrap w:val="0"/>
            <w:vAlign w:val="center"/>
          </w:tcPr>
          <w:p w14:paraId="6A1D5CB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B542E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5A27D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8E6A8D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FDCD9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7D646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785E4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EF980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8F6E2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7E92B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4B9073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left w:val="single" w:color="000000" w:sz="4" w:space="0"/>
              <w:right w:val="single" w:color="000000" w:sz="4" w:space="0"/>
            </w:tcBorders>
            <w:noWrap w:val="0"/>
            <w:vAlign w:val="center"/>
          </w:tcPr>
          <w:p w14:paraId="43994D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left w:val="single" w:color="000000" w:sz="4" w:space="0"/>
              <w:right w:val="single" w:color="000000" w:sz="4" w:space="0"/>
            </w:tcBorders>
            <w:noWrap w:val="0"/>
            <w:vAlign w:val="center"/>
          </w:tcPr>
          <w:p w14:paraId="692301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C7C9AD6">
            <w:pPr>
              <w:pStyle w:val="37"/>
              <w:numPr>
                <w:ilvl w:val="0"/>
                <w:numId w:val="0"/>
              </w:numPr>
              <w:ind w:left="0" w:leftChars="0" w:firstLine="0" w:firstLine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立标、建档</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07154E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D39AC5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98</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FE6DD6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B52014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E6FB97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98</w:t>
            </w:r>
          </w:p>
        </w:tc>
      </w:tr>
      <w:tr w14:paraId="19B5D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47B8CB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6E0151C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4B1BB7D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12ABB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排口流量实时监测</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5F2577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9BB040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49D423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8A5DA0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927832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13</w:t>
            </w:r>
          </w:p>
        </w:tc>
      </w:tr>
      <w:tr w14:paraId="47C72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074B41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44C0E3D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7B1C90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0F5EF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排口视频实时监控</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105513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B43F19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4450D6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A7482A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4</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27AEFD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w:t>
            </w:r>
          </w:p>
        </w:tc>
      </w:tr>
      <w:tr w14:paraId="6EEB7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2E0BF1A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6B7D89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360DAE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D30E66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排口水自动监测</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E093AD8">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FFC7AD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1F77CA8">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套</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D9B5BE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8443708">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13</w:t>
            </w:r>
          </w:p>
        </w:tc>
      </w:tr>
      <w:tr w14:paraId="24B48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6FD3E3F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4DDB8D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586D4D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C75E2F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入河排污口数据资源管理中心</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DC3801E">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B00B85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427600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项</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8694EF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E9C1E51">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14:paraId="5D7FE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72E6B9A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6CF4B0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098B0D3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C1644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入河排污口管理图</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1FB95E7">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200D69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562F96B">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项</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E36FE1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F7C3B5C">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14:paraId="4E0A2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7CAB66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048724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566365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D87C3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入河排污口移动端APP</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914E855">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7CA8A5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2A1C17B">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项</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953E15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7994C47">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14:paraId="53632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04AB0E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right w:val="single" w:color="000000" w:sz="4" w:space="0"/>
            </w:tcBorders>
            <w:noWrap w:val="0"/>
            <w:vAlign w:val="center"/>
          </w:tcPr>
          <w:p w14:paraId="218F924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right w:val="single" w:color="000000" w:sz="4" w:space="0"/>
            </w:tcBorders>
            <w:noWrap w:val="0"/>
            <w:vAlign w:val="center"/>
          </w:tcPr>
          <w:p w14:paraId="7CA8B16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73DC7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综合管理系统</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939B888">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422E16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BB2234F">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项</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D4D486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0C67440">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w:t>
            </w:r>
          </w:p>
        </w:tc>
      </w:tr>
      <w:tr w14:paraId="55BB4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tcBorders>
            <w:noWrap w:val="0"/>
            <w:vAlign w:val="center"/>
          </w:tcPr>
          <w:p w14:paraId="6ADB0A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left w:val="single" w:color="000000" w:sz="4" w:space="0"/>
              <w:bottom w:val="single" w:color="auto" w:sz="4" w:space="0"/>
              <w:right w:val="single" w:color="000000" w:sz="4" w:space="0"/>
            </w:tcBorders>
            <w:noWrap w:val="0"/>
            <w:vAlign w:val="center"/>
          </w:tcPr>
          <w:p w14:paraId="6A28A49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000000" w:sz="4" w:space="0"/>
              <w:right w:val="single" w:color="000000" w:sz="4" w:space="0"/>
            </w:tcBorders>
            <w:noWrap w:val="0"/>
            <w:vAlign w:val="center"/>
          </w:tcPr>
          <w:p w14:paraId="3582D3C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6ED3A4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cs="Times New Roman"/>
                <w:color w:val="auto"/>
                <w:kern w:val="2"/>
                <w:sz w:val="32"/>
                <w:szCs w:val="32"/>
                <w:lang w:val="en-US" w:eastAsia="zh-CN" w:bidi="ar-SA"/>
              </w:rPr>
              <w:t>项目完成周期</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DEB4E6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D6BFF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12个月完成</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8EC732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A85CA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EFBB25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完成</w:t>
            </w:r>
          </w:p>
        </w:tc>
      </w:tr>
      <w:tr w14:paraId="2A4A3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left w:val="single" w:color="000000" w:sz="4" w:space="0"/>
              <w:right w:val="single" w:color="auto" w:sz="4" w:space="0"/>
            </w:tcBorders>
            <w:noWrap w:val="0"/>
            <w:vAlign w:val="center"/>
          </w:tcPr>
          <w:p w14:paraId="1213C2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restart"/>
            <w:tcBorders>
              <w:top w:val="single" w:color="auto" w:sz="4" w:space="0"/>
              <w:left w:val="single" w:color="auto" w:sz="4" w:space="0"/>
              <w:bottom w:val="single" w:color="auto" w:sz="4" w:space="0"/>
              <w:right w:val="single" w:color="auto" w:sz="4" w:space="0"/>
            </w:tcBorders>
            <w:noWrap w:val="0"/>
            <w:vAlign w:val="center"/>
          </w:tcPr>
          <w:p w14:paraId="532435D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auto" w:sz="4" w:space="0"/>
              <w:right w:val="single" w:color="000000" w:sz="4" w:space="0"/>
            </w:tcBorders>
            <w:noWrap w:val="0"/>
            <w:vAlign w:val="center"/>
          </w:tcPr>
          <w:p w14:paraId="7C9FA5B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F9DBA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验收合格率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CE85A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448236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D66525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58D7D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5171BD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100%</w:t>
            </w:r>
          </w:p>
        </w:tc>
      </w:tr>
      <w:tr w14:paraId="30A3F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28" w:hRule="atLeast"/>
          <w:jc w:val="center"/>
        </w:trPr>
        <w:tc>
          <w:tcPr>
            <w:tcW w:w="652" w:type="dxa"/>
            <w:vMerge w:val="continue"/>
            <w:tcBorders>
              <w:left w:val="single" w:color="000000" w:sz="4" w:space="0"/>
              <w:bottom w:val="single" w:color="auto" w:sz="4" w:space="0"/>
              <w:right w:val="single" w:color="auto" w:sz="4" w:space="0"/>
            </w:tcBorders>
            <w:noWrap w:val="0"/>
            <w:vAlign w:val="center"/>
          </w:tcPr>
          <w:p w14:paraId="373040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3A272B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left w:val="single" w:color="auto" w:sz="4" w:space="0"/>
              <w:right w:val="single" w:color="000000" w:sz="4" w:space="0"/>
            </w:tcBorders>
            <w:noWrap w:val="0"/>
            <w:vAlign w:val="center"/>
          </w:tcPr>
          <w:p w14:paraId="3BD916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B78E2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居民生活质量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10B3EA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E0331C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改善居民生活质量，促进干净整洁的良好人居环境的形成，提高沿途居民满意度</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25A3D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C6A824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A43C2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改善居民生活质量，促进干净整洁的良好人居环境的形成，提高沿途居民满意度</w:t>
            </w:r>
          </w:p>
        </w:tc>
      </w:tr>
      <w:tr w14:paraId="586C90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0"/>
            <w:vAlign w:val="center"/>
          </w:tcPr>
          <w:p w14:paraId="66920EC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vMerge w:val="continue"/>
            <w:tcBorders>
              <w:top w:val="single" w:color="auto" w:sz="4" w:space="0"/>
              <w:left w:val="single" w:color="auto" w:sz="4" w:space="0"/>
              <w:bottom w:val="single" w:color="auto" w:sz="4" w:space="0"/>
              <w:right w:val="single" w:color="auto" w:sz="4" w:space="0"/>
            </w:tcBorders>
            <w:noWrap w:val="0"/>
            <w:vAlign w:val="center"/>
          </w:tcPr>
          <w:p w14:paraId="5336891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restart"/>
            <w:tcBorders>
              <w:left w:val="single" w:color="auto" w:sz="4" w:space="0"/>
              <w:right w:val="single" w:color="000000" w:sz="4" w:space="0"/>
            </w:tcBorders>
            <w:noWrap w:val="0"/>
            <w:vAlign w:val="center"/>
          </w:tcPr>
          <w:p w14:paraId="65FDD0A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4A033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水环境风险</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B9C7D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A15AB5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实时监测监控水体，有效减低水环境污染带来的风险</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79069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BC0E34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E85AD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实时监测监控水体，有效减低水环境污染带来的风险</w:t>
            </w:r>
          </w:p>
        </w:tc>
      </w:tr>
      <w:tr w14:paraId="3F462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tcBorders>
            <w:noWrap w:val="0"/>
            <w:vAlign w:val="center"/>
          </w:tcPr>
          <w:p w14:paraId="30AC4A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000000" w:sz="4" w:space="0"/>
              <w:right w:val="single" w:color="000000" w:sz="4" w:space="0"/>
            </w:tcBorders>
            <w:noWrap w:val="0"/>
            <w:vAlign w:val="center"/>
          </w:tcPr>
          <w:p w14:paraId="04CA97D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效益指标</w:t>
            </w:r>
          </w:p>
        </w:tc>
        <w:tc>
          <w:tcPr>
            <w:tcW w:w="1250" w:type="dxa"/>
            <w:vMerge w:val="continue"/>
            <w:tcBorders>
              <w:left w:val="single" w:color="000000" w:sz="4" w:space="0"/>
              <w:right w:val="single" w:color="000000" w:sz="4" w:space="0"/>
            </w:tcBorders>
            <w:noWrap w:val="0"/>
            <w:vAlign w:val="center"/>
          </w:tcPr>
          <w:p w14:paraId="3AF9A9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D97690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水环境质量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F04C7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2DC43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有效保护和改善</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1BB8F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C7C7F4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96BEF0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有效保护和改善</w:t>
            </w:r>
          </w:p>
        </w:tc>
      </w:tr>
      <w:tr w14:paraId="28D1A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tcBorders>
            <w:noWrap w:val="0"/>
            <w:vAlign w:val="center"/>
          </w:tcPr>
          <w:p w14:paraId="2102F5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left w:val="single" w:color="000000" w:sz="4" w:space="0"/>
              <w:right w:val="single" w:color="000000" w:sz="4" w:space="0"/>
            </w:tcBorders>
            <w:noWrap w:val="0"/>
            <w:vAlign w:val="center"/>
          </w:tcPr>
          <w:p w14:paraId="0753900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restart"/>
            <w:tcBorders>
              <w:left w:val="single" w:color="000000" w:sz="4" w:space="0"/>
              <w:right w:val="single" w:color="000000" w:sz="4" w:space="0"/>
            </w:tcBorders>
            <w:noWrap w:val="0"/>
            <w:vAlign w:val="center"/>
          </w:tcPr>
          <w:p w14:paraId="489759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经济效益</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179576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降低治污成本</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C509C8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B501B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提高水环境管理相关政府职能部门办事效率，减少人力、物力及时间成本</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B4FFF4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2004DED">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6CB5C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提高水环境管理相关政府职能部门办事效率，减少人力、物力及时间成本</w:t>
            </w:r>
          </w:p>
        </w:tc>
      </w:tr>
      <w:tr w14:paraId="785F0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tcBorders>
            <w:noWrap w:val="0"/>
            <w:vAlign w:val="center"/>
          </w:tcPr>
          <w:p w14:paraId="1A3053C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left w:val="single" w:color="000000" w:sz="4" w:space="0"/>
              <w:bottom w:val="single" w:color="auto" w:sz="4" w:space="0"/>
              <w:right w:val="single" w:color="000000" w:sz="4" w:space="0"/>
            </w:tcBorders>
            <w:noWrap w:val="0"/>
            <w:vAlign w:val="center"/>
          </w:tcPr>
          <w:p w14:paraId="17D016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vMerge w:val="continue"/>
            <w:tcBorders>
              <w:left w:val="single" w:color="000000" w:sz="4" w:space="0"/>
              <w:bottom w:val="single" w:color="auto" w:sz="4" w:space="0"/>
              <w:right w:val="single" w:color="000000" w:sz="4" w:space="0"/>
            </w:tcBorders>
            <w:noWrap w:val="0"/>
            <w:vAlign w:val="center"/>
          </w:tcPr>
          <w:p w14:paraId="42F696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312" w:type="dxa"/>
            <w:tcBorders>
              <w:top w:val="single" w:color="000000" w:sz="4" w:space="0"/>
              <w:left w:val="single" w:color="000000" w:sz="4" w:space="0"/>
              <w:bottom w:val="single" w:color="auto" w:sz="4" w:space="0"/>
              <w:right w:val="single" w:color="000000" w:sz="4" w:space="0"/>
            </w:tcBorders>
            <w:noWrap w:val="0"/>
            <w:vAlign w:val="center"/>
          </w:tcPr>
          <w:p w14:paraId="1E7A02C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提高区域水环管理水平</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5F65E8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5AC77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通过多层次、多渠道的综合服务和技术支撑，实现水环境管理精细化与地区全覆盖化，提升水环境保护联防联控管理水平</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E503F2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FF038E3">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E7FC36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通过多层次、多渠道的综合服务和技术支撑，实现水环境管理精细化与地区全覆盖化，提升水环境保护联防联控管理水平</w:t>
            </w:r>
          </w:p>
        </w:tc>
      </w:tr>
      <w:tr w14:paraId="5F5FF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FF78CA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7D5D7C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1250" w:type="dxa"/>
            <w:tcBorders>
              <w:top w:val="single" w:color="auto" w:sz="4" w:space="0"/>
              <w:left w:val="single" w:color="auto" w:sz="4" w:space="0"/>
              <w:bottom w:val="single" w:color="auto" w:sz="4" w:space="0"/>
              <w:right w:val="single" w:color="auto" w:sz="4" w:space="0"/>
            </w:tcBorders>
            <w:noWrap w:val="0"/>
            <w:vAlign w:val="center"/>
          </w:tcPr>
          <w:p w14:paraId="3479BA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可持续影响指标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36DC0F9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监管机制健全</w:t>
            </w:r>
          </w:p>
        </w:tc>
        <w:tc>
          <w:tcPr>
            <w:tcW w:w="1127" w:type="dxa"/>
            <w:tcBorders>
              <w:top w:val="single" w:color="000000" w:sz="4" w:space="0"/>
              <w:left w:val="single" w:color="auto" w:sz="4" w:space="0"/>
              <w:bottom w:val="single" w:color="000000" w:sz="4" w:space="0"/>
              <w:right w:val="single" w:color="000000" w:sz="4" w:space="0"/>
            </w:tcBorders>
            <w:noWrap w:val="0"/>
            <w:vAlign w:val="center"/>
          </w:tcPr>
          <w:p w14:paraId="06B935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21AF80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通过建立完整的技术支持体系，完善水质监测监控体系，加强数据采集和传输能力，提高生态管理水平</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CA105F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2F7B3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339F31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通过建立完整的技术支持体系，完善水质监测监控体系，加强数据采集和传输能力，提高生态管理水平</w:t>
            </w:r>
          </w:p>
        </w:tc>
      </w:tr>
      <w:tr w14:paraId="13D2F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511DB8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4DFCA1F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满意度指标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4D266B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服务对象</w:t>
            </w:r>
            <w:r>
              <w:rPr>
                <w:rFonts w:hint="eastAsia" w:ascii="Times New Roman" w:hAnsi="Times New Roman" w:eastAsia="宋体" w:cs="Times New Roman"/>
                <w:i w:val="0"/>
                <w:color w:val="000000"/>
                <w:kern w:val="0"/>
                <w:sz w:val="24"/>
                <w:szCs w:val="24"/>
                <w:u w:val="none"/>
                <w:lang w:val="en-US" w:eastAsia="zh-CN" w:bidi="ar"/>
              </w:rPr>
              <w:br w:type="textWrapping"/>
            </w:r>
            <w:r>
              <w:rPr>
                <w:rFonts w:hint="eastAsia"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5BE3559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群众满意度</w:t>
            </w:r>
          </w:p>
        </w:tc>
        <w:tc>
          <w:tcPr>
            <w:tcW w:w="1127" w:type="dxa"/>
            <w:tcBorders>
              <w:top w:val="single" w:color="000000" w:sz="4" w:space="0"/>
              <w:left w:val="single" w:color="auto" w:sz="4" w:space="0"/>
              <w:bottom w:val="single" w:color="000000" w:sz="4" w:space="0"/>
              <w:right w:val="single" w:color="000000" w:sz="4" w:space="0"/>
            </w:tcBorders>
            <w:noWrap w:val="0"/>
            <w:vAlign w:val="center"/>
          </w:tcPr>
          <w:p w14:paraId="7CA7C8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335AB5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A788B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EAEB61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AF730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90%</w:t>
            </w:r>
          </w:p>
        </w:tc>
      </w:tr>
      <w:tr w14:paraId="6AD97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0"/>
            <w:vAlign w:val="center"/>
          </w:tcPr>
          <w:p w14:paraId="267B6F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081" w:type="dxa"/>
            <w:tcBorders>
              <w:top w:val="single" w:color="auto" w:sz="4" w:space="0"/>
              <w:left w:val="single" w:color="auto" w:sz="4" w:space="0"/>
              <w:bottom w:val="single" w:color="auto" w:sz="4" w:space="0"/>
              <w:right w:val="single" w:color="auto" w:sz="4" w:space="0"/>
            </w:tcBorders>
            <w:noWrap w:val="0"/>
            <w:vAlign w:val="center"/>
          </w:tcPr>
          <w:p w14:paraId="037E6C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auto" w:sz="4" w:space="0"/>
              <w:left w:val="single" w:color="auto" w:sz="4" w:space="0"/>
              <w:bottom w:val="single" w:color="auto" w:sz="4" w:space="0"/>
              <w:right w:val="single" w:color="auto" w:sz="4" w:space="0"/>
            </w:tcBorders>
            <w:noWrap w:val="0"/>
            <w:vAlign w:val="center"/>
          </w:tcPr>
          <w:p w14:paraId="0B67418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经济成本指标</w:t>
            </w:r>
          </w:p>
        </w:tc>
        <w:tc>
          <w:tcPr>
            <w:tcW w:w="1312" w:type="dxa"/>
            <w:tcBorders>
              <w:top w:val="single" w:color="auto" w:sz="4" w:space="0"/>
              <w:left w:val="single" w:color="auto" w:sz="4" w:space="0"/>
              <w:bottom w:val="single" w:color="auto" w:sz="4" w:space="0"/>
              <w:right w:val="single" w:color="auto" w:sz="4" w:space="0"/>
            </w:tcBorders>
            <w:noWrap w:val="0"/>
            <w:vAlign w:val="center"/>
          </w:tcPr>
          <w:p w14:paraId="2C70F66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预算总控数</w:t>
            </w:r>
          </w:p>
        </w:tc>
        <w:tc>
          <w:tcPr>
            <w:tcW w:w="1127" w:type="dxa"/>
            <w:tcBorders>
              <w:top w:val="single" w:color="000000" w:sz="4" w:space="0"/>
              <w:left w:val="single" w:color="auto" w:sz="4" w:space="0"/>
              <w:bottom w:val="single" w:color="000000" w:sz="4" w:space="0"/>
              <w:right w:val="single" w:color="000000" w:sz="4" w:space="0"/>
            </w:tcBorders>
            <w:noWrap w:val="0"/>
            <w:vAlign w:val="center"/>
          </w:tcPr>
          <w:p w14:paraId="703D62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3ADE7C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1348.41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8DE9DC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eastAsia"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9C3FDC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9CDD1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eastAsia" w:ascii="Times New Roman" w:hAnsi="Times New Roman" w:eastAsia="宋体" w:cs="Times New Roman"/>
                <w:i w:val="0"/>
                <w:color w:val="000000"/>
                <w:kern w:val="0"/>
                <w:sz w:val="24"/>
                <w:szCs w:val="24"/>
                <w:u w:val="none"/>
                <w:lang w:val="en-US" w:eastAsia="zh-CN" w:bidi="ar"/>
              </w:rPr>
              <w:t>277.46</w:t>
            </w:r>
          </w:p>
        </w:tc>
      </w:tr>
    </w:tbl>
    <w:p w14:paraId="6A7AF423">
      <w:pPr>
        <w:rPr>
          <w:rFonts w:hint="eastAsia"/>
        </w:rPr>
      </w:pPr>
    </w:p>
    <w:p w14:paraId="6723CD58">
      <w:pPr>
        <w:rPr>
          <w:rFonts w:hint="eastAsia"/>
        </w:rPr>
      </w:pPr>
    </w:p>
    <w:p w14:paraId="653C4958">
      <w:pPr>
        <w:rPr>
          <w:rFonts w:hint="eastAsia"/>
        </w:rPr>
      </w:pPr>
    </w:p>
    <w:p w14:paraId="041DDD8C">
      <w:pPr>
        <w:rPr>
          <w:rFonts w:hint="eastAsia"/>
        </w:rPr>
      </w:pPr>
    </w:p>
    <w:p w14:paraId="00AB27A7">
      <w:pPr>
        <w:rPr>
          <w:rFonts w:hint="eastAsia"/>
        </w:rPr>
      </w:pPr>
    </w:p>
    <w:p w14:paraId="0E6FFD52">
      <w:pPr>
        <w:rPr>
          <w:rFonts w:hint="eastAsia"/>
        </w:rPr>
      </w:pPr>
    </w:p>
    <w:p w14:paraId="36F505D8">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16FA5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0D1FCDB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0304D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C06DC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0CC722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黑水生态</w:t>
            </w:r>
            <w:r>
              <w:rPr>
                <w:rFonts w:hint="default" w:ascii="Times New Roman" w:hAnsi="Times New Roman" w:eastAsia="宋体" w:cs="Times New Roman"/>
                <w:i w:val="0"/>
                <w:color w:val="000000"/>
                <w:sz w:val="24"/>
                <w:szCs w:val="24"/>
                <w:u w:val="none"/>
                <w:lang w:val="en-US" w:eastAsia="zh-CN"/>
              </w:rPr>
              <w:t>环境</w:t>
            </w:r>
            <w:r>
              <w:rPr>
                <w:rFonts w:hint="eastAsia" w:eastAsia="宋体" w:cs="Times New Roman"/>
                <w:i w:val="0"/>
                <w:color w:val="000000"/>
                <w:sz w:val="24"/>
                <w:szCs w:val="24"/>
                <w:u w:val="none"/>
                <w:lang w:val="en-US" w:eastAsia="zh-CN"/>
              </w:rPr>
              <w:t>局</w:t>
            </w:r>
            <w:r>
              <w:rPr>
                <w:rFonts w:hint="default" w:ascii="Times New Roman" w:hAnsi="Times New Roman" w:eastAsia="宋体" w:cs="Times New Roman"/>
                <w:i w:val="0"/>
                <w:color w:val="000000"/>
                <w:sz w:val="24"/>
                <w:szCs w:val="24"/>
                <w:u w:val="none"/>
                <w:lang w:val="en-US" w:eastAsia="zh-CN"/>
              </w:rPr>
              <w:t>宣传教育经费</w:t>
            </w:r>
            <w:r>
              <w:rPr>
                <w:rFonts w:hint="eastAsia" w:eastAsia="宋体" w:cs="Times New Roman"/>
                <w:i w:val="0"/>
                <w:color w:val="000000"/>
                <w:sz w:val="24"/>
                <w:szCs w:val="24"/>
                <w:u w:val="none"/>
                <w:lang w:val="en-US" w:eastAsia="zh-CN"/>
              </w:rPr>
              <w:t>项目</w:t>
            </w:r>
          </w:p>
        </w:tc>
      </w:tr>
      <w:tr w14:paraId="03C24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5E6AC63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21AFAF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阿坝州黑水生态环境局</w:t>
            </w:r>
          </w:p>
        </w:tc>
      </w:tr>
      <w:tr w14:paraId="4F9AD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00320C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5888C3A">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常年项目</w:t>
            </w:r>
          </w:p>
        </w:tc>
      </w:tr>
      <w:tr w14:paraId="45F27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26AB99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A545C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6CAD2F5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A8E8367">
            <w:pPr>
              <w:keepNext w:val="0"/>
              <w:keepLines w:val="0"/>
              <w:pageBreakBefore w:val="0"/>
              <w:kinsoku/>
              <w:wordWrap/>
              <w:overflowPunct/>
              <w:topLinePunct w:val="0"/>
              <w:autoSpaceDE/>
              <w:autoSpaceDN/>
              <w:bidi w:val="0"/>
              <w:adjustRightInd/>
              <w:snapToGrid/>
              <w:spacing w:line="300" w:lineRule="exact"/>
              <w:ind w:left="0" w:leftChars="0" w:firstLine="551" w:firstLine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证单位宣传教育工作正常开展，加大6.5世界环境宣传日宣传力度，利用每个宣传日对我县人民宣传环保相关法律法规宣传费、办公费及发放环保物资工作，强化环境宣传，提高全民环保意识，加大生态环保工作成效，完成年度宣传教育工作。</w:t>
            </w:r>
          </w:p>
        </w:tc>
      </w:tr>
      <w:tr w14:paraId="14138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50C2B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87719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1A2403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5A6B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8D79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9DCAD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343AE0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5F5167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BAC76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EE7504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7D147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93638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82F0C7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B059F1A">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C490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478B9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9E74D3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2BE12F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8D4F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8BCF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D8FBAB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239A949">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269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7D951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17F78E4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B44849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2022-长期</w:t>
            </w:r>
          </w:p>
        </w:tc>
      </w:tr>
      <w:tr w14:paraId="334D8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A785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2D4738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8276E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416ABF7">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r>
      <w:tr w14:paraId="51AC8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A977AB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514EB1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6CBECC7">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r>
      <w:tr w14:paraId="4B0E2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AC226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7B0C88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386035C">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0</w:t>
            </w:r>
          </w:p>
        </w:tc>
      </w:tr>
      <w:tr w14:paraId="6AA77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4336C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7D545C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58E94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FFA18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32A71F0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证单位宣传教育工作正常开展，加大6.5世界环境宣传日宣传力度，利用每个宣传日对我县人民宣传环保相关法律法规宣传费、办公费及发放环保物资工作，强化环境宣传，提高全民环保意识，加大生态环保工作成效，完成年度宣传教育工作。</w:t>
            </w:r>
          </w:p>
        </w:tc>
      </w:tr>
      <w:tr w14:paraId="0ECC1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656583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143C24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295223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FDC2D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73BF04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F80675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A904D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2A4BD8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FB4DB7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5556A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ACCE49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6B3AC1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371F2EA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E22A07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宣传日发放环保手册数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8FD8C5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B5AA1D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48FD65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E5AFAE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w:t>
            </w:r>
            <w:r>
              <w:rPr>
                <w:rFonts w:hint="eastAsia" w:eastAsia="宋体" w:cs="Times New Roman"/>
                <w:i w:val="0"/>
                <w:color w:val="000000"/>
                <w:sz w:val="24"/>
                <w:szCs w:val="24"/>
                <w:u w:val="none"/>
                <w:lang w:val="en-US" w:eastAsia="zh-CN"/>
              </w:rPr>
              <w:t>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5552E2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2000</w:t>
            </w:r>
          </w:p>
        </w:tc>
      </w:tr>
      <w:tr w14:paraId="2D670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1696B0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04BAB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AC8ED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8876F6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rPr>
              <w:t>宣传</w:t>
            </w:r>
            <w:r>
              <w:rPr>
                <w:rFonts w:hint="eastAsia" w:eastAsia="宋体" w:cs="Times New Roman"/>
                <w:i w:val="0"/>
                <w:color w:val="000000"/>
                <w:sz w:val="24"/>
                <w:szCs w:val="24"/>
                <w:u w:val="none"/>
                <w:lang w:val="en-US" w:eastAsia="zh-CN"/>
              </w:rPr>
              <w:t>展板设置数量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7CDB4F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&gt;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240228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F69FA4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C3A772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28EC1F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0274C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6566B0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1CF4F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DBAF89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D22771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宣传材料质量合格率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1FEF7A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F68A3A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DFE3E6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D833FE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D53871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96</w:t>
            </w:r>
          </w:p>
        </w:tc>
      </w:tr>
      <w:tr w14:paraId="01D93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ED2D1E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11499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1AF6A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159075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76B19B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4961CA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8D3509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AACE32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BE3944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62423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25E9F3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E09E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4A7FE0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9E8FF0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整体完成时限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416263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default" w:ascii="Arial" w:hAnsi="Arial" w:eastAsia="宋体" w:cs="Arial"/>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ED71A8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365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1B503C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日</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E2628E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887657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200</w:t>
            </w:r>
          </w:p>
        </w:tc>
      </w:tr>
      <w:tr w14:paraId="2C84F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00BB4D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378B68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tcBorders>
              <w:top w:val="single" w:color="000000" w:sz="4" w:space="0"/>
              <w:left w:val="single" w:color="000000" w:sz="4" w:space="0"/>
              <w:right w:val="single" w:color="000000" w:sz="4" w:space="0"/>
            </w:tcBorders>
            <w:noWrap w:val="0"/>
            <w:vAlign w:val="center"/>
          </w:tcPr>
          <w:p w14:paraId="2F19A82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692AD35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43DAE7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全县人民群众对环保的了解程度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36E2CF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636C96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了解程度全县提高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BC17C4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0B666B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C20409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提高</w:t>
            </w:r>
          </w:p>
        </w:tc>
      </w:tr>
      <w:tr w14:paraId="2B07B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E6F48D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18E64BB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79A4AE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0D009F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1B1089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1A63B4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5BEB47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1E3882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65112D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E85691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8BA08F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92</w:t>
            </w:r>
          </w:p>
        </w:tc>
      </w:tr>
      <w:tr w14:paraId="792BB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1809E6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24BC21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C9A27A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250633C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6FD1451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完成该项目投入成本金额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032F52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F057F1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BA064A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313E85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81FBAF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3.426</w:t>
            </w:r>
          </w:p>
        </w:tc>
      </w:tr>
    </w:tbl>
    <w:p w14:paraId="6457A681">
      <w:pPr>
        <w:rPr>
          <w:rFonts w:hint="eastAsia"/>
        </w:rPr>
      </w:pPr>
    </w:p>
    <w:p w14:paraId="1B87D0CF">
      <w:pPr>
        <w:rPr>
          <w:rFonts w:hint="eastAsia"/>
        </w:rPr>
      </w:pPr>
    </w:p>
    <w:p w14:paraId="17516284">
      <w:pPr>
        <w:rPr>
          <w:rFonts w:hint="eastAsia"/>
        </w:rPr>
      </w:pPr>
    </w:p>
    <w:p w14:paraId="363A6A74">
      <w:pPr>
        <w:rPr>
          <w:rFonts w:hint="eastAsia"/>
        </w:rPr>
      </w:pPr>
    </w:p>
    <w:p w14:paraId="424D61D0">
      <w:pPr>
        <w:rPr>
          <w:rFonts w:hint="eastAsia"/>
        </w:rPr>
      </w:pPr>
    </w:p>
    <w:p w14:paraId="52E513BA">
      <w:pPr>
        <w:rPr>
          <w:rFonts w:hint="eastAsia"/>
        </w:rPr>
      </w:pPr>
    </w:p>
    <w:p w14:paraId="4E54958B">
      <w:pPr>
        <w:rPr>
          <w:rFonts w:hint="eastAsia"/>
        </w:rPr>
      </w:pPr>
    </w:p>
    <w:p w14:paraId="5D14B691">
      <w:pPr>
        <w:rPr>
          <w:rFonts w:hint="eastAsia"/>
        </w:rPr>
      </w:pPr>
    </w:p>
    <w:p w14:paraId="264B6073">
      <w:pPr>
        <w:rPr>
          <w:rFonts w:hint="eastAsia"/>
        </w:rPr>
      </w:pPr>
    </w:p>
    <w:p w14:paraId="08377D8F">
      <w:pPr>
        <w:rPr>
          <w:rFonts w:hint="eastAsia"/>
        </w:rPr>
      </w:pPr>
    </w:p>
    <w:p w14:paraId="06E5BB43">
      <w:pPr>
        <w:rPr>
          <w:rFonts w:hint="eastAsia"/>
        </w:rPr>
      </w:pPr>
    </w:p>
    <w:p w14:paraId="592F3B22">
      <w:pPr>
        <w:rPr>
          <w:rFonts w:hint="eastAsia"/>
        </w:rPr>
      </w:pPr>
    </w:p>
    <w:p w14:paraId="04F494CB">
      <w:pPr>
        <w:rPr>
          <w:rFonts w:hint="eastAsia"/>
        </w:rPr>
      </w:pPr>
    </w:p>
    <w:p w14:paraId="2C5A0293">
      <w:pPr>
        <w:rPr>
          <w:rFonts w:hint="eastAsia"/>
        </w:rPr>
      </w:pPr>
    </w:p>
    <w:p w14:paraId="0CA80228">
      <w:pPr>
        <w:rPr>
          <w:rFonts w:hint="eastAsia"/>
        </w:rPr>
      </w:pPr>
    </w:p>
    <w:p w14:paraId="01BEB2DD">
      <w:pPr>
        <w:rPr>
          <w:rFonts w:hint="eastAsia"/>
        </w:rPr>
      </w:pPr>
    </w:p>
    <w:p w14:paraId="27CF4B06">
      <w:pPr>
        <w:rPr>
          <w:rFonts w:hint="eastAsia"/>
        </w:rPr>
      </w:pPr>
    </w:p>
    <w:p w14:paraId="773333EA">
      <w:pPr>
        <w:rPr>
          <w:rFonts w:hint="eastAsia"/>
        </w:rPr>
      </w:pPr>
    </w:p>
    <w:p w14:paraId="49E4ED71">
      <w:pPr>
        <w:rPr>
          <w:rFonts w:hint="eastAsia"/>
        </w:rPr>
      </w:pPr>
    </w:p>
    <w:p w14:paraId="06820E6C">
      <w:pPr>
        <w:rPr>
          <w:rFonts w:hint="eastAsia"/>
        </w:rPr>
      </w:pPr>
    </w:p>
    <w:p w14:paraId="2C0D6DED">
      <w:pPr>
        <w:rPr>
          <w:rFonts w:hint="eastAsia"/>
        </w:rPr>
      </w:pPr>
    </w:p>
    <w:p w14:paraId="3F1D6D8A">
      <w:pPr>
        <w:rPr>
          <w:rFonts w:hint="eastAsia"/>
        </w:rPr>
      </w:pPr>
    </w:p>
    <w:p w14:paraId="4C6CF9FD">
      <w:pPr>
        <w:rPr>
          <w:rFonts w:hint="eastAsia"/>
        </w:rPr>
      </w:pPr>
    </w:p>
    <w:p w14:paraId="01034F57">
      <w:pPr>
        <w:rPr>
          <w:rFonts w:hint="eastAsia"/>
        </w:rPr>
      </w:pPr>
    </w:p>
    <w:p w14:paraId="14D22007">
      <w:pPr>
        <w:rPr>
          <w:rFonts w:hint="eastAsia"/>
        </w:rPr>
      </w:pPr>
    </w:p>
    <w:p w14:paraId="787BF8CC">
      <w:pPr>
        <w:rPr>
          <w:rFonts w:hint="eastAsia"/>
        </w:rPr>
      </w:pPr>
    </w:p>
    <w:p w14:paraId="55023151">
      <w:pPr>
        <w:rPr>
          <w:rFonts w:hint="eastAsia"/>
        </w:rPr>
      </w:pPr>
    </w:p>
    <w:p w14:paraId="43A1BF6E">
      <w:pPr>
        <w:rPr>
          <w:rFonts w:hint="eastAsia"/>
        </w:rPr>
      </w:pPr>
    </w:p>
    <w:p w14:paraId="7BBBC201">
      <w:pPr>
        <w:rPr>
          <w:rFonts w:hint="eastAsia"/>
        </w:rPr>
      </w:pPr>
    </w:p>
    <w:p w14:paraId="514236A8">
      <w:pPr>
        <w:rPr>
          <w:rFonts w:hint="eastAsia"/>
        </w:rPr>
      </w:pPr>
    </w:p>
    <w:p w14:paraId="03891223">
      <w:pPr>
        <w:rPr>
          <w:rFonts w:hint="eastAsia"/>
        </w:rPr>
      </w:pPr>
    </w:p>
    <w:p w14:paraId="555EDDC2">
      <w:pPr>
        <w:rPr>
          <w:rFonts w:hint="eastAsia"/>
        </w:rPr>
      </w:pPr>
    </w:p>
    <w:p w14:paraId="2B570C7B">
      <w:pPr>
        <w:rPr>
          <w:rFonts w:hint="eastAsia"/>
        </w:rPr>
      </w:pPr>
    </w:p>
    <w:p w14:paraId="2E5C4203">
      <w:pPr>
        <w:rPr>
          <w:rFonts w:hint="eastAsia"/>
        </w:rPr>
      </w:pPr>
    </w:p>
    <w:p w14:paraId="70787B88">
      <w:pPr>
        <w:rPr>
          <w:rFonts w:hint="eastAsia"/>
        </w:rPr>
      </w:pPr>
    </w:p>
    <w:p w14:paraId="53A50DD7">
      <w:pPr>
        <w:rPr>
          <w:rFonts w:hint="eastAsia"/>
        </w:rPr>
      </w:pPr>
    </w:p>
    <w:p w14:paraId="440192EA">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5F31A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0913300C">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29D9C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B9F9A1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D6B36E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环境应急监测重点污染源监督性监测及监测运维经费</w:t>
            </w:r>
          </w:p>
        </w:tc>
      </w:tr>
      <w:tr w14:paraId="7CAFC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DDA4EF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61F55E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阿坝州黑水生态环境局</w:t>
            </w:r>
          </w:p>
        </w:tc>
      </w:tr>
      <w:tr w14:paraId="572B6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994C9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8BB7CA2">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常年项目</w:t>
            </w:r>
          </w:p>
        </w:tc>
      </w:tr>
      <w:tr w14:paraId="7F18F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ED6E28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ADAC0E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34A4BD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D0E1E5D">
            <w:pPr>
              <w:keepNext w:val="0"/>
              <w:keepLines w:val="0"/>
              <w:pageBreakBefore w:val="0"/>
              <w:kinsoku/>
              <w:wordWrap/>
              <w:overflowPunct/>
              <w:topLinePunct w:val="0"/>
              <w:autoSpaceDE/>
              <w:autoSpaceDN/>
              <w:bidi w:val="0"/>
              <w:adjustRightInd/>
              <w:snapToGrid/>
              <w:spacing w:line="300" w:lineRule="exact"/>
              <w:ind w:left="0" w:leftChars="0" w:firstLine="551" w:firstLine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根据省州下发的环境质量监测工作方案以及地方政府要求的环境质量监测及风险评估等要求，开展此项工作，环境执法应急监测重点污染源监督性监测及监测运维经费主要用于完成年度环境应急监测，监测站运维，重点污染源常规监测。确保环境监测站的正常运行，为开展比对监测、日常常规监测提供基础保障。</w:t>
            </w:r>
          </w:p>
        </w:tc>
      </w:tr>
      <w:tr w14:paraId="5384C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7B91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FEF77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23DCBD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68BB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BFC08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C58859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1FB969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240E4A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7095DE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9F266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53124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CEB57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A7A2B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135C8FE">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EB2AF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A0AC5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4CC3B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9895C7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F1F1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11AAC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C3771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0CF81E3">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17BC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FC9E8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2494BE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C51931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2022-长期</w:t>
            </w:r>
          </w:p>
        </w:tc>
      </w:tr>
      <w:tr w14:paraId="336E6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5B20F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3A11F7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9463B1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7115811">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r>
      <w:tr w14:paraId="0BCDD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7447A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B2A3CE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6D5F03D">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r>
      <w:tr w14:paraId="078E5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83FA68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64952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C5150EF">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0</w:t>
            </w:r>
          </w:p>
        </w:tc>
      </w:tr>
      <w:tr w14:paraId="4A9CA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36E1A70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95553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1D6AF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643E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01E6C44A">
            <w:pPr>
              <w:keepNext w:val="0"/>
              <w:keepLines w:val="0"/>
              <w:pageBreakBefore w:val="0"/>
              <w:kinsoku/>
              <w:wordWrap/>
              <w:overflowPunct/>
              <w:topLinePunct w:val="0"/>
              <w:autoSpaceDE/>
              <w:autoSpaceDN/>
              <w:bidi w:val="0"/>
              <w:adjustRightInd/>
              <w:snapToGrid/>
              <w:spacing w:line="300" w:lineRule="exact"/>
              <w:ind w:left="0" w:leftChars="0" w:firstLine="480" w:firstLineChars="20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根据省州下发的环境质量监测工作方案以及地方政府要求的环境质量监测及风险评估等要求，开展此项工作，环境执法应急监测重点污染源监督性监测及监测运维经费主要用于完成年度环境应急监测，监测站运维，重点污染源常规监测。确保环境监测站的正常运行，为开展比对监测、日常常规监测提供基础保障。</w:t>
            </w:r>
          </w:p>
        </w:tc>
      </w:tr>
      <w:tr w14:paraId="55055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566E263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78C20B3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8BA6E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B71B09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E409B1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6699B4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14FD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D4215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F2FE1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5F5C9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FF51FA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F2CF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161FE1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738CEB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开展常规监测次数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A021B2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222C5E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DABA31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49E688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110A7A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78412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BB8C6D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E44E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A1F3C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F75F723">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应急监测演练次数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C10361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47CCAE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B51905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704BEE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4F8139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r>
      <w:tr w14:paraId="44004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135F51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A3A04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955E7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48836A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监测准确率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668581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F80371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F6B9F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626724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AA53F0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r>
      <w:tr w14:paraId="55B04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81C902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11566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C566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D64F46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1C64A1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CB5F4F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E709B9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319ED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A75514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59239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0DFC62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7A179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2C974B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72AB3E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整体完成时限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443C0C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E1D50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365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483893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日</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C7C9CF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7B64FC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300</w:t>
            </w:r>
          </w:p>
        </w:tc>
      </w:tr>
      <w:tr w14:paraId="666C9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D139DC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46662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CC73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CDD314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应急</w:t>
            </w:r>
            <w:r>
              <w:rPr>
                <w:rFonts w:hint="eastAsia" w:eastAsia="宋体" w:cs="Times New Roman"/>
                <w:i w:val="0"/>
                <w:color w:val="000000"/>
                <w:sz w:val="24"/>
                <w:szCs w:val="24"/>
                <w:u w:val="none"/>
                <w:lang w:val="en-US" w:eastAsia="zh-CN"/>
              </w:rPr>
              <w:t>响应</w:t>
            </w:r>
            <w:r>
              <w:rPr>
                <w:rFonts w:hint="default" w:ascii="Times New Roman" w:hAnsi="Times New Roman" w:eastAsia="宋体" w:cs="Times New Roman"/>
                <w:i w:val="0"/>
                <w:color w:val="000000"/>
                <w:sz w:val="24"/>
                <w:szCs w:val="24"/>
                <w:u w:val="none"/>
              </w:rPr>
              <w:t>时间</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E1A71E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default"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B1E129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D61A74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分钟</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18941E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265582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30</w:t>
            </w:r>
          </w:p>
        </w:tc>
      </w:tr>
      <w:tr w14:paraId="61D0C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DC6C18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467C9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14:paraId="5686D3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18EAC2E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F91A98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提升全员安全意识</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7F05DD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C94203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显著提升</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595951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DCB949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A50643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提升</w:t>
            </w:r>
          </w:p>
        </w:tc>
      </w:tr>
      <w:tr w14:paraId="3968C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3E284D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244B453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614ECB7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28DA24D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545AD7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CF035E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EE6513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CF8E6E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D0C542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8E8D54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FE251B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90</w:t>
            </w:r>
          </w:p>
        </w:tc>
      </w:tr>
      <w:tr w14:paraId="12148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810F0F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4B0D4D9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7E69E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10DC8FF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1CAE226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完成该项目投入成本金额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B1DA0A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5462DF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08D1A4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4BFDBA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B8E345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r>
    </w:tbl>
    <w:p w14:paraId="0319170F">
      <w:pPr>
        <w:rPr>
          <w:rFonts w:hint="eastAsia"/>
        </w:rPr>
      </w:pPr>
    </w:p>
    <w:p w14:paraId="699B8C96">
      <w:pPr>
        <w:rPr>
          <w:rFonts w:hint="eastAsia"/>
        </w:rPr>
      </w:pPr>
    </w:p>
    <w:p w14:paraId="1579F13F">
      <w:pPr>
        <w:rPr>
          <w:rFonts w:hint="eastAsia"/>
        </w:rPr>
      </w:pPr>
    </w:p>
    <w:p w14:paraId="4ABFCBEF">
      <w:pPr>
        <w:rPr>
          <w:rFonts w:hint="eastAsia"/>
        </w:rPr>
      </w:pPr>
    </w:p>
    <w:p w14:paraId="731861E5">
      <w:pPr>
        <w:rPr>
          <w:rFonts w:hint="eastAsia"/>
        </w:rPr>
      </w:pPr>
    </w:p>
    <w:p w14:paraId="1BEF8E24">
      <w:pPr>
        <w:rPr>
          <w:rFonts w:hint="eastAsia"/>
        </w:rPr>
      </w:pPr>
    </w:p>
    <w:p w14:paraId="64EA6578">
      <w:pPr>
        <w:rPr>
          <w:rFonts w:hint="eastAsia"/>
        </w:rPr>
      </w:pPr>
    </w:p>
    <w:p w14:paraId="158C3B04">
      <w:pPr>
        <w:rPr>
          <w:rFonts w:hint="eastAsia"/>
        </w:rPr>
      </w:pPr>
    </w:p>
    <w:p w14:paraId="365DB2EB">
      <w:pPr>
        <w:rPr>
          <w:rFonts w:hint="eastAsia"/>
        </w:rPr>
      </w:pPr>
    </w:p>
    <w:p w14:paraId="6179D596">
      <w:pPr>
        <w:rPr>
          <w:rFonts w:hint="eastAsia"/>
        </w:rPr>
      </w:pPr>
    </w:p>
    <w:p w14:paraId="0F8A64C0">
      <w:pPr>
        <w:rPr>
          <w:rFonts w:hint="eastAsia"/>
        </w:rPr>
      </w:pPr>
    </w:p>
    <w:p w14:paraId="7D2A180F">
      <w:pPr>
        <w:rPr>
          <w:rFonts w:hint="eastAsia"/>
        </w:rPr>
      </w:pPr>
    </w:p>
    <w:p w14:paraId="25C7C871">
      <w:pPr>
        <w:rPr>
          <w:rFonts w:hint="eastAsia"/>
        </w:rPr>
      </w:pPr>
    </w:p>
    <w:p w14:paraId="38A7C734">
      <w:pPr>
        <w:rPr>
          <w:rFonts w:hint="eastAsia"/>
        </w:rPr>
      </w:pPr>
    </w:p>
    <w:p w14:paraId="50A3B0D3">
      <w:pPr>
        <w:rPr>
          <w:rFonts w:hint="eastAsia"/>
        </w:rPr>
      </w:pPr>
    </w:p>
    <w:p w14:paraId="2067ADA5">
      <w:pPr>
        <w:rPr>
          <w:rFonts w:hint="eastAsia"/>
        </w:rPr>
      </w:pPr>
    </w:p>
    <w:p w14:paraId="17F5C58A">
      <w:pPr>
        <w:rPr>
          <w:rFonts w:hint="eastAsia"/>
        </w:rPr>
      </w:pPr>
    </w:p>
    <w:p w14:paraId="7EFEBD86">
      <w:pPr>
        <w:rPr>
          <w:rFonts w:hint="eastAsia"/>
        </w:rPr>
      </w:pPr>
    </w:p>
    <w:p w14:paraId="0AD9C8D7">
      <w:pPr>
        <w:rPr>
          <w:rFonts w:hint="eastAsia"/>
        </w:rPr>
      </w:pPr>
    </w:p>
    <w:p w14:paraId="654F7AB7">
      <w:pPr>
        <w:rPr>
          <w:rFonts w:hint="eastAsia"/>
        </w:rPr>
      </w:pPr>
    </w:p>
    <w:p w14:paraId="1A0685A2">
      <w:pPr>
        <w:rPr>
          <w:rFonts w:hint="eastAsia"/>
        </w:rPr>
      </w:pPr>
    </w:p>
    <w:p w14:paraId="263975F4">
      <w:pPr>
        <w:rPr>
          <w:rFonts w:hint="eastAsia"/>
        </w:rPr>
      </w:pPr>
    </w:p>
    <w:p w14:paraId="2A4F4FE0">
      <w:pPr>
        <w:rPr>
          <w:rFonts w:hint="eastAsia"/>
        </w:rPr>
      </w:pPr>
    </w:p>
    <w:p w14:paraId="29B44806">
      <w:pPr>
        <w:rPr>
          <w:rFonts w:hint="eastAsia"/>
        </w:rPr>
      </w:pPr>
    </w:p>
    <w:p w14:paraId="2AEEA14C">
      <w:pPr>
        <w:rPr>
          <w:rFonts w:hint="eastAsia"/>
        </w:rPr>
      </w:pPr>
    </w:p>
    <w:p w14:paraId="6F858D40">
      <w:pPr>
        <w:rPr>
          <w:rFonts w:hint="eastAsia"/>
        </w:rPr>
      </w:pPr>
    </w:p>
    <w:p w14:paraId="0D71E9F7">
      <w:pPr>
        <w:rPr>
          <w:rFonts w:hint="eastAsia"/>
        </w:rPr>
      </w:pPr>
    </w:p>
    <w:p w14:paraId="06DB284E">
      <w:pPr>
        <w:rPr>
          <w:rFonts w:hint="eastAsia"/>
        </w:rPr>
      </w:pPr>
    </w:p>
    <w:p w14:paraId="4A7FF5A6">
      <w:pPr>
        <w:rPr>
          <w:rFonts w:hint="eastAsia"/>
        </w:rPr>
      </w:pPr>
    </w:p>
    <w:p w14:paraId="4270DB70">
      <w:pPr>
        <w:rPr>
          <w:rFonts w:hint="eastAsia"/>
        </w:rPr>
      </w:pPr>
    </w:p>
    <w:p w14:paraId="5B49EAF6">
      <w:pPr>
        <w:rPr>
          <w:rFonts w:hint="eastAsia"/>
        </w:rPr>
      </w:pPr>
    </w:p>
    <w:p w14:paraId="76B6B6E4">
      <w:pPr>
        <w:rPr>
          <w:rFonts w:hint="eastAsia"/>
        </w:rPr>
      </w:pPr>
    </w:p>
    <w:p w14:paraId="1C5DFCBA">
      <w:pPr>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44BEF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0E121C95">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02ED8E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B48176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3E0132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生态环境执法</w:t>
            </w:r>
            <w:r>
              <w:rPr>
                <w:rFonts w:hint="eastAsia" w:eastAsia="宋体" w:cs="Times New Roman"/>
                <w:i w:val="0"/>
                <w:color w:val="000000"/>
                <w:sz w:val="24"/>
                <w:szCs w:val="24"/>
                <w:u w:val="none"/>
                <w:lang w:val="en-US" w:eastAsia="zh-CN"/>
              </w:rPr>
              <w:t>工作经费</w:t>
            </w:r>
            <w:r>
              <w:rPr>
                <w:rFonts w:hint="default" w:ascii="Times New Roman" w:hAnsi="Times New Roman" w:eastAsia="宋体" w:cs="Times New Roman"/>
                <w:i w:val="0"/>
                <w:color w:val="000000"/>
                <w:sz w:val="24"/>
                <w:szCs w:val="24"/>
                <w:u w:val="none"/>
                <w:lang w:val="en-US" w:eastAsia="zh-CN"/>
              </w:rPr>
              <w:t>项目</w:t>
            </w:r>
          </w:p>
        </w:tc>
      </w:tr>
      <w:tr w14:paraId="2DC5F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9FFAA0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8C2502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阿坝州黑水生态环境局</w:t>
            </w:r>
          </w:p>
        </w:tc>
      </w:tr>
      <w:tr w14:paraId="6C6B0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6B357A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A03E356">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常年项目</w:t>
            </w:r>
          </w:p>
        </w:tc>
      </w:tr>
      <w:tr w14:paraId="61924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29155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9C387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6E2BB0E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718F1AD">
            <w:pPr>
              <w:keepNext w:val="0"/>
              <w:keepLines w:val="0"/>
              <w:pageBreakBefore w:val="0"/>
              <w:kinsoku/>
              <w:wordWrap/>
              <w:overflowPunct/>
              <w:topLinePunct w:val="0"/>
              <w:autoSpaceDE/>
              <w:autoSpaceDN/>
              <w:bidi w:val="0"/>
              <w:adjustRightInd/>
              <w:snapToGrid/>
              <w:spacing w:line="300" w:lineRule="exact"/>
              <w:ind w:left="0" w:leftChars="0" w:firstLine="551" w:firstLineChars="0"/>
              <w:jc w:val="left"/>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负责环境监理和环境保护行政稽查；负责环境监测、统计、信息工作；负责年度监督性对生态环境有影响的自然资源开发利用活动、重要生态环境建设和生态环境破坏修复工作；组织开展环境保护执法检查活动产生的差旅费及办公费。通过环境执法检查，提高群众环保意识，改善居民生活环境质量。</w:t>
            </w:r>
          </w:p>
        </w:tc>
      </w:tr>
      <w:tr w14:paraId="316D7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B564D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418D5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1CE6B72">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AA76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3308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588D0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24D3E5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3C1915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6C0D4F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59D798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58D5E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615D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A83E75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8044A05">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231E2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8D8A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E774E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7D8EF5C">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66C76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4F8BD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7B307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7847087">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7015F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31110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D1901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2FBBBD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2022-长期</w:t>
            </w:r>
          </w:p>
        </w:tc>
      </w:tr>
      <w:tr w14:paraId="5A2AA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47876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64334D6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E85648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41D6D69">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5.6</w:t>
            </w:r>
          </w:p>
        </w:tc>
      </w:tr>
      <w:tr w14:paraId="059B9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0B744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024185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AF8CB01">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5.6</w:t>
            </w:r>
          </w:p>
        </w:tc>
      </w:tr>
      <w:tr w14:paraId="4455B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BBEAE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B7423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BC20FDB">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0</w:t>
            </w:r>
          </w:p>
        </w:tc>
      </w:tr>
      <w:tr w14:paraId="54D2D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408A36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9C1F6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34241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5955D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D5155D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积极推行环境监管工作重心下移、关口前移，做到各类环境问题早发现、早控制、早处置。及时化解环境污染纠纷，有效精准查处各类环境违法和犯罪行为。</w:t>
            </w:r>
          </w:p>
        </w:tc>
      </w:tr>
      <w:tr w14:paraId="0BC30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1986547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46D4A4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B77B0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CD36AB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7EF717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B65B40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4C6A92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2A9E84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AABAB8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045EF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4229B3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431295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912961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94580A0">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val="en-US" w:eastAsia="zh-CN"/>
              </w:rPr>
              <w:t>年度环境监测次数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AB94EC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029ED2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A39D43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532865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882ED8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3D706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278D05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53C56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53E7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1B85F89">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执法任务完成率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CA8C9E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E9526B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0D866A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CB562E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F2E8C6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14:paraId="5DB0E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4D1E87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DF601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E464D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339768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双随机达标率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66325E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C99A6B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1A010C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475FDC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71F054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100</w:t>
            </w:r>
          </w:p>
        </w:tc>
      </w:tr>
      <w:tr w14:paraId="465F4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8C7EEC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9DF4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6BF14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83685E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AF967C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84FD29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384EB8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F7A2B6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9AC5A5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345B1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23CBB7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7FFCB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7559A0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BF62EC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整体完成时限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BDDB8E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94A3B9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365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0601AD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日</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E456BD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9BB3D3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200</w:t>
            </w:r>
          </w:p>
        </w:tc>
      </w:tr>
      <w:tr w14:paraId="5A8B3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8D7DDD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8F4BE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14:paraId="52FCF48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278BA43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3B00CE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提高群众环保意识</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AAAE1C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2BC34F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群众环保意识明显</w:t>
            </w:r>
            <w:r>
              <w:rPr>
                <w:rFonts w:hint="eastAsia" w:ascii="Times New Roman" w:hAnsi="Times New Roman" w:eastAsia="宋体" w:cs="Times New Roman"/>
                <w:i w:val="0"/>
                <w:color w:val="000000"/>
                <w:sz w:val="24"/>
                <w:szCs w:val="24"/>
                <w:u w:val="none"/>
                <w:lang w:val="en-US" w:eastAsia="zh-CN"/>
              </w:rPr>
              <w:t>提高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2E921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30C92D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CA2FFB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提高</w:t>
            </w:r>
          </w:p>
        </w:tc>
      </w:tr>
      <w:tr w14:paraId="605A7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4CEF5E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A8255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EEA387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lang w:val="en-US"/>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FB9007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对周末居民生活生产环境影响程度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0B00F5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364A09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有所改善</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FFBC32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036CF3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AE1069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改善</w:t>
            </w:r>
          </w:p>
        </w:tc>
      </w:tr>
      <w:tr w14:paraId="4239C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00B641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153568E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79C828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0349748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32EA7A1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0C2FC8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DBF4EA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D01AE0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22C6AA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858DE4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C4FC51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90</w:t>
            </w:r>
          </w:p>
        </w:tc>
      </w:tr>
      <w:tr w14:paraId="2CE84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EF6028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5C371F7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2BCE4A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25A60B9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2309871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完成该项目投入成本金额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4B7655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72657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71443A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0A2C8F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062275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5.5604</w:t>
            </w:r>
          </w:p>
        </w:tc>
      </w:tr>
    </w:tbl>
    <w:p w14:paraId="6807883F">
      <w:pPr>
        <w:rPr>
          <w:rFonts w:hint="eastAsia"/>
        </w:rPr>
      </w:pPr>
    </w:p>
    <w:p w14:paraId="6939DDB8">
      <w:pPr>
        <w:pStyle w:val="12"/>
        <w:rPr>
          <w:rFonts w:hint="eastAsia"/>
        </w:rPr>
      </w:pPr>
    </w:p>
    <w:p w14:paraId="7FC3A4AF">
      <w:pPr>
        <w:rPr>
          <w:rFonts w:hint="eastAsia"/>
        </w:rPr>
      </w:pPr>
    </w:p>
    <w:p w14:paraId="76152815">
      <w:pPr>
        <w:bidi w:val="0"/>
        <w:rPr>
          <w:rFonts w:hint="eastAsia"/>
        </w:rPr>
      </w:pPr>
    </w:p>
    <w:p w14:paraId="26DBB6AC">
      <w:pPr>
        <w:bidi w:val="0"/>
        <w:rPr>
          <w:rFonts w:hint="eastAsia"/>
        </w:rPr>
      </w:pPr>
    </w:p>
    <w:p w14:paraId="4FDCDC66">
      <w:pPr>
        <w:bidi w:val="0"/>
        <w:rPr>
          <w:rFonts w:hint="eastAsia"/>
        </w:rPr>
      </w:pPr>
    </w:p>
    <w:p w14:paraId="5F468A1E">
      <w:pPr>
        <w:bidi w:val="0"/>
        <w:rPr>
          <w:rFonts w:hint="eastAsia"/>
        </w:rPr>
      </w:pPr>
    </w:p>
    <w:p w14:paraId="1D0707CC">
      <w:pPr>
        <w:bidi w:val="0"/>
        <w:rPr>
          <w:rFonts w:hint="eastAsia"/>
        </w:rPr>
      </w:pPr>
    </w:p>
    <w:p w14:paraId="7CC0DF92">
      <w:pPr>
        <w:bidi w:val="0"/>
        <w:rPr>
          <w:rFonts w:hint="eastAsia"/>
        </w:rPr>
      </w:pPr>
    </w:p>
    <w:p w14:paraId="686FCF28">
      <w:pPr>
        <w:bidi w:val="0"/>
        <w:rPr>
          <w:rFonts w:hint="eastAsia"/>
        </w:rPr>
      </w:pPr>
    </w:p>
    <w:p w14:paraId="286E809A">
      <w:pPr>
        <w:bidi w:val="0"/>
        <w:rPr>
          <w:rFonts w:hint="eastAsia"/>
        </w:rPr>
      </w:pPr>
    </w:p>
    <w:p w14:paraId="0546C650">
      <w:pPr>
        <w:bidi w:val="0"/>
        <w:rPr>
          <w:rFonts w:hint="eastAsia"/>
        </w:rPr>
      </w:pPr>
    </w:p>
    <w:p w14:paraId="155FA758">
      <w:pPr>
        <w:bidi w:val="0"/>
        <w:rPr>
          <w:rFonts w:hint="eastAsia"/>
        </w:rPr>
      </w:pPr>
    </w:p>
    <w:p w14:paraId="02EF9071">
      <w:pPr>
        <w:bidi w:val="0"/>
        <w:rPr>
          <w:rFonts w:hint="eastAsia"/>
        </w:rPr>
      </w:pPr>
    </w:p>
    <w:p w14:paraId="5E6B6294">
      <w:pPr>
        <w:bidi w:val="0"/>
        <w:rPr>
          <w:rFonts w:hint="eastAsia"/>
        </w:rPr>
      </w:pPr>
    </w:p>
    <w:p w14:paraId="768BD755">
      <w:pPr>
        <w:bidi w:val="0"/>
        <w:rPr>
          <w:rFonts w:hint="eastAsia"/>
        </w:rPr>
      </w:pPr>
    </w:p>
    <w:p w14:paraId="526D0556">
      <w:pPr>
        <w:bidi w:val="0"/>
        <w:rPr>
          <w:rFonts w:hint="eastAsia"/>
        </w:rPr>
      </w:pPr>
    </w:p>
    <w:p w14:paraId="451990BC">
      <w:pPr>
        <w:bidi w:val="0"/>
        <w:rPr>
          <w:rFonts w:hint="eastAsia"/>
        </w:rPr>
      </w:pPr>
    </w:p>
    <w:p w14:paraId="65706B95">
      <w:pPr>
        <w:bidi w:val="0"/>
        <w:rPr>
          <w:rFonts w:hint="eastAsia"/>
        </w:rPr>
      </w:pPr>
    </w:p>
    <w:p w14:paraId="433BF42F">
      <w:pPr>
        <w:bidi w:val="0"/>
        <w:rPr>
          <w:rFonts w:hint="eastAsia"/>
        </w:rPr>
      </w:pPr>
    </w:p>
    <w:p w14:paraId="1C9F5A41">
      <w:pPr>
        <w:bidi w:val="0"/>
        <w:rPr>
          <w:rFonts w:hint="eastAsia"/>
        </w:rPr>
      </w:pPr>
    </w:p>
    <w:p w14:paraId="74B8E642">
      <w:pPr>
        <w:bidi w:val="0"/>
        <w:rPr>
          <w:rFonts w:hint="eastAsia"/>
        </w:rPr>
      </w:pPr>
    </w:p>
    <w:p w14:paraId="095AAB9E">
      <w:pPr>
        <w:bidi w:val="0"/>
        <w:rPr>
          <w:rFonts w:hint="eastAsia"/>
        </w:rPr>
      </w:pPr>
    </w:p>
    <w:p w14:paraId="5C008F10">
      <w:pPr>
        <w:bidi w:val="0"/>
        <w:rPr>
          <w:rFonts w:hint="eastAsia"/>
        </w:rPr>
      </w:pPr>
    </w:p>
    <w:p w14:paraId="70E0E340">
      <w:pPr>
        <w:bidi w:val="0"/>
        <w:rPr>
          <w:rFonts w:hint="eastAsia"/>
        </w:rPr>
      </w:pPr>
    </w:p>
    <w:p w14:paraId="272A867F">
      <w:pPr>
        <w:bidi w:val="0"/>
        <w:rPr>
          <w:rFonts w:hint="eastAsia"/>
        </w:rPr>
      </w:pPr>
    </w:p>
    <w:p w14:paraId="71D021B8">
      <w:pPr>
        <w:rPr>
          <w:rFonts w:hint="eastAsia"/>
        </w:rPr>
      </w:pPr>
    </w:p>
    <w:p w14:paraId="62FD4CDF">
      <w:pPr>
        <w:bidi w:val="0"/>
        <w:rPr>
          <w:rFonts w:hint="eastAsia"/>
        </w:rPr>
      </w:pPr>
    </w:p>
    <w:p w14:paraId="4E954F22">
      <w:pPr>
        <w:bidi w:val="0"/>
        <w:rPr>
          <w:rFonts w:hint="eastAsia"/>
        </w:rPr>
      </w:pPr>
    </w:p>
    <w:p w14:paraId="10DA2398">
      <w:pPr>
        <w:bidi w:val="0"/>
        <w:rPr>
          <w:rFonts w:hint="eastAsia"/>
        </w:rPr>
      </w:pPr>
    </w:p>
    <w:p w14:paraId="41F655E4">
      <w:pPr>
        <w:bidi w:val="0"/>
        <w:rPr>
          <w:rFonts w:hint="eastAsia"/>
        </w:rPr>
      </w:pPr>
    </w:p>
    <w:p w14:paraId="7A94A62B">
      <w:pPr>
        <w:bidi w:val="0"/>
        <w:rPr>
          <w:rFonts w:hint="eastAsia"/>
        </w:rPr>
      </w:pP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51F1F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645B17B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5630D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773A6F4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957ECA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专家评审服务经费</w:t>
            </w:r>
          </w:p>
        </w:tc>
      </w:tr>
      <w:tr w14:paraId="7A2D7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B48280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A44ACB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阿坝州黑水生态环境局</w:t>
            </w:r>
          </w:p>
        </w:tc>
      </w:tr>
      <w:tr w14:paraId="594CF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002957E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75209D7">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常年项目</w:t>
            </w:r>
          </w:p>
        </w:tc>
      </w:tr>
      <w:tr w14:paraId="1359F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08BA996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E8E1B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17EA86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EE8E704">
            <w:pPr>
              <w:keepNext w:val="0"/>
              <w:keepLines w:val="0"/>
              <w:pageBreakBefore w:val="0"/>
              <w:kinsoku/>
              <w:wordWrap/>
              <w:overflowPunct/>
              <w:topLinePunct w:val="0"/>
              <w:autoSpaceDE/>
              <w:autoSpaceDN/>
              <w:bidi w:val="0"/>
              <w:adjustRightInd/>
              <w:snapToGrid/>
              <w:spacing w:line="300" w:lineRule="exact"/>
              <w:ind w:left="0" w:leftChars="0" w:firstLine="551" w:firstLineChars="0"/>
              <w:jc w:val="left"/>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全面推进预算绩效管理提质增效，规范专家评审活动开展，保障评审工作的专业性、客观性和公正性，切实提高财政资金配置效率和使用效益，特设立专家评审服务经费专项预算项目。</w:t>
            </w:r>
          </w:p>
        </w:tc>
      </w:tr>
      <w:tr w14:paraId="74400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FEF9B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4CAF50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C7F66CB">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6FFDA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27D83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48627C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0E3BB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17BA33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E46F45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7308EA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251BB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5E848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3E98E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C2D5D27">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EB1D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8682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68756A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2B03A93">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327E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10165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A9BE5A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16BE455">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CC2B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8452A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A3E80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A8A143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2022-长期</w:t>
            </w:r>
          </w:p>
        </w:tc>
      </w:tr>
      <w:tr w14:paraId="6DC75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277D5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5206162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51DE374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EBD3B26">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5.6</w:t>
            </w:r>
          </w:p>
        </w:tc>
      </w:tr>
      <w:tr w14:paraId="4C80C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B7F60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3238845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435580F">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5.6</w:t>
            </w:r>
          </w:p>
        </w:tc>
      </w:tr>
      <w:tr w14:paraId="49B78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57961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236130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401519A">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0</w:t>
            </w:r>
          </w:p>
        </w:tc>
      </w:tr>
      <w:tr w14:paraId="19CFB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63644A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727B6C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5C2669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5B7E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55C611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kern w:val="0"/>
                <w:sz w:val="24"/>
                <w:szCs w:val="24"/>
                <w:u w:val="none"/>
                <w:lang w:val="en-US" w:eastAsia="zh-CN" w:bidi="ar"/>
              </w:rPr>
              <w:t>保障专家评审工作有序开展，提升评审工作质量和权威性，规范经费使用管理，强化绩效导向，推动工作提质增效，完善评审工作机制</w:t>
            </w:r>
            <w:r>
              <w:rPr>
                <w:rFonts w:hint="eastAsia" w:ascii="仿宋_GB2312" w:hAnsi="Times New Roman" w:eastAsia="仿宋_GB2312" w:cs="Times New Roman"/>
                <w:kern w:val="2"/>
                <w:sz w:val="32"/>
                <w:szCs w:val="32"/>
                <w:lang w:val="en-US" w:eastAsia="zh-CN" w:bidi="ar-SA"/>
              </w:rPr>
              <w:t>。</w:t>
            </w:r>
          </w:p>
        </w:tc>
      </w:tr>
      <w:tr w14:paraId="5E8FF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6AF975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22C880A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5A30E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03666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991C4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96DE1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0769A9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349FB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FB96C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66E1A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921010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52059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right w:val="single" w:color="000000" w:sz="4" w:space="0"/>
            </w:tcBorders>
            <w:noWrap w:val="0"/>
            <w:vAlign w:val="center"/>
          </w:tcPr>
          <w:p w14:paraId="287AB5D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9FF54D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抽取评审专家公开招标专家数量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30849A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E66CD9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03FE5F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1DF6EB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EE54AB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r>
      <w:tr w14:paraId="62598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22703D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BDFF9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left w:val="single" w:color="000000" w:sz="4" w:space="0"/>
              <w:right w:val="single" w:color="000000" w:sz="4" w:space="0"/>
            </w:tcBorders>
            <w:noWrap w:val="0"/>
            <w:vAlign w:val="center"/>
          </w:tcPr>
          <w:p w14:paraId="1EF7F98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59D02AE">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发布采购意向</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8FBA4F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D5DA66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F5B746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E993D2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34B62C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r>
      <w:tr w14:paraId="1B371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3B1F6A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F00A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left w:val="single" w:color="000000" w:sz="4" w:space="0"/>
              <w:right w:val="single" w:color="000000" w:sz="4" w:space="0"/>
            </w:tcBorders>
            <w:noWrap w:val="0"/>
            <w:vAlign w:val="center"/>
          </w:tcPr>
          <w:p w14:paraId="468B74E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74A7F22">
            <w:pPr>
              <w:keepNext w:val="0"/>
              <w:keepLines w:val="0"/>
              <w:pageBreakBefore w:val="0"/>
              <w:kinsoku/>
              <w:wordWrap/>
              <w:overflowPunct/>
              <w:topLinePunct w:val="0"/>
              <w:autoSpaceDE/>
              <w:autoSpaceDN/>
              <w:bidi w:val="0"/>
              <w:adjustRightInd/>
              <w:snapToGrid/>
              <w:spacing w:line="300" w:lineRule="exact"/>
              <w:ind w:left="0" w:leftChars="0"/>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发布采购意向数量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2EA021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7A47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EE42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个</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B53ABA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D32AA5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w:t>
            </w:r>
          </w:p>
        </w:tc>
      </w:tr>
      <w:tr w14:paraId="0929A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376A43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BC4086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left w:val="single" w:color="000000" w:sz="4" w:space="0"/>
              <w:bottom w:val="single" w:color="000000" w:sz="4" w:space="0"/>
              <w:right w:val="single" w:color="000000" w:sz="4" w:space="0"/>
            </w:tcBorders>
            <w:noWrap w:val="0"/>
            <w:vAlign w:val="center"/>
          </w:tcPr>
          <w:p w14:paraId="054E754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3532B56">
            <w:pPr>
              <w:keepNext w:val="0"/>
              <w:keepLines w:val="0"/>
              <w:pageBreakBefore w:val="0"/>
              <w:kinsoku/>
              <w:wordWrap/>
              <w:overflowPunct/>
              <w:topLinePunct w:val="0"/>
              <w:autoSpaceDE/>
              <w:autoSpaceDN/>
              <w:bidi w:val="0"/>
              <w:adjustRightInd/>
              <w:snapToGrid/>
              <w:spacing w:line="300" w:lineRule="exact"/>
              <w:ind w:left="0" w:leftChars="0"/>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评审专家抽取数量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0B7D8E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7379DD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26F427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人</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25748D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51741A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r>
      <w:tr w14:paraId="0DE9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A7EC46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A12A0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6099B7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8D1FDD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val="en-US" w:eastAsia="zh-CN"/>
              </w:rPr>
              <w:t>评审质量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38EBD1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FCB1DB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评审质量好</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3A5A81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91BD88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8800E5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好</w:t>
            </w:r>
          </w:p>
        </w:tc>
      </w:tr>
      <w:tr w14:paraId="25F0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73D2F8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EE8B4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ABF545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CC28A7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rPr>
            </w:pPr>
            <w:r>
              <w:rPr>
                <w:rFonts w:hint="eastAsia" w:ascii="Times New Roman" w:hAnsi="Times New Roman" w:eastAsia="宋体" w:cs="Times New Roman"/>
                <w:i w:val="0"/>
                <w:color w:val="000000"/>
                <w:kern w:val="0"/>
                <w:sz w:val="24"/>
                <w:szCs w:val="24"/>
                <w:u w:val="none"/>
                <w:lang w:val="en-US" w:eastAsia="zh-CN" w:bidi="ar"/>
              </w:rPr>
              <w:t>专家评审</w:t>
            </w:r>
            <w:r>
              <w:rPr>
                <w:rFonts w:hint="eastAsia" w:eastAsia="宋体" w:cs="Times New Roman"/>
                <w:i w:val="0"/>
                <w:color w:val="000000"/>
                <w:kern w:val="0"/>
                <w:sz w:val="24"/>
                <w:szCs w:val="24"/>
                <w:u w:val="none"/>
                <w:lang w:val="en-US" w:eastAsia="zh-CN" w:bidi="ar"/>
              </w:rPr>
              <w:t>费用支付及时率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3900C8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33D16C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177902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5B5289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9C4A7C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r>
      <w:tr w14:paraId="33DF7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636D53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8A002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14:paraId="54F3729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50ED7BA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313CAD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评审工作效率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7BD39E6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3AD00B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好</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009974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A2E0C0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578304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好</w:t>
            </w:r>
          </w:p>
        </w:tc>
      </w:tr>
      <w:tr w14:paraId="208E6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19C4B6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right w:val="single" w:color="000000" w:sz="4" w:space="0"/>
            </w:tcBorders>
            <w:noWrap w:val="0"/>
            <w:vAlign w:val="center"/>
          </w:tcPr>
          <w:p w14:paraId="021BDB2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57B67A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14E481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1FD58E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A703023">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采购人</w:t>
            </w:r>
            <w:r>
              <w:rPr>
                <w:rFonts w:hint="default" w:ascii="Times New Roman" w:hAnsi="Times New Roman" w:eastAsia="宋体" w:cs="Times New Roman"/>
                <w:i w:val="0"/>
                <w:color w:val="000000"/>
                <w:sz w:val="24"/>
                <w:szCs w:val="24"/>
                <w:u w:val="none"/>
              </w:rPr>
              <w:t>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FBC4D82">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F829AA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w:t>
            </w:r>
            <w:r>
              <w:rPr>
                <w:rFonts w:hint="eastAsia" w:eastAsia="宋体" w:cs="Times New Roman"/>
                <w:i w:val="0"/>
                <w:color w:val="000000"/>
                <w:sz w:val="24"/>
                <w:szCs w:val="24"/>
                <w:u w:val="none"/>
                <w:lang w:val="en-US" w:eastAsia="zh-CN"/>
              </w:rPr>
              <w:t>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AE3C8C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5097A8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4DE1E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ascii="Times New Roman" w:hAnsi="Times New Roman" w:eastAsia="宋体" w:cs="Times New Roman"/>
                <w:i w:val="0"/>
                <w:color w:val="000000"/>
                <w:sz w:val="24"/>
                <w:szCs w:val="24"/>
                <w:u w:val="none"/>
                <w:lang w:val="en-US" w:eastAsia="zh-CN"/>
              </w:rPr>
              <w:t>9</w:t>
            </w:r>
            <w:r>
              <w:rPr>
                <w:rFonts w:hint="eastAsia" w:eastAsia="宋体" w:cs="Times New Roman"/>
                <w:i w:val="0"/>
                <w:color w:val="000000"/>
                <w:sz w:val="24"/>
                <w:szCs w:val="24"/>
                <w:u w:val="none"/>
                <w:lang w:val="en-US" w:eastAsia="zh-CN"/>
              </w:rPr>
              <w:t>5%</w:t>
            </w:r>
          </w:p>
        </w:tc>
      </w:tr>
      <w:tr w14:paraId="28D03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C44524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left w:val="single" w:color="000000" w:sz="4" w:space="0"/>
              <w:right w:val="single" w:color="000000" w:sz="4" w:space="0"/>
            </w:tcBorders>
            <w:noWrap w:val="0"/>
            <w:vAlign w:val="center"/>
          </w:tcPr>
          <w:p w14:paraId="7FF1E5B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tcBorders>
              <w:top w:val="single" w:color="000000" w:sz="4" w:space="0"/>
              <w:left w:val="single" w:color="000000" w:sz="4" w:space="0"/>
              <w:right w:val="single" w:color="000000" w:sz="4" w:space="0"/>
            </w:tcBorders>
            <w:noWrap w:val="0"/>
            <w:vAlign w:val="center"/>
          </w:tcPr>
          <w:p w14:paraId="340498E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2D2F67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采购人</w:t>
            </w:r>
            <w:r>
              <w:rPr>
                <w:rFonts w:hint="default" w:ascii="Times New Roman" w:hAnsi="Times New Roman" w:eastAsia="宋体" w:cs="Times New Roman"/>
                <w:i w:val="0"/>
                <w:color w:val="000000"/>
                <w:sz w:val="24"/>
                <w:szCs w:val="24"/>
                <w:u w:val="none"/>
              </w:rPr>
              <w:t>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3AC7FB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A64846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5A5B0BF">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AE6259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0EC4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100%</w:t>
            </w:r>
          </w:p>
        </w:tc>
      </w:tr>
      <w:tr w14:paraId="12160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24DAA3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left w:val="single" w:color="000000" w:sz="4" w:space="0"/>
              <w:right w:val="single" w:color="000000" w:sz="4" w:space="0"/>
            </w:tcBorders>
            <w:noWrap w:val="0"/>
            <w:vAlign w:val="center"/>
          </w:tcPr>
          <w:p w14:paraId="586E54D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p>
        </w:tc>
        <w:tc>
          <w:tcPr>
            <w:tcW w:w="1250" w:type="dxa"/>
            <w:tcBorders>
              <w:top w:val="single" w:color="000000" w:sz="4" w:space="0"/>
              <w:left w:val="single" w:color="000000" w:sz="4" w:space="0"/>
              <w:right w:val="single" w:color="000000" w:sz="4" w:space="0"/>
            </w:tcBorders>
            <w:noWrap w:val="0"/>
            <w:vAlign w:val="center"/>
          </w:tcPr>
          <w:p w14:paraId="22D302B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77B1E04">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专家</w:t>
            </w:r>
            <w:r>
              <w:rPr>
                <w:rFonts w:hint="default" w:ascii="Times New Roman" w:hAnsi="Times New Roman" w:eastAsia="宋体" w:cs="Times New Roman"/>
                <w:i w:val="0"/>
                <w:color w:val="000000"/>
                <w:sz w:val="24"/>
                <w:szCs w:val="24"/>
                <w:u w:val="none"/>
              </w:rPr>
              <w:t>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488507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8C8FAA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137BDE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F90643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91A2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kern w:val="2"/>
                <w:sz w:val="24"/>
                <w:szCs w:val="24"/>
                <w:u w:val="none"/>
                <w:lang w:val="en-US" w:eastAsia="zh-CN" w:bidi="ar-SA"/>
              </w:rPr>
            </w:pPr>
            <w:r>
              <w:rPr>
                <w:rFonts w:hint="eastAsia" w:eastAsia="宋体" w:cs="Times New Roman"/>
                <w:i w:val="0"/>
                <w:color w:val="000000"/>
                <w:sz w:val="24"/>
                <w:szCs w:val="24"/>
                <w:u w:val="none"/>
                <w:lang w:val="en-US" w:eastAsia="zh-CN"/>
              </w:rPr>
              <w:t>100%</w:t>
            </w:r>
          </w:p>
        </w:tc>
      </w:tr>
      <w:tr w14:paraId="4EE41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3055A5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9113B9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03960C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6A944C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1B77337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专家评审服务费金额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A97409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329274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11AAE7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62848D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00B83C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2.87</w:t>
            </w:r>
          </w:p>
        </w:tc>
      </w:tr>
    </w:tbl>
    <w:p w14:paraId="22595900">
      <w:pPr>
        <w:bidi w:val="0"/>
        <w:rPr>
          <w:rFonts w:hint="eastAsia"/>
        </w:rPr>
      </w:pPr>
    </w:p>
    <w:p w14:paraId="312D7650">
      <w:pPr>
        <w:bidi w:val="0"/>
        <w:rPr>
          <w:rFonts w:hint="eastAsia"/>
        </w:rPr>
      </w:pPr>
    </w:p>
    <w:p w14:paraId="09835892">
      <w:pPr>
        <w:rPr>
          <w:rFonts w:hint="eastAsia" w:ascii="Times New Roman" w:hAnsi="Times New Roman" w:eastAsia="黑体" w:cs="黑体"/>
          <w:color w:val="auto"/>
          <w:sz w:val="32"/>
          <w:szCs w:val="32"/>
          <w:highlight w:val="none"/>
          <w:lang w:val="en-US" w:eastAsia="zh-CN"/>
        </w:rPr>
      </w:pPr>
      <w:r>
        <w:rPr>
          <w:rFonts w:hint="eastAsia"/>
        </w:rPr>
        <w:br w:type="page"/>
      </w: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A7D0BB0">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258CB89">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专项预算项目绩效评价报告范本（一）</w:t>
      </w:r>
    </w:p>
    <w:p w14:paraId="0AE7FE4B">
      <w:pPr>
        <w:pStyle w:val="35"/>
        <w:keepNext w:val="0"/>
        <w:keepLines w:val="0"/>
        <w:pageBreakBefore w:val="0"/>
        <w:widowControl w:val="0"/>
        <w:kinsoku/>
        <w:wordWrap/>
        <w:overflowPunct/>
        <w:topLinePunct w:val="0"/>
        <w:autoSpaceDE/>
        <w:autoSpaceDN/>
        <w:bidi w:val="0"/>
        <w:spacing w:line="578" w:lineRule="exact"/>
        <w:jc w:val="both"/>
        <w:textAlignment w:val="auto"/>
        <w:rPr>
          <w:rFonts w:ascii="宋体" w:hAnsi="宋体"/>
          <w:color w:val="auto"/>
          <w:kern w:val="2"/>
          <w:sz w:val="32"/>
          <w:szCs w:val="32"/>
          <w:highlight w:val="none"/>
        </w:rPr>
      </w:pPr>
    </w:p>
    <w:p w14:paraId="6CEBAC73">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14:paraId="23DED15E">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default" w:ascii="仿宋_GB2312" w:hAnsi="仿宋_GB2312" w:eastAsia="仿宋_GB2312" w:cs="仿宋_GB2312"/>
          <w:sz w:val="32"/>
          <w:szCs w:val="32"/>
          <w:lang w:val="en-US"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_GB2312" w:hAnsi="仿宋_GB2312" w:eastAsia="仿宋_GB2312" w:cs="仿宋_GB2312"/>
          <w:sz w:val="32"/>
          <w:szCs w:val="32"/>
          <w:lang w:val="en-US" w:eastAsia="zh-CN"/>
        </w:rPr>
        <w:t>负责环境监理和环境保护行政稽查；负责环境监测、统计、信息工作；负责2025年监督性对生态环境有影响的自然资源开发利用活动、重要生态环境建设和生态环境破坏修复工作；组织开展环境保护执法检查活动产生的差旅费及办公费。通过环境执法检查，增强群众环保意识，改善居民生活环境质量。</w:t>
      </w:r>
    </w:p>
    <w:p w14:paraId="5874B1AB">
      <w:pPr>
        <w:pStyle w:val="36"/>
        <w:keepNext w:val="0"/>
        <w:keepLines w:val="0"/>
        <w:pageBreakBefore w:val="0"/>
        <w:kinsoku/>
        <w:wordWrap/>
        <w:overflowPunct/>
        <w:topLinePunct w:val="0"/>
        <w:autoSpaceDE/>
        <w:autoSpaceDN/>
        <w:bidi w:val="0"/>
        <w:spacing w:line="600" w:lineRule="exact"/>
        <w:ind w:left="0" w:firstLine="643" w:firstLineChars="200"/>
        <w:textAlignment w:val="auto"/>
        <w:rPr>
          <w:rFonts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kern w:val="0"/>
          <w:sz w:val="32"/>
          <w:szCs w:val="32"/>
          <w:lang w:val="en-US" w:eastAsia="zh-CN" w:bidi="ar-SA"/>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71675AF6">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eastAsia" w:ascii="仿宋_GB2312" w:hAnsi="仿宋_GB2312" w:eastAsia="仿宋_GB2312" w:cs="仿宋_GB2312"/>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sz w:val="32"/>
          <w:szCs w:val="32"/>
          <w:lang w:val="zh-CN" w:eastAsia="zh-CN"/>
        </w:rPr>
        <w:t>项目预算安排情况，项目资金分配原则及考虑因素，项目资金分配情况。</w:t>
      </w:r>
    </w:p>
    <w:p w14:paraId="4AAA4AB7">
      <w:pPr>
        <w:keepNext w:val="0"/>
        <w:keepLines w:val="0"/>
        <w:pageBreakBefore w:val="0"/>
        <w:kinsoku/>
        <w:wordWrap/>
        <w:overflowPunct/>
        <w:topLinePunct w:val="0"/>
        <w:autoSpaceDE/>
        <w:autoSpaceDN/>
        <w:bidi w:val="0"/>
        <w:adjustRightInd w:val="0"/>
        <w:snapToGrid w:val="0"/>
        <w:spacing w:line="600" w:lineRule="exact"/>
        <w:ind w:left="0" w:leftChars="0" w:firstLine="643" w:firstLineChars="200"/>
        <w:textAlignment w:val="auto"/>
        <w:rPr>
          <w:rFonts w:hint="default"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sz w:val="32"/>
          <w:szCs w:val="32"/>
          <w:lang w:val="zh-CN" w:eastAsia="zh-CN"/>
        </w:rPr>
        <w:t>项目整体、区域和具体绩效目标设置情况，项目自评工作开展情况。</w:t>
      </w:r>
    </w:p>
    <w:p w14:paraId="2003E85D">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黑体" w:hAnsi="宋体" w:eastAsia="黑体" w:cs="Times New Roman"/>
          <w:sz w:val="32"/>
          <w:szCs w:val="32"/>
          <w:highlight w:val="none"/>
          <w:lang w:eastAsia="zh-CN"/>
        </w:rPr>
      </w:pPr>
      <w:r>
        <w:rPr>
          <w:rFonts w:hint="eastAsia" w:ascii="黑体" w:hAnsi="宋体" w:eastAsia="黑体" w:cs="Times New Roman"/>
          <w:sz w:val="32"/>
          <w:szCs w:val="32"/>
          <w:highlight w:val="none"/>
        </w:rPr>
        <w:t>二、</w:t>
      </w:r>
      <w:r>
        <w:rPr>
          <w:rFonts w:hint="eastAsia" w:ascii="黑体" w:hAnsi="宋体" w:eastAsia="黑体" w:cs="Times New Roman"/>
          <w:sz w:val="32"/>
          <w:szCs w:val="32"/>
          <w:highlight w:val="none"/>
          <w:lang w:eastAsia="zh-CN"/>
        </w:rPr>
        <w:t>评价实施</w:t>
      </w:r>
    </w:p>
    <w:p w14:paraId="1F47080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（一）评价目的。</w:t>
      </w:r>
      <w:r>
        <w:rPr>
          <w:rFonts w:hint="eastAsia" w:ascii="仿宋_GB2312" w:hAnsi="仿宋_GB2312" w:eastAsia="仿宋_GB2312" w:cs="仿宋_GB2312"/>
          <w:sz w:val="32"/>
          <w:szCs w:val="32"/>
          <w:lang w:val="zh-CN" w:eastAsia="zh-CN"/>
        </w:rPr>
        <w:t>通过项目绩效自评要实现的目的</w:t>
      </w:r>
      <w:r>
        <w:rPr>
          <w:rFonts w:hint="eastAsia" w:ascii="仿宋_GB2312" w:hAnsi="仿宋_GB2312" w:cs="仿宋_GB2312"/>
          <w:color w:val="auto"/>
          <w:kern w:val="0"/>
          <w:sz w:val="32"/>
          <w:szCs w:val="32"/>
          <w:highlight w:val="none"/>
          <w:u w:val="none"/>
          <w:shd w:val="clear" w:color="auto" w:fill="FFFFFF"/>
          <w:lang w:val="zh-CN" w:eastAsia="zh-CN"/>
        </w:rPr>
        <w:t>。</w:t>
      </w:r>
    </w:p>
    <w:p w14:paraId="329D841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仿宋_GB2312" w:hAnsi="仿宋_GB2312" w:eastAsia="仿宋_GB2312" w:cs="仿宋_GB2312"/>
          <w:sz w:val="32"/>
          <w:szCs w:val="32"/>
          <w:lang w:val="zh-CN" w:eastAsia="zh-CN"/>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仿宋_GB2312" w:eastAsia="仿宋_GB2312" w:cs="仿宋_GB2312"/>
          <w:sz w:val="32"/>
          <w:szCs w:val="32"/>
          <w:lang w:val="zh-CN" w:eastAsia="zh-CN"/>
        </w:rPr>
        <w:t>按照绩效评价指标体系，对资金支出使用全过程及其实施效果进行综合评价和判断。</w:t>
      </w:r>
    </w:p>
    <w:p w14:paraId="51C7D57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仿宋_GB2312" w:hAnsi="仿宋_GB2312" w:eastAsia="仿宋_GB2312" w:cs="仿宋_GB2312"/>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（三）评价选点。</w:t>
      </w:r>
      <w:r>
        <w:rPr>
          <w:rFonts w:hint="eastAsia" w:ascii="仿宋_GB2312" w:hAnsi="仿宋_GB2312" w:eastAsia="仿宋_GB2312" w:cs="仿宋_GB2312"/>
          <w:sz w:val="32"/>
          <w:szCs w:val="32"/>
          <w:lang w:val="zh-CN" w:eastAsia="zh-CN"/>
        </w:rPr>
        <w:t>项目绩效自评所抽样点位情况。</w:t>
      </w:r>
    </w:p>
    <w:p w14:paraId="5E692E6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sz w:val="32"/>
          <w:szCs w:val="32"/>
          <w:lang w:val="zh-CN" w:eastAsia="zh-CN"/>
        </w:rPr>
      </w:pPr>
      <w:r>
        <w:rPr>
          <w:rFonts w:hint="eastAsia" w:ascii="楷体_GB2312" w:hAnsi="宋体" w:eastAsia="楷体_GB2312"/>
          <w:b/>
          <w:color w:val="auto"/>
          <w:sz w:val="32"/>
          <w:szCs w:val="32"/>
          <w:highlight w:val="none"/>
          <w:u w:val="none"/>
          <w:lang w:val="zh-CN"/>
        </w:rPr>
        <w:t>（四）评价方法。</w:t>
      </w:r>
      <w:r>
        <w:rPr>
          <w:rFonts w:hint="eastAsia" w:ascii="仿宋_GB2312" w:hAnsi="仿宋_GB2312" w:eastAsia="仿宋_GB2312" w:cs="仿宋_GB2312"/>
          <w:sz w:val="32"/>
          <w:szCs w:val="32"/>
          <w:lang w:val="zh-CN" w:eastAsia="zh-CN"/>
        </w:rPr>
        <w:t>根据项目情况和评价重点，用来收集相关材料和开展具体评价的方法。包括：采用成本效益分析法、标杆管理法、案卷研究法、单位自评法、实地勘察法、问卷调查法、座谈调研法等多种方法。</w:t>
      </w:r>
    </w:p>
    <w:p w14:paraId="32F3491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（五）评价组织。</w:t>
      </w:r>
      <w:r>
        <w:rPr>
          <w:rFonts w:hint="eastAsia" w:ascii="仿宋_GB2312" w:hAnsi="仿宋_GB2312" w:eastAsia="仿宋_GB2312" w:cs="仿宋_GB2312"/>
          <w:sz w:val="32"/>
          <w:szCs w:val="32"/>
          <w:lang w:val="zh-CN" w:eastAsia="zh-CN"/>
        </w:rPr>
        <w:t>评价组人员构成和职责分工。</w:t>
      </w:r>
    </w:p>
    <w:p w14:paraId="17018CD2">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7474C45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cs="仿宋_GB2312"/>
          <w:color w:val="auto"/>
          <w:kern w:val="0"/>
          <w:sz w:val="32"/>
          <w:szCs w:val="32"/>
          <w:highlight w:val="none"/>
          <w:u w:val="none"/>
          <w:shd w:val="clear" w:color="auto" w:fill="FFFFFF"/>
          <w:lang w:val="en-US" w:eastAsia="zh-CN"/>
        </w:rPr>
      </w:pPr>
      <w:r>
        <w:rPr>
          <w:rFonts w:hint="default" w:ascii="仿宋_GB2312" w:hAnsi="仿宋_GB2312" w:eastAsia="仿宋_GB2312" w:cs="仿宋_GB2312"/>
          <w:sz w:val="32"/>
          <w:szCs w:val="32"/>
          <w:lang w:val="zh-CN" w:eastAsia="zh-CN"/>
        </w:rPr>
        <w:t>根据</w:t>
      </w:r>
      <w:r>
        <w:rPr>
          <w:rFonts w:hint="eastAsia" w:ascii="仿宋_GB2312" w:hAnsi="仿宋_GB2312" w:eastAsia="仿宋_GB2312" w:cs="仿宋_GB2312"/>
          <w:sz w:val="32"/>
          <w:szCs w:val="32"/>
          <w:lang w:val="zh-CN" w:eastAsia="zh-CN"/>
        </w:rPr>
        <w:t>项目</w:t>
      </w:r>
      <w:r>
        <w:rPr>
          <w:rFonts w:hint="default" w:ascii="仿宋_GB2312" w:hAnsi="仿宋_GB2312" w:eastAsia="仿宋_GB2312" w:cs="仿宋_GB2312"/>
          <w:sz w:val="32"/>
          <w:szCs w:val="32"/>
          <w:lang w:val="zh-CN" w:eastAsia="zh-CN"/>
        </w:rPr>
        <w:t>预算绩效评价指标体系“</w:t>
      </w:r>
      <w:r>
        <w:rPr>
          <w:rFonts w:hint="eastAsia" w:ascii="仿宋_GB2312" w:hAnsi="仿宋_GB2312" w:eastAsia="仿宋_GB2312" w:cs="仿宋_GB2312"/>
          <w:sz w:val="32"/>
          <w:szCs w:val="32"/>
          <w:lang w:val="zh-CN" w:eastAsia="zh-CN"/>
        </w:rPr>
        <w:t>通用指标</w:t>
      </w:r>
      <w:r>
        <w:rPr>
          <w:rFonts w:hint="default" w:ascii="仿宋_GB2312" w:hAnsi="仿宋_GB2312" w:eastAsia="仿宋_GB2312" w:cs="仿宋_GB2312"/>
          <w:sz w:val="32"/>
          <w:szCs w:val="32"/>
          <w:lang w:val="zh-CN" w:eastAsia="zh-CN"/>
        </w:rPr>
        <w:t>”</w:t>
      </w:r>
      <w:r>
        <w:rPr>
          <w:rFonts w:hint="eastAsia" w:ascii="仿宋_GB2312" w:hAnsi="仿宋_GB2312" w:eastAsia="仿宋_GB2312" w:cs="仿宋_GB2312"/>
          <w:sz w:val="32"/>
          <w:szCs w:val="32"/>
          <w:lang w:val="zh-CN" w:eastAsia="zh-CN"/>
        </w:rPr>
        <w:t>“专用指标”“个性指标”</w:t>
      </w:r>
      <w:r>
        <w:rPr>
          <w:rFonts w:hint="default" w:ascii="仿宋_GB2312" w:hAnsi="仿宋_GB2312" w:eastAsia="仿宋_GB2312" w:cs="仿宋_GB2312"/>
          <w:sz w:val="32"/>
          <w:szCs w:val="32"/>
          <w:lang w:val="zh-CN" w:eastAsia="zh-CN"/>
        </w:rPr>
        <w:t>涉及</w:t>
      </w:r>
      <w:r>
        <w:rPr>
          <w:rFonts w:hint="eastAsia" w:ascii="仿宋_GB2312" w:hAnsi="仿宋_GB2312" w:eastAsia="仿宋_GB2312" w:cs="仿宋_GB2312"/>
          <w:sz w:val="32"/>
          <w:szCs w:val="32"/>
          <w:lang w:val="zh-CN" w:eastAsia="zh-CN"/>
        </w:rPr>
        <w:t>二、三级</w:t>
      </w:r>
      <w:r>
        <w:rPr>
          <w:rFonts w:hint="default" w:ascii="仿宋_GB2312" w:hAnsi="仿宋_GB2312" w:eastAsia="仿宋_GB2312" w:cs="仿宋_GB2312"/>
          <w:sz w:val="32"/>
          <w:szCs w:val="32"/>
          <w:lang w:val="zh-CN" w:eastAsia="zh-CN"/>
        </w:rPr>
        <w:t>指标进行</w:t>
      </w:r>
      <w:r>
        <w:rPr>
          <w:rFonts w:hint="eastAsia" w:ascii="仿宋_GB2312" w:hAnsi="仿宋_GB2312" w:eastAsia="仿宋_GB2312" w:cs="仿宋_GB2312"/>
          <w:sz w:val="32"/>
          <w:szCs w:val="32"/>
          <w:lang w:val="zh-CN" w:eastAsia="zh-CN"/>
        </w:rPr>
        <w:t>逐项</w:t>
      </w:r>
      <w:r>
        <w:rPr>
          <w:rFonts w:hint="default" w:ascii="仿宋_GB2312" w:hAnsi="仿宋_GB2312" w:eastAsia="仿宋_GB2312" w:cs="仿宋_GB2312"/>
          <w:sz w:val="32"/>
          <w:szCs w:val="32"/>
          <w:lang w:val="zh-CN" w:eastAsia="zh-CN"/>
        </w:rPr>
        <w:t>绩效分析</w:t>
      </w:r>
      <w:r>
        <w:rPr>
          <w:rFonts w:hint="eastAsia" w:ascii="仿宋_GB2312" w:hAnsi="仿宋_GB2312" w:eastAsia="仿宋_GB2312" w:cs="仿宋_GB2312"/>
          <w:sz w:val="32"/>
          <w:szCs w:val="32"/>
          <w:lang w:val="zh-CN" w:eastAsia="zh-CN"/>
        </w:rPr>
        <w:t>并评分</w:t>
      </w:r>
      <w:r>
        <w:rPr>
          <w:rFonts w:hint="eastAsia" w:ascii="仿宋_GB2312" w:hAnsi="仿宋_GB2312" w:eastAsia="仿宋_GB2312" w:cs="仿宋_GB2312"/>
          <w:sz w:val="32"/>
          <w:szCs w:val="32"/>
          <w:lang w:val="en-US" w:eastAsia="zh-CN"/>
        </w:rPr>
        <w:t>。</w:t>
      </w:r>
    </w:p>
    <w:p w14:paraId="3B2FC02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14:paraId="27821EC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val="zh-CN" w:eastAsia="zh-CN"/>
        </w:rPr>
        <w:t>项目管理。围绕分配管理、绩效监管进行绩效分析。</w:t>
      </w:r>
      <w:r>
        <w:rPr>
          <w:rFonts w:hint="eastAsia" w:ascii="仿宋_GB2312" w:hAnsi="仿宋_GB2312" w:eastAsia="仿宋_GB2312" w:cs="仿宋_GB2312"/>
          <w:sz w:val="32"/>
          <w:szCs w:val="32"/>
          <w:lang w:val="en-US" w:eastAsia="zh-CN"/>
        </w:rPr>
        <w:t>项目资金分配因素选取、权重设置、区域分布，项目管理、审批是否符合管理要求，自评得分10分；</w:t>
      </w:r>
      <w:r>
        <w:rPr>
          <w:rFonts w:hint="default" w:ascii="仿宋_GB2312" w:hAnsi="仿宋_GB2312" w:eastAsia="仿宋_GB2312" w:cs="仿宋_GB2312"/>
          <w:sz w:val="32"/>
          <w:szCs w:val="32"/>
          <w:lang w:val="en-US" w:eastAsia="zh-CN"/>
        </w:rPr>
        <w:t>项目按中省要求全面完成绩效目标（含事前评估）、绩效评价、以前年度问题整改等预算绩效管理工作</w:t>
      </w:r>
      <w:r>
        <w:rPr>
          <w:rFonts w:hint="eastAsia" w:ascii="仿宋_GB2312" w:hAnsi="仿宋_GB2312" w:eastAsia="仿宋_GB2312" w:cs="仿宋_GB2312"/>
          <w:sz w:val="32"/>
          <w:szCs w:val="32"/>
          <w:lang w:val="en-US" w:eastAsia="zh-CN"/>
        </w:rPr>
        <w:t>，州级部门我单位部门预算绩效管理要求到位，不存在对我单位资金分配和项目管理指导力度不够的情况，每年7月、10月对我单位开展评价、监督、指导等工作，自评得分6分。</w:t>
      </w:r>
    </w:p>
    <w:p w14:paraId="77B7472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3.项目实施。</w:t>
      </w:r>
      <w:r>
        <w:rPr>
          <w:rFonts w:hint="eastAsia" w:ascii="仿宋_GB2312" w:hAnsi="仿宋_GB2312" w:eastAsia="仿宋_GB2312" w:cs="仿宋_GB2312"/>
          <w:sz w:val="32"/>
          <w:szCs w:val="32"/>
          <w:lang w:val="zh-CN" w:eastAsia="zh-CN"/>
        </w:rPr>
        <w:t>围绕预算执行、资金使用进行绩效分析。项目资金财政拨付</w:t>
      </w:r>
      <w:r>
        <w:rPr>
          <w:rFonts w:hint="eastAsia" w:ascii="仿宋_GB2312" w:hAnsi="仿宋_GB2312" w:eastAsia="仿宋_GB2312" w:cs="仿宋_GB2312"/>
          <w:sz w:val="32"/>
          <w:szCs w:val="32"/>
          <w:lang w:val="en-US" w:eastAsia="zh-CN"/>
        </w:rPr>
        <w:t>及时到位</w:t>
      </w:r>
      <w:r>
        <w:rPr>
          <w:rFonts w:hint="eastAsia" w:ascii="仿宋_GB2312" w:hAnsi="仿宋_GB2312" w:eastAsia="仿宋_GB2312" w:cs="仿宋_GB2312"/>
          <w:sz w:val="32"/>
          <w:szCs w:val="32"/>
          <w:lang w:val="zh-CN" w:eastAsia="zh-CN"/>
        </w:rPr>
        <w:t>、单位执行</w:t>
      </w:r>
      <w:r>
        <w:rPr>
          <w:rFonts w:hint="eastAsia" w:ascii="仿宋_GB2312" w:hAnsi="仿宋_GB2312" w:eastAsia="仿宋_GB2312" w:cs="仿宋_GB2312"/>
          <w:sz w:val="32"/>
          <w:szCs w:val="32"/>
          <w:lang w:val="en-US" w:eastAsia="zh-CN"/>
        </w:rPr>
        <w:t>率99.99%，无</w:t>
      </w:r>
      <w:r>
        <w:rPr>
          <w:rFonts w:hint="eastAsia" w:ascii="仿宋_GB2312" w:hAnsi="仿宋_GB2312" w:eastAsia="仿宋_GB2312" w:cs="仿宋_GB2312"/>
          <w:sz w:val="32"/>
          <w:szCs w:val="32"/>
          <w:lang w:val="zh-CN" w:eastAsia="zh-CN"/>
        </w:rPr>
        <w:t>地方配套</w:t>
      </w:r>
      <w:r>
        <w:rPr>
          <w:rFonts w:hint="eastAsia" w:ascii="仿宋_GB2312" w:hAnsi="仿宋_GB2312" w:eastAsia="仿宋_GB2312" w:cs="仿宋_GB2312"/>
          <w:sz w:val="32"/>
          <w:szCs w:val="32"/>
          <w:lang w:val="en-US" w:eastAsia="zh-CN"/>
        </w:rPr>
        <w:t>资金，自评得分6分；</w:t>
      </w:r>
      <w:r>
        <w:rPr>
          <w:rFonts w:hint="eastAsia" w:ascii="仿宋_GB2312" w:hAnsi="仿宋_GB2312" w:eastAsia="仿宋_GB2312" w:cs="仿宋_GB2312"/>
          <w:sz w:val="32"/>
          <w:szCs w:val="32"/>
          <w:lang w:val="zh-CN" w:eastAsia="zh-CN"/>
        </w:rPr>
        <w:t>项目资金使用、拨付符合国家财经法规、财务管理制度及有关专项资金管理制度办法规定和审批程序，</w:t>
      </w:r>
      <w:r>
        <w:rPr>
          <w:rFonts w:hint="eastAsia" w:ascii="仿宋_GB2312" w:hAnsi="仿宋_GB2312" w:eastAsia="仿宋_GB2312" w:cs="仿宋_GB2312"/>
          <w:sz w:val="32"/>
          <w:szCs w:val="32"/>
          <w:lang w:val="en-US" w:eastAsia="zh-CN"/>
        </w:rPr>
        <w:t>不</w:t>
      </w:r>
      <w:r>
        <w:rPr>
          <w:rFonts w:hint="eastAsia" w:ascii="仿宋_GB2312" w:hAnsi="仿宋_GB2312" w:eastAsia="仿宋_GB2312" w:cs="仿宋_GB2312"/>
          <w:sz w:val="32"/>
          <w:szCs w:val="32"/>
          <w:lang w:val="zh-CN" w:eastAsia="zh-CN"/>
        </w:rPr>
        <w:t>存在超范围、超标准、超进度使用专项资金，</w:t>
      </w:r>
      <w:r>
        <w:rPr>
          <w:rFonts w:hint="eastAsia" w:ascii="仿宋_GB2312" w:hAnsi="仿宋_GB2312" w:eastAsia="仿宋_GB2312" w:cs="仿宋_GB2312"/>
          <w:sz w:val="32"/>
          <w:szCs w:val="32"/>
          <w:lang w:val="en-US" w:eastAsia="zh-CN"/>
        </w:rPr>
        <w:t>不</w:t>
      </w:r>
      <w:r>
        <w:rPr>
          <w:rFonts w:hint="eastAsia" w:ascii="仿宋_GB2312" w:hAnsi="仿宋_GB2312" w:eastAsia="仿宋_GB2312" w:cs="仿宋_GB2312"/>
          <w:sz w:val="32"/>
          <w:szCs w:val="32"/>
          <w:lang w:val="zh-CN" w:eastAsia="zh-CN"/>
        </w:rPr>
        <w:t>存在资金损失浪费、长期沉淀、截留、挤占、挪用、虚列支出等情况，项目实施遵守相关法律法规，</w:t>
      </w:r>
      <w:r>
        <w:rPr>
          <w:rFonts w:hint="eastAsia" w:ascii="仿宋_GB2312" w:hAnsi="仿宋_GB2312" w:eastAsia="仿宋_GB2312" w:cs="仿宋_GB2312"/>
          <w:sz w:val="32"/>
          <w:szCs w:val="32"/>
          <w:lang w:val="en-US" w:eastAsia="zh-CN"/>
        </w:rPr>
        <w:t>自评得分3分。</w:t>
      </w:r>
    </w:p>
    <w:p w14:paraId="40ACD204">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4.项目结果。围绕</w:t>
      </w:r>
      <w:r>
        <w:rPr>
          <w:rFonts w:hint="eastAsia" w:ascii="仿宋_GB2312" w:hAnsi="仿宋_GB2312" w:eastAsia="仿宋_GB2312" w:cs="仿宋_GB2312"/>
          <w:sz w:val="32"/>
          <w:szCs w:val="32"/>
          <w:lang w:val="zh-CN" w:eastAsia="zh-CN"/>
        </w:rPr>
        <w:t>目标完成、完成时效进行绩效分析。项目</w:t>
      </w:r>
      <w:r>
        <w:rPr>
          <w:rFonts w:hint="eastAsia" w:ascii="仿宋_GB2312" w:hAnsi="仿宋_GB2312" w:eastAsia="仿宋_GB2312" w:cs="仿宋_GB2312"/>
          <w:sz w:val="32"/>
          <w:szCs w:val="32"/>
          <w:lang w:val="en-US" w:eastAsia="zh-CN"/>
        </w:rPr>
        <w:t>能</w:t>
      </w:r>
      <w:r>
        <w:rPr>
          <w:rFonts w:hint="eastAsia" w:ascii="仿宋_GB2312" w:hAnsi="仿宋_GB2312" w:eastAsia="仿宋_GB2312" w:cs="仿宋_GB2312"/>
          <w:sz w:val="32"/>
          <w:szCs w:val="32"/>
          <w:lang w:val="zh-CN" w:eastAsia="zh-CN"/>
        </w:rPr>
        <w:t>完成预期目标，实施结果与绩效目标相匹配，</w:t>
      </w:r>
      <w:r>
        <w:rPr>
          <w:rFonts w:hint="eastAsia" w:ascii="仿宋_GB2312" w:hAnsi="仿宋_GB2312" w:eastAsia="仿宋_GB2312" w:cs="仿宋_GB2312"/>
          <w:sz w:val="32"/>
          <w:szCs w:val="32"/>
          <w:lang w:val="en-US" w:eastAsia="zh-CN"/>
        </w:rPr>
        <w:t>预期产出和效果能满足需求，自评得分6分；项目实际完成时间能在计划完成时间内，自评得分3分。</w:t>
      </w:r>
    </w:p>
    <w:p w14:paraId="7F018C1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3" w:firstLineChars="200"/>
        <w:contextualSpacing/>
        <w:jc w:val="left"/>
        <w:textAlignment w:val="auto"/>
        <w:rPr>
          <w:rFonts w:hint="eastAsia" w:ascii="仿宋_GB2312" w:hAnsi="仿宋_GB2312" w:eastAsia="仿宋_GB2312" w:cs="仿宋_GB2312"/>
          <w:sz w:val="32"/>
          <w:szCs w:val="32"/>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仿宋_GB2312" w:hAnsi="仿宋_GB2312" w:eastAsia="仿宋_GB2312" w:cs="仿宋_GB2312"/>
          <w:sz w:val="32"/>
          <w:szCs w:val="32"/>
          <w:lang w:val="zh-CN" w:eastAsia="zh-CN"/>
        </w:rPr>
        <w:t>根据</w:t>
      </w:r>
      <w:r>
        <w:rPr>
          <w:rFonts w:hint="eastAsia" w:ascii="仿宋_GB2312" w:hAnsi="仿宋_GB2312" w:eastAsia="仿宋_GB2312" w:cs="仿宋_GB2312"/>
          <w:sz w:val="32"/>
          <w:szCs w:val="32"/>
          <w:lang w:val="en-US" w:eastAsia="zh-CN"/>
        </w:rPr>
        <w:t>专项预算项目资金支持对象选择所属指标进行绩效分析。支持对象</w:t>
      </w:r>
      <w:r>
        <w:rPr>
          <w:rFonts w:hint="eastAsia" w:ascii="仿宋_GB2312" w:hAnsi="仿宋_GB2312" w:eastAsia="仿宋_GB2312" w:cs="仿宋_GB2312"/>
          <w:sz w:val="32"/>
          <w:szCs w:val="32"/>
          <w:lang w:val="zh-CN" w:eastAsia="zh-CN"/>
        </w:rPr>
        <w:t>包括产业发展、民生保障、基础设施、行政运转等方面。</w:t>
      </w:r>
    </w:p>
    <w:p w14:paraId="4FE8E853">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1.产业发展。</w:t>
      </w:r>
      <w:r>
        <w:rPr>
          <w:rFonts w:hint="eastAsia" w:ascii="仿宋_GB2312" w:hAnsi="仿宋_GB2312" w:eastAsia="仿宋_GB2312" w:cs="仿宋_GB2312"/>
          <w:sz w:val="32"/>
          <w:szCs w:val="32"/>
          <w:lang w:val="zh-CN" w:eastAsia="zh-CN"/>
        </w:rPr>
        <w:t>围绕符合性、成长性、经济性进行绩效分析。</w:t>
      </w:r>
      <w:r>
        <w:rPr>
          <w:rFonts w:hint="eastAsia" w:ascii="仿宋_GB2312" w:hAnsi="仿宋_GB2312" w:eastAsia="仿宋_GB2312" w:cs="仿宋_GB2312"/>
          <w:sz w:val="32"/>
          <w:szCs w:val="32"/>
          <w:lang w:val="en-US" w:eastAsia="zh-CN"/>
        </w:rPr>
        <w:t>无</w:t>
      </w:r>
    </w:p>
    <w:p w14:paraId="37394C24">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val="zh-CN" w:eastAsia="zh-CN"/>
        </w:rPr>
        <w:t>民生保障。围绕区域均衡性、对象精准性、标准合理性、群众满意度进行绩效分析。</w:t>
      </w:r>
      <w:r>
        <w:rPr>
          <w:rFonts w:hint="eastAsia" w:ascii="仿宋_GB2312" w:hAnsi="仿宋_GB2312" w:eastAsia="仿宋_GB2312" w:cs="仿宋_GB2312"/>
          <w:sz w:val="32"/>
          <w:szCs w:val="32"/>
          <w:lang w:val="en-US" w:eastAsia="zh-CN"/>
        </w:rPr>
        <w:t>无</w:t>
      </w:r>
    </w:p>
    <w:p w14:paraId="31E0E2D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3.基础设施。</w:t>
      </w:r>
      <w:r>
        <w:rPr>
          <w:rFonts w:hint="eastAsia" w:ascii="仿宋_GB2312" w:hAnsi="仿宋_GB2312" w:eastAsia="仿宋_GB2312" w:cs="仿宋_GB2312"/>
          <w:sz w:val="32"/>
          <w:szCs w:val="32"/>
          <w:lang w:val="zh-CN" w:eastAsia="zh-CN"/>
        </w:rPr>
        <w:t>在建项目围绕工程进度和资金拨付进行绩效分析；建成项目围绕项目验收、功能实现、后续管护进行绩效分析。</w:t>
      </w:r>
      <w:r>
        <w:rPr>
          <w:rFonts w:hint="eastAsia" w:ascii="仿宋_GB2312" w:hAnsi="仿宋_GB2312" w:eastAsia="仿宋_GB2312" w:cs="仿宋_GB2312"/>
          <w:sz w:val="32"/>
          <w:szCs w:val="32"/>
          <w:lang w:val="en-US" w:eastAsia="zh-CN"/>
        </w:rPr>
        <w:t>无</w:t>
      </w:r>
    </w:p>
    <w:p w14:paraId="21D082E5">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left="0" w:leftChars="0" w:firstLine="640" w:firstLineChars="200"/>
        <w:contextualSpacing/>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val="zh-CN" w:eastAsia="zh-CN"/>
        </w:rPr>
        <w:t>行政运转。围绕用途合规性、程序合规性、标准合规性进行绩效分析。</w:t>
      </w:r>
      <w:r>
        <w:rPr>
          <w:rFonts w:hint="eastAsia" w:ascii="仿宋_GB2312" w:hAnsi="仿宋_GB2312" w:eastAsia="仿宋_GB2312" w:cs="仿宋_GB2312"/>
          <w:sz w:val="32"/>
          <w:szCs w:val="32"/>
          <w:lang w:val="en-US" w:eastAsia="zh-CN"/>
        </w:rPr>
        <w:t>项目</w:t>
      </w:r>
      <w:r>
        <w:rPr>
          <w:rFonts w:hint="eastAsia" w:ascii="仿宋_GB2312" w:hAnsi="仿宋_GB2312" w:eastAsia="仿宋_GB2312" w:cs="仿宋_GB2312"/>
          <w:sz w:val="32"/>
          <w:szCs w:val="32"/>
          <w:lang w:val="zh-CN" w:eastAsia="zh-CN"/>
        </w:rPr>
        <w:t>按规定用途、适用范围进行本地区专项资金分配，</w:t>
      </w:r>
      <w:r>
        <w:rPr>
          <w:rFonts w:hint="eastAsia" w:ascii="仿宋_GB2312" w:hAnsi="仿宋_GB2312" w:eastAsia="仿宋_GB2312" w:cs="仿宋_GB2312"/>
          <w:sz w:val="32"/>
          <w:szCs w:val="32"/>
          <w:lang w:val="en-US" w:eastAsia="zh-CN"/>
        </w:rPr>
        <w:t>自评得分10分；</w:t>
      </w:r>
      <w:r>
        <w:rPr>
          <w:rFonts w:hint="eastAsia" w:ascii="仿宋_GB2312" w:hAnsi="仿宋_GB2312" w:eastAsia="仿宋_GB2312" w:cs="仿宋_GB2312"/>
          <w:sz w:val="32"/>
          <w:szCs w:val="32"/>
          <w:lang w:val="zh-CN" w:eastAsia="zh-CN"/>
        </w:rPr>
        <w:t>资金管理程序符合专项资金管理要求，</w:t>
      </w:r>
      <w:r>
        <w:rPr>
          <w:rFonts w:hint="eastAsia" w:ascii="仿宋_GB2312" w:hAnsi="仿宋_GB2312" w:eastAsia="仿宋_GB2312" w:cs="仿宋_GB2312"/>
          <w:sz w:val="32"/>
          <w:szCs w:val="32"/>
          <w:lang w:val="en-US" w:eastAsia="zh-CN"/>
        </w:rPr>
        <w:t>自评得分10分；</w:t>
      </w:r>
      <w:r>
        <w:rPr>
          <w:rFonts w:hint="eastAsia" w:ascii="仿宋_GB2312" w:hAnsi="仿宋_GB2312" w:eastAsia="仿宋_GB2312" w:cs="仿宋_GB2312"/>
          <w:sz w:val="32"/>
          <w:szCs w:val="32"/>
          <w:lang w:val="zh-CN" w:eastAsia="zh-CN"/>
        </w:rPr>
        <w:t>资金分配标准符合专项资金管理要求，</w:t>
      </w:r>
      <w:r>
        <w:rPr>
          <w:rFonts w:hint="eastAsia" w:ascii="仿宋_GB2312" w:hAnsi="仿宋_GB2312" w:eastAsia="仿宋_GB2312" w:cs="仿宋_GB2312"/>
          <w:sz w:val="32"/>
          <w:szCs w:val="32"/>
          <w:lang w:val="en-US" w:eastAsia="zh-CN"/>
        </w:rPr>
        <w:t>自评得分10分。</w:t>
      </w:r>
    </w:p>
    <w:p w14:paraId="16C7373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仿宋_GB2312" w:hAnsi="仿宋_GB2312" w:eastAsia="仿宋_GB2312" w:cs="仿宋_GB2312"/>
          <w:sz w:val="32"/>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楷体_GB2312" w:hAnsi="宋体" w:eastAsia="楷体_GB2312" w:cs="Times New Roman"/>
          <w:b/>
          <w:color w:val="auto"/>
          <w:sz w:val="32"/>
          <w:szCs w:val="32"/>
          <w:highlight w:val="none"/>
          <w:u w:val="none"/>
          <w:lang w:val="zh-CN"/>
        </w:rPr>
        <w:t>绩效分析。</w:t>
      </w:r>
      <w:r>
        <w:rPr>
          <w:rFonts w:hint="eastAsia" w:ascii="仿宋_GB2312" w:hAnsi="仿宋_GB2312" w:eastAsia="仿宋_GB2312" w:cs="仿宋_GB2312"/>
          <w:sz w:val="32"/>
          <w:szCs w:val="32"/>
          <w:lang w:val="zh-CN" w:eastAsia="zh-CN"/>
        </w:rPr>
        <w:t>根据项目个性自行设定部分指标，反映该项指标执行完成情况。</w:t>
      </w:r>
      <w:r>
        <w:rPr>
          <w:rFonts w:hint="eastAsia" w:ascii="仿宋_GB2312" w:hAnsi="仿宋_GB2312" w:eastAsia="仿宋_GB2312" w:cs="仿宋_GB2312"/>
          <w:sz w:val="32"/>
          <w:szCs w:val="32"/>
          <w:lang w:val="en-US" w:eastAsia="zh-CN"/>
        </w:rPr>
        <w:t>无</w:t>
      </w:r>
    </w:p>
    <w:p w14:paraId="51BDC86F">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14:paraId="7F34D124">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zh-CN" w:eastAsia="zh-CN" w:bidi="ar-SA"/>
        </w:rPr>
        <w:t>从自评情况来看，</w:t>
      </w:r>
      <w:r>
        <w:rPr>
          <w:rFonts w:hint="eastAsia" w:ascii="仿宋_GB2312" w:hAnsi="仿宋_GB2312" w:eastAsia="仿宋_GB2312" w:cs="仿宋_GB2312"/>
          <w:kern w:val="0"/>
          <w:sz w:val="32"/>
          <w:szCs w:val="32"/>
          <w:lang w:val="en-US" w:eastAsia="zh-CN" w:bidi="ar-SA"/>
        </w:rPr>
        <w:t>该项目</w:t>
      </w:r>
      <w:r>
        <w:rPr>
          <w:rFonts w:hint="eastAsia" w:ascii="仿宋_GB2312" w:hAnsi="仿宋_GB2312" w:eastAsia="仿宋_GB2312" w:cs="仿宋_GB2312"/>
          <w:kern w:val="0"/>
          <w:sz w:val="32"/>
          <w:szCs w:val="32"/>
          <w:lang w:val="zh-CN" w:eastAsia="zh-CN" w:bidi="ar-SA"/>
        </w:rPr>
        <w:t>绩效</w:t>
      </w:r>
      <w:r>
        <w:rPr>
          <w:rFonts w:hint="eastAsia" w:ascii="仿宋_GB2312" w:hAnsi="仿宋_GB2312" w:eastAsia="仿宋_GB2312" w:cs="仿宋_GB2312"/>
          <w:kern w:val="0"/>
          <w:sz w:val="32"/>
          <w:szCs w:val="32"/>
          <w:lang w:val="en-US" w:eastAsia="zh-CN" w:bidi="ar-SA"/>
        </w:rPr>
        <w:t>目标完成情况较好</w:t>
      </w:r>
      <w:r>
        <w:rPr>
          <w:rFonts w:hint="eastAsia" w:ascii="仿宋_GB2312" w:hAnsi="仿宋_GB2312" w:eastAsia="仿宋_GB2312" w:cs="仿宋_GB2312"/>
          <w:kern w:val="0"/>
          <w:sz w:val="32"/>
          <w:szCs w:val="32"/>
          <w:lang w:val="zh-CN" w:eastAsia="zh-CN" w:bidi="ar-SA"/>
        </w:rPr>
        <w:t>，</w:t>
      </w:r>
      <w:r>
        <w:rPr>
          <w:rFonts w:hint="eastAsia" w:ascii="仿宋_GB2312" w:hAnsi="仿宋_GB2312" w:eastAsia="仿宋_GB2312" w:cs="仿宋_GB2312"/>
          <w:kern w:val="0"/>
          <w:sz w:val="32"/>
          <w:szCs w:val="32"/>
          <w:lang w:val="en-US" w:eastAsia="zh-CN" w:bidi="ar-SA"/>
        </w:rPr>
        <w:t>经费投入有效保障了各项生态环境执法工作的顺利开展，通过常态化环境监理、行政稽查及执法检查，强化了对自然资源开发利用等涉生态环境行为的监管力度，依托环境监测、统计与信息工作，为生态环境管理提供了精准的数据支撑，最终实现了提升群众环保意识、改善居民生活环境质量的核心目标，社会效益与生态效益显著，综上，本项经费绩效运行情况良好，资金配置科学、管理规范、成效显著，全面达成了预设的绩效目标。总体自评得分64分。</w:t>
      </w:r>
    </w:p>
    <w:p w14:paraId="4D3454D7">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14:paraId="6D30AEC1">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资金支付执行率进度缓慢</w:t>
      </w:r>
      <w:r>
        <w:rPr>
          <w:rFonts w:hint="eastAsia" w:hAnsi="仿宋_GB2312" w:cs="仿宋_GB2312"/>
          <w:kern w:val="0"/>
          <w:sz w:val="32"/>
          <w:szCs w:val="32"/>
          <w:lang w:val="en-US" w:eastAsia="zh-CN" w:bidi="ar-SA"/>
        </w:rPr>
        <w:t>。</w:t>
      </w:r>
    </w:p>
    <w:p w14:paraId="0C8A0FA3">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7CA8D856">
      <w:pPr>
        <w:pStyle w:val="20"/>
        <w:widowControl/>
        <w:spacing w:before="0" w:beforeAutospacing="0" w:after="0" w:afterAutospacing="0" w:line="576" w:lineRule="exact"/>
        <w:ind w:firstLine="640" w:firstLineChars="200"/>
        <w:textAlignment w:val="center"/>
        <w:rPr>
          <w:rFonts w:hint="eastAsia" w:ascii="仿宋_GB2312" w:hAnsi="仿宋_GB2312" w:eastAsia="仿宋_GB2312" w:cs="仿宋_GB2312"/>
          <w:b w:val="0"/>
          <w:bCs w:val="0"/>
          <w:kern w:val="0"/>
          <w:position w:val="0"/>
          <w:sz w:val="32"/>
          <w:szCs w:val="32"/>
          <w:highlight w:val="none"/>
          <w:lang w:val="en" w:eastAsia="zh-CN" w:bidi="ar-SA"/>
        </w:rPr>
      </w:pPr>
      <w:r>
        <w:rPr>
          <w:rFonts w:hint="eastAsia" w:ascii="仿宋_GB2312" w:hAnsi="仿宋_GB2312" w:eastAsia="仿宋_GB2312" w:cs="仿宋_GB2312"/>
          <w:kern w:val="0"/>
          <w:sz w:val="32"/>
          <w:szCs w:val="32"/>
          <w:lang w:val="zh-CN" w:eastAsia="zh-CN" w:bidi="ar-SA"/>
        </w:rPr>
        <w:t>科学编制预算，尽量做好年度规划，降低经费追减比例，加强每月预算执行监控，及时督促相关科室推进项目执行力度。我单位将进一步优化完善实施方案和绩效目标，加强运行监控，节约财政资金并提升资金效益，提升预算绩效管理水平。</w:t>
      </w:r>
      <w:bookmarkStart w:id="49" w:name="_Hlk110546638"/>
    </w:p>
    <w:bookmarkEnd w:id="49"/>
    <w:p w14:paraId="44BA71CD">
      <w:pPr>
        <w:keepNext w:val="0"/>
        <w:keepLines w:val="0"/>
        <w:pageBreakBefore w:val="0"/>
        <w:kinsoku/>
        <w:wordWrap/>
        <w:overflowPunct/>
        <w:topLinePunct w:val="0"/>
        <w:autoSpaceDE/>
        <w:autoSpaceDN/>
        <w:bidi w:val="0"/>
        <w:adjustRightInd/>
        <w:snapToGrid w:val="0"/>
        <w:spacing w:line="578" w:lineRule="exact"/>
        <w:ind w:left="0" w:leftChars="0" w:firstLine="48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14:paraId="68FDE53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仿宋_GB2312" w:hAnsi="仿宋_GB2312" w:eastAsia="仿宋_GB2312" w:cs="仿宋_GB2312"/>
          <w:kern w:val="0"/>
          <w:sz w:val="32"/>
          <w:szCs w:val="32"/>
          <w:lang w:val="en-US" w:eastAsia="zh-CN" w:bidi="ar-SA"/>
        </w:rPr>
      </w:pPr>
      <w:r>
        <w:rPr>
          <w:rFonts w:hint="default" w:ascii="仿宋_GB2312" w:hAnsi="仿宋_GB2312" w:eastAsia="仿宋_GB2312" w:cs="仿宋_GB2312"/>
          <w:kern w:val="0"/>
          <w:sz w:val="32"/>
          <w:szCs w:val="32"/>
          <w:lang w:val="en-US" w:eastAsia="zh-CN" w:bidi="ar-SA"/>
        </w:rPr>
        <w:t>附表：1.</w:t>
      </w:r>
      <w:r>
        <w:rPr>
          <w:rFonts w:hint="eastAsia" w:ascii="仿宋_GB2312" w:hAnsi="仿宋_GB2312" w:eastAsia="仿宋_GB2312" w:cs="仿宋_GB2312"/>
          <w:kern w:val="0"/>
          <w:sz w:val="32"/>
          <w:szCs w:val="32"/>
          <w:lang w:val="en-US" w:eastAsia="zh-CN" w:bidi="ar-SA"/>
        </w:rPr>
        <w:t>专项</w:t>
      </w:r>
      <w:r>
        <w:rPr>
          <w:rFonts w:hint="default" w:ascii="仿宋_GB2312" w:hAnsi="仿宋_GB2312" w:eastAsia="仿宋_GB2312" w:cs="仿宋_GB2312"/>
          <w:kern w:val="0"/>
          <w:sz w:val="32"/>
          <w:szCs w:val="32"/>
          <w:lang w:val="en-US" w:eastAsia="zh-CN" w:bidi="ar-SA"/>
        </w:rPr>
        <w:t>预算绩效自评打分表</w:t>
      </w:r>
    </w:p>
    <w:p w14:paraId="0DF4B6C0">
      <w:pPr>
        <w:keepNext w:val="0"/>
        <w:keepLines w:val="0"/>
        <w:pageBreakBefore w:val="0"/>
        <w:widowControl w:val="0"/>
        <w:kinsoku/>
        <w:wordWrap/>
        <w:overflowPunct/>
        <w:topLinePunct w:val="0"/>
        <w:autoSpaceDE/>
        <w:autoSpaceDN/>
        <w:bidi w:val="0"/>
        <w:spacing w:line="578" w:lineRule="exact"/>
        <w:ind w:firstLine="1600" w:firstLineChars="500"/>
        <w:textAlignment w:val="auto"/>
        <w:outlineLvl w:val="9"/>
        <w:rPr>
          <w:rFonts w:hint="default" w:ascii="仿宋_GB2312" w:hAnsi="仿宋_GB2312" w:eastAsia="仿宋_GB2312" w:cs="仿宋_GB2312"/>
          <w:kern w:val="0"/>
          <w:sz w:val="32"/>
          <w:szCs w:val="32"/>
          <w:lang w:val="en-US" w:eastAsia="zh-CN" w:bidi="ar-SA"/>
        </w:rPr>
      </w:pPr>
      <w:r>
        <w:rPr>
          <w:rFonts w:hint="default" w:ascii="仿宋_GB2312" w:hAnsi="仿宋_GB2312" w:eastAsia="仿宋_GB2312" w:cs="仿宋_GB2312"/>
          <w:kern w:val="0"/>
          <w:sz w:val="32"/>
          <w:szCs w:val="32"/>
          <w:lang w:val="en-US" w:eastAsia="zh-CN" w:bidi="ar-SA"/>
        </w:rPr>
        <w:t>2.专项预算绩效自评实地踏勘点位清单表</w:t>
      </w:r>
    </w:p>
    <w:p w14:paraId="18217151">
      <w:pPr>
        <w:keepNext w:val="0"/>
        <w:keepLines w:val="0"/>
        <w:pageBreakBefore w:val="0"/>
        <w:widowControl w:val="0"/>
        <w:kinsoku/>
        <w:wordWrap/>
        <w:overflowPunct/>
        <w:topLinePunct w:val="0"/>
        <w:autoSpaceDE/>
        <w:autoSpaceDN/>
        <w:bidi w:val="0"/>
        <w:spacing w:line="578" w:lineRule="exact"/>
        <w:ind w:firstLine="1600" w:firstLineChars="500"/>
        <w:textAlignment w:val="auto"/>
        <w:outlineLvl w:val="9"/>
        <w:rPr>
          <w:rFonts w:hint="default"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3.</w:t>
      </w:r>
      <w:r>
        <w:rPr>
          <w:rFonts w:hint="default" w:ascii="仿宋_GB2312" w:hAnsi="仿宋_GB2312" w:eastAsia="仿宋_GB2312" w:cs="仿宋_GB2312"/>
          <w:kern w:val="0"/>
          <w:sz w:val="32"/>
          <w:szCs w:val="32"/>
          <w:lang w:val="en-US" w:eastAsia="zh-CN" w:bidi="ar-SA"/>
        </w:rPr>
        <w:t>专项预算项目绩效目标完成情况自评表</w:t>
      </w:r>
    </w:p>
    <w:p w14:paraId="322A0B83">
      <w:pPr>
        <w:keepNext w:val="0"/>
        <w:keepLines w:val="0"/>
        <w:pageBreakBefore w:val="0"/>
        <w:kinsoku/>
        <w:wordWrap/>
        <w:overflowPunct/>
        <w:topLinePunct w:val="0"/>
        <w:autoSpaceDE/>
        <w:autoSpaceDN/>
        <w:bidi w:val="0"/>
        <w:adjustRightInd/>
        <w:snapToGrid w:val="0"/>
        <w:spacing w:line="578" w:lineRule="exact"/>
        <w:ind w:left="0" w:leftChars="0" w:firstLine="48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14:paraId="412CA9F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08B0BB0C">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2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2013A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668DBD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50EA3E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06B927D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47B183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242C0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4DB46C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60FA156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0BF2E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A3C83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85DF61">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1C3999B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7488BAD1">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6AAB6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72E9CA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D23F2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0CC97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EC2F1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515FF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60BA0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0B9ED8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D27A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BA56D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FA2BF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C8FCA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B7582C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81D525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3073D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4C3A71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ABE5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9475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763A2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69C9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E00B5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38FE8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6AE33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F97EA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3759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7F80F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E23AB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C6081B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546018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FF380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1CCE00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B90DB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8E67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5A46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11108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9FDB1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7AB2D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D38AB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0B10B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F47C3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F0E7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F5A0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012B3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10EF6B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09CE14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099C4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AC285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FFBC0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F9E7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7E3C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50709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D07D23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AE95D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908A1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8BB51D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34376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D40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B4193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9CF8D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36D8E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7F8D8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57B4D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1BC0B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57E36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1C03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D1BB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B12C3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8F5D68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C5D05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962798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FD427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447B1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D1F1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F9C0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8BEB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C0C9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D65294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7C471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D5483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80A402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A88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1FF63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283A1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9888B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F2591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EE2C40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5466D5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159AA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40A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7568C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CD43C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D807B1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E3AF6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7C9A5C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4F87D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CF9C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E421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E2197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9A0A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347624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35F5C6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59695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FAE34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608C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46FE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33060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F5CC6A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FFEA60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7A93E3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707C0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E43F2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0CAA5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103C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5E83C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B5FD0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7AF7E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17974C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342A9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754A38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0646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334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BE16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CC90E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E5EA57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763CA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5D8C1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69DD5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BB5770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1B0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4D13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D3D4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3ABC45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CE0A8C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5D15E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A2A19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32624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ED89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6052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00C4805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28AE402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C76A4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EDA66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57F062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59C5A7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D583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64B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69102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B8DD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C64C2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11DAB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70DEF3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D73E55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E935F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75217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510B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B761B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2EAE28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064A5F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93E7BF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50346A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F04B47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786B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47DC3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8368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A1A6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54B0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10F3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41E4F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26E9F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280C8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47E03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6BAB0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9E79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582F2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E84C7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5EB85E7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58D61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7D9C14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BA076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691DB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57617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2F0C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F8B9E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1838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7FBDD0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529EF2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14AE197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0F8DA3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6DE9882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9198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6FB2A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77EE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14:paraId="64DD98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0DC95E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7F912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39592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D90E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5D91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622C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8C6A1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14:paraId="127849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36DDBF5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6759B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48360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51843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38F2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50421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E5ECFF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C611E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02ADBD0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AB846D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51AE3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A2D3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62E21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D7235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E49A1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EF49C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BC8A8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9B6F6A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4D900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6CFC27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ECCA6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1C037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F5D02A">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3918C8">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CCDA1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68D39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2CF57D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AAEAFF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59B17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D5634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E542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67D44D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1773BC7D">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50A93CB3">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14E283DE">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2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6F167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12858B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10D6057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4F2DE42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78964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52F669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0670201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阿坝州</w:t>
            </w:r>
            <w:r>
              <w:rPr>
                <w:rFonts w:hint="default" w:ascii="Times New Roman" w:hAnsi="Times New Roman" w:cs="Times New Roman"/>
                <w:color w:val="auto"/>
                <w:sz w:val="24"/>
                <w:szCs w:val="24"/>
                <w:highlight w:val="none"/>
                <w:u w:val="none"/>
                <w:vertAlign w:val="baseline"/>
                <w:lang w:val="en" w:eastAsia="zh-CN"/>
              </w:rPr>
              <w:t>本级</w:t>
            </w:r>
          </w:p>
        </w:tc>
        <w:tc>
          <w:tcPr>
            <w:tcW w:w="905" w:type="dxa"/>
            <w:noWrap w:val="0"/>
            <w:vAlign w:val="top"/>
          </w:tcPr>
          <w:p w14:paraId="77CC8533">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8645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5A7007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5E40A5B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马尔康市</w:t>
            </w:r>
          </w:p>
        </w:tc>
        <w:tc>
          <w:tcPr>
            <w:tcW w:w="905" w:type="dxa"/>
            <w:noWrap w:val="0"/>
            <w:vAlign w:val="top"/>
          </w:tcPr>
          <w:p w14:paraId="46E03EA3">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F62B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A4E231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232D6F7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阿坝县</w:t>
            </w:r>
          </w:p>
        </w:tc>
        <w:tc>
          <w:tcPr>
            <w:tcW w:w="905" w:type="dxa"/>
            <w:noWrap w:val="0"/>
            <w:vAlign w:val="top"/>
          </w:tcPr>
          <w:p w14:paraId="25E2104F">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9103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670B01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0DBF0B4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若尔盖县</w:t>
            </w:r>
          </w:p>
        </w:tc>
        <w:tc>
          <w:tcPr>
            <w:tcW w:w="905" w:type="dxa"/>
            <w:noWrap w:val="0"/>
            <w:vAlign w:val="top"/>
          </w:tcPr>
          <w:p w14:paraId="77E9C836">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727D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E901EF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08C83DA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黑水县</w:t>
            </w:r>
          </w:p>
        </w:tc>
        <w:tc>
          <w:tcPr>
            <w:tcW w:w="905" w:type="dxa"/>
            <w:noWrap w:val="0"/>
            <w:vAlign w:val="top"/>
          </w:tcPr>
          <w:p w14:paraId="178FBF19">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9FCA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E7D435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6D4EBD9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松潘县</w:t>
            </w:r>
          </w:p>
        </w:tc>
        <w:tc>
          <w:tcPr>
            <w:tcW w:w="905" w:type="dxa"/>
            <w:noWrap w:val="0"/>
            <w:vAlign w:val="top"/>
          </w:tcPr>
          <w:p w14:paraId="3BE42B19">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655D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863A10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5793948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US" w:eastAsia="zh-CN"/>
              </w:rPr>
              <w:t>阿坝州本级XX项目</w:t>
            </w:r>
          </w:p>
        </w:tc>
        <w:tc>
          <w:tcPr>
            <w:tcW w:w="905" w:type="dxa"/>
            <w:noWrap w:val="0"/>
            <w:vAlign w:val="top"/>
          </w:tcPr>
          <w:p w14:paraId="7B2FFD4A">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7E6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B00D2A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7DC067F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 w:eastAsia="zh-CN"/>
              </w:rPr>
              <w:t>马尔康市</w:t>
            </w:r>
            <w:r>
              <w:rPr>
                <w:rFonts w:hint="eastAsia" w:cs="Times New Roman"/>
                <w:color w:val="auto"/>
                <w:sz w:val="24"/>
                <w:szCs w:val="24"/>
                <w:highlight w:val="none"/>
                <w:u w:val="none"/>
                <w:vertAlign w:val="baseline"/>
                <w:lang w:val="en-US" w:eastAsia="zh-CN"/>
              </w:rPr>
              <w:t>XX项目</w:t>
            </w:r>
          </w:p>
        </w:tc>
        <w:tc>
          <w:tcPr>
            <w:tcW w:w="905" w:type="dxa"/>
            <w:noWrap w:val="0"/>
            <w:vAlign w:val="top"/>
          </w:tcPr>
          <w:p w14:paraId="3F7DAB7C">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255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5EEFE2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37FB1B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US" w:eastAsia="zh-CN"/>
              </w:rPr>
              <w:t>阿坝县XX项目</w:t>
            </w:r>
          </w:p>
        </w:tc>
        <w:tc>
          <w:tcPr>
            <w:tcW w:w="905" w:type="dxa"/>
            <w:noWrap w:val="0"/>
            <w:vAlign w:val="top"/>
          </w:tcPr>
          <w:p w14:paraId="32967F17">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FE3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54A0DD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3AB61A4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松潘县XX项目</w:t>
            </w:r>
          </w:p>
        </w:tc>
        <w:tc>
          <w:tcPr>
            <w:tcW w:w="905" w:type="dxa"/>
            <w:noWrap w:val="0"/>
            <w:vAlign w:val="top"/>
          </w:tcPr>
          <w:p w14:paraId="4718BE69">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D978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22173B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36D6F61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20BF3C2">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6AB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787153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335CBDA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2889F40">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C1FD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09F90B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7E71BDF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阿坝县XX单位</w:t>
            </w:r>
          </w:p>
        </w:tc>
        <w:tc>
          <w:tcPr>
            <w:tcW w:w="905" w:type="dxa"/>
            <w:noWrap w:val="0"/>
            <w:vAlign w:val="top"/>
          </w:tcPr>
          <w:p w14:paraId="5484A7FF">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60E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6E0100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09DE58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马尔康市XX单位</w:t>
            </w:r>
          </w:p>
        </w:tc>
        <w:tc>
          <w:tcPr>
            <w:tcW w:w="905" w:type="dxa"/>
            <w:noWrap w:val="0"/>
            <w:vAlign w:val="top"/>
          </w:tcPr>
          <w:p w14:paraId="79B0D6DF">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208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58BACB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3BA01AE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松潘县XX单位</w:t>
            </w:r>
          </w:p>
        </w:tc>
        <w:tc>
          <w:tcPr>
            <w:tcW w:w="905" w:type="dxa"/>
            <w:noWrap w:val="0"/>
            <w:vAlign w:val="top"/>
          </w:tcPr>
          <w:p w14:paraId="466414F6">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4463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90C67A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7F68460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6C2F12E">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715B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A7167B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4924BEA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茂县XX公司</w:t>
            </w:r>
          </w:p>
        </w:tc>
        <w:tc>
          <w:tcPr>
            <w:tcW w:w="905" w:type="dxa"/>
            <w:noWrap w:val="0"/>
            <w:vAlign w:val="top"/>
          </w:tcPr>
          <w:p w14:paraId="5ACC3D51">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3EA9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C61DF9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167E2CB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汶川县XX公司</w:t>
            </w:r>
          </w:p>
        </w:tc>
        <w:tc>
          <w:tcPr>
            <w:tcW w:w="905" w:type="dxa"/>
            <w:noWrap w:val="0"/>
            <w:vAlign w:val="top"/>
          </w:tcPr>
          <w:p w14:paraId="1635C376">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26C2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846C39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366B75B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79797673">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E7E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47DBB8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011DA8EE">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33C9C52">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769D2FA3">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4676799F">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55F1032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2C86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32E3DAEF">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40075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6A0D931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D90F2C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生态环境执法</w:t>
            </w:r>
            <w:r>
              <w:rPr>
                <w:rFonts w:hint="eastAsia" w:eastAsia="宋体" w:cs="Times New Roman"/>
                <w:i w:val="0"/>
                <w:color w:val="000000"/>
                <w:sz w:val="24"/>
                <w:szCs w:val="24"/>
                <w:u w:val="none"/>
                <w:lang w:val="en-US" w:eastAsia="zh-CN"/>
              </w:rPr>
              <w:t>工作经费</w:t>
            </w:r>
            <w:r>
              <w:rPr>
                <w:rFonts w:hint="default" w:ascii="Times New Roman" w:hAnsi="Times New Roman" w:eastAsia="宋体" w:cs="Times New Roman"/>
                <w:i w:val="0"/>
                <w:color w:val="000000"/>
                <w:sz w:val="24"/>
                <w:szCs w:val="24"/>
                <w:u w:val="none"/>
                <w:lang w:val="en-US" w:eastAsia="zh-CN"/>
              </w:rPr>
              <w:t>项目</w:t>
            </w:r>
          </w:p>
        </w:tc>
      </w:tr>
      <w:tr w14:paraId="3B431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182217D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B61FB8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阿坝州黑水生态环境局</w:t>
            </w:r>
          </w:p>
        </w:tc>
      </w:tr>
      <w:tr w14:paraId="75312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384D9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F7E2589">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常年项目</w:t>
            </w:r>
          </w:p>
        </w:tc>
      </w:tr>
      <w:tr w14:paraId="0575A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162EB76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84042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2BED535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2FD93BC">
            <w:pPr>
              <w:keepNext w:val="0"/>
              <w:keepLines w:val="0"/>
              <w:pageBreakBefore w:val="0"/>
              <w:kinsoku/>
              <w:wordWrap/>
              <w:overflowPunct/>
              <w:topLinePunct w:val="0"/>
              <w:autoSpaceDE/>
              <w:autoSpaceDN/>
              <w:bidi w:val="0"/>
              <w:adjustRightInd/>
              <w:snapToGrid/>
              <w:spacing w:line="300" w:lineRule="exact"/>
              <w:ind w:left="0" w:leftChars="0" w:firstLine="551" w:firstLineChars="0"/>
              <w:jc w:val="left"/>
              <w:rPr>
                <w:rFonts w:hint="default" w:ascii="Times New Roman" w:hAnsi="Times New Roman" w:eastAsia="宋体" w:cs="Times New Roman"/>
                <w:i w:val="0"/>
                <w:color w:val="000000"/>
                <w:sz w:val="24"/>
                <w:szCs w:val="24"/>
                <w:u w:val="none"/>
              </w:rPr>
            </w:pPr>
            <w:r>
              <w:rPr>
                <w:rFonts w:hint="eastAsia" w:eastAsia="宋体" w:cs="Times New Roman"/>
                <w:i w:val="0"/>
                <w:color w:val="000000"/>
                <w:sz w:val="24"/>
                <w:szCs w:val="24"/>
                <w:u w:val="none"/>
                <w:lang w:val="en-US" w:eastAsia="zh-CN"/>
              </w:rPr>
              <w:t>负责环境监理和环境保护行政稽查；负责环境监测、统计、信息工作；负责年度监督性对生态环境有影响的自然资源开发利用活动、重要生态环境建设和生态环境破坏修复工作；组织开展环境保护执法检查活动产生的差旅费及办公费。通过环境执法检查，提高群众环保意识，改善居民生活环境质量。</w:t>
            </w:r>
          </w:p>
        </w:tc>
      </w:tr>
      <w:tr w14:paraId="70CE0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37DE2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67A280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5006884">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78FD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00CD5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7F52E0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BA6DD7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7C38585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67F5A8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1E08E9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1D51E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070A0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2E7D680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E8390D7">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370E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ECAD6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69720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CB8B472">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5BD5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AF5E2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728E0EC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E770A9C">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AE43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033FD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3EC983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FB5E0C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2022-长期</w:t>
            </w:r>
          </w:p>
        </w:tc>
      </w:tr>
      <w:tr w14:paraId="3F949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5EFA9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0EA52A1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4930349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624BFD4">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5.6</w:t>
            </w:r>
          </w:p>
        </w:tc>
      </w:tr>
      <w:tr w14:paraId="00860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6DC5B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89EC1C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9127FEE">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5.6</w:t>
            </w:r>
          </w:p>
        </w:tc>
      </w:tr>
      <w:tr w14:paraId="6E09E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CD534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67A5F11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3FFFB94">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0</w:t>
            </w:r>
          </w:p>
        </w:tc>
      </w:tr>
      <w:tr w14:paraId="1979B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74A5E16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68F3A2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7708C2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C0FCE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52B5E12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积极推行环境监管工作重心下移、关口前移，做到各类环境问题早发现、早控制、早处置。及时化解环境污染纠纷，有效精准查处各类环境违法和犯罪行为。</w:t>
            </w:r>
          </w:p>
        </w:tc>
      </w:tr>
      <w:tr w14:paraId="5E777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2C73EFC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6FC57A4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F6810E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F42BDB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084292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588E52B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CF2F86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67659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DDC647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5A562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35DE1B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13AD10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B5AE8B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F60ABA1">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eastAsia="zh-CN"/>
              </w:rPr>
            </w:pPr>
            <w:r>
              <w:rPr>
                <w:rFonts w:hint="eastAsia" w:eastAsia="宋体" w:cs="Times New Roman"/>
                <w:i w:val="0"/>
                <w:color w:val="000000"/>
                <w:sz w:val="24"/>
                <w:szCs w:val="24"/>
                <w:u w:val="none"/>
                <w:lang w:val="en-US" w:eastAsia="zh-CN"/>
              </w:rPr>
              <w:t>年度环境监测次数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4D940C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243EEB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3B440E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23689E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74BE27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0B035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58931F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56A05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D715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BFBB703">
            <w:pPr>
              <w:keepNext w:val="0"/>
              <w:keepLines w:val="0"/>
              <w:pageBreakBefore w:val="0"/>
              <w:kinsoku/>
              <w:wordWrap/>
              <w:overflowPunct/>
              <w:topLinePunct w:val="0"/>
              <w:autoSpaceDE/>
              <w:autoSpaceDN/>
              <w:bidi w:val="0"/>
              <w:adjustRightInd/>
              <w:snapToGrid/>
              <w:spacing w:line="300" w:lineRule="exact"/>
              <w:ind w:left="0" w:leftChars="0"/>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执法任务完成率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AD633C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A4ABC3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244E68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71E948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047BA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100</w:t>
            </w:r>
          </w:p>
        </w:tc>
      </w:tr>
      <w:tr w14:paraId="059A9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F6BE4B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2C156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62D0A6C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A91050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双随机达标率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0E0CD9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98BE90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882A46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660335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42E395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100</w:t>
            </w:r>
          </w:p>
        </w:tc>
      </w:tr>
      <w:tr w14:paraId="14C83D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A4B52A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08F65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A7BE8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FEDD4C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CC38C9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DCB957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A4731C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AC0A2F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9B4C3B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447CD5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CD20CD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5249F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A0D0B2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CEBDEA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整体完成时限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1E80828">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937A2D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365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F6847A0">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日</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715101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745F39F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200</w:t>
            </w:r>
          </w:p>
        </w:tc>
      </w:tr>
      <w:tr w14:paraId="1AF71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53849D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FF8A8A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13C88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CEAAB7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457C6F1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9A75A3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D28F46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383AD8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1D7279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4CB17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A1C44C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C7A4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76A005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FD8C42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162815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D00A86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0D4437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31AAA4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880557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4BA0D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802A9B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3788543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效益指标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557C30B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经济效益</w:t>
            </w:r>
          </w:p>
          <w:p w14:paraId="05FDEAB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D205788">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7910F8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E3BEDD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CFFEE7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0A4D48A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7C7199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65100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C83431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C2553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6C61E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9DD6CDA">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0F1E84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FD062E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7B842C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D817A8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114D9A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6DB14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E00FDD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9299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right w:val="single" w:color="000000" w:sz="4" w:space="0"/>
            </w:tcBorders>
            <w:noWrap w:val="0"/>
            <w:vAlign w:val="center"/>
          </w:tcPr>
          <w:p w14:paraId="4A8A273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0EBD4E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5C6C94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提高群众环保意识</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7DD8B1E">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7EB9FC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群众环保意识明显</w:t>
            </w:r>
            <w:r>
              <w:rPr>
                <w:rFonts w:hint="eastAsia" w:ascii="Times New Roman" w:hAnsi="Times New Roman" w:eastAsia="宋体" w:cs="Times New Roman"/>
                <w:i w:val="0"/>
                <w:color w:val="000000"/>
                <w:sz w:val="24"/>
                <w:szCs w:val="24"/>
                <w:u w:val="none"/>
                <w:lang w:val="en-US" w:eastAsia="zh-CN"/>
              </w:rPr>
              <w:t>提高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BC4438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BAE484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94A66A7">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提高</w:t>
            </w:r>
          </w:p>
        </w:tc>
      </w:tr>
      <w:tr w14:paraId="1A61A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FECAF8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01F3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right w:val="single" w:color="000000" w:sz="4" w:space="0"/>
            </w:tcBorders>
            <w:noWrap w:val="0"/>
            <w:vAlign w:val="center"/>
          </w:tcPr>
          <w:p w14:paraId="06A479C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070D334">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597646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F1F89D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923DC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21F4A3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08A725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738E3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4879C9D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E3821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793D5E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lang w:val="en-US"/>
              </w:rPr>
            </w:pPr>
            <w:r>
              <w:rPr>
                <w:rFonts w:hint="eastAsia" w:ascii="Times New Roman" w:hAnsi="Times New Roman" w:eastAsia="宋体" w:cs="Times New Roman"/>
                <w:i w:val="0"/>
                <w:color w:val="000000"/>
                <w:kern w:val="0"/>
                <w:sz w:val="24"/>
                <w:szCs w:val="24"/>
                <w:u w:val="none"/>
                <w:lang w:val="en-US" w:eastAsia="zh-CN" w:bidi="ar"/>
              </w:rPr>
              <w:t>生态效益指标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F2F5BA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对周末居民生活生产环境影响程度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316048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01D207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有所改善</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CCA01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877A2D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47E14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改善</w:t>
            </w:r>
          </w:p>
        </w:tc>
      </w:tr>
      <w:tr w14:paraId="0C8E2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D0DFD5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357BC1A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34600B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2287EAF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220EEF7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2C62254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3639EC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2B3DF07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85F43D">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9718F5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F82061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90</w:t>
            </w:r>
          </w:p>
        </w:tc>
      </w:tr>
      <w:tr w14:paraId="4C790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6917A42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32A625C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04F504D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272F8A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447F995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完成该项目投入成本金额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6564FE9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1EF539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5.6</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F1B56D5">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787428B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5D042DA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5.5604</w:t>
            </w:r>
          </w:p>
        </w:tc>
      </w:tr>
      <w:tr w14:paraId="4C3F4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116FB61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9C150C">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063984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w:t>
            </w:r>
          </w:p>
        </w:tc>
        <w:tc>
          <w:tcPr>
            <w:tcW w:w="1312" w:type="dxa"/>
            <w:tcBorders>
              <w:top w:val="single" w:color="000000" w:sz="4" w:space="0"/>
              <w:bottom w:val="single" w:color="000000" w:sz="4" w:space="0"/>
              <w:right w:val="single" w:color="000000" w:sz="4" w:space="0"/>
            </w:tcBorders>
            <w:noWrap w:val="0"/>
            <w:vAlign w:val="center"/>
          </w:tcPr>
          <w:p w14:paraId="71F8AC5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940439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90150A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F3744F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74B832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AF814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bl>
    <w:p w14:paraId="4BB31D00">
      <w:pPr>
        <w:pStyle w:val="3"/>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14:paraId="2CAA0554">
      <w:pPr>
        <w:pStyle w:val="35"/>
        <w:keepNext w:val="0"/>
        <w:keepLines w:val="0"/>
        <w:pageBreakBefore w:val="0"/>
        <w:widowControl w:val="0"/>
        <w:kinsoku/>
        <w:wordWrap/>
        <w:overflowPunct/>
        <w:topLinePunct w:val="0"/>
        <w:autoSpaceDE/>
        <w:autoSpaceDN/>
        <w:bidi w:val="0"/>
        <w:spacing w:line="578" w:lineRule="exact"/>
        <w:ind w:left="0" w:leftChars="0"/>
        <w:jc w:val="both"/>
        <w:textAlignment w:val="auto"/>
        <w:rPr>
          <w:rFonts w:hint="eastAsia" w:ascii="方正小标宋简体" w:hAnsi="方正小标宋简体" w:eastAsia="方正小标宋简体" w:cs="方正小标宋简体"/>
          <w:color w:val="auto"/>
          <w:kern w:val="2"/>
          <w:sz w:val="44"/>
          <w:szCs w:val="44"/>
          <w:highlight w:val="none"/>
          <w:lang w:val="en-US" w:eastAsia="zh-CN"/>
        </w:rPr>
      </w:pPr>
    </w:p>
    <w:p w14:paraId="6C07F92F">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专项预算项目绩效评价报告范本（二）</w:t>
      </w:r>
    </w:p>
    <w:p w14:paraId="51C3EE92">
      <w:pPr>
        <w:pStyle w:val="35"/>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14:paraId="285D39C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黑体" w:hAnsi="宋体" w:eastAsia="黑体"/>
          <w:sz w:val="32"/>
          <w:szCs w:val="32"/>
          <w:highlight w:val="none"/>
          <w:lang w:val="zh-CN"/>
        </w:rPr>
      </w:pPr>
      <w:r>
        <w:rPr>
          <w:rFonts w:hint="eastAsia" w:ascii="黑体" w:hAnsi="宋体" w:eastAsia="黑体"/>
          <w:sz w:val="32"/>
          <w:szCs w:val="32"/>
          <w:highlight w:val="none"/>
        </w:rPr>
        <w:t>一、</w:t>
      </w:r>
      <w:r>
        <w:rPr>
          <w:rFonts w:hint="eastAsia" w:ascii="黑体" w:hAnsi="宋体" w:eastAsia="黑体"/>
          <w:sz w:val="32"/>
          <w:szCs w:val="32"/>
          <w:highlight w:val="none"/>
          <w:lang w:val="zh-CN"/>
        </w:rPr>
        <w:t>项目概况</w:t>
      </w:r>
    </w:p>
    <w:p w14:paraId="3EB7401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_GB2312" w:hAnsi="仿宋_GB2312" w:eastAsia="仿宋_GB2312" w:cs="仿宋_GB2312"/>
          <w:color w:val="auto"/>
          <w:kern w:val="0"/>
          <w:sz w:val="32"/>
          <w:szCs w:val="32"/>
          <w:highlight w:val="none"/>
          <w:u w:val="none"/>
          <w:shd w:val="clear" w:color="auto" w:fill="FFFFFF"/>
          <w:lang w:val="zh-CN" w:eastAsia="zh-CN"/>
        </w:rPr>
        <w:t>为深入学习宣传习近平生态文明思想</w:t>
      </w:r>
      <w:r>
        <w:rPr>
          <w:rFonts w:hint="eastAsia" w:ascii="仿宋_GB2312" w:hAnsi="仿宋_GB2312" w:eastAsia="仿宋_GB2312" w:cs="仿宋_GB2312"/>
          <w:color w:val="auto"/>
          <w:kern w:val="0"/>
          <w:sz w:val="32"/>
          <w:szCs w:val="32"/>
          <w:highlight w:val="none"/>
          <w:u w:val="none"/>
          <w:shd w:val="clear" w:color="auto" w:fill="FFFFFF"/>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贯彻落实全国、全省生态环境保护大会精神，开展生态文明宣传教育</w:t>
      </w:r>
      <w:r>
        <w:rPr>
          <w:rFonts w:hint="eastAsia" w:ascii="仿宋_GB2312" w:hAnsi="仿宋_GB2312" w:eastAsia="仿宋_GB2312" w:cs="仿宋_GB2312"/>
          <w:color w:val="auto"/>
          <w:kern w:val="0"/>
          <w:sz w:val="32"/>
          <w:szCs w:val="32"/>
          <w:highlight w:val="none"/>
          <w:u w:val="none"/>
          <w:shd w:val="clear" w:color="auto" w:fill="FFFFFF"/>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推动全社会共同参与</w:t>
      </w:r>
      <w:r>
        <w:rPr>
          <w:rFonts w:hint="eastAsia" w:ascii="仿宋_GB2312" w:hAnsi="仿宋_GB2312" w:eastAsia="仿宋_GB2312" w:cs="仿宋_GB2312"/>
          <w:color w:val="auto"/>
          <w:kern w:val="0"/>
          <w:sz w:val="32"/>
          <w:szCs w:val="32"/>
          <w:highlight w:val="none"/>
          <w:u w:val="none"/>
          <w:shd w:val="clear" w:color="auto" w:fill="FFFFFF"/>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激发全社会共同呵护生态环境内生动力的生动实践，营造美丽四川建设的浓厚氛围。本项目的主要内容是202</w:t>
      </w:r>
      <w:r>
        <w:rPr>
          <w:rFonts w:hint="eastAsia" w:ascii="仿宋_GB2312" w:hAnsi="仿宋_GB2312" w:eastAsia="仿宋_GB2312" w:cs="仿宋_GB2312"/>
          <w:color w:val="auto"/>
          <w:kern w:val="0"/>
          <w:sz w:val="32"/>
          <w:szCs w:val="32"/>
          <w:highlight w:val="none"/>
          <w:u w:val="none"/>
          <w:shd w:val="clear" w:color="auto" w:fill="FFFFFF"/>
          <w:lang w:val="en-US" w:eastAsia="zh-CN"/>
        </w:rPr>
        <w:t>5</w:t>
      </w:r>
      <w:r>
        <w:rPr>
          <w:rFonts w:hint="eastAsia" w:ascii="仿宋_GB2312" w:hAnsi="仿宋_GB2312" w:eastAsia="仿宋_GB2312" w:cs="仿宋_GB2312"/>
          <w:color w:val="auto"/>
          <w:kern w:val="0"/>
          <w:sz w:val="32"/>
          <w:szCs w:val="32"/>
          <w:highlight w:val="none"/>
          <w:u w:val="none"/>
          <w:shd w:val="clear" w:color="auto" w:fill="FFFFFF"/>
          <w:lang w:val="zh-CN" w:eastAsia="zh-CN"/>
        </w:rPr>
        <w:t>年</w:t>
      </w:r>
      <w:r>
        <w:rPr>
          <w:rFonts w:hint="eastAsia" w:ascii="仿宋_GB2312" w:hAnsi="仿宋_GB2312" w:eastAsia="仿宋_GB2312" w:cs="仿宋_GB2312"/>
          <w:color w:val="auto"/>
          <w:kern w:val="0"/>
          <w:sz w:val="32"/>
          <w:szCs w:val="32"/>
          <w:highlight w:val="none"/>
          <w:u w:val="none"/>
          <w:shd w:val="clear" w:color="auto" w:fill="FFFFFF"/>
          <w:lang w:val="en-US" w:eastAsia="zh-CN"/>
        </w:rPr>
        <w:t>黑水县生态环境局</w:t>
      </w:r>
      <w:r>
        <w:rPr>
          <w:rFonts w:hint="eastAsia" w:ascii="仿宋_GB2312" w:hAnsi="仿宋_GB2312" w:eastAsia="仿宋_GB2312" w:cs="仿宋_GB2312"/>
          <w:color w:val="auto"/>
          <w:kern w:val="0"/>
          <w:sz w:val="32"/>
          <w:szCs w:val="32"/>
          <w:highlight w:val="none"/>
          <w:u w:val="none"/>
          <w:shd w:val="clear" w:color="auto" w:fill="FFFFFF"/>
          <w:lang w:val="zh-CN" w:eastAsia="zh-CN"/>
        </w:rPr>
        <w:t>通过设立展板、发放宣传材料、现场讲解等多种形式，</w:t>
      </w:r>
      <w:r>
        <w:rPr>
          <w:rFonts w:hint="eastAsia" w:ascii="仿宋_GB2312" w:hAnsi="仿宋_GB2312" w:eastAsia="仿宋_GB2312" w:cs="仿宋_GB2312"/>
          <w:color w:val="auto"/>
          <w:kern w:val="0"/>
          <w:sz w:val="32"/>
          <w:szCs w:val="32"/>
          <w:highlight w:val="none"/>
          <w:u w:val="none"/>
          <w:shd w:val="clear" w:color="auto" w:fill="FFFFFF"/>
          <w:lang w:val="en-US" w:eastAsia="zh-CN"/>
        </w:rPr>
        <w:t>在6.5世界环境日对我县人民宣传环保相关法律法规及发放环保物资等其他宣传活动产生的办公费及宣传费。</w:t>
      </w:r>
    </w:p>
    <w:p w14:paraId="56212AD2">
      <w:pPr>
        <w:pStyle w:val="36"/>
        <w:keepNext w:val="0"/>
        <w:keepLines w:val="0"/>
        <w:pageBreakBefore w:val="0"/>
        <w:kinsoku/>
        <w:wordWrap/>
        <w:overflowPunct/>
        <w:topLinePunct w:val="0"/>
        <w:bidi w:val="0"/>
        <w:spacing w:line="560" w:lineRule="exact"/>
        <w:ind w:left="0" w:firstLine="643" w:firstLineChars="200"/>
        <w:rPr>
          <w:rFonts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通过事前绩效评估将绩效管理关口前移，为项目设立和预算安排提供重要参考依据，提高预算编制科学性、合理性，优化财政支出结构，从源头上防控财政资源配置的低效无效，提高财政资源配置效率和财政资金使用效益。</w:t>
      </w:r>
    </w:p>
    <w:p w14:paraId="46BDE704">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项目预算安排情况，项目资金分配原则及考虑因素，项目资金分配情况。</w:t>
      </w:r>
    </w:p>
    <w:p w14:paraId="0F54E67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项目整体、区域和具体绩效目标设置情况，项目自评工作开展情况。</w:t>
      </w:r>
    </w:p>
    <w:p w14:paraId="32E5568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黑体" w:hAnsi="宋体" w:eastAsia="黑体"/>
          <w:sz w:val="32"/>
          <w:szCs w:val="32"/>
          <w:highlight w:val="none"/>
          <w:lang w:eastAsia="zh-CN"/>
        </w:rPr>
      </w:pPr>
      <w:r>
        <w:rPr>
          <w:rFonts w:hint="eastAsia" w:ascii="黑体" w:hAnsi="宋体" w:eastAsia="黑体"/>
          <w:sz w:val="32"/>
          <w:szCs w:val="32"/>
          <w:highlight w:val="none"/>
        </w:rPr>
        <w:t>二、</w:t>
      </w:r>
      <w:r>
        <w:rPr>
          <w:rFonts w:hint="eastAsia" w:ascii="黑体" w:hAnsi="宋体" w:eastAsia="黑体"/>
          <w:sz w:val="32"/>
          <w:szCs w:val="32"/>
          <w:highlight w:val="none"/>
          <w:lang w:eastAsia="zh-CN"/>
        </w:rPr>
        <w:t>评价实施</w:t>
      </w:r>
    </w:p>
    <w:p w14:paraId="4AC00F8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（一）评价目的。</w:t>
      </w:r>
      <w:r>
        <w:rPr>
          <w:rFonts w:hint="eastAsia" w:ascii="仿宋_GB2312" w:hAnsi="仿宋_GB2312" w:eastAsia="仿宋_GB2312" w:cs="仿宋_GB2312"/>
          <w:color w:val="auto"/>
          <w:kern w:val="0"/>
          <w:sz w:val="32"/>
          <w:szCs w:val="32"/>
          <w:highlight w:val="none"/>
          <w:u w:val="none"/>
          <w:shd w:val="clear" w:color="auto" w:fill="FFFFFF"/>
          <w:lang w:val="zh-CN" w:eastAsia="zh-CN"/>
        </w:rPr>
        <w:t>通过项目绩效自评要实现的目的。</w:t>
      </w:r>
    </w:p>
    <w:p w14:paraId="6B06BF1D">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（二）预设问题及评价重点。</w:t>
      </w:r>
      <w:r>
        <w:rPr>
          <w:rFonts w:hint="eastAsia" w:ascii="仿宋_GB2312" w:hAnsi="仿宋_GB2312" w:eastAsia="仿宋_GB2312" w:cs="仿宋_GB2312"/>
          <w:color w:val="auto"/>
          <w:kern w:val="0"/>
          <w:sz w:val="32"/>
          <w:szCs w:val="32"/>
          <w:highlight w:val="none"/>
          <w:u w:val="none"/>
          <w:shd w:val="clear" w:color="auto" w:fill="FFFFFF"/>
          <w:lang w:val="zh-CN" w:eastAsia="zh-CN"/>
        </w:rPr>
        <w:t>按照绩效评价指标体系，对资金支出使用全过程及其实施效果进行综合评价和判断。</w:t>
      </w:r>
    </w:p>
    <w:p w14:paraId="1814CBB4">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项目绩效自评所抽样点位情况。</w:t>
      </w:r>
    </w:p>
    <w:p w14:paraId="60576B4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（四）评价方法。</w:t>
      </w:r>
      <w:r>
        <w:rPr>
          <w:rFonts w:hint="eastAsia" w:ascii="仿宋_GB2312" w:hAnsi="仿宋_GB2312" w:eastAsia="仿宋_GB2312" w:cs="仿宋_GB2312"/>
          <w:color w:val="auto"/>
          <w:kern w:val="0"/>
          <w:sz w:val="32"/>
          <w:szCs w:val="32"/>
          <w:highlight w:val="none"/>
          <w:u w:val="none"/>
          <w:shd w:val="clear" w:color="auto" w:fill="FFFFFF"/>
          <w:lang w:val="zh-CN" w:eastAsia="zh-CN"/>
        </w:rPr>
        <w:t>根据项目情况和评价重点，用来收集相关材料和开展具体评价的方法。包括：采用成本效益分析法、标杆管理法、案卷研究法、单位自评法、实地勘察法、问卷调查法、座谈调研法等多种方法。</w:t>
      </w:r>
    </w:p>
    <w:p w14:paraId="307022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（五）评价组织。</w:t>
      </w:r>
      <w:r>
        <w:rPr>
          <w:rFonts w:hint="eastAsia" w:ascii="仿宋_GB2312" w:hAnsi="仿宋_GB2312" w:eastAsia="仿宋_GB2312" w:cs="仿宋_GB2312"/>
          <w:color w:val="auto"/>
          <w:kern w:val="0"/>
          <w:sz w:val="32"/>
          <w:szCs w:val="32"/>
          <w:highlight w:val="none"/>
          <w:u w:val="none"/>
          <w:shd w:val="clear" w:color="auto" w:fill="FFFFFF"/>
          <w:lang w:val="zh-CN" w:eastAsia="zh-CN"/>
        </w:rPr>
        <w:t>评价组人员构成和职责分工。</w:t>
      </w:r>
    </w:p>
    <w:p w14:paraId="21EF7BB9">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r>
        <w:rPr>
          <w:rFonts w:hint="eastAsia" w:ascii="仿宋_GB2312" w:hAnsi="宋体"/>
          <w:color w:val="auto"/>
          <w:sz w:val="32"/>
          <w:szCs w:val="32"/>
          <w:highlight w:val="none"/>
          <w:u w:val="none"/>
          <w:lang w:val="zh-CN"/>
        </w:rPr>
        <w:tab/>
      </w:r>
    </w:p>
    <w:p w14:paraId="6944812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default" w:ascii="仿宋_GB2312" w:hAnsi="仿宋_GB2312" w:eastAsia="仿宋_GB2312" w:cs="仿宋_GB2312"/>
          <w:color w:val="auto"/>
          <w:kern w:val="0"/>
          <w:sz w:val="32"/>
          <w:szCs w:val="32"/>
          <w:highlight w:val="none"/>
          <w:u w:val="none"/>
          <w:shd w:val="clear" w:color="auto" w:fill="FFFFFF"/>
          <w:lang w:val="zh-CN" w:eastAsia="zh-CN"/>
        </w:rPr>
        <w:t>根据</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w:t>
      </w:r>
      <w:r>
        <w:rPr>
          <w:rFonts w:hint="default" w:ascii="仿宋_GB2312" w:hAnsi="仿宋_GB2312" w:eastAsia="仿宋_GB2312" w:cs="仿宋_GB2312"/>
          <w:color w:val="auto"/>
          <w:kern w:val="0"/>
          <w:sz w:val="32"/>
          <w:szCs w:val="32"/>
          <w:highlight w:val="none"/>
          <w:u w:val="none"/>
          <w:shd w:val="clear" w:color="auto" w:fill="FFFFFF"/>
          <w:lang w:val="zh-CN" w:eastAsia="zh-CN"/>
        </w:rPr>
        <w:t>预算绩效评价指标体系“</w:t>
      </w:r>
      <w:r>
        <w:rPr>
          <w:rFonts w:hint="eastAsia" w:ascii="仿宋_GB2312" w:hAnsi="仿宋_GB2312" w:eastAsia="仿宋_GB2312" w:cs="仿宋_GB2312"/>
          <w:color w:val="auto"/>
          <w:kern w:val="0"/>
          <w:sz w:val="32"/>
          <w:szCs w:val="32"/>
          <w:highlight w:val="none"/>
          <w:u w:val="none"/>
          <w:shd w:val="clear" w:color="auto" w:fill="FFFFFF"/>
          <w:lang w:val="zh-CN" w:eastAsia="zh-CN"/>
        </w:rPr>
        <w:t>通用指标</w:t>
      </w:r>
      <w:r>
        <w:rPr>
          <w:rFonts w:hint="default" w:ascii="仿宋_GB2312" w:hAnsi="仿宋_GB2312" w:eastAsia="仿宋_GB2312" w:cs="仿宋_GB2312"/>
          <w:color w:val="auto"/>
          <w:kern w:val="0"/>
          <w:sz w:val="32"/>
          <w:szCs w:val="32"/>
          <w:highlight w:val="none"/>
          <w:u w:val="none"/>
          <w:shd w:val="clear" w:color="auto" w:fill="FFFFFF"/>
          <w:lang w:val="zh-CN" w:eastAsia="zh-CN"/>
        </w:rPr>
        <w:t>”</w:t>
      </w:r>
      <w:r>
        <w:rPr>
          <w:rFonts w:hint="eastAsia" w:ascii="仿宋_GB2312" w:hAnsi="仿宋_GB2312" w:eastAsia="仿宋_GB2312" w:cs="仿宋_GB2312"/>
          <w:color w:val="auto"/>
          <w:kern w:val="0"/>
          <w:sz w:val="32"/>
          <w:szCs w:val="32"/>
          <w:highlight w:val="none"/>
          <w:u w:val="none"/>
          <w:shd w:val="clear" w:color="auto" w:fill="FFFFFF"/>
          <w:lang w:val="zh-CN" w:eastAsia="zh-CN"/>
        </w:rPr>
        <w:t>“专用指标”“个性指标”</w:t>
      </w:r>
      <w:r>
        <w:rPr>
          <w:rFonts w:hint="default" w:ascii="仿宋_GB2312" w:hAnsi="仿宋_GB2312" w:eastAsia="仿宋_GB2312" w:cs="仿宋_GB2312"/>
          <w:color w:val="auto"/>
          <w:kern w:val="0"/>
          <w:sz w:val="32"/>
          <w:szCs w:val="32"/>
          <w:highlight w:val="none"/>
          <w:u w:val="none"/>
          <w:shd w:val="clear" w:color="auto" w:fill="FFFFFF"/>
          <w:lang w:val="zh-CN" w:eastAsia="zh-CN"/>
        </w:rPr>
        <w:t>涉及</w:t>
      </w:r>
      <w:r>
        <w:rPr>
          <w:rFonts w:hint="eastAsia" w:ascii="仿宋_GB2312" w:hAnsi="仿宋_GB2312" w:eastAsia="仿宋_GB2312" w:cs="仿宋_GB2312"/>
          <w:color w:val="auto"/>
          <w:kern w:val="0"/>
          <w:sz w:val="32"/>
          <w:szCs w:val="32"/>
          <w:highlight w:val="none"/>
          <w:u w:val="none"/>
          <w:shd w:val="clear" w:color="auto" w:fill="FFFFFF"/>
          <w:lang w:val="zh-CN" w:eastAsia="zh-CN"/>
        </w:rPr>
        <w:t>二、三级</w:t>
      </w:r>
      <w:r>
        <w:rPr>
          <w:rFonts w:hint="default" w:ascii="仿宋_GB2312" w:hAnsi="仿宋_GB2312" w:eastAsia="仿宋_GB2312" w:cs="仿宋_GB2312"/>
          <w:color w:val="auto"/>
          <w:kern w:val="0"/>
          <w:sz w:val="32"/>
          <w:szCs w:val="32"/>
          <w:highlight w:val="none"/>
          <w:u w:val="none"/>
          <w:shd w:val="clear" w:color="auto" w:fill="FFFFFF"/>
          <w:lang w:val="zh-CN" w:eastAsia="zh-CN"/>
        </w:rPr>
        <w:t>指标进行</w:t>
      </w:r>
      <w:r>
        <w:rPr>
          <w:rFonts w:hint="eastAsia" w:ascii="仿宋_GB2312" w:hAnsi="仿宋_GB2312" w:eastAsia="仿宋_GB2312" w:cs="仿宋_GB2312"/>
          <w:color w:val="auto"/>
          <w:kern w:val="0"/>
          <w:sz w:val="32"/>
          <w:szCs w:val="32"/>
          <w:highlight w:val="none"/>
          <w:u w:val="none"/>
          <w:shd w:val="clear" w:color="auto" w:fill="FFFFFF"/>
          <w:lang w:val="zh-CN" w:eastAsia="zh-CN"/>
        </w:rPr>
        <w:t>逐项</w:t>
      </w:r>
      <w:r>
        <w:rPr>
          <w:rFonts w:hint="default" w:ascii="仿宋_GB2312" w:hAnsi="仿宋_GB2312" w:eastAsia="仿宋_GB2312" w:cs="仿宋_GB2312"/>
          <w:color w:val="auto"/>
          <w:kern w:val="0"/>
          <w:sz w:val="32"/>
          <w:szCs w:val="32"/>
          <w:highlight w:val="none"/>
          <w:u w:val="none"/>
          <w:shd w:val="clear" w:color="auto" w:fill="FFFFFF"/>
          <w:lang w:val="zh-CN" w:eastAsia="zh-CN"/>
        </w:rPr>
        <w:t>绩效分析</w:t>
      </w:r>
      <w:r>
        <w:rPr>
          <w:rFonts w:hint="eastAsia" w:ascii="仿宋_GB2312" w:hAnsi="仿宋_GB2312" w:eastAsia="仿宋_GB2312" w:cs="仿宋_GB2312"/>
          <w:color w:val="auto"/>
          <w:kern w:val="0"/>
          <w:sz w:val="32"/>
          <w:szCs w:val="32"/>
          <w:highlight w:val="none"/>
          <w:u w:val="none"/>
          <w:shd w:val="clear" w:color="auto" w:fill="FFFFFF"/>
          <w:lang w:val="zh-CN" w:eastAsia="zh-CN"/>
        </w:rPr>
        <w:t>并评分</w:t>
      </w:r>
      <w:r>
        <w:rPr>
          <w:rFonts w:hint="eastAsia" w:ascii="仿宋_GB2312" w:hAnsi="仿宋_GB2312" w:eastAsia="仿宋_GB2312" w:cs="仿宋_GB2312"/>
          <w:color w:val="auto"/>
          <w:kern w:val="0"/>
          <w:sz w:val="32"/>
          <w:szCs w:val="32"/>
          <w:highlight w:val="none"/>
          <w:u w:val="none"/>
          <w:shd w:val="clear" w:color="auto" w:fill="FFFFFF"/>
          <w:lang w:val="en-US" w:eastAsia="zh-CN"/>
        </w:rPr>
        <w:t>。</w:t>
      </w:r>
    </w:p>
    <w:p w14:paraId="678A5DB2">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eastAsia="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楷体_GB2312" w:hAnsi="宋体" w:eastAsia="楷体_GB2312" w:cs="Times New Roman"/>
          <w:b/>
          <w:color w:val="auto"/>
          <w:sz w:val="32"/>
          <w:szCs w:val="32"/>
          <w:highlight w:val="none"/>
          <w:u w:val="none"/>
          <w:lang w:val="zh-CN" w:eastAsia="zh-CN"/>
        </w:rPr>
        <w:t>绩效分析。</w:t>
      </w:r>
    </w:p>
    <w:p w14:paraId="71E0038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1.</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项目管理。围绕分配管理、绩效监管进行绩效分析。</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项目资金分配因素选取、权重设置、区域分布，项目管理、审批符合管理要求，自评得分10分；管资金、项目、政策管绩效，项目绩效监管按要求开展，对下指导有力有效，</w:t>
      </w:r>
      <w:r>
        <w:rPr>
          <w:rFonts w:hint="default" w:ascii="仿宋_GB2312" w:hAnsi="仿宋_GB2312" w:eastAsia="仿宋_GB2312" w:cs="仿宋_GB2312"/>
          <w:color w:val="auto"/>
          <w:kern w:val="0"/>
          <w:sz w:val="32"/>
          <w:szCs w:val="32"/>
          <w:highlight w:val="none"/>
          <w:u w:val="none"/>
          <w:shd w:val="clear" w:color="auto" w:fill="FFFFFF"/>
          <w:lang w:val="en-US" w:eastAsia="zh-CN"/>
        </w:rPr>
        <w:t>项目按中</w:t>
      </w:r>
      <w:r>
        <w:rPr>
          <w:rFonts w:hint="eastAsia" w:ascii="仿宋_GB2312" w:hAnsi="仿宋_GB2312" w:eastAsia="仿宋_GB2312" w:cs="仿宋_GB2312"/>
          <w:color w:val="auto"/>
          <w:kern w:val="0"/>
          <w:sz w:val="32"/>
          <w:szCs w:val="32"/>
          <w:highlight w:val="none"/>
          <w:u w:val="none"/>
          <w:shd w:val="clear" w:color="auto" w:fill="FFFFFF"/>
          <w:lang w:val="en-US" w:eastAsia="zh-CN"/>
        </w:rPr>
        <w:t>州</w:t>
      </w:r>
      <w:r>
        <w:rPr>
          <w:rFonts w:hint="default" w:ascii="仿宋_GB2312" w:hAnsi="仿宋_GB2312" w:eastAsia="仿宋_GB2312" w:cs="仿宋_GB2312"/>
          <w:color w:val="auto"/>
          <w:kern w:val="0"/>
          <w:sz w:val="32"/>
          <w:szCs w:val="32"/>
          <w:highlight w:val="none"/>
          <w:u w:val="none"/>
          <w:shd w:val="clear" w:color="auto" w:fill="FFFFFF"/>
          <w:lang w:val="en-US" w:eastAsia="zh-CN"/>
        </w:rPr>
        <w:t>要求全面完成绩效目标（含事前评估）、绩效评价、以前年度问题整改等预算绩效管理工作</w:t>
      </w:r>
      <w:r>
        <w:rPr>
          <w:rFonts w:hint="eastAsia" w:ascii="仿宋_GB2312" w:hAnsi="仿宋_GB2312" w:eastAsia="仿宋_GB2312" w:cs="仿宋_GB2312"/>
          <w:color w:val="auto"/>
          <w:kern w:val="0"/>
          <w:sz w:val="32"/>
          <w:szCs w:val="32"/>
          <w:highlight w:val="none"/>
          <w:u w:val="none"/>
          <w:shd w:val="clear" w:color="auto" w:fill="FFFFFF"/>
          <w:lang w:val="en-US" w:eastAsia="zh-CN"/>
        </w:rPr>
        <w:t>，州级部门我单位部门预算绩效管理要求到位，不存在对我单位资金分配和项目管理指导力度不够的情况，每年7月、10月对我单位开展评价、监督、指导等工作，自评得分6分。</w:t>
      </w:r>
    </w:p>
    <w:p w14:paraId="42BE233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2.项目实施。</w:t>
      </w:r>
      <w:r>
        <w:rPr>
          <w:rFonts w:hint="eastAsia" w:ascii="仿宋_GB2312" w:hAnsi="仿宋_GB2312" w:eastAsia="仿宋_GB2312" w:cs="仿宋_GB2312"/>
          <w:color w:val="auto"/>
          <w:kern w:val="0"/>
          <w:sz w:val="32"/>
          <w:szCs w:val="32"/>
          <w:highlight w:val="none"/>
          <w:u w:val="none"/>
          <w:shd w:val="clear" w:color="auto" w:fill="FFFFFF"/>
          <w:lang w:val="zh-CN" w:eastAsia="zh-CN"/>
        </w:rPr>
        <w:t>围绕预算执行、资金使用进行绩效分析。项目资金财政拨付</w:t>
      </w:r>
      <w:r>
        <w:rPr>
          <w:rFonts w:hint="eastAsia" w:ascii="仿宋_GB2312" w:hAnsi="仿宋_GB2312" w:eastAsia="仿宋_GB2312" w:cs="仿宋_GB2312"/>
          <w:color w:val="auto"/>
          <w:kern w:val="0"/>
          <w:sz w:val="32"/>
          <w:szCs w:val="32"/>
          <w:highlight w:val="none"/>
          <w:u w:val="none"/>
          <w:shd w:val="clear" w:color="auto" w:fill="FFFFFF"/>
          <w:lang w:val="en-US" w:eastAsia="zh-CN"/>
        </w:rPr>
        <w:t>及时到位</w:t>
      </w:r>
      <w:r>
        <w:rPr>
          <w:rFonts w:hint="eastAsia" w:ascii="仿宋_GB2312" w:hAnsi="仿宋_GB2312" w:eastAsia="仿宋_GB2312" w:cs="仿宋_GB2312"/>
          <w:color w:val="auto"/>
          <w:kern w:val="0"/>
          <w:sz w:val="32"/>
          <w:szCs w:val="32"/>
          <w:highlight w:val="none"/>
          <w:u w:val="none"/>
          <w:shd w:val="clear" w:color="auto" w:fill="FFFFFF"/>
          <w:lang w:val="zh-CN" w:eastAsia="zh-CN"/>
        </w:rPr>
        <w:t>、单位执行</w:t>
      </w:r>
      <w:r>
        <w:rPr>
          <w:rFonts w:hint="eastAsia" w:ascii="仿宋_GB2312" w:hAnsi="仿宋_GB2312" w:eastAsia="仿宋_GB2312" w:cs="仿宋_GB2312"/>
          <w:color w:val="auto"/>
          <w:kern w:val="0"/>
          <w:sz w:val="32"/>
          <w:szCs w:val="32"/>
          <w:highlight w:val="none"/>
          <w:u w:val="none"/>
          <w:shd w:val="clear" w:color="auto" w:fill="FFFFFF"/>
          <w:lang w:val="en-US" w:eastAsia="zh-CN"/>
        </w:rPr>
        <w:t>率100%，无</w:t>
      </w:r>
      <w:r>
        <w:rPr>
          <w:rFonts w:hint="eastAsia" w:ascii="仿宋_GB2312" w:hAnsi="仿宋_GB2312" w:eastAsia="仿宋_GB2312" w:cs="仿宋_GB2312"/>
          <w:color w:val="auto"/>
          <w:kern w:val="0"/>
          <w:sz w:val="32"/>
          <w:szCs w:val="32"/>
          <w:highlight w:val="none"/>
          <w:u w:val="none"/>
          <w:shd w:val="clear" w:color="auto" w:fill="FFFFFF"/>
          <w:lang w:val="zh-CN" w:eastAsia="zh-CN"/>
        </w:rPr>
        <w:t>地方配套</w:t>
      </w:r>
      <w:r>
        <w:rPr>
          <w:rFonts w:hint="eastAsia" w:ascii="仿宋_GB2312" w:hAnsi="仿宋_GB2312" w:eastAsia="仿宋_GB2312" w:cs="仿宋_GB2312"/>
          <w:color w:val="auto"/>
          <w:kern w:val="0"/>
          <w:sz w:val="32"/>
          <w:szCs w:val="32"/>
          <w:highlight w:val="none"/>
          <w:u w:val="none"/>
          <w:shd w:val="clear" w:color="auto" w:fill="FFFFFF"/>
          <w:lang w:val="en-US" w:eastAsia="zh-CN"/>
        </w:rPr>
        <w:t>资金，自评得分6分；</w:t>
      </w:r>
      <w:r>
        <w:rPr>
          <w:rFonts w:hint="eastAsia" w:ascii="仿宋_GB2312" w:hAnsi="仿宋_GB2312" w:eastAsia="仿宋_GB2312" w:cs="仿宋_GB2312"/>
          <w:color w:val="auto"/>
          <w:kern w:val="0"/>
          <w:sz w:val="32"/>
          <w:szCs w:val="32"/>
          <w:highlight w:val="none"/>
          <w:u w:val="none"/>
          <w:shd w:val="clear" w:color="auto" w:fill="FFFFFF"/>
          <w:lang w:val="zh-CN" w:eastAsia="zh-CN"/>
        </w:rPr>
        <w:t>项目资金使用、拨付符合国家财经法规、财务管理制度及有关专项资金管理制度办法规定和审批程序，</w:t>
      </w:r>
      <w:r>
        <w:rPr>
          <w:rFonts w:hint="eastAsia" w:ascii="仿宋_GB2312" w:hAnsi="仿宋_GB2312" w:eastAsia="仿宋_GB2312" w:cs="仿宋_GB2312"/>
          <w:color w:val="auto"/>
          <w:kern w:val="0"/>
          <w:sz w:val="32"/>
          <w:szCs w:val="32"/>
          <w:highlight w:val="none"/>
          <w:u w:val="none"/>
          <w:shd w:val="clear" w:color="auto" w:fill="FFFFFF"/>
          <w:lang w:val="en-US" w:eastAsia="zh-CN"/>
        </w:rPr>
        <w:t>不</w:t>
      </w:r>
      <w:r>
        <w:rPr>
          <w:rFonts w:hint="eastAsia" w:ascii="仿宋_GB2312" w:hAnsi="仿宋_GB2312" w:eastAsia="仿宋_GB2312" w:cs="仿宋_GB2312"/>
          <w:color w:val="auto"/>
          <w:kern w:val="0"/>
          <w:sz w:val="32"/>
          <w:szCs w:val="32"/>
          <w:highlight w:val="none"/>
          <w:u w:val="none"/>
          <w:shd w:val="clear" w:color="auto" w:fill="FFFFFF"/>
          <w:lang w:val="zh-CN" w:eastAsia="zh-CN"/>
        </w:rPr>
        <w:t>存在超范围、超标准、超进度使用专项资金，</w:t>
      </w:r>
      <w:r>
        <w:rPr>
          <w:rFonts w:hint="eastAsia" w:ascii="仿宋_GB2312" w:hAnsi="仿宋_GB2312" w:eastAsia="仿宋_GB2312" w:cs="仿宋_GB2312"/>
          <w:color w:val="auto"/>
          <w:kern w:val="0"/>
          <w:sz w:val="32"/>
          <w:szCs w:val="32"/>
          <w:highlight w:val="none"/>
          <w:u w:val="none"/>
          <w:shd w:val="clear" w:color="auto" w:fill="FFFFFF"/>
          <w:lang w:val="en-US" w:eastAsia="zh-CN"/>
        </w:rPr>
        <w:t>不</w:t>
      </w:r>
      <w:r>
        <w:rPr>
          <w:rFonts w:hint="eastAsia" w:ascii="仿宋_GB2312" w:hAnsi="仿宋_GB2312" w:eastAsia="仿宋_GB2312" w:cs="仿宋_GB2312"/>
          <w:color w:val="auto"/>
          <w:kern w:val="0"/>
          <w:sz w:val="32"/>
          <w:szCs w:val="32"/>
          <w:highlight w:val="none"/>
          <w:u w:val="none"/>
          <w:shd w:val="clear" w:color="auto" w:fill="FFFFFF"/>
          <w:lang w:val="zh-CN" w:eastAsia="zh-CN"/>
        </w:rPr>
        <w:t>存在资金损失浪费、长期沉淀、截留、挤占、挪用、虚列支出等情况，项目实施遵守相关法律法规，</w:t>
      </w:r>
      <w:r>
        <w:rPr>
          <w:rFonts w:hint="eastAsia" w:ascii="仿宋_GB2312" w:hAnsi="仿宋_GB2312" w:eastAsia="仿宋_GB2312" w:cs="仿宋_GB2312"/>
          <w:color w:val="auto"/>
          <w:kern w:val="0"/>
          <w:sz w:val="32"/>
          <w:szCs w:val="32"/>
          <w:highlight w:val="none"/>
          <w:u w:val="none"/>
          <w:shd w:val="clear" w:color="auto" w:fill="FFFFFF"/>
          <w:lang w:val="en-US" w:eastAsia="zh-CN"/>
        </w:rPr>
        <w:t>自评得分3分。</w:t>
      </w:r>
    </w:p>
    <w:p w14:paraId="75865176">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3.项目结果。围绕</w:t>
      </w:r>
      <w:r>
        <w:rPr>
          <w:rFonts w:hint="eastAsia" w:ascii="仿宋_GB2312" w:hAnsi="仿宋_GB2312" w:eastAsia="仿宋_GB2312" w:cs="仿宋_GB2312"/>
          <w:color w:val="auto"/>
          <w:kern w:val="0"/>
          <w:sz w:val="32"/>
          <w:szCs w:val="32"/>
          <w:highlight w:val="none"/>
          <w:u w:val="none"/>
          <w:shd w:val="clear" w:color="auto" w:fill="FFFFFF"/>
          <w:lang w:val="zh-CN" w:eastAsia="zh-CN"/>
        </w:rPr>
        <w:t>目标完成、完成时效进行绩效分析。项目</w:t>
      </w:r>
      <w:r>
        <w:rPr>
          <w:rFonts w:hint="eastAsia" w:ascii="仿宋_GB2312" w:hAnsi="仿宋_GB2312" w:eastAsia="仿宋_GB2312" w:cs="仿宋_GB2312"/>
          <w:color w:val="auto"/>
          <w:kern w:val="0"/>
          <w:sz w:val="32"/>
          <w:szCs w:val="32"/>
          <w:highlight w:val="none"/>
          <w:u w:val="none"/>
          <w:shd w:val="clear" w:color="auto" w:fill="FFFFFF"/>
          <w:lang w:val="en-US" w:eastAsia="zh-CN"/>
        </w:rPr>
        <w:t>能</w:t>
      </w:r>
      <w:r>
        <w:rPr>
          <w:rFonts w:hint="eastAsia" w:ascii="仿宋_GB2312" w:hAnsi="仿宋_GB2312" w:eastAsia="仿宋_GB2312" w:cs="仿宋_GB2312"/>
          <w:color w:val="auto"/>
          <w:kern w:val="0"/>
          <w:sz w:val="32"/>
          <w:szCs w:val="32"/>
          <w:highlight w:val="none"/>
          <w:u w:val="none"/>
          <w:shd w:val="clear" w:color="auto" w:fill="FFFFFF"/>
          <w:lang w:val="zh-CN" w:eastAsia="zh-CN"/>
        </w:rPr>
        <w:t>完成预期目标，实施结果与绩效目标相匹配，</w:t>
      </w:r>
      <w:r>
        <w:rPr>
          <w:rFonts w:hint="eastAsia" w:ascii="仿宋_GB2312" w:hAnsi="仿宋_GB2312" w:eastAsia="仿宋_GB2312" w:cs="仿宋_GB2312"/>
          <w:color w:val="auto"/>
          <w:kern w:val="0"/>
          <w:sz w:val="32"/>
          <w:szCs w:val="32"/>
          <w:highlight w:val="none"/>
          <w:u w:val="none"/>
          <w:shd w:val="clear" w:color="auto" w:fill="FFFFFF"/>
          <w:lang w:val="en-US" w:eastAsia="zh-CN"/>
        </w:rPr>
        <w:t>预期产出和效果能满足需求，自评得分6分；项目实际完成时间能在计划完成时间内，自评得分3分。</w:t>
      </w:r>
    </w:p>
    <w:p w14:paraId="55B9696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zh-CN" w:eastAsia="zh-CN"/>
        </w:rPr>
      </w:pPr>
      <w:r>
        <w:rPr>
          <w:rFonts w:hint="eastAsia" w:ascii="楷体_GB2312" w:hAnsi="宋体" w:eastAsia="楷体_GB2312" w:cs="Times New Roman"/>
          <w:b/>
          <w:color w:val="auto"/>
          <w:sz w:val="32"/>
          <w:szCs w:val="32"/>
          <w:highlight w:val="none"/>
          <w:u w:val="none"/>
          <w:lang w:val="zh-CN" w:eastAsia="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仿宋_GB2312" w:hAnsi="仿宋_GB2312" w:eastAsia="仿宋_GB2312" w:cs="仿宋_GB2312"/>
          <w:color w:val="auto"/>
          <w:kern w:val="0"/>
          <w:sz w:val="32"/>
          <w:szCs w:val="32"/>
          <w:highlight w:val="none"/>
          <w:u w:val="none"/>
          <w:shd w:val="clear" w:color="auto" w:fill="FFFFFF"/>
          <w:lang w:val="zh-CN" w:eastAsia="zh-CN"/>
        </w:rPr>
        <w:t>根据</w:t>
      </w:r>
      <w:r>
        <w:rPr>
          <w:rFonts w:hint="eastAsia" w:ascii="仿宋_GB2312" w:hAnsi="仿宋_GB2312" w:eastAsia="仿宋_GB2312" w:cs="仿宋_GB2312"/>
          <w:color w:val="auto"/>
          <w:kern w:val="0"/>
          <w:sz w:val="32"/>
          <w:szCs w:val="32"/>
          <w:highlight w:val="none"/>
          <w:u w:val="none"/>
          <w:shd w:val="clear" w:color="auto" w:fill="FFFFFF"/>
          <w:lang w:val="en-US" w:eastAsia="zh-CN"/>
        </w:rPr>
        <w:t>专项预算项目资金支持对象选择所属指标进行绩效分析。支持对象</w:t>
      </w:r>
      <w:r>
        <w:rPr>
          <w:rFonts w:hint="eastAsia" w:ascii="仿宋_GB2312" w:hAnsi="仿宋_GB2312" w:eastAsia="仿宋_GB2312" w:cs="仿宋_GB2312"/>
          <w:color w:val="auto"/>
          <w:kern w:val="0"/>
          <w:sz w:val="32"/>
          <w:szCs w:val="32"/>
          <w:highlight w:val="none"/>
          <w:u w:val="none"/>
          <w:shd w:val="clear" w:color="auto" w:fill="FFFFFF"/>
          <w:lang w:val="zh-CN" w:eastAsia="zh-CN"/>
        </w:rPr>
        <w:t>包括产业发展、民生保障、基础设施、行政运转等方面。</w:t>
      </w:r>
    </w:p>
    <w:p w14:paraId="0060C05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1.产业发展。</w:t>
      </w:r>
      <w:r>
        <w:rPr>
          <w:rFonts w:hint="eastAsia" w:ascii="仿宋_GB2312" w:hAnsi="仿宋_GB2312" w:eastAsia="仿宋_GB2312" w:cs="仿宋_GB2312"/>
          <w:color w:val="auto"/>
          <w:kern w:val="0"/>
          <w:sz w:val="32"/>
          <w:szCs w:val="32"/>
          <w:highlight w:val="none"/>
          <w:u w:val="none"/>
          <w:shd w:val="clear" w:color="auto" w:fill="FFFFFF"/>
          <w:lang w:val="zh-CN" w:eastAsia="zh-CN"/>
        </w:rPr>
        <w:t>围绕符合性、成长性、经济性进行绩效分析。</w:t>
      </w:r>
      <w:r>
        <w:rPr>
          <w:rFonts w:hint="eastAsia" w:ascii="仿宋_GB2312" w:hAnsi="仿宋_GB2312" w:eastAsia="仿宋_GB2312" w:cs="仿宋_GB2312"/>
          <w:color w:val="auto"/>
          <w:kern w:val="0"/>
          <w:sz w:val="32"/>
          <w:szCs w:val="32"/>
          <w:highlight w:val="none"/>
          <w:u w:val="none"/>
          <w:shd w:val="clear" w:color="auto" w:fill="FFFFFF"/>
          <w:lang w:val="en-US" w:eastAsia="zh-CN"/>
        </w:rPr>
        <w:t>无</w:t>
      </w:r>
    </w:p>
    <w:p w14:paraId="6323BB1E">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2.</w:t>
      </w:r>
      <w:r>
        <w:rPr>
          <w:rFonts w:hint="eastAsia" w:ascii="仿宋_GB2312" w:hAnsi="仿宋_GB2312" w:eastAsia="仿宋_GB2312" w:cs="仿宋_GB2312"/>
          <w:color w:val="auto"/>
          <w:kern w:val="0"/>
          <w:sz w:val="32"/>
          <w:szCs w:val="32"/>
          <w:highlight w:val="none"/>
          <w:u w:val="none"/>
          <w:shd w:val="clear" w:color="auto" w:fill="FFFFFF"/>
          <w:lang w:val="zh-CN" w:eastAsia="zh-CN"/>
        </w:rPr>
        <w:t>民生保障。围绕区域均衡性、对象精准性、标准合理性、群众满意度进行绩效分析。</w:t>
      </w:r>
      <w:r>
        <w:rPr>
          <w:rFonts w:hint="eastAsia" w:ascii="仿宋_GB2312" w:hAnsi="仿宋_GB2312" w:eastAsia="仿宋_GB2312" w:cs="仿宋_GB2312"/>
          <w:color w:val="auto"/>
          <w:kern w:val="0"/>
          <w:sz w:val="32"/>
          <w:szCs w:val="32"/>
          <w:highlight w:val="none"/>
          <w:u w:val="none"/>
          <w:shd w:val="clear" w:color="auto" w:fill="FFFFFF"/>
          <w:lang w:val="en-US" w:eastAsia="zh-CN"/>
        </w:rPr>
        <w:t>无</w:t>
      </w:r>
    </w:p>
    <w:p w14:paraId="670DE9F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3.基础设施。</w:t>
      </w:r>
      <w:r>
        <w:rPr>
          <w:rFonts w:hint="eastAsia" w:ascii="仿宋_GB2312" w:hAnsi="仿宋_GB2312" w:eastAsia="仿宋_GB2312" w:cs="仿宋_GB2312"/>
          <w:color w:val="auto"/>
          <w:kern w:val="0"/>
          <w:sz w:val="32"/>
          <w:szCs w:val="32"/>
          <w:highlight w:val="none"/>
          <w:u w:val="none"/>
          <w:shd w:val="clear" w:color="auto" w:fill="FFFFFF"/>
          <w:lang w:val="zh-CN" w:eastAsia="zh-CN"/>
        </w:rPr>
        <w:t>在建项目围绕工程进度和资金拨付进行绩效分析；建成项目围绕项目验收、功能实现、后续管护进行绩效分析。</w:t>
      </w:r>
      <w:r>
        <w:rPr>
          <w:rFonts w:hint="eastAsia" w:ascii="仿宋_GB2312" w:hAnsi="仿宋_GB2312" w:eastAsia="仿宋_GB2312" w:cs="仿宋_GB2312"/>
          <w:color w:val="auto"/>
          <w:kern w:val="0"/>
          <w:sz w:val="32"/>
          <w:szCs w:val="32"/>
          <w:highlight w:val="none"/>
          <w:u w:val="none"/>
          <w:shd w:val="clear" w:color="auto" w:fill="FFFFFF"/>
          <w:lang w:val="en-US" w:eastAsia="zh-CN"/>
        </w:rPr>
        <w:t>无</w:t>
      </w:r>
    </w:p>
    <w:p w14:paraId="74C75C6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4.</w:t>
      </w:r>
      <w:r>
        <w:rPr>
          <w:rFonts w:hint="eastAsia" w:ascii="仿宋_GB2312" w:hAnsi="仿宋_GB2312" w:eastAsia="仿宋_GB2312" w:cs="仿宋_GB2312"/>
          <w:color w:val="auto"/>
          <w:kern w:val="0"/>
          <w:sz w:val="32"/>
          <w:szCs w:val="32"/>
          <w:highlight w:val="none"/>
          <w:u w:val="none"/>
          <w:shd w:val="clear" w:color="auto" w:fill="FFFFFF"/>
          <w:lang w:val="zh-CN" w:eastAsia="zh-CN"/>
        </w:rPr>
        <w:t>行政运转。围绕用途合规性、程序合规性、标准合规性进行绩效分析。</w:t>
      </w:r>
      <w:r>
        <w:rPr>
          <w:rFonts w:hint="eastAsia" w:ascii="仿宋_GB2312" w:hAnsi="仿宋_GB2312" w:eastAsia="仿宋_GB2312" w:cs="仿宋_GB2312"/>
          <w:color w:val="auto"/>
          <w:kern w:val="0"/>
          <w:sz w:val="32"/>
          <w:szCs w:val="32"/>
          <w:highlight w:val="none"/>
          <w:u w:val="none"/>
          <w:shd w:val="clear" w:color="auto" w:fill="FFFFFF"/>
          <w:lang w:val="en-US" w:eastAsia="zh-CN"/>
        </w:rPr>
        <w:t>项目</w:t>
      </w:r>
      <w:r>
        <w:rPr>
          <w:rFonts w:hint="eastAsia" w:ascii="仿宋_GB2312" w:hAnsi="仿宋_GB2312" w:eastAsia="仿宋_GB2312" w:cs="仿宋_GB2312"/>
          <w:color w:val="auto"/>
          <w:kern w:val="0"/>
          <w:sz w:val="32"/>
          <w:szCs w:val="32"/>
          <w:highlight w:val="none"/>
          <w:u w:val="none"/>
          <w:shd w:val="clear" w:color="auto" w:fill="FFFFFF"/>
          <w:lang w:val="zh-CN" w:eastAsia="zh-CN"/>
        </w:rPr>
        <w:t>按规定用途、适用范围进行本地区专项资金分配，</w:t>
      </w:r>
      <w:r>
        <w:rPr>
          <w:rFonts w:hint="eastAsia" w:ascii="仿宋_GB2312" w:hAnsi="仿宋_GB2312" w:eastAsia="仿宋_GB2312" w:cs="仿宋_GB2312"/>
          <w:color w:val="auto"/>
          <w:kern w:val="0"/>
          <w:sz w:val="32"/>
          <w:szCs w:val="32"/>
          <w:highlight w:val="none"/>
          <w:u w:val="none"/>
          <w:shd w:val="clear" w:color="auto" w:fill="FFFFFF"/>
          <w:lang w:val="en-US" w:eastAsia="zh-CN"/>
        </w:rPr>
        <w:t>自评得分10分；</w:t>
      </w:r>
      <w:r>
        <w:rPr>
          <w:rFonts w:hint="eastAsia" w:ascii="仿宋_GB2312" w:hAnsi="仿宋_GB2312" w:eastAsia="仿宋_GB2312" w:cs="仿宋_GB2312"/>
          <w:color w:val="auto"/>
          <w:kern w:val="0"/>
          <w:sz w:val="32"/>
          <w:szCs w:val="32"/>
          <w:highlight w:val="none"/>
          <w:u w:val="none"/>
          <w:shd w:val="clear" w:color="auto" w:fill="FFFFFF"/>
          <w:lang w:val="zh-CN" w:eastAsia="zh-CN"/>
        </w:rPr>
        <w:t>资金管理程序符合专项资金管理要求，</w:t>
      </w:r>
      <w:r>
        <w:rPr>
          <w:rFonts w:hint="eastAsia" w:ascii="仿宋_GB2312" w:hAnsi="仿宋_GB2312" w:eastAsia="仿宋_GB2312" w:cs="仿宋_GB2312"/>
          <w:color w:val="auto"/>
          <w:kern w:val="0"/>
          <w:sz w:val="32"/>
          <w:szCs w:val="32"/>
          <w:highlight w:val="none"/>
          <w:u w:val="none"/>
          <w:shd w:val="clear" w:color="auto" w:fill="FFFFFF"/>
          <w:lang w:val="en-US" w:eastAsia="zh-CN"/>
        </w:rPr>
        <w:t>自评得分10分；</w:t>
      </w:r>
      <w:r>
        <w:rPr>
          <w:rFonts w:hint="eastAsia" w:ascii="仿宋_GB2312" w:hAnsi="仿宋_GB2312" w:eastAsia="仿宋_GB2312" w:cs="仿宋_GB2312"/>
          <w:color w:val="auto"/>
          <w:kern w:val="0"/>
          <w:sz w:val="32"/>
          <w:szCs w:val="32"/>
          <w:highlight w:val="none"/>
          <w:u w:val="none"/>
          <w:shd w:val="clear" w:color="auto" w:fill="FFFFFF"/>
          <w:lang w:val="zh-CN" w:eastAsia="zh-CN"/>
        </w:rPr>
        <w:t>资金分配标准符合专项资金管理要求，</w:t>
      </w:r>
      <w:r>
        <w:rPr>
          <w:rFonts w:hint="eastAsia" w:ascii="仿宋_GB2312" w:hAnsi="仿宋_GB2312" w:eastAsia="仿宋_GB2312" w:cs="仿宋_GB2312"/>
          <w:color w:val="auto"/>
          <w:kern w:val="0"/>
          <w:sz w:val="32"/>
          <w:szCs w:val="32"/>
          <w:highlight w:val="none"/>
          <w:u w:val="none"/>
          <w:shd w:val="clear" w:color="auto" w:fill="FFFFFF"/>
          <w:lang w:val="en-US" w:eastAsia="zh-CN"/>
        </w:rPr>
        <w:t>自评得分10分。</w:t>
      </w:r>
    </w:p>
    <w:p w14:paraId="20B45A90">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楷体_GB2312" w:hAnsi="宋体" w:eastAsia="楷体_GB2312" w:cs="Times New Roman"/>
          <w:b/>
          <w:color w:val="auto"/>
          <w:sz w:val="32"/>
          <w:szCs w:val="32"/>
          <w:highlight w:val="none"/>
          <w:u w:val="none"/>
          <w:lang w:val="zh-CN" w:eastAsia="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楷体_GB2312" w:hAnsi="宋体" w:eastAsia="楷体_GB2312" w:cs="Times New Roman"/>
          <w:b/>
          <w:color w:val="auto"/>
          <w:sz w:val="32"/>
          <w:szCs w:val="32"/>
          <w:highlight w:val="none"/>
          <w:u w:val="none"/>
          <w:lang w:val="zh-CN" w:eastAsia="zh-CN"/>
        </w:rPr>
        <w:t>绩效分析。</w:t>
      </w:r>
      <w:r>
        <w:rPr>
          <w:rFonts w:hint="eastAsia" w:ascii="仿宋_GB2312" w:hAnsi="仿宋_GB2312" w:eastAsia="仿宋_GB2312" w:cs="仿宋_GB2312"/>
          <w:color w:val="auto"/>
          <w:kern w:val="0"/>
          <w:sz w:val="32"/>
          <w:szCs w:val="32"/>
          <w:highlight w:val="none"/>
          <w:u w:val="none"/>
          <w:shd w:val="clear" w:color="auto" w:fill="FFFFFF"/>
          <w:lang w:val="zh-CN" w:eastAsia="zh-CN"/>
        </w:rPr>
        <w:t>根据项目个性自行设定部分指标，反映该项指标执行完成情况。</w:t>
      </w:r>
      <w:r>
        <w:rPr>
          <w:rFonts w:hint="eastAsia" w:ascii="仿宋_GB2312" w:hAnsi="仿宋_GB2312" w:eastAsia="仿宋_GB2312" w:cs="仿宋_GB2312"/>
          <w:color w:val="auto"/>
          <w:kern w:val="0"/>
          <w:sz w:val="32"/>
          <w:szCs w:val="32"/>
          <w:highlight w:val="none"/>
          <w:u w:val="none"/>
          <w:shd w:val="clear" w:color="auto" w:fill="FFFFFF"/>
          <w:lang w:val="en-US" w:eastAsia="zh-CN"/>
        </w:rPr>
        <w:t>无</w:t>
      </w:r>
    </w:p>
    <w:p w14:paraId="17E0AAE2">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14:paraId="29336B72">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从自评情况来看，</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该项目</w:t>
      </w: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绩效</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目标完成情况较好</w:t>
      </w: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，通过设立展板、发放宣传材料、现场讲解等多种形式，</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在6.5世界环境日对我县人民宣传环保相关法律法规及发放环保物资等其他宣传活动产生的办公费及宣传费。</w:t>
      </w: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整体上完成了年初设定的绩效目标，保障了我</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单位环境宣传教育</w:t>
      </w: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工作的正常运转，</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提升</w:t>
      </w: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了</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全县人民群众对生态环保了解程度</w:t>
      </w: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，充分发挥了财政资金的经济效益和社会效益。</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总体自评得分64分。</w:t>
      </w:r>
    </w:p>
    <w:p w14:paraId="3A3449D8">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r>
        <w:rPr>
          <w:rFonts w:hint="eastAsia" w:ascii="黑体" w:hAnsi="宋体" w:eastAsia="黑体" w:cs="Times New Roman"/>
          <w:color w:val="auto"/>
          <w:sz w:val="32"/>
          <w:szCs w:val="32"/>
          <w:highlight w:val="none"/>
          <w:u w:val="none"/>
          <w:lang w:eastAsia="zh-CN"/>
        </w:rPr>
        <w:t>五、存在主要问题</w:t>
      </w:r>
    </w:p>
    <w:p w14:paraId="13C519F9">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无</w:t>
      </w:r>
    </w:p>
    <w:p w14:paraId="6FE5DBAB">
      <w:pPr>
        <w:pStyle w:val="13"/>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p w14:paraId="7C442533">
      <w:pPr>
        <w:pStyle w:val="20"/>
        <w:widowControl/>
        <w:spacing w:before="0" w:beforeAutospacing="0" w:after="0" w:afterAutospacing="0" w:line="576" w:lineRule="exact"/>
        <w:ind w:firstLine="640" w:firstLineChars="200"/>
        <w:textAlignment w:val="center"/>
        <w:rPr>
          <w:rFonts w:hint="eastAsia" w:ascii="仿宋_GB2312" w:hAnsi="仿宋_GB2312" w:eastAsia="仿宋_GB2312" w:cs="仿宋_GB2312"/>
          <w:color w:val="auto"/>
          <w:kern w:val="0"/>
          <w:sz w:val="32"/>
          <w:szCs w:val="32"/>
          <w:highlight w:val="none"/>
          <w:u w:val="none"/>
          <w:shd w:val="clear" w:color="auto" w:fill="FFFFFF"/>
          <w:lang w:val="zh-CN" w:eastAsia="zh-CN" w:bidi="ar-SA"/>
        </w:rPr>
      </w:pPr>
      <w:r>
        <w:rPr>
          <w:rFonts w:hint="eastAsia" w:ascii="仿宋_GB2312" w:hAnsi="仿宋_GB2312" w:eastAsia="仿宋_GB2312" w:cs="仿宋_GB2312"/>
          <w:color w:val="auto"/>
          <w:kern w:val="0"/>
          <w:sz w:val="32"/>
          <w:szCs w:val="32"/>
          <w:highlight w:val="none"/>
          <w:u w:val="none"/>
          <w:shd w:val="clear" w:color="auto" w:fill="FFFFFF"/>
          <w:lang w:val="zh-CN" w:eastAsia="zh-CN" w:bidi="ar-SA"/>
        </w:rPr>
        <w:t>科学编制预算，尽量做好年度规划，降低经费追减比例，加强每月预算执行监控，及时督促相关科室推进项目执行力度。我单位将进一步优化完善实施方案和绩效目标，加强运行监控，节约财政资金并提升资金效益，提升预算绩效管理水平。</w:t>
      </w:r>
    </w:p>
    <w:p w14:paraId="4F273570">
      <w:pPr>
        <w:tabs>
          <w:tab w:val="left" w:pos="1911"/>
        </w:tabs>
        <w:jc w:val="left"/>
        <w:rPr>
          <w:rFonts w:hint="eastAsia" w:ascii="仿宋_GB2312" w:hAnsi="仿宋_GB2312" w:eastAsia="仿宋_GB2312" w:cs="仿宋_GB2312"/>
          <w:b w:val="0"/>
          <w:bCs w:val="0"/>
          <w:kern w:val="0"/>
          <w:position w:val="0"/>
          <w:sz w:val="32"/>
          <w:szCs w:val="32"/>
          <w:highlight w:val="none"/>
          <w:lang w:val="en" w:eastAsia="zh-CN" w:bidi="ar-SA"/>
        </w:rPr>
      </w:pPr>
    </w:p>
    <w:p w14:paraId="6DE7127E">
      <w:pPr>
        <w:keepNext w:val="0"/>
        <w:keepLines w:val="0"/>
        <w:pageBreakBefore w:val="0"/>
        <w:kinsoku/>
        <w:wordWrap/>
        <w:overflowPunct/>
        <w:topLinePunct w:val="0"/>
        <w:autoSpaceDE/>
        <w:autoSpaceDN/>
        <w:bidi w:val="0"/>
        <w:adjustRightInd/>
        <w:snapToGrid w:val="0"/>
        <w:spacing w:line="578" w:lineRule="exact"/>
        <w:ind w:left="0" w:leftChars="0" w:firstLine="48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p>
    <w:p w14:paraId="2FEC10F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default" w:ascii="仿宋_GB2312" w:hAnsi="仿宋_GB2312" w:eastAsia="仿宋_GB2312" w:cs="仿宋_GB2312"/>
          <w:color w:val="auto"/>
          <w:kern w:val="0"/>
          <w:sz w:val="32"/>
          <w:szCs w:val="32"/>
          <w:highlight w:val="none"/>
          <w:u w:val="none"/>
          <w:shd w:val="clear" w:color="auto" w:fill="FFFFFF"/>
          <w:lang w:val="en-US" w:eastAsia="zh-CN"/>
        </w:rPr>
        <w:t>附表：1.</w:t>
      </w:r>
      <w:r>
        <w:rPr>
          <w:rFonts w:hint="eastAsia" w:ascii="仿宋_GB2312" w:hAnsi="仿宋_GB2312" w:eastAsia="仿宋_GB2312" w:cs="仿宋_GB2312"/>
          <w:color w:val="auto"/>
          <w:kern w:val="0"/>
          <w:sz w:val="32"/>
          <w:szCs w:val="32"/>
          <w:highlight w:val="none"/>
          <w:u w:val="none"/>
          <w:shd w:val="clear" w:color="auto" w:fill="FFFFFF"/>
          <w:lang w:val="en-US" w:eastAsia="zh-CN"/>
        </w:rPr>
        <w:t>专项</w:t>
      </w:r>
      <w:r>
        <w:rPr>
          <w:rFonts w:hint="default" w:ascii="仿宋_GB2312" w:hAnsi="仿宋_GB2312" w:eastAsia="仿宋_GB2312" w:cs="仿宋_GB2312"/>
          <w:color w:val="auto"/>
          <w:kern w:val="0"/>
          <w:sz w:val="32"/>
          <w:szCs w:val="32"/>
          <w:highlight w:val="none"/>
          <w:u w:val="none"/>
          <w:shd w:val="clear" w:color="auto" w:fill="FFFFFF"/>
          <w:lang w:val="en-US" w:eastAsia="zh-CN"/>
        </w:rPr>
        <w:t>预算绩效自评打分表</w:t>
      </w:r>
    </w:p>
    <w:p w14:paraId="0A0AA93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1600" w:firstLineChars="5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default" w:ascii="仿宋_GB2312" w:hAnsi="仿宋_GB2312" w:eastAsia="仿宋_GB2312" w:cs="仿宋_GB2312"/>
          <w:color w:val="auto"/>
          <w:kern w:val="0"/>
          <w:sz w:val="32"/>
          <w:szCs w:val="32"/>
          <w:highlight w:val="none"/>
          <w:u w:val="none"/>
          <w:shd w:val="clear" w:color="auto" w:fill="FFFFFF"/>
          <w:lang w:val="en-US" w:eastAsia="zh-CN"/>
        </w:rPr>
        <w:t>2.专项预算绩效自评实地踏勘点位清单表</w:t>
      </w:r>
    </w:p>
    <w:p w14:paraId="49D83AE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1600" w:firstLineChars="500"/>
        <w:contextualSpacing/>
        <w:jc w:val="left"/>
        <w:textAlignment w:val="auto"/>
        <w:rPr>
          <w:rFonts w:hint="default" w:ascii="仿宋_GB2312" w:hAnsi="仿宋_GB2312" w:eastAsia="仿宋_GB2312" w:cs="仿宋_GB2312"/>
          <w:color w:val="auto"/>
          <w:kern w:val="0"/>
          <w:sz w:val="32"/>
          <w:szCs w:val="32"/>
          <w:highlight w:val="none"/>
          <w:u w:val="none"/>
          <w:shd w:val="clear" w:color="auto" w:fill="FFFFFF"/>
          <w:lang w:val="en-US" w:eastAsia="zh-CN"/>
        </w:rPr>
      </w:pPr>
      <w:r>
        <w:rPr>
          <w:rFonts w:hint="eastAsia" w:ascii="仿宋_GB2312" w:hAnsi="仿宋_GB2312" w:eastAsia="仿宋_GB2312" w:cs="仿宋_GB2312"/>
          <w:color w:val="auto"/>
          <w:kern w:val="0"/>
          <w:sz w:val="32"/>
          <w:szCs w:val="32"/>
          <w:highlight w:val="none"/>
          <w:u w:val="none"/>
          <w:shd w:val="clear" w:color="auto" w:fill="FFFFFF"/>
          <w:lang w:val="en-US" w:eastAsia="zh-CN"/>
        </w:rPr>
        <w:t>3.</w:t>
      </w:r>
      <w:r>
        <w:rPr>
          <w:rFonts w:hint="default" w:ascii="仿宋_GB2312" w:hAnsi="仿宋_GB2312" w:eastAsia="仿宋_GB2312" w:cs="仿宋_GB2312"/>
          <w:color w:val="auto"/>
          <w:kern w:val="0"/>
          <w:sz w:val="32"/>
          <w:szCs w:val="32"/>
          <w:highlight w:val="none"/>
          <w:u w:val="none"/>
          <w:shd w:val="clear" w:color="auto" w:fill="FFFFFF"/>
          <w:lang w:val="en-US" w:eastAsia="zh-CN"/>
        </w:rPr>
        <w:t>专项预算项目绩效目标完成情况自评表</w:t>
      </w:r>
    </w:p>
    <w:p w14:paraId="6C57C226">
      <w:pPr>
        <w:keepNext w:val="0"/>
        <w:keepLines w:val="0"/>
        <w:pageBreakBefore w:val="0"/>
        <w:kinsoku/>
        <w:wordWrap/>
        <w:overflowPunct/>
        <w:topLinePunct w:val="0"/>
        <w:autoSpaceDE/>
        <w:autoSpaceDN/>
        <w:bidi w:val="0"/>
        <w:adjustRightInd/>
        <w:snapToGrid w:val="0"/>
        <w:spacing w:line="578" w:lineRule="exact"/>
        <w:ind w:left="0" w:leftChars="0" w:firstLine="480" w:firstLineChars="200"/>
        <w:textAlignment w:val="auto"/>
        <w:outlineLvl w:val="9"/>
        <w:rPr>
          <w:rFonts w:hint="eastAsia" w:ascii="Times New Roman" w:hAnsi="Times New Roman" w:cs="Times New Roman"/>
          <w:color w:val="000000"/>
          <w:kern w:val="0"/>
          <w:szCs w:val="32"/>
          <w:highlight w:val="none"/>
          <w:shd w:val="clear" w:color="auto" w:fill="FFFFFF"/>
          <w:lang w:val="zh-CN" w:eastAsia="zh-CN"/>
        </w:rPr>
      </w:pPr>
      <w:r>
        <w:rPr>
          <w:rFonts w:hint="eastAsia" w:ascii="Times New Roman" w:hAnsi="Times New Roman" w:cs="Times New Roman"/>
          <w:color w:val="000000"/>
          <w:kern w:val="0"/>
          <w:szCs w:val="32"/>
          <w:highlight w:val="none"/>
          <w:shd w:val="clear" w:color="auto" w:fill="FFFFFF"/>
          <w:lang w:val="zh-CN" w:eastAsia="zh-CN"/>
        </w:rPr>
        <w:br w:type="page"/>
      </w:r>
    </w:p>
    <w:p w14:paraId="7C7B314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53E8EB6B">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2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45993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0"/>
            <w:vAlign w:val="center"/>
          </w:tcPr>
          <w:p w14:paraId="68C7B0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488B25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21060D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45A2E3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111CB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0974A1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0"/>
            <w:vAlign w:val="center"/>
          </w:tcPr>
          <w:p w14:paraId="74F0A7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5ECFF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FD5AA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7C098">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24C0FE3C">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0B8D7067">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37E3A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2A709D0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81EAAB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7C49A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E73086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30B1D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CE95F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F143C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3F93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C7BAA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C367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DAED2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70340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18F8A1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29B9ED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08B159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52EA5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E6B7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4DB3C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AA3097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020D3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3F592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0025A5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CA1C16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406E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42769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BA54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D8040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6EAD8C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2D78C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F311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A2F29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C910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4F2ACA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0F9C4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A0D734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60CF5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21C97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B851A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544352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9063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7E0D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26D30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74AC5A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2A01E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99371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D58D0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FA748E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4793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402C0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C5FA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A2F7B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A754EB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40D24CC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235A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7BA4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B631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3754F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1E06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EE0C2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781405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41325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32B2EC6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B9C95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0029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48DF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19E8A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B8EF6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737ADD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55526E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550F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A84E7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A626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C42CF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C81CB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DCFC0B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1C2A4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0BD8F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D8156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F3E4F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6CE9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6761A9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FA2D55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136C5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C0D4BE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24DFB1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5749E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42253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0687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9E59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B05BE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672768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54240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0EC2E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C2858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079A14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4409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846A9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4B4B58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A4856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0B77CC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3C0E5A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3CB93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27820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122D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62501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B3FEB1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2AE580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A3F26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2EC799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52C8B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55B514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D69E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D133B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50BCB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6CBDCB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6CAE8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48F19B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8E2D0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A7B1FF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695F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E3788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5786BB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2FDEB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A7A53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DAF7F4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5A88CC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E1F93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BE68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2CEA5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77B0F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4F8669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C11155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F50EF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6E91E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CF375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EC2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97E5E4">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3CB1D57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34B53FB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70E5D5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6FE891F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6E4F9DE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718491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80FD09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201A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67EA8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A309C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A1789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5454F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34F051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662C0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748C9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B637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A47F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E17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2B43B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restart"/>
            <w:tcBorders>
              <w:top w:val="single" w:color="000000" w:sz="4" w:space="0"/>
              <w:left w:val="single" w:color="000000" w:sz="4" w:space="0"/>
              <w:bottom w:val="single" w:color="000000" w:sz="4" w:space="0"/>
              <w:right w:val="single" w:color="000000" w:sz="4" w:space="0"/>
            </w:tcBorders>
            <w:noWrap w:val="0"/>
            <w:vAlign w:val="center"/>
          </w:tcPr>
          <w:p w14:paraId="4A51B0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70974C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30443B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8CED2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F8B9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061CE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C7A0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36149D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846C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075EC8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0B74A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18B0928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06CAC41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F7320E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6595D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12E1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505E9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96198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E4BE7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0DA0A6F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4A57C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7EA648F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0C513C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DCFFF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7ED3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E40CC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2C32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355" w:type="dxa"/>
            <w:tcBorders>
              <w:top w:val="nil"/>
              <w:left w:val="single" w:color="000000" w:sz="4" w:space="0"/>
              <w:bottom w:val="single" w:color="000000" w:sz="4" w:space="0"/>
              <w:right w:val="single" w:color="000000" w:sz="4" w:space="0"/>
            </w:tcBorders>
            <w:noWrap w:val="0"/>
            <w:vAlign w:val="center"/>
          </w:tcPr>
          <w:p w14:paraId="27BA8E2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696" w:type="dxa"/>
            <w:tcBorders>
              <w:top w:val="nil"/>
              <w:left w:val="single" w:color="000000" w:sz="4" w:space="0"/>
              <w:bottom w:val="single" w:color="000000" w:sz="4" w:space="0"/>
              <w:right w:val="single" w:color="000000" w:sz="4" w:space="0"/>
            </w:tcBorders>
            <w:noWrap w:val="0"/>
            <w:vAlign w:val="center"/>
          </w:tcPr>
          <w:p w14:paraId="05AF841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nil"/>
              <w:left w:val="single" w:color="000000" w:sz="4" w:space="0"/>
              <w:bottom w:val="single" w:color="000000" w:sz="4" w:space="0"/>
              <w:right w:val="single" w:color="000000" w:sz="4" w:space="0"/>
            </w:tcBorders>
            <w:noWrap w:val="0"/>
            <w:vAlign w:val="center"/>
          </w:tcPr>
          <w:p w14:paraId="5FDF6BE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7B54E40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nil"/>
              <w:left w:val="single" w:color="000000" w:sz="4" w:space="0"/>
              <w:bottom w:val="single" w:color="000000" w:sz="4" w:space="0"/>
              <w:right w:val="single" w:color="000000" w:sz="4" w:space="0"/>
            </w:tcBorders>
            <w:noWrap w:val="0"/>
            <w:vAlign w:val="center"/>
          </w:tcPr>
          <w:p w14:paraId="4DB6A1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FF3F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B0851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ADF22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14:paraId="30BE36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696" w:type="dxa"/>
            <w:tcBorders>
              <w:top w:val="nil"/>
              <w:left w:val="single" w:color="000000" w:sz="4" w:space="0"/>
              <w:bottom w:val="single" w:color="000000" w:sz="4" w:space="0"/>
              <w:right w:val="single" w:color="000000" w:sz="4" w:space="0"/>
            </w:tcBorders>
            <w:noWrap w:val="0"/>
            <w:vAlign w:val="center"/>
          </w:tcPr>
          <w:p w14:paraId="7A3D2E2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1E5034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7E5A7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5CB56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99D2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10432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BF2F6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nil"/>
              <w:left w:val="single" w:color="000000" w:sz="4" w:space="0"/>
              <w:bottom w:val="single" w:color="000000" w:sz="4" w:space="0"/>
              <w:right w:val="single" w:color="000000" w:sz="4" w:space="0"/>
            </w:tcBorders>
            <w:noWrap w:val="0"/>
            <w:vAlign w:val="center"/>
          </w:tcPr>
          <w:p w14:paraId="53459F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696" w:type="dxa"/>
            <w:tcBorders>
              <w:top w:val="nil"/>
              <w:left w:val="single" w:color="000000" w:sz="4" w:space="0"/>
              <w:bottom w:val="single" w:color="000000" w:sz="4" w:space="0"/>
              <w:right w:val="single" w:color="000000" w:sz="4" w:space="0"/>
            </w:tcBorders>
            <w:noWrap w:val="0"/>
            <w:vAlign w:val="center"/>
          </w:tcPr>
          <w:p w14:paraId="41C98C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2C6126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EC665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8BC7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6ECD3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7240DC9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54A9577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4E1F2C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restart"/>
            <w:tcBorders>
              <w:top w:val="single" w:color="000000" w:sz="4" w:space="0"/>
              <w:left w:val="single" w:color="000000" w:sz="4" w:space="0"/>
              <w:bottom w:val="single" w:color="000000" w:sz="4" w:space="0"/>
              <w:right w:val="single" w:color="000000" w:sz="4" w:space="0"/>
            </w:tcBorders>
            <w:noWrap w:val="0"/>
            <w:vAlign w:val="center"/>
          </w:tcPr>
          <w:p w14:paraId="33A50ED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根据项目个性自行设定部分指标，反映该项指标执行完成情况。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24AF9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EF497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C5F5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30462E0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27F44C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04670F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3CD2E3">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E3E24D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ADCB4E9">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15CD3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0E94DB1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17D2AE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293AF5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19BC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41F9480">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022D181">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30EFB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0"/>
            <w:vAlign w:val="center"/>
          </w:tcPr>
          <w:p w14:paraId="47AFA99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55" w:type="dxa"/>
            <w:tcBorders>
              <w:top w:val="single" w:color="000000" w:sz="4" w:space="0"/>
              <w:left w:val="single" w:color="000000" w:sz="4" w:space="0"/>
              <w:bottom w:val="single" w:color="000000" w:sz="4" w:space="0"/>
              <w:right w:val="single" w:color="000000" w:sz="4" w:space="0"/>
            </w:tcBorders>
            <w:noWrap w:val="0"/>
            <w:vAlign w:val="center"/>
          </w:tcPr>
          <w:p w14:paraId="679C0B2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696" w:type="dxa"/>
            <w:tcBorders>
              <w:top w:val="single" w:color="000000" w:sz="4" w:space="0"/>
              <w:left w:val="single" w:color="000000" w:sz="4" w:space="0"/>
              <w:bottom w:val="single" w:color="000000" w:sz="4" w:space="0"/>
              <w:right w:val="single" w:color="000000" w:sz="4" w:space="0"/>
            </w:tcBorders>
            <w:noWrap w:val="0"/>
            <w:vAlign w:val="center"/>
          </w:tcPr>
          <w:p w14:paraId="5EE9A7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340" w:type="dxa"/>
            <w:tcBorders>
              <w:top w:val="single" w:color="000000" w:sz="4" w:space="0"/>
              <w:left w:val="single" w:color="000000" w:sz="4" w:space="0"/>
              <w:bottom w:val="single" w:color="000000" w:sz="4" w:space="0"/>
              <w:right w:val="single" w:color="000000" w:sz="4" w:space="0"/>
            </w:tcBorders>
            <w:noWrap w:val="0"/>
            <w:vAlign w:val="center"/>
          </w:tcPr>
          <w:p w14:paraId="57D4631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DE8B5C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80108A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34EEEC00">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58C8DD2D">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31F2F144">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22"/>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7AE5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C8AF01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5D5682F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1C9F59B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75E7F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0B0B5D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179369B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阿坝州</w:t>
            </w:r>
            <w:r>
              <w:rPr>
                <w:rFonts w:hint="default" w:ascii="Times New Roman" w:hAnsi="Times New Roman" w:cs="Times New Roman"/>
                <w:color w:val="auto"/>
                <w:sz w:val="24"/>
                <w:szCs w:val="24"/>
                <w:highlight w:val="none"/>
                <w:u w:val="none"/>
                <w:vertAlign w:val="baseline"/>
                <w:lang w:val="en" w:eastAsia="zh-CN"/>
              </w:rPr>
              <w:t>本级</w:t>
            </w:r>
          </w:p>
        </w:tc>
        <w:tc>
          <w:tcPr>
            <w:tcW w:w="905" w:type="dxa"/>
            <w:noWrap w:val="0"/>
            <w:vAlign w:val="top"/>
          </w:tcPr>
          <w:p w14:paraId="4032AD2D">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9639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4BED0E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1A8C26C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马尔康市</w:t>
            </w:r>
          </w:p>
        </w:tc>
        <w:tc>
          <w:tcPr>
            <w:tcW w:w="905" w:type="dxa"/>
            <w:noWrap w:val="0"/>
            <w:vAlign w:val="top"/>
          </w:tcPr>
          <w:p w14:paraId="66066759">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B5D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0D97B6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4B6BB26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阿坝县</w:t>
            </w:r>
          </w:p>
        </w:tc>
        <w:tc>
          <w:tcPr>
            <w:tcW w:w="905" w:type="dxa"/>
            <w:noWrap w:val="0"/>
            <w:vAlign w:val="top"/>
          </w:tcPr>
          <w:p w14:paraId="273A489A">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70F3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A02550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76FCAAF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若尔盖县</w:t>
            </w:r>
          </w:p>
        </w:tc>
        <w:tc>
          <w:tcPr>
            <w:tcW w:w="905" w:type="dxa"/>
            <w:noWrap w:val="0"/>
            <w:vAlign w:val="top"/>
          </w:tcPr>
          <w:p w14:paraId="0B95C9A5">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2F5E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301266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1CF0B21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黑水县</w:t>
            </w:r>
          </w:p>
        </w:tc>
        <w:tc>
          <w:tcPr>
            <w:tcW w:w="905" w:type="dxa"/>
            <w:noWrap w:val="0"/>
            <w:vAlign w:val="top"/>
          </w:tcPr>
          <w:p w14:paraId="07974D0F">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656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A1CCA3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24D33E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松潘县</w:t>
            </w:r>
          </w:p>
        </w:tc>
        <w:tc>
          <w:tcPr>
            <w:tcW w:w="905" w:type="dxa"/>
            <w:noWrap w:val="0"/>
            <w:vAlign w:val="top"/>
          </w:tcPr>
          <w:p w14:paraId="17CE3018">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0259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3D754A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037FCAC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US" w:eastAsia="zh-CN"/>
              </w:rPr>
              <w:t>阿坝州本级XX项目</w:t>
            </w:r>
          </w:p>
        </w:tc>
        <w:tc>
          <w:tcPr>
            <w:tcW w:w="905" w:type="dxa"/>
            <w:noWrap w:val="0"/>
            <w:vAlign w:val="top"/>
          </w:tcPr>
          <w:p w14:paraId="1875ACE7">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C6C2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235BA0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651C1A3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 w:eastAsia="zh-CN"/>
              </w:rPr>
              <w:t>马尔康市</w:t>
            </w:r>
            <w:r>
              <w:rPr>
                <w:rFonts w:hint="eastAsia" w:cs="Times New Roman"/>
                <w:color w:val="auto"/>
                <w:sz w:val="24"/>
                <w:szCs w:val="24"/>
                <w:highlight w:val="none"/>
                <w:u w:val="none"/>
                <w:vertAlign w:val="baseline"/>
                <w:lang w:val="en-US" w:eastAsia="zh-CN"/>
              </w:rPr>
              <w:t>XX项目</w:t>
            </w:r>
          </w:p>
        </w:tc>
        <w:tc>
          <w:tcPr>
            <w:tcW w:w="905" w:type="dxa"/>
            <w:noWrap w:val="0"/>
            <w:vAlign w:val="top"/>
          </w:tcPr>
          <w:p w14:paraId="6952941C">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1BD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387715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37ADB51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US" w:eastAsia="zh-CN"/>
              </w:rPr>
              <w:t>阿坝县XX项目</w:t>
            </w:r>
          </w:p>
        </w:tc>
        <w:tc>
          <w:tcPr>
            <w:tcW w:w="905" w:type="dxa"/>
            <w:noWrap w:val="0"/>
            <w:vAlign w:val="top"/>
          </w:tcPr>
          <w:p w14:paraId="13FB81CC">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E850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A955E8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15E66EB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松潘县XX项目</w:t>
            </w:r>
          </w:p>
        </w:tc>
        <w:tc>
          <w:tcPr>
            <w:tcW w:w="905" w:type="dxa"/>
            <w:noWrap w:val="0"/>
            <w:vAlign w:val="top"/>
          </w:tcPr>
          <w:p w14:paraId="455A5520">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BBD1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801EAC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10790AD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C58DC27">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0E0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9AA86E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617A4FD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A6F0755">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4F49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F4C6EC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797B35E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阿坝县XX单位</w:t>
            </w:r>
          </w:p>
        </w:tc>
        <w:tc>
          <w:tcPr>
            <w:tcW w:w="905" w:type="dxa"/>
            <w:noWrap w:val="0"/>
            <w:vAlign w:val="top"/>
          </w:tcPr>
          <w:p w14:paraId="023263DF">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6B58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B1A56F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47BCAA8B">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马尔康市XX单位</w:t>
            </w:r>
          </w:p>
        </w:tc>
        <w:tc>
          <w:tcPr>
            <w:tcW w:w="905" w:type="dxa"/>
            <w:noWrap w:val="0"/>
            <w:vAlign w:val="top"/>
          </w:tcPr>
          <w:p w14:paraId="78A4F2C0">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4A56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4C394E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1EC146D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松潘县XX单位</w:t>
            </w:r>
          </w:p>
        </w:tc>
        <w:tc>
          <w:tcPr>
            <w:tcW w:w="905" w:type="dxa"/>
            <w:noWrap w:val="0"/>
            <w:vAlign w:val="top"/>
          </w:tcPr>
          <w:p w14:paraId="02DD6485">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B4D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E725A9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371065A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1651C38">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C7D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61EAB75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422E577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茂县XX公司</w:t>
            </w:r>
          </w:p>
        </w:tc>
        <w:tc>
          <w:tcPr>
            <w:tcW w:w="905" w:type="dxa"/>
            <w:noWrap w:val="0"/>
            <w:vAlign w:val="top"/>
          </w:tcPr>
          <w:p w14:paraId="5623E653">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52E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CF3DDC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43591231">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r>
              <w:rPr>
                <w:rFonts w:hint="eastAsia" w:cs="Times New Roman"/>
                <w:color w:val="auto"/>
                <w:sz w:val="24"/>
                <w:szCs w:val="24"/>
                <w:highlight w:val="none"/>
                <w:u w:val="none"/>
                <w:vertAlign w:val="baseline"/>
                <w:lang w:val="en-US" w:eastAsia="zh-CN"/>
              </w:rPr>
              <w:t>汶川县XX公司</w:t>
            </w:r>
          </w:p>
        </w:tc>
        <w:tc>
          <w:tcPr>
            <w:tcW w:w="905" w:type="dxa"/>
            <w:noWrap w:val="0"/>
            <w:vAlign w:val="top"/>
          </w:tcPr>
          <w:p w14:paraId="6C5E2502">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164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B206669">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1E48878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67F5689F">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FE7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C705F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089F69FD">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0B52968">
            <w:pPr>
              <w:keepNext w:val="0"/>
              <w:keepLines w:val="0"/>
              <w:pageBreakBefore w:val="0"/>
              <w:widowControl w:val="0"/>
              <w:kinsoku/>
              <w:wordWrap/>
              <w:overflowPunct/>
              <w:topLinePunct w:val="0"/>
              <w:autoSpaceDE/>
              <w:autoSpaceDN/>
              <w:bidi w:val="0"/>
              <w:adjustRightInd/>
              <w:snapToGrid/>
              <w:spacing w:line="300" w:lineRule="exact"/>
              <w:ind w:left="0" w:leftChars="0"/>
              <w:jc w:val="both"/>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64545A0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2F396B22">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15F97440">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2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14:paraId="7ACB1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0"/>
            <w:vAlign w:val="center"/>
          </w:tcPr>
          <w:p w14:paraId="28CE599E">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4E38C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6E152B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5754666">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黑水生态</w:t>
            </w:r>
            <w:r>
              <w:rPr>
                <w:rFonts w:hint="default" w:ascii="Times New Roman" w:hAnsi="Times New Roman" w:eastAsia="宋体" w:cs="Times New Roman"/>
                <w:i w:val="0"/>
                <w:color w:val="000000"/>
                <w:sz w:val="24"/>
                <w:szCs w:val="24"/>
                <w:u w:val="none"/>
                <w:lang w:val="en-US" w:eastAsia="zh-CN"/>
              </w:rPr>
              <w:t>环境</w:t>
            </w:r>
            <w:r>
              <w:rPr>
                <w:rFonts w:hint="eastAsia" w:eastAsia="宋体" w:cs="Times New Roman"/>
                <w:i w:val="0"/>
                <w:color w:val="000000"/>
                <w:sz w:val="24"/>
                <w:szCs w:val="24"/>
                <w:u w:val="none"/>
                <w:lang w:val="en-US" w:eastAsia="zh-CN"/>
              </w:rPr>
              <w:t>局</w:t>
            </w:r>
            <w:r>
              <w:rPr>
                <w:rFonts w:hint="default" w:ascii="Times New Roman" w:hAnsi="Times New Roman" w:eastAsia="宋体" w:cs="Times New Roman"/>
                <w:i w:val="0"/>
                <w:color w:val="000000"/>
                <w:sz w:val="24"/>
                <w:szCs w:val="24"/>
                <w:u w:val="none"/>
                <w:lang w:val="en-US" w:eastAsia="zh-CN"/>
              </w:rPr>
              <w:t>宣传教育经费</w:t>
            </w:r>
            <w:r>
              <w:rPr>
                <w:rFonts w:hint="eastAsia" w:eastAsia="宋体" w:cs="Times New Roman"/>
                <w:i w:val="0"/>
                <w:color w:val="000000"/>
                <w:sz w:val="24"/>
                <w:szCs w:val="24"/>
                <w:u w:val="none"/>
                <w:lang w:val="en-US" w:eastAsia="zh-CN"/>
              </w:rPr>
              <w:t>项目</w:t>
            </w:r>
          </w:p>
        </w:tc>
      </w:tr>
      <w:tr w14:paraId="198C4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4E247CE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预算单位</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4730F7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阿坝州黑水生态环境局</w:t>
            </w:r>
          </w:p>
        </w:tc>
      </w:tr>
      <w:tr w14:paraId="48384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noWrap w:val="0"/>
            <w:vAlign w:val="center"/>
          </w:tcPr>
          <w:p w14:paraId="2EF16A0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项目类型</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ED3C45C">
            <w:pPr>
              <w:keepNext w:val="0"/>
              <w:keepLines w:val="0"/>
              <w:pageBreakBefore w:val="0"/>
              <w:kinsoku/>
              <w:wordWrap/>
              <w:overflowPunct/>
              <w:topLinePunct w:val="0"/>
              <w:autoSpaceDE/>
              <w:autoSpaceDN/>
              <w:bidi w:val="0"/>
              <w:adjustRightInd/>
              <w:snapToGrid/>
              <w:spacing w:line="300" w:lineRule="exact"/>
              <w:ind w:left="0" w:leftChars="0"/>
              <w:jc w:val="lef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常年项目</w:t>
            </w:r>
          </w:p>
        </w:tc>
      </w:tr>
      <w:tr w14:paraId="175F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5A6BD8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 概况</w:t>
            </w: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0CF7952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中长期规划（名称、文号，仅指</w:t>
            </w:r>
          </w:p>
          <w:p w14:paraId="70B2360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常年项目）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44D2A6F6">
            <w:pPr>
              <w:keepNext w:val="0"/>
              <w:keepLines w:val="0"/>
              <w:pageBreakBefore w:val="0"/>
              <w:kinsoku/>
              <w:wordWrap/>
              <w:overflowPunct/>
              <w:topLinePunct w:val="0"/>
              <w:autoSpaceDE/>
              <w:autoSpaceDN/>
              <w:bidi w:val="0"/>
              <w:adjustRightInd/>
              <w:snapToGrid/>
              <w:spacing w:line="300" w:lineRule="exact"/>
              <w:ind w:left="0" w:leftChars="0" w:firstLine="551" w:firstLineChars="0"/>
              <w:jc w:val="left"/>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证单位宣传教育工作正常开展，加大6.5世界环境宣传日宣传力度，利用每个宣传日对我县人民宣传环保相关法律法规宣传费、办公费及发放环保物资工作，强化环境宣传，提高全民环保意识，加大生态环保工作成效，完成年度宣传教育工作。</w:t>
            </w:r>
          </w:p>
        </w:tc>
      </w:tr>
      <w:tr w14:paraId="31B7D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025C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A179D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3F298A88">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5537B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736B3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724805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绩效分配方式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06CF9CE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w:t>
            </w:r>
          </w:p>
        </w:tc>
        <w:tc>
          <w:tcPr>
            <w:tcW w:w="2032" w:type="dxa"/>
            <w:gridSpan w:val="2"/>
            <w:tcBorders>
              <w:top w:val="single" w:color="000000" w:sz="4" w:space="0"/>
              <w:left w:val="single" w:color="000000" w:sz="4" w:space="0"/>
              <w:bottom w:val="single" w:color="000000" w:sz="4" w:space="0"/>
              <w:right w:val="single" w:color="000000" w:sz="4" w:space="0"/>
            </w:tcBorders>
            <w:noWrap w:val="0"/>
            <w:vAlign w:val="center"/>
          </w:tcPr>
          <w:p w14:paraId="65C7733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£项目法</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19682C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据实据效</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2A0846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Wingdings 2" w:cs="Times New Roman"/>
                <w:i w:val="0"/>
                <w:color w:val="000000"/>
                <w:sz w:val="24"/>
                <w:szCs w:val="24"/>
                <w:u w:val="none"/>
              </w:rPr>
            </w:pPr>
            <w:r>
              <w:rPr>
                <w:rFonts w:hint="default" w:ascii="Times New Roman" w:hAnsi="Times New Roman" w:eastAsia="Wingdings 2" w:cs="Times New Roman"/>
                <w:i w:val="0"/>
                <w:color w:val="000000"/>
                <w:kern w:val="0"/>
                <w:sz w:val="24"/>
                <w:szCs w:val="24"/>
                <w:u w:val="none"/>
                <w:lang w:val="en-US" w:eastAsia="zh-CN" w:bidi="ar"/>
              </w:rPr>
              <w:t>£</w:t>
            </w:r>
            <w:r>
              <w:rPr>
                <w:rFonts w:hint="default" w:ascii="Times New Roman" w:hAnsi="Times New Roman" w:eastAsia="宋体" w:cs="Times New Roman"/>
                <w:i w:val="0"/>
                <w:color w:val="000000"/>
                <w:kern w:val="0"/>
                <w:sz w:val="24"/>
                <w:szCs w:val="24"/>
                <w:u w:val="none"/>
                <w:lang w:val="en-US" w:eastAsia="zh-CN" w:bidi="ar"/>
              </w:rPr>
              <w:t>因素法与项目法相结合</w:t>
            </w:r>
          </w:p>
        </w:tc>
      </w:tr>
      <w:tr w14:paraId="7DDE4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35EED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3877BD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立项依据</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1CBA1171">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02AB5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7A47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5F4A4B6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使用范围</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67DA30BA">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396DC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B08979E">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69721D9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BC41F1D">
            <w:pPr>
              <w:keepNext w:val="0"/>
              <w:keepLines w:val="0"/>
              <w:pageBreakBefore w:val="0"/>
              <w:kinsoku/>
              <w:wordWrap/>
              <w:overflowPunct/>
              <w:topLinePunct w:val="0"/>
              <w:autoSpaceDE/>
              <w:autoSpaceDN/>
              <w:bidi w:val="0"/>
              <w:adjustRightInd/>
              <w:snapToGrid/>
              <w:spacing w:line="300" w:lineRule="exact"/>
              <w:ind w:left="0" w:leftChars="0"/>
              <w:jc w:val="left"/>
              <w:rPr>
                <w:rFonts w:hint="default" w:ascii="Times New Roman" w:hAnsi="Times New Roman" w:eastAsia="宋体" w:cs="Times New Roman"/>
                <w:i w:val="0"/>
                <w:color w:val="000000"/>
                <w:sz w:val="24"/>
                <w:szCs w:val="24"/>
                <w:u w:val="none"/>
              </w:rPr>
            </w:pPr>
          </w:p>
        </w:tc>
      </w:tr>
      <w:tr w14:paraId="106E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8FF0F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3643" w:type="dxa"/>
            <w:gridSpan w:val="3"/>
            <w:tcBorders>
              <w:top w:val="single" w:color="000000" w:sz="4" w:space="0"/>
              <w:left w:val="single" w:color="000000" w:sz="4" w:space="0"/>
              <w:bottom w:val="single" w:color="000000" w:sz="4" w:space="0"/>
              <w:right w:val="single" w:color="000000" w:sz="4" w:space="0"/>
            </w:tcBorders>
            <w:noWrap w:val="0"/>
            <w:vAlign w:val="center"/>
          </w:tcPr>
          <w:p w14:paraId="4525211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78F037F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2022-长期</w:t>
            </w:r>
          </w:p>
        </w:tc>
      </w:tr>
      <w:tr w14:paraId="2A087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71DD2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项目资金</w:t>
            </w:r>
          </w:p>
          <w:p w14:paraId="3EC8DAF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（万元）</w:t>
            </w: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8BE72D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2FE30326">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r>
      <w:tr w14:paraId="2B15C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FBA9FF">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726BCE6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5DF48F5C">
            <w:pPr>
              <w:keepNext w:val="0"/>
              <w:keepLines w:val="0"/>
              <w:pageBreakBefore w:val="0"/>
              <w:kinsoku/>
              <w:wordWrap/>
              <w:overflowPunct/>
              <w:topLinePunct w:val="0"/>
              <w:autoSpaceDE/>
              <w:autoSpaceDN/>
              <w:bidi w:val="0"/>
              <w:adjustRightInd/>
              <w:snapToGrid/>
              <w:spacing w:line="300" w:lineRule="exact"/>
              <w:ind w:left="0" w:leftChars="0"/>
              <w:jc w:val="right"/>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r>
      <w:tr w14:paraId="1AD56D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31C1EC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noWrap w:val="0"/>
            <w:vAlign w:val="center"/>
          </w:tcPr>
          <w:p w14:paraId="1D43775B">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noWrap w:val="0"/>
            <w:vAlign w:val="center"/>
          </w:tcPr>
          <w:p w14:paraId="05F7F408">
            <w:pPr>
              <w:keepNext w:val="0"/>
              <w:keepLines w:val="0"/>
              <w:pageBreakBefore w:val="0"/>
              <w:kinsoku/>
              <w:wordWrap/>
              <w:overflowPunct/>
              <w:topLinePunct w:val="0"/>
              <w:autoSpaceDE/>
              <w:autoSpaceDN/>
              <w:bidi w:val="0"/>
              <w:adjustRightInd/>
              <w:snapToGrid/>
              <w:spacing w:line="300" w:lineRule="exact"/>
              <w:ind w:left="0" w:leftChars="0"/>
              <w:jc w:val="right"/>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0</w:t>
            </w:r>
          </w:p>
        </w:tc>
      </w:tr>
      <w:tr w14:paraId="40352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0"/>
            <w:vAlign w:val="center"/>
          </w:tcPr>
          <w:p w14:paraId="46DC69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97EDC7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45494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1E96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8"/>
            <w:tcBorders>
              <w:top w:val="single" w:color="000000" w:sz="4" w:space="0"/>
              <w:left w:val="single" w:color="000000" w:sz="4" w:space="0"/>
              <w:bottom w:val="single" w:color="000000" w:sz="4" w:space="0"/>
              <w:right w:val="single" w:color="000000" w:sz="4" w:space="0"/>
            </w:tcBorders>
            <w:noWrap w:val="0"/>
            <w:vAlign w:val="center"/>
          </w:tcPr>
          <w:p w14:paraId="1E319BC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保证单位宣传教育工作正常开展，加大6.5世界环境宣传日宣传力度，利用每个宣传日对我县人民宣传环保相关法律法</w:t>
            </w:r>
            <w:r>
              <w:rPr>
                <w:rFonts w:hint="eastAsia" w:ascii="Times New Roman" w:hAnsi="Times New Roman" w:cs="Times New Roman"/>
                <w:i w:val="0"/>
                <w:color w:val="000000"/>
                <w:sz w:val="24"/>
                <w:szCs w:val="24"/>
                <w:u w:val="none"/>
                <w:lang w:eastAsia="zh-CN"/>
              </w:rPr>
              <w:t>规和</w:t>
            </w:r>
            <w:r>
              <w:rPr>
                <w:rFonts w:hint="default" w:ascii="Times New Roman" w:hAnsi="Times New Roman" w:eastAsia="宋体" w:cs="Times New Roman"/>
                <w:i w:val="0"/>
                <w:color w:val="000000"/>
                <w:sz w:val="24"/>
                <w:szCs w:val="24"/>
                <w:u w:val="none"/>
              </w:rPr>
              <w:t>宣传费、办公费及发放环保物资工作，强化环境宣传，</w:t>
            </w:r>
            <w:r>
              <w:rPr>
                <w:rFonts w:hint="eastAsia" w:ascii="Times New Roman" w:hAnsi="Times New Roman" w:cs="Times New Roman"/>
                <w:i w:val="0"/>
                <w:color w:val="000000"/>
                <w:sz w:val="24"/>
                <w:szCs w:val="24"/>
                <w:u w:val="none"/>
                <w:lang w:eastAsia="zh-CN"/>
              </w:rPr>
              <w:t>增强</w:t>
            </w:r>
            <w:r>
              <w:rPr>
                <w:rFonts w:hint="default" w:ascii="Times New Roman" w:hAnsi="Times New Roman" w:eastAsia="宋体" w:cs="Times New Roman"/>
                <w:i w:val="0"/>
                <w:color w:val="000000"/>
                <w:sz w:val="24"/>
                <w:szCs w:val="24"/>
                <w:u w:val="none"/>
              </w:rPr>
              <w:t>全民环保意识，加大生态环保工作成效，完成年度宣传教育工作。</w:t>
            </w:r>
          </w:p>
        </w:tc>
      </w:tr>
      <w:tr w14:paraId="4B5DD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tcBorders>
            <w:noWrap w:val="0"/>
            <w:vAlign w:val="center"/>
          </w:tcPr>
          <w:p w14:paraId="4E60B82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109EA0F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228EB1C2">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3A4BB7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5CC5B5D">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4D1146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D3DB44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151C37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35573F4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4EA05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58826DA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10173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D66955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D3C3FCB">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宣传日发放环保手册数</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23AC4E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0A953F2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2000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F04D21A">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人/次</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F280A2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w:t>
            </w:r>
            <w:r>
              <w:rPr>
                <w:rFonts w:hint="eastAsia" w:eastAsia="宋体" w:cs="Times New Roman"/>
                <w:i w:val="0"/>
                <w:color w:val="000000"/>
                <w:sz w:val="24"/>
                <w:szCs w:val="24"/>
                <w:u w:val="none"/>
                <w:lang w:val="en-US" w:eastAsia="zh-CN"/>
              </w:rPr>
              <w:t>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17B89F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2000</w:t>
            </w:r>
          </w:p>
        </w:tc>
      </w:tr>
      <w:tr w14:paraId="3BF3E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D315330">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611CD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5E9B0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FA8FF92">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default" w:ascii="Times New Roman" w:hAnsi="Times New Roman" w:eastAsia="宋体" w:cs="Times New Roman"/>
                <w:i w:val="0"/>
                <w:color w:val="000000"/>
                <w:sz w:val="24"/>
                <w:szCs w:val="24"/>
                <w:u w:val="none"/>
              </w:rPr>
              <w:t>宣传</w:t>
            </w:r>
            <w:r>
              <w:rPr>
                <w:rFonts w:hint="eastAsia" w:eastAsia="宋体" w:cs="Times New Roman"/>
                <w:i w:val="0"/>
                <w:color w:val="000000"/>
                <w:sz w:val="24"/>
                <w:szCs w:val="24"/>
                <w:u w:val="none"/>
                <w:lang w:val="en-US" w:eastAsia="zh-CN"/>
              </w:rPr>
              <w:t>展板设置数量</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211A18B">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宋体" w:hAnsi="宋体" w:eastAsia="宋体" w:cs="宋体"/>
                <w:i w:val="0"/>
                <w:color w:val="000000"/>
                <w:sz w:val="24"/>
                <w:szCs w:val="24"/>
                <w:u w:val="none"/>
                <w:lang w:eastAsia="zh-CN"/>
              </w:rPr>
            </w:pPr>
            <w:r>
              <w:rPr>
                <w:rFonts w:hint="eastAsia" w:ascii="宋体" w:hAnsi="宋体" w:eastAsia="宋体" w:cs="宋体"/>
                <w:i w:val="0"/>
                <w:color w:val="000000"/>
                <w:sz w:val="24"/>
                <w:szCs w:val="24"/>
                <w:u w:val="none"/>
                <w:lang w:eastAsia="zh-CN"/>
              </w:rPr>
              <w:t>&gt;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6EE875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89DE54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1285864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E04B8A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r>
      <w:tr w14:paraId="2BB43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7BE4CE2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CA18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1A7377B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69E89D6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宣传材料质量合格率</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1446858C">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45B7A3C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E2C879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27E50E9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073A3A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96</w:t>
            </w:r>
          </w:p>
        </w:tc>
      </w:tr>
      <w:tr w14:paraId="2B8B7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0518CE2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FBE02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D6246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426F563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C47A43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33242F5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9F42A3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E4376A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0423ABD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r>
      <w:tr w14:paraId="4857D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430D5C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E6B2F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3CF1BA6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0FC6137">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整体完成时限</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2BD2336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default" w:ascii="Arial" w:hAnsi="Arial" w:eastAsia="宋体" w:cs="Arial"/>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13E49D8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365</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C1969E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日</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3BE354E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435375B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200</w:t>
            </w:r>
          </w:p>
        </w:tc>
      </w:tr>
      <w:tr w14:paraId="195D2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4138174">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6EC1F8">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250" w:type="dxa"/>
            <w:tcBorders>
              <w:top w:val="single" w:color="000000" w:sz="4" w:space="0"/>
              <w:left w:val="single" w:color="000000" w:sz="4" w:space="0"/>
              <w:right w:val="single" w:color="000000" w:sz="4" w:space="0"/>
            </w:tcBorders>
            <w:noWrap w:val="0"/>
            <w:vAlign w:val="center"/>
          </w:tcPr>
          <w:p w14:paraId="65BCBA17">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社会效益</w:t>
            </w:r>
          </w:p>
          <w:p w14:paraId="430B9F8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61E9075">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全县人民群众对环保的了解程度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6DCF7F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2DF0766">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了解程度全县提高</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7BA7DA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6D28D55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8FD4F29">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提高</w:t>
            </w:r>
          </w:p>
        </w:tc>
      </w:tr>
      <w:tr w14:paraId="0F263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26B4681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right w:val="single" w:color="000000" w:sz="4" w:space="0"/>
            </w:tcBorders>
            <w:noWrap w:val="0"/>
            <w:vAlign w:val="center"/>
          </w:tcPr>
          <w:p w14:paraId="63C6F53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满意度</w:t>
            </w:r>
          </w:p>
          <w:p w14:paraId="6C641AF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531CC34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服务对象</w:t>
            </w:r>
          </w:p>
          <w:p w14:paraId="6F3F3F03">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6EE0D50">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群众满意度</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3DED45A4">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71F17CC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90</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C67A351">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5FAE32A3">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6A931FEB">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92</w:t>
            </w:r>
          </w:p>
        </w:tc>
      </w:tr>
      <w:tr w14:paraId="00F9C7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tcBorders>
            <w:noWrap w:val="0"/>
            <w:vAlign w:val="center"/>
          </w:tcPr>
          <w:p w14:paraId="381AD4C2">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tcBorders>
              <w:top w:val="single" w:color="000000" w:sz="4" w:space="0"/>
              <w:left w:val="single" w:color="000000" w:sz="4" w:space="0"/>
              <w:bottom w:val="single" w:color="000000" w:sz="4" w:space="0"/>
              <w:right w:val="single" w:color="000000" w:sz="4" w:space="0"/>
            </w:tcBorders>
            <w:noWrap w:val="0"/>
            <w:vAlign w:val="center"/>
          </w:tcPr>
          <w:p w14:paraId="4D36D03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A1B995A">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kern w:val="0"/>
                <w:sz w:val="24"/>
                <w:szCs w:val="24"/>
                <w:u w:val="none"/>
                <w:lang w:val="en-US" w:eastAsia="zh-CN" w:bidi="ar"/>
              </w:rPr>
            </w:pPr>
            <w:r>
              <w:rPr>
                <w:rFonts w:hint="default" w:ascii="Times New Roman" w:hAnsi="Times New Roman" w:eastAsia="宋体" w:cs="Times New Roman"/>
                <w:i w:val="0"/>
                <w:color w:val="000000"/>
                <w:kern w:val="0"/>
                <w:sz w:val="24"/>
                <w:szCs w:val="24"/>
                <w:u w:val="none"/>
                <w:lang w:val="en-US" w:eastAsia="zh-CN" w:bidi="ar"/>
              </w:rPr>
              <w:t>经济成本</w:t>
            </w:r>
          </w:p>
          <w:p w14:paraId="2B6D6574">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w:t>
            </w:r>
          </w:p>
        </w:tc>
        <w:tc>
          <w:tcPr>
            <w:tcW w:w="1312" w:type="dxa"/>
            <w:tcBorders>
              <w:top w:val="single" w:color="000000" w:sz="4" w:space="0"/>
              <w:bottom w:val="single" w:color="000000" w:sz="4" w:space="0"/>
              <w:right w:val="single" w:color="000000" w:sz="4" w:space="0"/>
            </w:tcBorders>
            <w:noWrap w:val="0"/>
            <w:vAlign w:val="center"/>
          </w:tcPr>
          <w:p w14:paraId="00E83C5D">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sz w:val="24"/>
                <w:szCs w:val="24"/>
                <w:u w:val="none"/>
              </w:rPr>
              <w:t>完成该项目投入成本金额</w:t>
            </w:r>
          </w:p>
        </w:tc>
        <w:tc>
          <w:tcPr>
            <w:tcW w:w="1127" w:type="dxa"/>
            <w:tcBorders>
              <w:top w:val="single" w:color="000000" w:sz="4" w:space="0"/>
              <w:left w:val="single" w:color="000000" w:sz="4" w:space="0"/>
              <w:bottom w:val="single" w:color="000000" w:sz="4" w:space="0"/>
              <w:right w:val="single" w:color="000000" w:sz="4" w:space="0"/>
            </w:tcBorders>
            <w:noWrap w:val="0"/>
            <w:vAlign w:val="center"/>
          </w:tcPr>
          <w:p w14:paraId="52F1AA16">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noWrap w:val="0"/>
            <w:vAlign w:val="center"/>
          </w:tcPr>
          <w:p w14:paraId="607CBA6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4</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17878D3">
            <w:pPr>
              <w:keepNext w:val="0"/>
              <w:keepLines w:val="0"/>
              <w:pageBreakBefore w:val="0"/>
              <w:kinsoku/>
              <w:wordWrap/>
              <w:overflowPunct/>
              <w:topLinePunct w:val="0"/>
              <w:autoSpaceDE/>
              <w:autoSpaceDN/>
              <w:bidi w:val="0"/>
              <w:adjustRightInd/>
              <w:snapToGrid/>
              <w:spacing w:line="300" w:lineRule="exact"/>
              <w:ind w:left="0" w:leftChars="0"/>
              <w:jc w:val="center"/>
              <w:rPr>
                <w:rFonts w:hint="eastAsia"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noWrap w:val="0"/>
            <w:vAlign w:val="center"/>
          </w:tcPr>
          <w:p w14:paraId="4464F9B1">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ascii="Times New Roman" w:hAnsi="Times New Roman" w:eastAsia="宋体" w:cs="Times New Roman"/>
                <w:i w:val="0"/>
                <w:color w:val="000000"/>
                <w:sz w:val="24"/>
                <w:szCs w:val="24"/>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noWrap w:val="0"/>
            <w:vAlign w:val="center"/>
          </w:tcPr>
          <w:p w14:paraId="2E80367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lang w:val="en-US" w:eastAsia="zh-CN"/>
              </w:rPr>
            </w:pPr>
            <w:r>
              <w:rPr>
                <w:rFonts w:hint="eastAsia" w:eastAsia="宋体" w:cs="Times New Roman"/>
                <w:i w:val="0"/>
                <w:color w:val="000000"/>
                <w:sz w:val="24"/>
                <w:szCs w:val="24"/>
                <w:u w:val="none"/>
                <w:lang w:val="en-US" w:eastAsia="zh-CN"/>
              </w:rPr>
              <w:t>3.426</w:t>
            </w:r>
          </w:p>
        </w:tc>
      </w:tr>
    </w:tbl>
    <w:p w14:paraId="2269E31E">
      <w:pPr>
        <w:pStyle w:val="3"/>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14:paraId="3754738B">
      <w:pPr>
        <w:pStyle w:val="3"/>
        <w:keepNext w:val="0"/>
        <w:keepLines w:val="0"/>
        <w:pageBreakBefore w:val="0"/>
        <w:kinsoku/>
        <w:wordWrap/>
        <w:overflowPunct/>
        <w:topLinePunct w:val="0"/>
        <w:autoSpaceDE/>
        <w:autoSpaceDN/>
        <w:bidi w:val="0"/>
        <w:spacing w:after="0" w:line="578" w:lineRule="exact"/>
        <w:ind w:left="0" w:leftChars="0"/>
        <w:rPr>
          <w:rFonts w:hint="default" w:ascii="黑体" w:hAnsi="黑体" w:eastAsia="黑体" w:cs="黑体"/>
          <w:sz w:val="24"/>
          <w:szCs w:val="24"/>
          <w:highlight w:val="none"/>
          <w:lang w:val="en-US" w:eastAsia="zh-CN"/>
        </w:rPr>
      </w:pPr>
    </w:p>
    <w:p w14:paraId="72086079">
      <w:pPr>
        <w:pStyle w:val="20"/>
        <w:spacing w:before="0" w:beforeAutospacing="0"/>
        <w:rPr>
          <w:rStyle w:val="24"/>
          <w:rFonts w:hint="eastAsia" w:ascii="黑体" w:hAnsi="黑体" w:eastAsia="黑体" w:cs="黑体"/>
          <w:sz w:val="36"/>
          <w:szCs w:val="36"/>
          <w:shd w:val="clear" w:color="auto" w:fill="FFFFFF"/>
        </w:rPr>
      </w:pPr>
    </w:p>
    <w:p w14:paraId="2095CB34">
      <w:pPr>
        <w:keepNext w:val="0"/>
        <w:keepLines w:val="0"/>
        <w:pageBreakBefore w:val="0"/>
        <w:widowControl/>
        <w:kinsoku/>
        <w:wordWrap/>
        <w:overflowPunct/>
        <w:topLinePunct w:val="0"/>
        <w:autoSpaceDE/>
        <w:autoSpaceDN/>
        <w:bidi w:val="0"/>
        <w:adjustRightInd/>
        <w:snapToGrid/>
        <w:jc w:val="center"/>
        <w:textAlignment w:val="auto"/>
        <w:outlineLvl w:val="0"/>
        <w:rPr>
          <w:rFonts w:hint="eastAsia" w:ascii="Times New Roman" w:hAnsi="Times New Roman" w:eastAsia="黑体"/>
          <w:color w:val="auto"/>
          <w:kern w:val="2"/>
          <w:sz w:val="44"/>
          <w:szCs w:val="44"/>
          <w:highlight w:val="none"/>
        </w:rPr>
      </w:pPr>
      <w:bookmarkStart w:id="50" w:name="_Toc21334"/>
      <w:r>
        <w:rPr>
          <w:rFonts w:hint="eastAsia" w:ascii="Times New Roman" w:hAnsi="Times New Roman" w:eastAsia="黑体"/>
          <w:color w:val="auto"/>
          <w:kern w:val="2"/>
          <w:sz w:val="44"/>
          <w:szCs w:val="44"/>
          <w:highlight w:val="none"/>
        </w:rPr>
        <w:t>第五部分 附表</w:t>
      </w:r>
      <w:bookmarkEnd w:id="50"/>
    </w:p>
    <w:p w14:paraId="2DA15DBD">
      <w:pPr>
        <w:pStyle w:val="8"/>
        <w:spacing w:before="0" w:beforeAutospacing="0" w:after="0" w:afterAutospacing="0" w:line="560" w:lineRule="exact"/>
        <w:rPr>
          <w:rFonts w:ascii="仿宋_GB2312" w:hAnsi="仿宋_GB2312" w:eastAsia="仿宋_GB2312" w:cs="仿宋_GB2312"/>
          <w:sz w:val="32"/>
          <w:szCs w:val="32"/>
          <w:shd w:val="clear" w:color="auto" w:fill="FFFFFF"/>
        </w:rPr>
      </w:pPr>
    </w:p>
    <w:p w14:paraId="2295D8F4">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一、收入支出决算总表</w:t>
      </w:r>
    </w:p>
    <w:p w14:paraId="69B0D271">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二、收入决算表</w:t>
      </w:r>
    </w:p>
    <w:p w14:paraId="3F863608">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三、支出决算表</w:t>
      </w:r>
    </w:p>
    <w:p w14:paraId="1AD3A9D9">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四、财政拨款收入支出决算总表</w:t>
      </w:r>
    </w:p>
    <w:p w14:paraId="4527B49C">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五、财政拨款支出决算明细表</w:t>
      </w:r>
    </w:p>
    <w:p w14:paraId="1F48A927">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六、一般公共预算财政拨款支出决算表</w:t>
      </w:r>
    </w:p>
    <w:p w14:paraId="418E06E6">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七、一般公共预算财政拨款支出决算明细表</w:t>
      </w:r>
    </w:p>
    <w:p w14:paraId="00AB7535">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八、一般公共预算财政拨款基本支出决算表</w:t>
      </w:r>
    </w:p>
    <w:p w14:paraId="4CBC28F3">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九、一般公共预算财政拨款项目支出决算表</w:t>
      </w:r>
    </w:p>
    <w:p w14:paraId="697BE30B">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十、政府性基金预算财政拨款收入支出决算表</w:t>
      </w:r>
    </w:p>
    <w:p w14:paraId="50C21076">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十一、国有资本经营预算财政拨款收入支出决算表</w:t>
      </w:r>
    </w:p>
    <w:p w14:paraId="3FFE552F">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十二、国有资本经营预算财政拨款支出决算表</w:t>
      </w:r>
    </w:p>
    <w:p w14:paraId="1B16CF82">
      <w:pPr>
        <w:pStyle w:val="19"/>
        <w:keepNext w:val="0"/>
        <w:keepLines w:val="0"/>
        <w:pageBreakBefore w:val="0"/>
        <w:widowControl w:val="0"/>
        <w:tabs>
          <w:tab w:val="right" w:leader="dot" w:pos="8296"/>
        </w:tabs>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kern w:val="2"/>
          <w:sz w:val="32"/>
          <w:szCs w:val="32"/>
          <w:highlight w:val="none"/>
        </w:rPr>
      </w:pPr>
      <w:r>
        <w:rPr>
          <w:rFonts w:hint="eastAsia" w:ascii="Times New Roman" w:hAnsi="Times New Roman" w:eastAsia="仿宋_GB2312" w:cs="仿宋_GB2312"/>
          <w:color w:val="auto"/>
          <w:kern w:val="2"/>
          <w:sz w:val="32"/>
          <w:szCs w:val="32"/>
          <w:highlight w:val="none"/>
        </w:rPr>
        <w:t>十三、财政拨款“三公”经费支出决算表</w:t>
      </w:r>
    </w:p>
    <w:p w14:paraId="55236320">
      <w:pPr>
        <w:rPr>
          <w:rFonts w:hint="eastAsia" w:ascii="仿宋_GB2312" w:hAnsi="仿宋_GB2312" w:eastAsia="仿宋_GB2312" w:cs="仿宋_GB2312"/>
          <w:sz w:val="32"/>
          <w:szCs w:val="32"/>
        </w:rPr>
      </w:pPr>
    </w:p>
    <w:p w14:paraId="66EA3D53">
      <w:pPr>
        <w:pStyle w:val="3"/>
        <w:ind w:left="0" w:leftChars="0" w:firstLine="0" w:firstLineChars="0"/>
        <w:rPr>
          <w:rFonts w:hint="eastAsia" w:ascii="仿宋_GB2312" w:hAnsi="仿宋_GB2312" w:eastAsia="仿宋_GB2312" w:cs="仿宋_GB2312"/>
          <w:sz w:val="32"/>
          <w:szCs w:val="32"/>
        </w:rPr>
      </w:pPr>
    </w:p>
    <w:sectPr>
      <w:pgSz w:w="11915" w:h="16851"/>
      <w:pgMar w:top="2098" w:right="1474" w:bottom="1984"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1CCE7829-242C-4397-91AD-66760DDE40CC}"/>
  </w:font>
  <w:font w:name="黑体">
    <w:panose1 w:val="02010609060101010101"/>
    <w:charset w:val="86"/>
    <w:family w:val="auto"/>
    <w:pitch w:val="default"/>
    <w:sig w:usb0="800002BF" w:usb1="38CF7CFA" w:usb2="00000016" w:usb3="00000000" w:csb0="00040001" w:csb1="00000000"/>
    <w:embedRegular r:id="rId2" w:fontKey="{3EE57102-1DDD-4619-A817-95C76BA429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3" w:fontKey="{EB8FBF93-EB15-4617-8610-8319057B2861}"/>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D3179F4A-85EE-43FC-99C3-949EFE8E0C91}"/>
  </w:font>
  <w:font w:name="楷体">
    <w:panose1 w:val="02010609060101010101"/>
    <w:charset w:val="86"/>
    <w:family w:val="auto"/>
    <w:pitch w:val="default"/>
    <w:sig w:usb0="800002BF" w:usb1="38CF7CFA" w:usb2="00000016" w:usb3="00000000" w:csb0="00040001" w:csb1="00000000"/>
    <w:embedRegular r:id="rId5" w:fontKey="{D7279294-5771-4F85-8585-B528DB95258A}"/>
  </w:font>
  <w:font w:name="楷体_GB2312">
    <w:panose1 w:val="02010609030101010101"/>
    <w:charset w:val="86"/>
    <w:family w:val="auto"/>
    <w:pitch w:val="default"/>
    <w:sig w:usb0="00000001" w:usb1="080E0000" w:usb2="00000000" w:usb3="00000000" w:csb0="00040000" w:csb1="00000000"/>
    <w:embedRegular r:id="rId6" w:fontKey="{08321238-949A-4A11-95E2-C3466B8C6F98}"/>
  </w:font>
  <w:font w:name="仿宋">
    <w:panose1 w:val="02010609060101010101"/>
    <w:charset w:val="86"/>
    <w:family w:val="modern"/>
    <w:pitch w:val="default"/>
    <w:sig w:usb0="800002BF" w:usb1="38CF7CFA" w:usb2="00000016" w:usb3="00000000" w:csb0="00040001" w:csb1="00000000"/>
    <w:embedRegular r:id="rId7" w:fontKey="{84C19524-6EA2-4660-B1F5-58D779C448A6}"/>
  </w:font>
  <w:font w:name="微软雅黑">
    <w:panose1 w:val="020B0503020204020204"/>
    <w:charset w:val="86"/>
    <w:family w:val="swiss"/>
    <w:pitch w:val="default"/>
    <w:sig w:usb0="80000287" w:usb1="2ACF3C50" w:usb2="00000016" w:usb3="00000000" w:csb0="0004001F" w:csb1="00000000"/>
  </w:font>
  <w:font w:name="方正小标宋_GBK">
    <w:panose1 w:val="03000509000000000000"/>
    <w:charset w:val="86"/>
    <w:family w:val="auto"/>
    <w:pitch w:val="default"/>
    <w:sig w:usb0="00000001" w:usb1="080E0000" w:usb2="00000000" w:usb3="00000000" w:csb0="00040000" w:csb1="00000000"/>
    <w:embedRegular r:id="rId8" w:fontKey="{C430CE1B-D49B-4695-A694-772D01B001A6}"/>
  </w:font>
  <w:font w:name="Wingdings 2">
    <w:altName w:val="Wingdings"/>
    <w:panose1 w:val="05020102010507070707"/>
    <w:charset w:val="00"/>
    <w:family w:val="auto"/>
    <w:pitch w:val="default"/>
    <w:sig w:usb0="00000000" w:usb1="00000000" w:usb2="00000000" w:usb3="00000000" w:csb0="80000000" w:csb1="00000000"/>
    <w:embedRegular r:id="rId9" w:fontKey="{B3BC506A-375C-46A0-A16D-1FC0A097FE1B}"/>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E810B">
    <w:pPr>
      <w:pStyle w:val="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337E3F">
                          <w:pPr>
                            <w:pStyle w:val="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6D337E3F">
                    <w:pPr>
                      <w:pStyle w:val="5"/>
                    </w:pPr>
                    <w:r>
                      <w:fldChar w:fldCharType="begin"/>
                    </w:r>
                    <w:r>
                      <w:instrText xml:space="preserve"> PAGE  \* MERGEFORMAT </w:instrText>
                    </w:r>
                    <w:r>
                      <w:fldChar w:fldCharType="separate"/>
                    </w:r>
                    <w:r>
                      <w:t>- 1 -</w:t>
                    </w:r>
                    <w:r>
                      <w:fldChar w:fldCharType="end"/>
                    </w:r>
                  </w:p>
                </w:txbxContent>
              </v:textbox>
            </v:shape>
          </w:pict>
        </mc:Fallback>
      </mc:AlternateContent>
    </w:r>
  </w:p>
  <w:p w14:paraId="4B3B68FB">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A9360A">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D6E9DD">
                          <w:pPr>
                            <w:pStyle w:val="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2D6E9DD">
                    <w:pPr>
                      <w:pStyle w:val="5"/>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DEC01">
    <w:pPr>
      <w:pStyle w:val="5"/>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A64C91">
                          <w:pPr>
                            <w:pStyle w:val="5"/>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77A64C91">
                    <w:pPr>
                      <w:pStyle w:val="5"/>
                      <w:rPr>
                        <w:rFonts w:hint="eastAsia"/>
                      </w:rP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85463">
    <w:pPr>
      <w:pStyle w:val="5"/>
      <w:rPr>
        <w:rFonts w:hint="eastAsia"/>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B12BF1">
                          <w:pPr>
                            <w:pStyle w:val="5"/>
                            <w:rPr>
                              <w:rFonts w:hint="eastAsia"/>
                              <w:sz w:val="24"/>
                            </w:rPr>
                          </w:pPr>
                          <w:r>
                            <w:rPr>
                              <w:sz w:val="24"/>
                            </w:rPr>
                            <w:fldChar w:fldCharType="begin"/>
                          </w:r>
                          <w:r>
                            <w:rPr>
                              <w:sz w:val="24"/>
                            </w:rPr>
                            <w:instrText xml:space="preserve"> PAGE  \* MERGEFORMAT </w:instrText>
                          </w:r>
                          <w:r>
                            <w:rPr>
                              <w:sz w:val="24"/>
                            </w:rPr>
                            <w:fldChar w:fldCharType="separate"/>
                          </w:r>
                          <w:r>
                            <w:rPr>
                              <w:sz w:val="24"/>
                            </w:rPr>
                            <w:t>- 1 -</w:t>
                          </w:r>
                          <w:r>
                            <w:rPr>
                              <w:sz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09B12BF1">
                    <w:pPr>
                      <w:pStyle w:val="5"/>
                      <w:rPr>
                        <w:rFonts w:hint="eastAsia"/>
                        <w:sz w:val="24"/>
                      </w:rPr>
                    </w:pPr>
                    <w:r>
                      <w:rPr>
                        <w:sz w:val="24"/>
                      </w:rPr>
                      <w:fldChar w:fldCharType="begin"/>
                    </w:r>
                    <w:r>
                      <w:rPr>
                        <w:sz w:val="24"/>
                      </w:rPr>
                      <w:instrText xml:space="preserve"> PAGE  \* MERGEFORMAT </w:instrText>
                    </w:r>
                    <w:r>
                      <w:rPr>
                        <w:sz w:val="24"/>
                      </w:rPr>
                      <w:fldChar w:fldCharType="separate"/>
                    </w:r>
                    <w:r>
                      <w:rPr>
                        <w:sz w:val="24"/>
                      </w:rPr>
                      <w:t>- 1 -</w:t>
                    </w:r>
                    <w:r>
                      <w:rPr>
                        <w:sz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AB02C0">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71E94B"/>
    <w:multiLevelType w:val="singleLevel"/>
    <w:tmpl w:val="CB71E94B"/>
    <w:lvl w:ilvl="0" w:tentative="0">
      <w:start w:val="1"/>
      <w:numFmt w:val="chineseCounting"/>
      <w:suff w:val="nothing"/>
      <w:lvlText w:val="%1、"/>
      <w:lvlJc w:val="left"/>
      <w:rPr>
        <w:rFonts w:hint="eastAsia" w:ascii="黑体" w:hAnsi="黑体" w:eastAsia="黑体" w:cs="黑体"/>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RkZWIxMzk1M2Q4MjkwNDI5NWViOTI4Y2IwYWI4MGEifQ=="/>
  </w:docVars>
  <w:rsids>
    <w:rsidRoot w:val="00DC72B6"/>
    <w:rsid w:val="00092509"/>
    <w:rsid w:val="0018099E"/>
    <w:rsid w:val="004479E5"/>
    <w:rsid w:val="009C34F0"/>
    <w:rsid w:val="00AD777E"/>
    <w:rsid w:val="00BD6DFF"/>
    <w:rsid w:val="00BE39A7"/>
    <w:rsid w:val="00DC72B6"/>
    <w:rsid w:val="00E417BA"/>
    <w:rsid w:val="00E52F76"/>
    <w:rsid w:val="00F84D44"/>
    <w:rsid w:val="01AE68C8"/>
    <w:rsid w:val="01B6221C"/>
    <w:rsid w:val="02287479"/>
    <w:rsid w:val="025657AD"/>
    <w:rsid w:val="02B73990"/>
    <w:rsid w:val="03101E00"/>
    <w:rsid w:val="032D4760"/>
    <w:rsid w:val="033E071B"/>
    <w:rsid w:val="034E3E75"/>
    <w:rsid w:val="03C317DD"/>
    <w:rsid w:val="03E219EE"/>
    <w:rsid w:val="03F361D9"/>
    <w:rsid w:val="043864D8"/>
    <w:rsid w:val="04706FFA"/>
    <w:rsid w:val="04E23328"/>
    <w:rsid w:val="05094D59"/>
    <w:rsid w:val="054144F3"/>
    <w:rsid w:val="05665D07"/>
    <w:rsid w:val="056A65DA"/>
    <w:rsid w:val="05790131"/>
    <w:rsid w:val="05C018BB"/>
    <w:rsid w:val="05D830A9"/>
    <w:rsid w:val="05F872A7"/>
    <w:rsid w:val="06081930"/>
    <w:rsid w:val="0647681A"/>
    <w:rsid w:val="065169B7"/>
    <w:rsid w:val="06D7510F"/>
    <w:rsid w:val="06F832D7"/>
    <w:rsid w:val="07A11524"/>
    <w:rsid w:val="07A86AAB"/>
    <w:rsid w:val="07B20C1C"/>
    <w:rsid w:val="07B23486"/>
    <w:rsid w:val="07DB0C2F"/>
    <w:rsid w:val="083411E9"/>
    <w:rsid w:val="085D1644"/>
    <w:rsid w:val="09440A55"/>
    <w:rsid w:val="095011A8"/>
    <w:rsid w:val="09563449"/>
    <w:rsid w:val="098A7CA9"/>
    <w:rsid w:val="09BB74E9"/>
    <w:rsid w:val="0AAF1EFF"/>
    <w:rsid w:val="0ADE3D74"/>
    <w:rsid w:val="0B0C55A3"/>
    <w:rsid w:val="0BAF5B0C"/>
    <w:rsid w:val="0BB01E01"/>
    <w:rsid w:val="0BC31F75"/>
    <w:rsid w:val="0C083FBC"/>
    <w:rsid w:val="0CC71781"/>
    <w:rsid w:val="0CC950CC"/>
    <w:rsid w:val="0CCE2B10"/>
    <w:rsid w:val="0D354DA4"/>
    <w:rsid w:val="0D7731A8"/>
    <w:rsid w:val="0DB461AA"/>
    <w:rsid w:val="0DE27302"/>
    <w:rsid w:val="0DEE238D"/>
    <w:rsid w:val="0E160F0F"/>
    <w:rsid w:val="0E395D20"/>
    <w:rsid w:val="0E745EEC"/>
    <w:rsid w:val="0E8F2773"/>
    <w:rsid w:val="0EE7435D"/>
    <w:rsid w:val="0F403A6D"/>
    <w:rsid w:val="0F4E2F1A"/>
    <w:rsid w:val="0F5D461F"/>
    <w:rsid w:val="0F5F3EF3"/>
    <w:rsid w:val="0F754D02"/>
    <w:rsid w:val="0F8B118C"/>
    <w:rsid w:val="0FAC24A5"/>
    <w:rsid w:val="0FE27256"/>
    <w:rsid w:val="0FE708DB"/>
    <w:rsid w:val="10000458"/>
    <w:rsid w:val="10991687"/>
    <w:rsid w:val="10CC380A"/>
    <w:rsid w:val="11365128"/>
    <w:rsid w:val="11A16A45"/>
    <w:rsid w:val="11BD10DD"/>
    <w:rsid w:val="1200320C"/>
    <w:rsid w:val="12160690"/>
    <w:rsid w:val="12192C3B"/>
    <w:rsid w:val="126F08F1"/>
    <w:rsid w:val="129245E0"/>
    <w:rsid w:val="12AE1FE2"/>
    <w:rsid w:val="12ED13E6"/>
    <w:rsid w:val="12EF726C"/>
    <w:rsid w:val="12F232D0"/>
    <w:rsid w:val="13070B2A"/>
    <w:rsid w:val="13620456"/>
    <w:rsid w:val="13760F9C"/>
    <w:rsid w:val="13E75D96"/>
    <w:rsid w:val="14AF76CB"/>
    <w:rsid w:val="14F01933"/>
    <w:rsid w:val="15107A3E"/>
    <w:rsid w:val="151C18DE"/>
    <w:rsid w:val="15475B55"/>
    <w:rsid w:val="154862D3"/>
    <w:rsid w:val="15635D07"/>
    <w:rsid w:val="159A54E8"/>
    <w:rsid w:val="15EF58A5"/>
    <w:rsid w:val="16341CDF"/>
    <w:rsid w:val="16353C00"/>
    <w:rsid w:val="163941E0"/>
    <w:rsid w:val="16414353"/>
    <w:rsid w:val="165A5414"/>
    <w:rsid w:val="167209B0"/>
    <w:rsid w:val="16AD19E8"/>
    <w:rsid w:val="16DB6FDB"/>
    <w:rsid w:val="176C4BA7"/>
    <w:rsid w:val="17786924"/>
    <w:rsid w:val="17936E30"/>
    <w:rsid w:val="17DA4A5F"/>
    <w:rsid w:val="17E53404"/>
    <w:rsid w:val="180E64B6"/>
    <w:rsid w:val="181F06C4"/>
    <w:rsid w:val="186B57B5"/>
    <w:rsid w:val="18A1732B"/>
    <w:rsid w:val="19145D4E"/>
    <w:rsid w:val="198F4AD1"/>
    <w:rsid w:val="19AC5F87"/>
    <w:rsid w:val="1A255D39"/>
    <w:rsid w:val="1A332204"/>
    <w:rsid w:val="1A512FD2"/>
    <w:rsid w:val="1A6625D6"/>
    <w:rsid w:val="1AB84DFF"/>
    <w:rsid w:val="1B210BF7"/>
    <w:rsid w:val="1B530684"/>
    <w:rsid w:val="1B8F130C"/>
    <w:rsid w:val="1BD6553D"/>
    <w:rsid w:val="1C273FEB"/>
    <w:rsid w:val="1C7F5BD5"/>
    <w:rsid w:val="1C915908"/>
    <w:rsid w:val="1C93342E"/>
    <w:rsid w:val="1CD328A7"/>
    <w:rsid w:val="1D0B56BA"/>
    <w:rsid w:val="1D1D0F4A"/>
    <w:rsid w:val="1D3650CA"/>
    <w:rsid w:val="1D5F1562"/>
    <w:rsid w:val="1D943902"/>
    <w:rsid w:val="1D970CFC"/>
    <w:rsid w:val="1DB45D52"/>
    <w:rsid w:val="1DBA2C3C"/>
    <w:rsid w:val="1E012619"/>
    <w:rsid w:val="1E6C214C"/>
    <w:rsid w:val="1E7644ED"/>
    <w:rsid w:val="1EAB6F14"/>
    <w:rsid w:val="1F220850"/>
    <w:rsid w:val="1F2D7B6A"/>
    <w:rsid w:val="1F3F789D"/>
    <w:rsid w:val="1F9A5ADC"/>
    <w:rsid w:val="1FCB7383"/>
    <w:rsid w:val="203521F9"/>
    <w:rsid w:val="20557FA9"/>
    <w:rsid w:val="20670E5A"/>
    <w:rsid w:val="20FD356C"/>
    <w:rsid w:val="21244F9D"/>
    <w:rsid w:val="21723F5A"/>
    <w:rsid w:val="217C2147"/>
    <w:rsid w:val="217F21D3"/>
    <w:rsid w:val="218A371D"/>
    <w:rsid w:val="21A60DC4"/>
    <w:rsid w:val="21BF4CC5"/>
    <w:rsid w:val="21DC7694"/>
    <w:rsid w:val="21E36C06"/>
    <w:rsid w:val="220A23E4"/>
    <w:rsid w:val="22431452"/>
    <w:rsid w:val="225A426B"/>
    <w:rsid w:val="226F2247"/>
    <w:rsid w:val="229C4D78"/>
    <w:rsid w:val="233A6504"/>
    <w:rsid w:val="234436D4"/>
    <w:rsid w:val="24082A8D"/>
    <w:rsid w:val="24165941"/>
    <w:rsid w:val="24CF3471"/>
    <w:rsid w:val="24F61BF2"/>
    <w:rsid w:val="25090731"/>
    <w:rsid w:val="25184E18"/>
    <w:rsid w:val="25441769"/>
    <w:rsid w:val="2599753F"/>
    <w:rsid w:val="25A37B53"/>
    <w:rsid w:val="26415CA9"/>
    <w:rsid w:val="26976211"/>
    <w:rsid w:val="269E759F"/>
    <w:rsid w:val="26BE379D"/>
    <w:rsid w:val="26DC558E"/>
    <w:rsid w:val="26E56F7C"/>
    <w:rsid w:val="26F70A5D"/>
    <w:rsid w:val="278E3170"/>
    <w:rsid w:val="27BA189D"/>
    <w:rsid w:val="27DD0D39"/>
    <w:rsid w:val="27FC27CF"/>
    <w:rsid w:val="28305F1C"/>
    <w:rsid w:val="28EC1C18"/>
    <w:rsid w:val="294E705B"/>
    <w:rsid w:val="297E70E6"/>
    <w:rsid w:val="29D82DC8"/>
    <w:rsid w:val="2A181417"/>
    <w:rsid w:val="2A77438F"/>
    <w:rsid w:val="2A944F41"/>
    <w:rsid w:val="2ACB7333"/>
    <w:rsid w:val="2B4C53B8"/>
    <w:rsid w:val="2B810E86"/>
    <w:rsid w:val="2C127B4B"/>
    <w:rsid w:val="2C2916B9"/>
    <w:rsid w:val="2C313406"/>
    <w:rsid w:val="2C6E3570"/>
    <w:rsid w:val="2CAD5199"/>
    <w:rsid w:val="2CE451F3"/>
    <w:rsid w:val="2D0363AE"/>
    <w:rsid w:val="2D76092E"/>
    <w:rsid w:val="2DDB5965"/>
    <w:rsid w:val="2DE17B90"/>
    <w:rsid w:val="2DEE1F70"/>
    <w:rsid w:val="2E56075F"/>
    <w:rsid w:val="2E903C71"/>
    <w:rsid w:val="2EC851B9"/>
    <w:rsid w:val="2EEB534C"/>
    <w:rsid w:val="2F4862FA"/>
    <w:rsid w:val="2F915415"/>
    <w:rsid w:val="2FC976C3"/>
    <w:rsid w:val="2FD81674"/>
    <w:rsid w:val="2FE13C0D"/>
    <w:rsid w:val="301663F8"/>
    <w:rsid w:val="305331A8"/>
    <w:rsid w:val="305A62E5"/>
    <w:rsid w:val="30B03FAA"/>
    <w:rsid w:val="31376626"/>
    <w:rsid w:val="3172765E"/>
    <w:rsid w:val="318E33F4"/>
    <w:rsid w:val="3197691C"/>
    <w:rsid w:val="319770C5"/>
    <w:rsid w:val="319E0453"/>
    <w:rsid w:val="320769C1"/>
    <w:rsid w:val="32BD45C1"/>
    <w:rsid w:val="32C65EB4"/>
    <w:rsid w:val="32E97DF4"/>
    <w:rsid w:val="333C43C8"/>
    <w:rsid w:val="333C7F24"/>
    <w:rsid w:val="339E473B"/>
    <w:rsid w:val="33FE167D"/>
    <w:rsid w:val="34757B91"/>
    <w:rsid w:val="34C53F49"/>
    <w:rsid w:val="34FA724E"/>
    <w:rsid w:val="35244878"/>
    <w:rsid w:val="354018C4"/>
    <w:rsid w:val="35775243"/>
    <w:rsid w:val="36256D58"/>
    <w:rsid w:val="36603F29"/>
    <w:rsid w:val="36D24B18"/>
    <w:rsid w:val="36D31EE3"/>
    <w:rsid w:val="36F93125"/>
    <w:rsid w:val="3721576A"/>
    <w:rsid w:val="3736112E"/>
    <w:rsid w:val="37520AD4"/>
    <w:rsid w:val="375872F6"/>
    <w:rsid w:val="37A60062"/>
    <w:rsid w:val="37E33774"/>
    <w:rsid w:val="382F0451"/>
    <w:rsid w:val="38765C86"/>
    <w:rsid w:val="388020DF"/>
    <w:rsid w:val="389205E6"/>
    <w:rsid w:val="38A8605B"/>
    <w:rsid w:val="38AB0DF2"/>
    <w:rsid w:val="38EA6674"/>
    <w:rsid w:val="39344543"/>
    <w:rsid w:val="397363CC"/>
    <w:rsid w:val="39F23A32"/>
    <w:rsid w:val="3AEB1466"/>
    <w:rsid w:val="3AF92B9E"/>
    <w:rsid w:val="3B40257B"/>
    <w:rsid w:val="3B936B4F"/>
    <w:rsid w:val="3BDC04F6"/>
    <w:rsid w:val="3C017DF2"/>
    <w:rsid w:val="3C096E11"/>
    <w:rsid w:val="3C235333"/>
    <w:rsid w:val="3C3156FD"/>
    <w:rsid w:val="3C3E6D9D"/>
    <w:rsid w:val="3CBA34B8"/>
    <w:rsid w:val="3CC86AC9"/>
    <w:rsid w:val="3CD6103B"/>
    <w:rsid w:val="3CF278A5"/>
    <w:rsid w:val="3D762284"/>
    <w:rsid w:val="3DDB658B"/>
    <w:rsid w:val="3E155F41"/>
    <w:rsid w:val="3E1A30AF"/>
    <w:rsid w:val="3E3A1DDA"/>
    <w:rsid w:val="3EB412B6"/>
    <w:rsid w:val="3F310B59"/>
    <w:rsid w:val="3F4A1C1A"/>
    <w:rsid w:val="3F6F1681"/>
    <w:rsid w:val="3F732F1F"/>
    <w:rsid w:val="3F765444"/>
    <w:rsid w:val="3FB44ACF"/>
    <w:rsid w:val="3FB452E6"/>
    <w:rsid w:val="403F1053"/>
    <w:rsid w:val="40BC6B48"/>
    <w:rsid w:val="40C41559"/>
    <w:rsid w:val="40C81049"/>
    <w:rsid w:val="41521466"/>
    <w:rsid w:val="417A181E"/>
    <w:rsid w:val="41A61D48"/>
    <w:rsid w:val="41AB639B"/>
    <w:rsid w:val="41C95079"/>
    <w:rsid w:val="42553F07"/>
    <w:rsid w:val="42723962"/>
    <w:rsid w:val="427B0595"/>
    <w:rsid w:val="429D6505"/>
    <w:rsid w:val="42B85E4D"/>
    <w:rsid w:val="43144A19"/>
    <w:rsid w:val="433414A3"/>
    <w:rsid w:val="43511EE2"/>
    <w:rsid w:val="436A06BA"/>
    <w:rsid w:val="43D62265"/>
    <w:rsid w:val="43EC32A0"/>
    <w:rsid w:val="43F14D5A"/>
    <w:rsid w:val="44240C8C"/>
    <w:rsid w:val="442944F4"/>
    <w:rsid w:val="444A7FC7"/>
    <w:rsid w:val="4467501D"/>
    <w:rsid w:val="448E3267"/>
    <w:rsid w:val="44BA339E"/>
    <w:rsid w:val="44C07F26"/>
    <w:rsid w:val="44DA57EF"/>
    <w:rsid w:val="450E7246"/>
    <w:rsid w:val="451830D1"/>
    <w:rsid w:val="455235D7"/>
    <w:rsid w:val="45627454"/>
    <w:rsid w:val="45965BB9"/>
    <w:rsid w:val="460C19D8"/>
    <w:rsid w:val="46396545"/>
    <w:rsid w:val="46CE6FD6"/>
    <w:rsid w:val="46DC75FC"/>
    <w:rsid w:val="46E75FA1"/>
    <w:rsid w:val="47545E09"/>
    <w:rsid w:val="480F755D"/>
    <w:rsid w:val="484A67E7"/>
    <w:rsid w:val="48606A7C"/>
    <w:rsid w:val="48C7608A"/>
    <w:rsid w:val="48CC307C"/>
    <w:rsid w:val="48D72771"/>
    <w:rsid w:val="492B6619"/>
    <w:rsid w:val="499A379E"/>
    <w:rsid w:val="49C20131"/>
    <w:rsid w:val="4A001853"/>
    <w:rsid w:val="4A1A60FD"/>
    <w:rsid w:val="4A725F62"/>
    <w:rsid w:val="4A9A6AD4"/>
    <w:rsid w:val="4AAC44E4"/>
    <w:rsid w:val="4AB6167A"/>
    <w:rsid w:val="4B11183E"/>
    <w:rsid w:val="4B5D2CD5"/>
    <w:rsid w:val="4B5D4A84"/>
    <w:rsid w:val="4BA91A77"/>
    <w:rsid w:val="4C893887"/>
    <w:rsid w:val="4CBD7ED0"/>
    <w:rsid w:val="4DE0054F"/>
    <w:rsid w:val="4DE51FF9"/>
    <w:rsid w:val="4DEC1789"/>
    <w:rsid w:val="4E065F78"/>
    <w:rsid w:val="4E08619A"/>
    <w:rsid w:val="4E5A52AA"/>
    <w:rsid w:val="4E5C7274"/>
    <w:rsid w:val="4E807407"/>
    <w:rsid w:val="4E964534"/>
    <w:rsid w:val="4EAD7AD0"/>
    <w:rsid w:val="4EBB590F"/>
    <w:rsid w:val="4ECC43FA"/>
    <w:rsid w:val="4EDB474A"/>
    <w:rsid w:val="4F102019"/>
    <w:rsid w:val="4F363F69"/>
    <w:rsid w:val="4F3D0E54"/>
    <w:rsid w:val="4F6A0859"/>
    <w:rsid w:val="4F965A4E"/>
    <w:rsid w:val="4F9C3DCC"/>
    <w:rsid w:val="4FAE3B00"/>
    <w:rsid w:val="4FCB46B2"/>
    <w:rsid w:val="50330BC6"/>
    <w:rsid w:val="50994E4E"/>
    <w:rsid w:val="50C055F7"/>
    <w:rsid w:val="50D47596"/>
    <w:rsid w:val="50EB451E"/>
    <w:rsid w:val="51107FE6"/>
    <w:rsid w:val="51624C1B"/>
    <w:rsid w:val="51BB0DAD"/>
    <w:rsid w:val="51D3784E"/>
    <w:rsid w:val="51FD48CA"/>
    <w:rsid w:val="5264234F"/>
    <w:rsid w:val="52B15404"/>
    <w:rsid w:val="53226F6B"/>
    <w:rsid w:val="534C752B"/>
    <w:rsid w:val="54414F42"/>
    <w:rsid w:val="54680721"/>
    <w:rsid w:val="5479561A"/>
    <w:rsid w:val="549459BA"/>
    <w:rsid w:val="54D23DEC"/>
    <w:rsid w:val="55180399"/>
    <w:rsid w:val="555869E7"/>
    <w:rsid w:val="5583158B"/>
    <w:rsid w:val="55DF2C65"/>
    <w:rsid w:val="5630526E"/>
    <w:rsid w:val="56BF4844"/>
    <w:rsid w:val="571B7851"/>
    <w:rsid w:val="57E722A5"/>
    <w:rsid w:val="58256BF8"/>
    <w:rsid w:val="58546E5A"/>
    <w:rsid w:val="58555460"/>
    <w:rsid w:val="58791ABD"/>
    <w:rsid w:val="59EF71EF"/>
    <w:rsid w:val="5A3E3CD2"/>
    <w:rsid w:val="5A625C12"/>
    <w:rsid w:val="5AB00673"/>
    <w:rsid w:val="5AB02E22"/>
    <w:rsid w:val="5ADE62D0"/>
    <w:rsid w:val="5AFF5640"/>
    <w:rsid w:val="5AFF7905"/>
    <w:rsid w:val="5B765E12"/>
    <w:rsid w:val="5B9A5257"/>
    <w:rsid w:val="5BE07737"/>
    <w:rsid w:val="5C1C45D6"/>
    <w:rsid w:val="5C28544F"/>
    <w:rsid w:val="5C2E2250"/>
    <w:rsid w:val="5C761E49"/>
    <w:rsid w:val="5CB12772"/>
    <w:rsid w:val="5CB70498"/>
    <w:rsid w:val="5CD74E40"/>
    <w:rsid w:val="5CF83546"/>
    <w:rsid w:val="5D4635C9"/>
    <w:rsid w:val="5DD010E5"/>
    <w:rsid w:val="5DD961EC"/>
    <w:rsid w:val="5E0314BA"/>
    <w:rsid w:val="5E192E87"/>
    <w:rsid w:val="5E1E1460"/>
    <w:rsid w:val="5EFE6945"/>
    <w:rsid w:val="5F304531"/>
    <w:rsid w:val="5F667F53"/>
    <w:rsid w:val="60C0595F"/>
    <w:rsid w:val="60D90BAB"/>
    <w:rsid w:val="6138147B"/>
    <w:rsid w:val="61727482"/>
    <w:rsid w:val="61E36F6A"/>
    <w:rsid w:val="62375CF6"/>
    <w:rsid w:val="626C3AD2"/>
    <w:rsid w:val="62C90F25"/>
    <w:rsid w:val="62DB47B4"/>
    <w:rsid w:val="632679EE"/>
    <w:rsid w:val="63DF6035"/>
    <w:rsid w:val="640F6E0B"/>
    <w:rsid w:val="642B6FB7"/>
    <w:rsid w:val="644D348F"/>
    <w:rsid w:val="64A413A8"/>
    <w:rsid w:val="64CE1093"/>
    <w:rsid w:val="64D92F75"/>
    <w:rsid w:val="64DE2281"/>
    <w:rsid w:val="652A37D1"/>
    <w:rsid w:val="65B85280"/>
    <w:rsid w:val="65C77271"/>
    <w:rsid w:val="662B3854"/>
    <w:rsid w:val="668F7D8F"/>
    <w:rsid w:val="66D92742"/>
    <w:rsid w:val="66EF68AF"/>
    <w:rsid w:val="677A27ED"/>
    <w:rsid w:val="67F13D04"/>
    <w:rsid w:val="68386205"/>
    <w:rsid w:val="68494705"/>
    <w:rsid w:val="685A68BE"/>
    <w:rsid w:val="6894168D"/>
    <w:rsid w:val="68952F83"/>
    <w:rsid w:val="68E1689C"/>
    <w:rsid w:val="69054339"/>
    <w:rsid w:val="6954706E"/>
    <w:rsid w:val="699D6C67"/>
    <w:rsid w:val="69CF1DBD"/>
    <w:rsid w:val="6A077D43"/>
    <w:rsid w:val="6A5512F0"/>
    <w:rsid w:val="6A7554EE"/>
    <w:rsid w:val="6ADE3093"/>
    <w:rsid w:val="6AFF5AC3"/>
    <w:rsid w:val="6B1271E1"/>
    <w:rsid w:val="6B4B0FFA"/>
    <w:rsid w:val="6B741C4A"/>
    <w:rsid w:val="6BBB33D4"/>
    <w:rsid w:val="6BCC6E8A"/>
    <w:rsid w:val="6C6475C8"/>
    <w:rsid w:val="6CA34594"/>
    <w:rsid w:val="6CA724B7"/>
    <w:rsid w:val="6CE67239"/>
    <w:rsid w:val="6D401DE3"/>
    <w:rsid w:val="6D45389E"/>
    <w:rsid w:val="6D5E7ABB"/>
    <w:rsid w:val="6D631F76"/>
    <w:rsid w:val="6E104455"/>
    <w:rsid w:val="6E5518AF"/>
    <w:rsid w:val="6E775CD9"/>
    <w:rsid w:val="6E9C6766"/>
    <w:rsid w:val="6ED00F45"/>
    <w:rsid w:val="6F674856"/>
    <w:rsid w:val="6F9B77A5"/>
    <w:rsid w:val="6FCA62DC"/>
    <w:rsid w:val="6FEF0C31"/>
    <w:rsid w:val="705F4C76"/>
    <w:rsid w:val="70706034"/>
    <w:rsid w:val="70766F69"/>
    <w:rsid w:val="70E1568B"/>
    <w:rsid w:val="70E7024E"/>
    <w:rsid w:val="71353C29"/>
    <w:rsid w:val="7164006A"/>
    <w:rsid w:val="716B13F9"/>
    <w:rsid w:val="718F3339"/>
    <w:rsid w:val="71A46D2F"/>
    <w:rsid w:val="721970A7"/>
    <w:rsid w:val="723B0DCB"/>
    <w:rsid w:val="72CC4119"/>
    <w:rsid w:val="731A30D6"/>
    <w:rsid w:val="73530396"/>
    <w:rsid w:val="73907A80"/>
    <w:rsid w:val="73AA6208"/>
    <w:rsid w:val="740170ED"/>
    <w:rsid w:val="742970E4"/>
    <w:rsid w:val="74477EFB"/>
    <w:rsid w:val="74A30DC0"/>
    <w:rsid w:val="74D07EF1"/>
    <w:rsid w:val="74DA48CB"/>
    <w:rsid w:val="752B1E77"/>
    <w:rsid w:val="757139A8"/>
    <w:rsid w:val="764D731F"/>
    <w:rsid w:val="76C07B4C"/>
    <w:rsid w:val="76E62A81"/>
    <w:rsid w:val="773C1DDE"/>
    <w:rsid w:val="774C09C9"/>
    <w:rsid w:val="77D35781"/>
    <w:rsid w:val="786A124A"/>
    <w:rsid w:val="788A23E1"/>
    <w:rsid w:val="78970D25"/>
    <w:rsid w:val="78C87131"/>
    <w:rsid w:val="792E3438"/>
    <w:rsid w:val="79A82152"/>
    <w:rsid w:val="79C93160"/>
    <w:rsid w:val="7A126087"/>
    <w:rsid w:val="7A1C7734"/>
    <w:rsid w:val="7A2D7B93"/>
    <w:rsid w:val="7AA15E8B"/>
    <w:rsid w:val="7AD973D3"/>
    <w:rsid w:val="7AEC5358"/>
    <w:rsid w:val="7B081C49"/>
    <w:rsid w:val="7B295115"/>
    <w:rsid w:val="7B3A4316"/>
    <w:rsid w:val="7B566C76"/>
    <w:rsid w:val="7B586491"/>
    <w:rsid w:val="7C5C50B4"/>
    <w:rsid w:val="7C606BB1"/>
    <w:rsid w:val="7C683105"/>
    <w:rsid w:val="7D1B1F25"/>
    <w:rsid w:val="7D930CF5"/>
    <w:rsid w:val="7DB22DA3"/>
    <w:rsid w:val="7DE93DD1"/>
    <w:rsid w:val="7E1A042F"/>
    <w:rsid w:val="7E5F22E5"/>
    <w:rsid w:val="7ED978E9"/>
    <w:rsid w:val="7EE06F82"/>
    <w:rsid w:val="7EE43B13"/>
    <w:rsid w:val="7EE71588"/>
    <w:rsid w:val="7F221BD5"/>
    <w:rsid w:val="7F280929"/>
    <w:rsid w:val="7F292DD5"/>
    <w:rsid w:val="7F390D88"/>
    <w:rsid w:val="7F9D4E73"/>
    <w:rsid w:val="7FC93EBA"/>
    <w:rsid w:val="7FD36A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99"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Times New Roman"/>
      <w:sz w:val="24"/>
      <w:szCs w:val="24"/>
      <w:lang w:val="en-US" w:eastAsia="zh-CN" w:bidi="ar-SA"/>
    </w:rPr>
  </w:style>
  <w:style w:type="paragraph" w:styleId="7">
    <w:name w:val="heading 1"/>
    <w:basedOn w:val="1"/>
    <w:next w:val="1"/>
    <w:link w:val="33"/>
    <w:qFormat/>
    <w:uiPriority w:val="0"/>
    <w:pPr>
      <w:spacing w:before="100" w:beforeAutospacing="1" w:after="100" w:afterAutospacing="1"/>
      <w:outlineLvl w:val="0"/>
    </w:pPr>
    <w:rPr>
      <w:rFonts w:hint="eastAsia"/>
      <w:b/>
      <w:bCs/>
      <w:kern w:val="44"/>
      <w:sz w:val="48"/>
      <w:szCs w:val="48"/>
    </w:rPr>
  </w:style>
  <w:style w:type="paragraph" w:styleId="8">
    <w:name w:val="heading 2"/>
    <w:basedOn w:val="1"/>
    <w:next w:val="1"/>
    <w:link w:val="31"/>
    <w:unhideWhenUsed/>
    <w:qFormat/>
    <w:uiPriority w:val="0"/>
    <w:pPr>
      <w:spacing w:before="100" w:beforeAutospacing="1" w:after="100" w:afterAutospacing="1"/>
      <w:outlineLvl w:val="1"/>
    </w:pPr>
    <w:rPr>
      <w:rFonts w:hint="eastAsia"/>
      <w:b/>
      <w:bCs/>
      <w:sz w:val="36"/>
      <w:szCs w:val="36"/>
    </w:rPr>
  </w:style>
  <w:style w:type="paragraph" w:styleId="9">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pPr>
    <w:rPr>
      <w:sz w:val="18"/>
      <w:szCs w:val="18"/>
    </w:rPr>
  </w:style>
  <w:style w:type="paragraph" w:styleId="3">
    <w:name w:val="Body Text First Indent 2"/>
    <w:basedOn w:val="4"/>
    <w:next w:val="6"/>
    <w:qFormat/>
    <w:uiPriority w:val="0"/>
    <w:pPr>
      <w:ind w:firstLine="420" w:firstLineChars="200"/>
    </w:pPr>
  </w:style>
  <w:style w:type="paragraph" w:styleId="4">
    <w:name w:val="Body Text Indent"/>
    <w:basedOn w:val="1"/>
    <w:next w:val="5"/>
    <w:qFormat/>
    <w:uiPriority w:val="0"/>
    <w:pPr>
      <w:widowControl w:val="0"/>
      <w:spacing w:after="120"/>
      <w:ind w:left="420" w:leftChars="200"/>
      <w:jc w:val="both"/>
    </w:pPr>
    <w:rPr>
      <w:rFonts w:ascii="Calibri" w:hAnsi="Calibri"/>
      <w:kern w:val="2"/>
      <w:sz w:val="21"/>
      <w:szCs w:val="21"/>
    </w:rPr>
  </w:style>
  <w:style w:type="paragraph" w:styleId="5">
    <w:name w:val="footer"/>
    <w:basedOn w:val="1"/>
    <w:qFormat/>
    <w:uiPriority w:val="0"/>
    <w:pPr>
      <w:tabs>
        <w:tab w:val="center" w:pos="4153"/>
        <w:tab w:val="right" w:pos="8306"/>
      </w:tabs>
      <w:snapToGrid w:val="0"/>
    </w:pPr>
    <w:rPr>
      <w:sz w:val="18"/>
    </w:rPr>
  </w:style>
  <w:style w:type="paragraph" w:styleId="6">
    <w:name w:val="Plain Text"/>
    <w:basedOn w:val="1"/>
    <w:qFormat/>
    <w:uiPriority w:val="0"/>
    <w:pPr>
      <w:widowControl w:val="0"/>
      <w:jc w:val="both"/>
    </w:pPr>
    <w:rPr>
      <w:rFonts w:hint="eastAsia" w:hAnsi="Calibri"/>
      <w:kern w:val="2"/>
      <w:sz w:val="21"/>
      <w:szCs w:val="21"/>
    </w:rPr>
  </w:style>
  <w:style w:type="paragraph" w:styleId="10">
    <w:name w:val="Normal Indent"/>
    <w:basedOn w:val="1"/>
    <w:unhideWhenUsed/>
    <w:qFormat/>
    <w:uiPriority w:val="99"/>
    <w:pPr>
      <w:ind w:firstLine="680"/>
    </w:pPr>
  </w:style>
  <w:style w:type="paragraph" w:styleId="11">
    <w:name w:val="index 5"/>
    <w:basedOn w:val="1"/>
    <w:next w:val="1"/>
    <w:qFormat/>
    <w:uiPriority w:val="0"/>
    <w:pPr>
      <w:ind w:left="1680"/>
    </w:pPr>
  </w:style>
  <w:style w:type="paragraph" w:styleId="12">
    <w:name w:val="Salutation"/>
    <w:basedOn w:val="1"/>
    <w:next w:val="1"/>
    <w:qFormat/>
    <w:uiPriority w:val="0"/>
  </w:style>
  <w:style w:type="paragraph" w:styleId="13">
    <w:name w:val="Body Text"/>
    <w:basedOn w:val="1"/>
    <w:qFormat/>
    <w:uiPriority w:val="99"/>
    <w:pPr>
      <w:spacing w:beforeLines="30"/>
    </w:pPr>
    <w:rPr>
      <w:rFonts w:ascii="仿宋_GB2312" w:eastAsia="仿宋_GB2312"/>
      <w:kern w:val="0"/>
      <w:sz w:val="30"/>
    </w:rPr>
  </w:style>
  <w:style w:type="paragraph" w:styleId="14">
    <w:name w:val="toc 3"/>
    <w:basedOn w:val="1"/>
    <w:next w:val="1"/>
    <w:qFormat/>
    <w:uiPriority w:val="0"/>
    <w:pPr>
      <w:ind w:left="840" w:leftChars="400"/>
    </w:pPr>
  </w:style>
  <w:style w:type="paragraph" w:styleId="15">
    <w:name w:val="Body Text Indent 2"/>
    <w:basedOn w:val="1"/>
    <w:qFormat/>
    <w:uiPriority w:val="0"/>
    <w:pPr>
      <w:spacing w:after="120" w:line="480" w:lineRule="auto"/>
      <w:ind w:left="420" w:leftChars="200"/>
    </w:p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7">
    <w:name w:val="toc 1"/>
    <w:basedOn w:val="1"/>
    <w:next w:val="1"/>
    <w:qFormat/>
    <w:uiPriority w:val="0"/>
  </w:style>
  <w:style w:type="paragraph" w:styleId="18">
    <w:name w:val="table of figures"/>
    <w:basedOn w:val="1"/>
    <w:next w:val="1"/>
    <w:qFormat/>
    <w:uiPriority w:val="99"/>
    <w:pPr>
      <w:spacing w:before="100" w:beforeAutospacing="1" w:after="100" w:afterAutospacing="1"/>
      <w:ind w:left="400" w:leftChars="200" w:hanging="200" w:hangingChars="200"/>
    </w:pPr>
    <w:rPr>
      <w:sz w:val="20"/>
      <w:szCs w:val="21"/>
    </w:rPr>
  </w:style>
  <w:style w:type="paragraph" w:styleId="19">
    <w:name w:val="toc 2"/>
    <w:basedOn w:val="1"/>
    <w:next w:val="1"/>
    <w:qFormat/>
    <w:uiPriority w:val="0"/>
    <w:pPr>
      <w:ind w:left="420" w:leftChars="200"/>
    </w:pPr>
  </w:style>
  <w:style w:type="paragraph" w:styleId="20">
    <w:name w:val="Normal (Web)"/>
    <w:basedOn w:val="1"/>
    <w:qFormat/>
    <w:uiPriority w:val="0"/>
    <w:pPr>
      <w:spacing w:before="100" w:beforeAutospacing="1" w:after="100" w:afterAutospacing="1"/>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paragraph" w:customStyle="1" w:styleId="25">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6">
    <w:name w:val="font41"/>
    <w:basedOn w:val="23"/>
    <w:qFormat/>
    <w:uiPriority w:val="0"/>
    <w:rPr>
      <w:rFonts w:hint="eastAsia" w:ascii="黑体" w:hAnsi="黑体" w:eastAsia="黑体" w:cs="黑体"/>
      <w:color w:val="000000"/>
      <w:sz w:val="18"/>
      <w:szCs w:val="18"/>
      <w:u w:val="none"/>
    </w:rPr>
  </w:style>
  <w:style w:type="character" w:customStyle="1" w:styleId="27">
    <w:name w:val="font71"/>
    <w:basedOn w:val="23"/>
    <w:qFormat/>
    <w:uiPriority w:val="0"/>
    <w:rPr>
      <w:rFonts w:hint="eastAsia" w:ascii="宋体" w:hAnsi="宋体" w:eastAsia="宋体" w:cs="宋体"/>
      <w:color w:val="000000"/>
      <w:sz w:val="18"/>
      <w:szCs w:val="18"/>
      <w:u w:val="none"/>
    </w:rPr>
  </w:style>
  <w:style w:type="paragraph" w:customStyle="1" w:styleId="28">
    <w:name w:val="WPSOffice手动目录 1"/>
    <w:qFormat/>
    <w:uiPriority w:val="0"/>
    <w:rPr>
      <w:rFonts w:ascii="Times New Roman" w:hAnsi="Times New Roman" w:eastAsia="宋体" w:cs="Times New Roman"/>
      <w:lang w:val="en-US" w:eastAsia="zh-CN" w:bidi="ar-SA"/>
    </w:rPr>
  </w:style>
  <w:style w:type="paragraph" w:customStyle="1" w:styleId="29">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30">
    <w:name w:val="普通(网站) Char"/>
    <w:basedOn w:val="1"/>
    <w:qFormat/>
    <w:uiPriority w:val="0"/>
    <w:pPr>
      <w:spacing w:before="100" w:beforeAutospacing="1" w:after="100" w:afterAutospacing="1"/>
    </w:pPr>
    <w:rPr>
      <w:rFonts w:hint="eastAsia"/>
    </w:rPr>
  </w:style>
  <w:style w:type="character" w:customStyle="1" w:styleId="31">
    <w:name w:val="标题 2 字符"/>
    <w:link w:val="8"/>
    <w:qFormat/>
    <w:uiPriority w:val="0"/>
    <w:rPr>
      <w:rFonts w:hint="eastAsia" w:ascii="宋体" w:hAnsi="宋体" w:eastAsia="宋体" w:cs="宋体"/>
      <w:b/>
      <w:bCs/>
      <w:kern w:val="0"/>
      <w:sz w:val="36"/>
      <w:szCs w:val="36"/>
      <w:lang w:val="en-US" w:eastAsia="zh-CN" w:bidi="ar"/>
    </w:rPr>
  </w:style>
  <w:style w:type="character" w:customStyle="1" w:styleId="32">
    <w:name w:val="NormalCharacter"/>
    <w:qFormat/>
    <w:uiPriority w:val="0"/>
  </w:style>
  <w:style w:type="character" w:customStyle="1" w:styleId="33">
    <w:name w:val="标题 1 Char"/>
    <w:basedOn w:val="23"/>
    <w:link w:val="7"/>
    <w:qFormat/>
    <w:uiPriority w:val="9"/>
    <w:rPr>
      <w:rFonts w:hint="eastAsia"/>
      <w:b/>
      <w:bCs/>
      <w:kern w:val="44"/>
      <w:sz w:val="48"/>
      <w:szCs w:val="48"/>
    </w:rPr>
  </w:style>
  <w:style w:type="table" w:customStyle="1" w:styleId="34">
    <w:name w:val="Table Normal"/>
    <w:semiHidden/>
    <w:unhideWhenUsed/>
    <w:qFormat/>
    <w:uiPriority w:val="0"/>
    <w:tblPr>
      <w:tblCellMar>
        <w:top w:w="0" w:type="dxa"/>
        <w:left w:w="0" w:type="dxa"/>
        <w:bottom w:w="0" w:type="dxa"/>
        <w:right w:w="0" w:type="dxa"/>
      </w:tblCellMar>
    </w:tbl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NormalIndent"/>
    <w:next w:val="16"/>
    <w:qFormat/>
    <w:uiPriority w:val="0"/>
    <w:pPr>
      <w:widowControl w:val="0"/>
      <w:ind w:firstLine="200" w:firstLineChars="200"/>
      <w:jc w:val="both"/>
    </w:pPr>
    <w:rPr>
      <w:rFonts w:ascii="Times New Roman" w:hAnsi="Times New Roman" w:eastAsia="仿宋_GB2312" w:cs="Times New Roman"/>
      <w:kern w:val="2"/>
      <w:sz w:val="32"/>
      <w:szCs w:val="32"/>
      <w:lang w:val="en-US" w:eastAsia="zh-CN" w:bidi="ar-SA"/>
    </w:rPr>
  </w:style>
  <w:style w:type="paragraph" w:customStyle="1" w:styleId="3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4" Type="http://schemas.microsoft.com/office/2011/relationships/chartColorStyle" Target="colors4.xml"/><Relationship Id="rId3" Type="http://schemas.microsoft.com/office/2011/relationships/chartStyle" Target="style4.xml"/><Relationship Id="rId2" Type="http://schemas.openxmlformats.org/officeDocument/2006/relationships/themeOverride" Target="../theme/themeOverride3.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4" Type="http://schemas.microsoft.com/office/2011/relationships/chartColorStyle" Target="colors1.xml"/><Relationship Id="rId3" Type="http://schemas.microsoft.com/office/2011/relationships/chartStyle" Target="style1.xml"/><Relationship Id="rId2" Type="http://schemas.openxmlformats.org/officeDocument/2006/relationships/themeOverride" Target="../theme/themeOverride1.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6.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2.xml"/><Relationship Id="rId1" Type="http://schemas.openxmlformats.org/officeDocument/2006/relationships/oleObject" Target="&#24037;&#20316;&#31807;1"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图1：收、支决算总计变动情况图 （单位：万元）</a:t>
            </a:r>
          </a:p>
        </c:rich>
      </c:tx>
      <c:layout/>
      <c:overlay val="0"/>
      <c:spPr>
        <a:noFill/>
        <a:ln>
          <a:noFill/>
        </a:ln>
        <a:effectLst/>
      </c:spPr>
    </c:title>
    <c:autoTitleDeleted val="0"/>
    <c:plotArea>
      <c:layout/>
      <c:barChart>
        <c:barDir val="col"/>
        <c:grouping val="clustered"/>
        <c:varyColors val="0"/>
        <c:ser>
          <c:idx val="0"/>
          <c:order val="0"/>
          <c:tx>
            <c:strRef>
              <c:f>[工作簿1]Sheet1!$C$4</c:f>
              <c:strCache>
                <c:ptCount val="1"/>
                <c:pt idx="0">
                  <c:v>2024年</c:v>
                </c:pt>
              </c:strCache>
            </c:strRef>
          </c:tx>
          <c:spPr>
            <a:solidFill>
              <a:schemeClr val="accent1"/>
            </a:solidFill>
            <a:ln>
              <a:noFill/>
            </a:ln>
            <a:effectLst/>
          </c:spPr>
          <c:invertIfNegative val="0"/>
          <c:dLbls>
            <c:delete val="1"/>
          </c:dLbls>
          <c:cat>
            <c:strRef>
              <c:f>[工作簿1]Sheet1!$D$3:$E$3</c:f>
              <c:strCache>
                <c:ptCount val="2"/>
                <c:pt idx="0">
                  <c:v>收入</c:v>
                </c:pt>
                <c:pt idx="1">
                  <c:v>支出</c:v>
                </c:pt>
              </c:strCache>
            </c:strRef>
          </c:cat>
          <c:val>
            <c:numRef>
              <c:f>[工作簿1]Sheet1!$D$4:$E$4</c:f>
              <c:numCache>
                <c:formatCode>General</c:formatCode>
                <c:ptCount val="2"/>
                <c:pt idx="0">
                  <c:v>3083.13</c:v>
                </c:pt>
                <c:pt idx="1">
                  <c:v>3083.13</c:v>
                </c:pt>
              </c:numCache>
            </c:numRef>
          </c:val>
        </c:ser>
        <c:ser>
          <c:idx val="1"/>
          <c:order val="1"/>
          <c:tx>
            <c:strRef>
              <c:f>[工作簿1]Sheet1!$C$5</c:f>
              <c:strCache>
                <c:ptCount val="1"/>
                <c:pt idx="0">
                  <c:v>2025年</c:v>
                </c:pt>
              </c:strCache>
            </c:strRef>
          </c:tx>
          <c:spPr>
            <a:solidFill>
              <a:schemeClr val="accent2"/>
            </a:solidFill>
            <a:ln>
              <a:noFill/>
            </a:ln>
            <a:effectLst/>
          </c:spPr>
          <c:invertIfNegative val="0"/>
          <c:dLbls>
            <c:delete val="1"/>
          </c:dLbls>
          <c:cat>
            <c:strRef>
              <c:f>[工作簿1]Sheet1!$D$3:$E$3</c:f>
              <c:strCache>
                <c:ptCount val="2"/>
                <c:pt idx="0">
                  <c:v>收入</c:v>
                </c:pt>
                <c:pt idx="1">
                  <c:v>支出</c:v>
                </c:pt>
              </c:strCache>
            </c:strRef>
          </c:cat>
          <c:val>
            <c:numRef>
              <c:f>[工作簿1]Sheet1!$D$5:$E$5</c:f>
              <c:numCache>
                <c:formatCode>General</c:formatCode>
                <c:ptCount val="2"/>
                <c:pt idx="0">
                  <c:v>3002.96</c:v>
                </c:pt>
                <c:pt idx="1">
                  <c:v>3002.96</c:v>
                </c:pt>
              </c:numCache>
            </c:numRef>
          </c:val>
        </c:ser>
        <c:dLbls>
          <c:showLegendKey val="0"/>
          <c:showVal val="0"/>
          <c:showCatName val="0"/>
          <c:showSerName val="0"/>
          <c:showPercent val="0"/>
          <c:showBubbleSize val="0"/>
        </c:dLbls>
        <c:gapWidth val="246"/>
        <c:overlap val="-28"/>
        <c:axId val="708768977"/>
        <c:axId val="491684276"/>
      </c:barChart>
      <c:catAx>
        <c:axId val="7087689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1684276"/>
        <c:crosses val="autoZero"/>
        <c:auto val="1"/>
        <c:lblAlgn val="ctr"/>
        <c:lblOffset val="100"/>
        <c:noMultiLvlLbl val="0"/>
      </c:catAx>
      <c:valAx>
        <c:axId val="491684276"/>
        <c:scaling>
          <c:orientation val="minMax"/>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876897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c31b99e-636f-49de-add3-20a7dca0b27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图2：收入决算结构图</a:t>
            </a:r>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rgbClr val="F2BA02"/>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5"/>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6"/>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7"/>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[工作簿1]Sheet1!$C$26:$C$33</c:f>
              <c:strCache>
                <c:ptCount val="8"/>
                <c:pt idx="0">
                  <c:v>一般公共预算财政拨款</c:v>
                </c:pt>
                <c:pt idx="1">
                  <c:v>政府性基金预算财政拨款</c:v>
                </c:pt>
                <c:pt idx="2">
                  <c:v>国有资本经营预算财政拨款</c:v>
                </c:pt>
                <c:pt idx="3">
                  <c:v>上级补助收入</c:v>
                </c:pt>
                <c:pt idx="4">
                  <c:v>事业收入</c:v>
                </c:pt>
                <c:pt idx="5">
                  <c:v>经营收入</c:v>
                </c:pt>
                <c:pt idx="6">
                  <c:v>附属单位上缴收入</c:v>
                </c:pt>
                <c:pt idx="7">
                  <c:v>其他收入</c:v>
                </c:pt>
              </c:strCache>
            </c:strRef>
          </c:cat>
          <c:val>
            <c:numRef>
              <c:f>[工作簿1]Sheet1!$D$26:$D$33</c:f>
              <c:numCache>
                <c:formatCode>General</c:formatCode>
                <c:ptCount val="8"/>
                <c:pt idx="0">
                  <c:v>809.97</c:v>
                </c:pt>
                <c:pt idx="1">
                  <c:v>0</c:v>
                </c:pt>
                <c:pt idx="2">
                  <c:v>0</c:v>
                </c:pt>
                <c:pt idx="3">
                  <c:v>0</c:v>
                </c:pt>
                <c:pt idx="4">
                  <c:v>0</c:v>
                </c:pt>
                <c:pt idx="5">
                  <c:v>0</c:v>
                </c:pt>
                <c:pt idx="6">
                  <c:v>0</c:v>
                </c:pt>
                <c:pt idx="7">
                  <c:v>2192.99</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4f9173f2-3dba-42c8-8e97-4e211609406d}"/>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图3：支出决算结构图</a:t>
            </a:r>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rgbClr val="F2BA02"/>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5"/>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6"/>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7"/>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[工作簿1]Sheet1!$C$26:$C$33</c:f>
              <c:strCache>
                <c:ptCount val="8"/>
                <c:pt idx="0">
                  <c:v>基本支出</c:v>
                </c:pt>
                <c:pt idx="1">
                  <c:v>项目支出</c:v>
                </c:pt>
                <c:pt idx="2">
                  <c:v>上缴上级支出</c:v>
                </c:pt>
                <c:pt idx="3">
                  <c:v>经营支出</c:v>
                </c:pt>
                <c:pt idx="4">
                  <c:v>对附属单位补助支出</c:v>
                </c:pt>
              </c:strCache>
            </c:strRef>
          </c:cat>
          <c:val>
            <c:numRef>
              <c:f>[工作簿1]Sheet1!$D$26:$D$33</c:f>
              <c:numCache>
                <c:formatCode>General</c:formatCode>
                <c:ptCount val="8"/>
                <c:pt idx="0">
                  <c:v>597.56</c:v>
                </c:pt>
                <c:pt idx="1">
                  <c:v>2405.4</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5"/>
        <c:delete val="1"/>
      </c:legendEntry>
      <c:legendEntry>
        <c:idx val="6"/>
        <c:delete val="1"/>
      </c:legendEntry>
      <c:legendEntry>
        <c:idx val="7"/>
        <c:delete val="1"/>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b3f002fb-9835-4bee-8741-44482eec8d9a}"/>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图4：财政拨款收、支决算总计变动情况表（单位：万元）</a:t>
            </a:r>
          </a:p>
          <a:p>
            <a:pPr defTabSz="914400">
              <a:defRPr lang="zh-CN" sz="1400" b="1" i="0" u="none" strike="noStrike" kern="1200" baseline="0">
                <a:solidFill>
                  <a:schemeClr val="tx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clustered"/>
        <c:varyColors val="0"/>
        <c:ser>
          <c:idx val="0"/>
          <c:order val="0"/>
          <c:tx>
            <c:strRef>
              <c:f>[工作簿1]Sheet1!$C$5</c:f>
              <c:strCache>
                <c:ptCount val="1"/>
                <c:pt idx="0">
                  <c:v>2024年</c:v>
                </c:pt>
              </c:strCache>
            </c:strRef>
          </c:tx>
          <c:spPr>
            <a:solidFill>
              <a:schemeClr val="accent1"/>
            </a:solidFill>
            <a:ln>
              <a:noFill/>
            </a:ln>
            <a:effectLst/>
          </c:spPr>
          <c:invertIfNegative val="0"/>
          <c:dLbls>
            <c:delete val="1"/>
          </c:dLbls>
          <c:cat>
            <c:strRef>
              <c:f>[工作簿1]Sheet1!$D$4:$E$4</c:f>
              <c:strCache>
                <c:ptCount val="2"/>
                <c:pt idx="0">
                  <c:v>支出</c:v>
                </c:pt>
                <c:pt idx="1">
                  <c:v>收入</c:v>
                </c:pt>
              </c:strCache>
            </c:strRef>
          </c:cat>
          <c:val>
            <c:numRef>
              <c:f>[工作簿1]Sheet1!$D$5:$E$5</c:f>
              <c:numCache>
                <c:formatCode>General</c:formatCode>
                <c:ptCount val="2"/>
                <c:pt idx="0">
                  <c:v>6166.26</c:v>
                </c:pt>
                <c:pt idx="1">
                  <c:v>6166.26</c:v>
                </c:pt>
              </c:numCache>
            </c:numRef>
          </c:val>
        </c:ser>
        <c:ser>
          <c:idx val="1"/>
          <c:order val="1"/>
          <c:tx>
            <c:strRef>
              <c:f>[工作簿1]Sheet1!$C$6</c:f>
              <c:strCache>
                <c:ptCount val="1"/>
                <c:pt idx="0">
                  <c:v>2025年</c:v>
                </c:pt>
              </c:strCache>
            </c:strRef>
          </c:tx>
          <c:spPr>
            <a:solidFill>
              <a:schemeClr val="accent2"/>
            </a:solidFill>
            <a:ln>
              <a:noFill/>
            </a:ln>
            <a:effectLst/>
          </c:spPr>
          <c:invertIfNegative val="0"/>
          <c:dLbls>
            <c:delete val="1"/>
          </c:dLbls>
          <c:cat>
            <c:strRef>
              <c:f>[工作簿1]Sheet1!$D$4:$E$4</c:f>
              <c:strCache>
                <c:ptCount val="2"/>
                <c:pt idx="0">
                  <c:v>支出</c:v>
                </c:pt>
                <c:pt idx="1">
                  <c:v>收入</c:v>
                </c:pt>
              </c:strCache>
            </c:strRef>
          </c:cat>
          <c:val>
            <c:numRef>
              <c:f>[工作簿1]Sheet1!$D$6:$E$6</c:f>
              <c:numCache>
                <c:formatCode>General</c:formatCode>
                <c:ptCount val="2"/>
                <c:pt idx="0">
                  <c:v>6005.92</c:v>
                </c:pt>
                <c:pt idx="1">
                  <c:v>6005.92</c:v>
                </c:pt>
              </c:numCache>
            </c:numRef>
          </c:val>
        </c:ser>
        <c:dLbls>
          <c:showLegendKey val="0"/>
          <c:showVal val="0"/>
          <c:showCatName val="0"/>
          <c:showSerName val="0"/>
          <c:showPercent val="0"/>
          <c:showBubbleSize val="0"/>
        </c:dLbls>
        <c:gapWidth val="246"/>
        <c:overlap val="-28"/>
        <c:axId val="184935919"/>
        <c:axId val="963549262"/>
      </c:barChart>
      <c:catAx>
        <c:axId val="1849359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3549262"/>
        <c:crosses val="autoZero"/>
        <c:auto val="1"/>
        <c:lblAlgn val="ctr"/>
        <c:lblOffset val="100"/>
        <c:noMultiLvlLbl val="0"/>
      </c:catAx>
      <c:valAx>
        <c:axId val="963549262"/>
        <c:scaling>
          <c:orientation val="minMax"/>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4935919"/>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8e2276c-d888-4095-bf38-c4d6b11f6d1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图5：一般公共预算财政拨款支出决算变动表（单位：万元）</a:t>
            </a:r>
          </a:p>
          <a:p>
            <a:pPr defTabSz="914400">
              <a:defRPr lang="zh-CN" sz="1400" b="1" i="0" u="none" strike="noStrike" kern="1200" baseline="0">
                <a:solidFill>
                  <a:schemeClr val="tx1">
                    <a:lumMod val="75000"/>
                    <a:lumOff val="25000"/>
                  </a:schemeClr>
                </a:solidFill>
                <a:latin typeface="+mn-lt"/>
                <a:ea typeface="+mn-ea"/>
                <a:cs typeface="+mn-cs"/>
              </a:defRPr>
            </a:pPr>
          </a:p>
        </c:rich>
      </c:tx>
      <c:layout>
        <c:manualLayout>
          <c:xMode val="edge"/>
          <c:yMode val="edge"/>
          <c:x val="0.128026315789474"/>
          <c:y val="0.0173611111111111"/>
        </c:manualLayout>
      </c:layout>
      <c:overlay val="0"/>
      <c:spPr>
        <a:noFill/>
        <a:ln>
          <a:noFill/>
        </a:ln>
        <a:effectLst/>
      </c:spPr>
    </c:title>
    <c:autoTitleDeleted val="0"/>
    <c:plotArea>
      <c:layout>
        <c:manualLayout>
          <c:layoutTarget val="inner"/>
          <c:xMode val="edge"/>
          <c:yMode val="edge"/>
          <c:x val="0.0828421052631579"/>
          <c:y val="0.251388888888889"/>
          <c:w val="0.888210526315789"/>
          <c:h val="0.528333333333333"/>
        </c:manualLayout>
      </c:layout>
      <c:barChart>
        <c:barDir val="col"/>
        <c:grouping val="clustered"/>
        <c:varyColors val="0"/>
        <c:ser>
          <c:idx val="0"/>
          <c:order val="0"/>
          <c:tx>
            <c:strRef>
              <c:f>[工作簿1]Sheet1!$C$1</c:f>
              <c:strCache>
                <c:ptCount val="1"/>
                <c:pt idx="0">
                  <c:v/>
                </c:pt>
              </c:strCache>
            </c:strRef>
          </c:tx>
          <c:spPr>
            <a:solidFill>
              <a:schemeClr val="accent1"/>
            </a:solidFill>
            <a:ln>
              <a:noFill/>
            </a:ln>
            <a:effectLst/>
          </c:spPr>
          <c:invertIfNegative val="0"/>
          <c:dLbls>
            <c:delete val="1"/>
          </c:dLbls>
          <c:cat>
            <c:multiLvlStrRef>
              <c:f>[工作簿1]Sheet1!$A$2:$B$3</c:f>
              <c:multiLvlStrCache>
                <c:ptCount val="2"/>
                <c:lvl>
                  <c:pt idx="0">
                    <c:v>2024年</c:v>
                  </c:pt>
                  <c:pt idx="1">
                    <c:v>2025年</c:v>
                  </c:pt>
                </c:lvl>
                <c:lvl/>
              </c:multiLvlStrCache>
            </c:multiLvlStrRef>
          </c:cat>
          <c:val>
            <c:numRef>
              <c:f>[工作簿1]Sheet1!$C$2:$C$3</c:f>
              <c:numCache>
                <c:formatCode>General</c:formatCode>
                <c:ptCount val="2"/>
                <c:pt idx="0">
                  <c:v>322.14</c:v>
                </c:pt>
                <c:pt idx="1">
                  <c:v>809.7</c:v>
                </c:pt>
              </c:numCache>
            </c:numRef>
          </c:val>
        </c:ser>
        <c:ser>
          <c:idx val="1"/>
          <c:order val="1"/>
          <c:tx>
            <c:strRef>
              <c:f>[工作簿1]Sheet1!$D$1</c:f>
              <c:strCache>
                <c:ptCount val="1"/>
                <c:pt idx="0">
                  <c:v/>
                </c:pt>
              </c:strCache>
            </c:strRef>
          </c:tx>
          <c:spPr>
            <a:solidFill>
              <a:schemeClr val="accent2"/>
            </a:solidFill>
            <a:ln>
              <a:noFill/>
            </a:ln>
            <a:effectLst/>
          </c:spPr>
          <c:invertIfNegative val="0"/>
          <c:dLbls>
            <c:delete val="1"/>
          </c:dLbls>
          <c:cat>
            <c:multiLvlStrRef>
              <c:f>[工作簿1]Sheet1!$A$2:$B$3</c:f>
              <c:multiLvlStrCache>
                <c:ptCount val="2"/>
                <c:lvl>
                  <c:pt idx="0">
                    <c:v>2024年</c:v>
                  </c:pt>
                  <c:pt idx="1">
                    <c:v>2025年</c:v>
                  </c:pt>
                </c:lvl>
                <c:lvl/>
              </c:multiLvlStrCache>
            </c:multiLvlStrRef>
          </c:cat>
          <c:val>
            <c:numRef>
              <c:f>[工作簿1]Sheet1!$D$2:$D$3</c:f>
              <c:numCache>
                <c:formatCode>General</c:formatCode>
                <c:ptCount val="2"/>
              </c:numCache>
            </c:numRef>
          </c:val>
        </c:ser>
        <c:dLbls>
          <c:showLegendKey val="0"/>
          <c:showVal val="0"/>
          <c:showCatName val="0"/>
          <c:showSerName val="0"/>
          <c:showPercent val="0"/>
          <c:showBubbleSize val="0"/>
        </c:dLbls>
        <c:gapWidth val="246"/>
        <c:overlap val="-28"/>
        <c:axId val="180841817"/>
        <c:axId val="489589898"/>
      </c:barChart>
      <c:catAx>
        <c:axId val="18084181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9589898"/>
        <c:crosses val="autoZero"/>
        <c:auto val="1"/>
        <c:lblAlgn val="ctr"/>
        <c:lblOffset val="100"/>
        <c:noMultiLvlLbl val="0"/>
      </c:catAx>
      <c:valAx>
        <c:axId val="489589898"/>
        <c:scaling>
          <c:orientation val="minMax"/>
          <c:max val="820"/>
          <c:min val="0"/>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0841817"/>
        <c:crosses val="autoZero"/>
        <c:crossBetween val="between"/>
        <c:majorUnit val="100"/>
        <c:minorUnit val="50"/>
      </c:valAx>
      <c:spPr>
        <a:noFill/>
        <a:ln>
          <a:noFill/>
        </a:ln>
        <a:effectLst/>
      </c:spPr>
    </c:plotArea>
    <c:plotVisOnly val="1"/>
    <c:dispBlanksAs val="gap"/>
    <c:showDLblsOverMax val="0"/>
    <c:extLst>
      <c:ext uri="{0b15fc19-7d7d-44ad-8c2d-2c3a37ce22c3}">
        <chartProps xmlns="https://web.wps.cn/et/2018/main" chartId="{08759eb1-8e73-49bf-aa14-8afe43a739f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r>
              <a:t>图6：一般公共预算财政拨款支出决算结构图</a:t>
            </a:r>
          </a:p>
        </c:rich>
      </c:tx>
      <c:layout/>
      <c:overlay val="0"/>
      <c:spPr>
        <a:noFill/>
        <a:ln>
          <a:noFill/>
        </a:ln>
        <a:effectLst/>
      </c:spPr>
    </c:title>
    <c:autoTitleDeleted val="0"/>
    <c:plotArea>
      <c:layout/>
      <c:pieChart>
        <c:varyColors val="1"/>
        <c:ser>
          <c:idx val="1"/>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rgbClr val="F2BA02"/>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4"/>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5"/>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6"/>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dLbl>
              <c:idx val="7"/>
              <c:layout/>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[工作簿1]Sheet1!$C$26:$C$33</c:f>
              <c:strCache>
                <c:ptCount val="8"/>
                <c:pt idx="0">
                  <c:v>社会保障和就业（类）支出</c:v>
                </c:pt>
                <c:pt idx="1">
                  <c:v>卫生健康支出</c:v>
                </c:pt>
                <c:pt idx="2">
                  <c:v>节能环保支出</c:v>
                </c:pt>
                <c:pt idx="3">
                  <c:v>住房保障支出</c:v>
                </c:pt>
              </c:strCache>
            </c:strRef>
          </c:cat>
          <c:val>
            <c:numRef>
              <c:f>[工作簿1]Sheet1!$D$26:$D$33</c:f>
              <c:numCache>
                <c:formatCode>General</c:formatCode>
                <c:ptCount val="8"/>
                <c:pt idx="0">
                  <c:v>45.03</c:v>
                </c:pt>
                <c:pt idx="1">
                  <c:v>17.08</c:v>
                </c:pt>
                <c:pt idx="2">
                  <c:v>724.5</c:v>
                </c:pt>
                <c:pt idx="3">
                  <c:v>23.35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5"/>
        <c:delete val="1"/>
      </c:legendEntry>
      <c:legendEntry>
        <c:idx val="6"/>
        <c:delete val="1"/>
      </c:legendEntry>
      <c:legendEntry>
        <c:idx val="7"/>
        <c:delete val="1"/>
      </c:legendEntry>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legend>
    <c:plotVisOnly val="1"/>
    <c:dispBlanksAs val="gap"/>
    <c:showDLblsOverMax val="0"/>
    <c:extLst>
      <c:ext uri="{0b15fc19-7d7d-44ad-8c2d-2c3a37ce22c3}">
        <chartProps xmlns="https://web.wps.cn/et/2018/main" chartId="{e1814d73-edf1-4781-8c85-e10e09344a16}"/>
      </c:ext>
    </c:extLst>
  </c:chart>
  <c:spPr>
    <a:solidFill>
      <a:schemeClr val="bg1"/>
    </a:solidFill>
    <a:ln w="9525" cap="flat" cmpd="sng" algn="ctr">
      <a:solidFill>
        <a:schemeClr val="tx1">
          <a:lumMod val="50000"/>
          <a:lumOff val="50000"/>
          <a:alpha val="25000"/>
        </a:schemeClr>
      </a:solidFill>
      <a:round/>
    </a:ln>
    <a:effectLst/>
  </c:spPr>
  <c:txPr>
    <a:bodyPr/>
    <a:lstStyle/>
    <a:p>
      <a:pPr>
        <a:defRPr lang="zh-CN">
          <a:solidFill>
            <a:schemeClr val="tx1">
              <a:lumMod val="75000"/>
              <a:lumOff val="25000"/>
            </a:schemeClr>
          </a:solidFill>
          <a:latin typeface="微软雅黑" panose="020B0503020204020204" pitchFamily="2" charset="-122"/>
          <a:ea typeface="微软雅黑" panose="020B0503020204020204" pitchFamily="2" charset="-122"/>
          <a:cs typeface="微软雅黑" panose="020B0503020204020204" pitchFamily="2" charset="-122"/>
          <a:sym typeface="微软雅黑" panose="020B0503020204020204" pitchFamily="2"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图7：“三公”经费财政拨款支出结构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1"/>
            <c:showSerName val="0"/>
            <c:showPercent val="0"/>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[工作簿1]Sheet1!$C$5:$C$7</c:f>
              <c:strCache>
                <c:ptCount val="3"/>
                <c:pt idx="0">
                  <c:v>因公出国（境）费</c:v>
                </c:pt>
                <c:pt idx="1">
                  <c:v>公务用车购置及运行维护费</c:v>
                </c:pt>
                <c:pt idx="2">
                  <c:v>公务接待费</c:v>
                </c:pt>
              </c:strCache>
            </c:strRef>
          </c:cat>
          <c:val>
            <c:numRef>
              <c:f>[工作簿1]Sheet1!$D$5:$D$7</c:f>
              <c:numCache>
                <c:formatCode>General</c:formatCode>
                <c:ptCount val="3"/>
                <c:pt idx="0">
                  <c:v>0</c:v>
                </c:pt>
                <c:pt idx="1">
                  <c:v>8.3</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a3e1cd-8400-4e98-bedf-7365ebded7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334fcc12-3d63-4f89-90ce-7f08e32ba81e</errorID>
      <errorWord>，纷</errorWord>
      <group>L1_Word</group>
      <groupName>字词问题</groupName>
      <ability>L2_Typo</ability>
      <abilityName>字词错误</abilityName>
      <candidateList>
        <item>，</item>
      </candidateList>
      <explain/>
      <paraID>392C8B10</paraID>
      <start>124</start>
      <end>125</end>
      <status>modified</status>
      <modifiedWord>，</modifiedWord>
      <trackRevisions>false</trackRevisions>
    </reviewItem>
    <reviewItem>
      <errorID>c73a8b11-533b-485e-928c-264ab189a261</errorID>
      <errorWord>写作</errorWord>
      <group>L1_Word</group>
      <groupName>字词问题</groupName>
      <ability>L2_Typo</ability>
      <abilityName>字词错误</abilityName>
      <candidateList>
        <item>协作</item>
      </candidateList>
      <explain/>
      <paraID>2E3A62FF</paraID>
      <start>153</start>
      <end>155</end>
      <status>modified</status>
      <modifiedWord>协作</modifiedWord>
      <trackRevisions>false</trackRevisions>
    </reviewItem>
    <reviewItem>
      <errorID>7468b0dc-0acd-428a-8764-856b3b139195</errorID>
      <errorWord>(</errorWord>
      <group>L1_Format</group>
      <groupName>格式问题</groupName>
      <ability>L2_HalfPunc_CN</ability>
      <abilityName>全半角问题</abilityName>
      <candidateList>
        <item>（</item>
      </candidateList>
      <explain>文本全半角错误。</explain>
      <paraID>10F4A516</paraID>
      <start>176</start>
      <end>177</end>
      <status>modified</status>
      <modifiedWord>（</modifiedWord>
      <trackRevisions>false</trackRevisions>
    </reviewItem>
    <reviewItem>
      <errorID>e88ba6a6-4309-4e59-a56c-843a7a23a90b</errorID>
      <errorWord>)</errorWord>
      <group>L1_Format</group>
      <groupName>格式问题</groupName>
      <ability>L2_HalfPunc_CN</ability>
      <abilityName>全半角问题</abilityName>
      <candidateList>
        <item>）</item>
      </candidateList>
      <explain>文本全半角错误。</explain>
      <paraID>10F4A516</paraID>
      <start>182</start>
      <end>183</end>
      <status>modified</status>
      <modifiedWord>）</modifiedWord>
      <trackRevisions>false</trackRevisions>
    </reviewItem>
    <reviewItem>
      <errorID>ff47a93c-7405-43c1-9826-99e2b46307b7</errorID>
      <errorWord>治疗</errorWord>
      <group>L1_Word</group>
      <groupName>字词问题</groupName>
      <ability>L2_Typo</ability>
      <abilityName>字词错误</abilityName>
      <candidateList>
        <item>治理</item>
      </candidateList>
      <explain/>
      <paraID>5702B089</paraID>
      <start>161</start>
      <end>163</end>
      <status>modified</status>
      <modifiedWord>治理</modifiedWord>
      <trackRevisions>false</trackRevisions>
    </reviewItem>
    <reviewItem>
      <errorID>b0616875-291e-4113-ad38-122b197935c4</errorID>
      <errorWord>牢筑</errorWord>
      <group>L1_Word</group>
      <groupName>字词问题</groupName>
      <ability>L2_Typo</ability>
      <abilityName>字词错误</abilityName>
      <candidateList>
        <item>筑牢</item>
      </candidateList>
      <explain/>
      <paraID>7DBA8003</paraID>
      <start>192</start>
      <end>194</end>
      <status>modified</status>
      <modifiedWord>筑牢</modifiedWord>
      <trackRevisions>false</trackRevisions>
    </reviewItem>
    <reviewItem>
      <errorID>f6a202be-d27e-4d18-b2e7-c2e9904e9c5e</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39804399</paraID>
      <start>8</start>
      <end>14</end>
      <status>modified</status>
      <modifiedWord>县委、县政府</modifiedWord>
      <trackRevisions>false</trackRevisions>
    </reviewItem>
    <reviewItem>
      <errorID>d61b1320-1ab2-4637-95a4-7247558c9735</errorID>
      <errorWord>水污</errorWord>
      <group>L1_Word</group>
      <groupName>字词问题</groupName>
      <ability>L2_Typo</ability>
      <abilityName>字词错误</abilityName>
      <candidateList>
        <item>水</item>
      </candidateList>
      <explain/>
      <paraID>28D2BF7C</paraID>
      <start>160</start>
      <end>161</end>
      <status>modified</status>
      <modifiedWord>水</modifiedWord>
      <trackRevisions>false</trackRevisions>
    </reviewItem>
    <reviewItem>
      <errorID>c8bbd0e6-0f3c-42d6-92cc-d4ac92505c8d</errorID>
      <errorWord>度度</errorWord>
      <group>L1_Word</group>
      <groupName>字词问题</groupName>
      <ability>L2_Typo</ability>
      <abilityName>字词错误</abilityName>
      <candidateList>
        <item>度</item>
      </candidateList>
      <explain/>
      <paraID>28D2BF7C</paraID>
      <start>435</start>
      <end>436</end>
      <status>modified</status>
      <modifiedWord>度</modifiedWord>
      <trackRevisions>false</trackRevisions>
    </reviewItem>
    <reviewItem>
      <errorID>1f4e1ac6-a321-47cc-b450-7057e6bc23d3</errorID>
      <errorWord>度度</errorWord>
      <group>L1_Word</group>
      <groupName>字词问题</groupName>
      <ability>L2_Typo</ability>
      <abilityName>字词错误</abilityName>
      <candidateList>
        <item>度</item>
      </candidateList>
      <explain/>
      <paraID>28D2BF7C</paraID>
      <start>486</start>
      <end>487</end>
      <status>modified</status>
      <modifiedWord>度</modifiedWord>
      <trackRevisions>false</trackRevisions>
    </reviewItem>
    <reviewItem>
      <errorID>d428aa7c-6f07-4976-93c5-84e69865f6e0</errorID>
      <errorWord>局局</errorWord>
      <group>L1_Word</group>
      <groupName>字词问题</groupName>
      <ability>L2_Typo</ability>
      <abilityName>字词错误</abilityName>
      <candidateList>
        <item>局</item>
      </candidateList>
      <explain/>
      <paraID>114562C6</paraID>
      <start>77</start>
      <end>78</end>
      <status>modified</status>
      <modifiedWord>局</modifiedWord>
      <trackRevisions>false</trackRevisions>
    </reviewItem>
    <reviewItem>
      <errorID>bae6e0dc-cdcf-4a8f-a468-4d0d8ce71077</errorID>
      <errorWord>(</errorWord>
      <group>L1_Format</group>
      <groupName>格式问题</groupName>
      <ability>L2_HalfPunc_CN</ability>
      <abilityName>全半角问题</abilityName>
      <candidateList>
        <item>（</item>
      </candidateList>
      <explain>文本全半角错误。</explain>
      <paraID>60327605</paraID>
      <start>134</start>
      <end>135</end>
      <status>modified</status>
      <modifiedWord>（</modifiedWord>
      <trackRevisions>false</trackRevisions>
    </reviewItem>
    <reviewItem>
      <errorID>54e2bf53-4595-46c8-8dc9-0bd1f84c6a42</errorID>
      <errorWord>)</errorWord>
      <group>L1_Format</group>
      <groupName>格式问题</groupName>
      <ability>L2_HalfPunc_CN</ability>
      <abilityName>全半角问题</abilityName>
      <candidateList>
        <item>）</item>
      </candidateList>
      <explain>文本全半角错误。</explain>
      <paraID>60327605</paraID>
      <start>136</start>
      <end>137</end>
      <status>modified</status>
      <modifiedWord>）</modifiedWord>
      <trackRevisions>false</trackRevisions>
    </reviewItem>
    <reviewItem>
      <errorID>aa5d39ba-d6cf-4a5a-ac0f-6b1f7b763e97</errorID>
      <errorWord>党组理论中心组</errorWord>
      <group>L1_Political</group>
      <groupName>政治性问题</groupName>
      <ability>L2_Unpolitical</ability>
      <abilityName>政治敏感错误</abilityName>
      <candidateList>
        <item>党组理论学习中心组</item>
      </candidateList>
      <explain/>
      <paraID>16F627A1</paraID>
      <start>62</start>
      <end>71</end>
      <status>modified</status>
      <modifiedWord>党组理论学习中心组</modifiedWord>
      <trackRevisions>false</trackRevisions>
    </reviewItem>
    <reviewItem>
      <errorID>61180136-7da0-435e-8ee5-fa699b65629c</errorID>
      <errorWord>生态环境保护督查</errorWord>
      <group>L1_Political</group>
      <groupName>政治性问题</groupName>
      <ability>L2_Keyword</ability>
      <abilityName>固定表述</abilityName>
      <candidateList>
        <item>生态环境保护督察</item>
      </candidateList>
      <explain>词汇“生态环境保护督察”在特定场景下为固定表述形式，请确认此处的“生态环境保护督查”是否存在不当。</explain>
      <paraID>4CDC99E8</paraID>
      <start>4</start>
      <end>12</end>
      <status>modified</status>
      <modifiedWord>生态环境保护督察</modifiedWord>
      <trackRevisions>false</trackRevisions>
    </reviewItem>
    <reviewItem>
      <errorID>9e259728-7735-4b51-8d14-22e11b4a061f</errorID>
      <errorWord>(</errorWord>
      <group>L1_Format</group>
      <groupName>格式问题</groupName>
      <ability>L2_HalfPunc_CN</ability>
      <abilityName>全半角问题</abilityName>
      <candidateList>
        <item>（</item>
      </candidateList>
      <explain>文本全半角错误。</explain>
      <paraID>237D4773</paraID>
      <start>102</start>
      <end>103</end>
      <status>modified</status>
      <modifiedWord>（</modifiedWord>
      <trackRevisions>false</trackRevisions>
    </reviewItem>
    <reviewItem>
      <errorID>7f1ec82b-5412-4c60-bd40-d7b9c6f6a36c</errorID>
      <errorWord>)</errorWord>
      <group>L1_Format</group>
      <groupName>格式问题</groupName>
      <ability>L2_HalfPunc_CN</ability>
      <abilityName>全半角问题</abilityName>
      <candidateList>
        <item>）</item>
      </candidateList>
      <explain>文本全半角错误。</explain>
      <paraID>237D4773</paraID>
      <start>104</start>
      <end>105</end>
      <status>modified</status>
      <modifiedWord>）</modifiedWord>
      <trackRevisions>false</trackRevisions>
    </reviewItem>
    <reviewItem>
      <errorID>680a0cec-37bf-4fc5-a5c4-118cee9709f4</errorID>
      <errorWord>行 政审批制度改革</errorWord>
      <group>L1_Political</group>
      <groupName>政治性问题</groupName>
      <ability>L2_Keyword</ability>
      <abilityName>固定表述</abilityName>
      <candidateList>
        <item>行政审批制度改革</item>
      </candidateList>
      <explain>词汇“行政审批制度改革”在特定场景下为固定表述形式，请确认此处的“行 政审批制度改革”是否存在不当。</explain>
      <paraID>1F64D2C4</paraID>
      <start>43</start>
      <end>51</end>
      <status>modified</status>
      <modifiedWord>行政审批制度改革</modifiedWord>
      <trackRevisions>false</trackRevisions>
    </reviewItem>
    <reviewItem>
      <errorID>5ea839a7-b6d1-446f-a35f-b1c4de7a5b08</errorID>
      <errorWord>,</errorWord>
      <group>L1_Format</group>
      <groupName>格式问题</groupName>
      <ability>L2_HalfPunc_CN</ability>
      <abilityName>全半角问题</abilityName>
      <candidateList>
        <item>，</item>
      </candidateList>
      <explain>文本全半角错误。</explain>
      <paraID>1F64D2C4</paraID>
      <start>280</start>
      <end>281</end>
      <status>modified</status>
      <modifiedWord>，</modifiedWord>
      <trackRevisions>false</trackRevisions>
    </reviewItem>
    <reviewItem>
      <errorID>c2a56221-c33c-4bfe-990d-60efdb8b1131</errorID>
      <errorWord>(</errorWord>
      <group>L1_Format</group>
      <groupName>格式问题</groupName>
      <ability>L2_HalfPunc_CN</ability>
      <abilityName>全半角问题</abilityName>
      <candidateList>
        <item>（</item>
      </candidateList>
      <explain>文本全半角错误。</explain>
      <paraID>6552E223</paraID>
      <start>79</start>
      <end>80</end>
      <status>modified</status>
      <modifiedWord>（</modifiedWord>
      <trackRevisions>false</trackRevisions>
    </reviewItem>
    <reviewItem>
      <errorID>b2c05512-e4a2-4fd5-ae64-d99972b0ad1b</errorID>
      <errorWord>)</errorWord>
      <group>L1_Format</group>
      <groupName>格式问题</groupName>
      <ability>L2_HalfPunc_CN</ability>
      <abilityName>全半角问题</abilityName>
      <candidateList>
        <item>）</item>
      </candidateList>
      <explain>文本全半角错误。</explain>
      <paraID>6552E223</paraID>
      <start>85</start>
      <end>86</end>
      <status>modified</status>
      <modifiedWord>）</modifiedWord>
      <trackRevisions>false</trackRevisions>
    </reviewItem>
    <reviewItem>
      <errorID>2f32b22b-cde8-4f9d-b5ad-02c1ea20b543</errorID>
      <errorWord>:</errorWord>
      <group>L1_Format</group>
      <groupName>格式问题</groupName>
      <ability>L2_HalfPunc_CN</ability>
      <abilityName>全半角问题</abilityName>
      <candidateList>
        <item>：</item>
      </candidateList>
      <explain>文本全半角错误。</explain>
      <paraID>2BB8294D</paraID>
      <start>35</start>
      <end>36</end>
      <status>modified</status>
      <modifiedWord>：</modifiedWord>
      <trackRevisions>false</trackRevisions>
    </reviewItem>
    <reviewItem>
      <errorID>77c76b93-9e91-4338-8038-4b237f7e14e1</errorID>
      <errorWord>:</errorWord>
      <group>L1_Format</group>
      <groupName>格式问题</groupName>
      <ability>L2_HalfPunc_CN</ability>
      <abilityName>全半角问题</abilityName>
      <candidateList>
        <item>：</item>
      </candidateList>
      <explain>文本全半角错误。</explain>
      <paraID> CC570D2</paraID>
      <start>81</start>
      <end>82</end>
      <status>modified</status>
      <modifiedWord>：</modifiedWord>
      <trackRevisions>false</trackRevisions>
    </reviewItem>
    <reviewItem>
      <errorID>d3fdcbdc-8241-4447-8b5c-c3d882518f36</errorID>
      <errorWord>:</errorWord>
      <group>L1_Format</group>
      <groupName>格式问题</groupName>
      <ability>L2_HalfPunc_CN</ability>
      <abilityName>全半角问题</abilityName>
      <candidateList>
        <item>：</item>
      </candidateList>
      <explain>文本全半角错误。</explain>
      <paraID>64667333</paraID>
      <start>59</start>
      <end>60</end>
      <status>modified</status>
      <modifiedWord>：</modifiedWord>
      <trackRevisions>false</trackRevisions>
    </reviewItem>
    <reviewItem>
      <errorID>19a9c9d2-f5ac-47db-bcb5-d8da6de0c85c</errorID>
      <errorWord>:</errorWord>
      <group>L1_Format</group>
      <groupName>格式问题</groupName>
      <ability>L2_HalfPunc_CN</ability>
      <abilityName>全半角问题</abilityName>
      <candidateList>
        <item>：</item>
      </candidateList>
      <explain>文本全半角错误。</explain>
      <paraID>433E5A4D</paraID>
      <start>98</start>
      <end>99</end>
      <status>modified</status>
      <modifiedWord>：</modifiedWord>
      <trackRevisions>false</trackRevisions>
    </reviewItem>
    <reviewItem>
      <errorID>2f65c64c-4960-4f1f-aa2e-e7a0afb61344</errorID>
      <errorWord>:</errorWord>
      <group>L1_Format</group>
      <groupName>格式问题</groupName>
      <ability>L2_HalfPunc_CN</ability>
      <abilityName>全半角问题</abilityName>
      <candidateList>
        <item>：</item>
      </candidateList>
      <explain>文本全半角错误。</explain>
      <paraID>4A1B07E0</paraID>
      <start>40</start>
      <end>41</end>
      <status>modified</status>
      <modifiedWord>：</modifiedWord>
      <trackRevisions>false</trackRevisions>
    </reviewItem>
    <reviewItem>
      <errorID>5c9d4739-8144-4642-ae86-eaa9ecbc34f8</errorID>
      <errorWord>&lt;</errorWord>
      <group>L1_Format</group>
      <groupName>格式问题</groupName>
      <ability>L2_HalfPunc_CN</ability>
      <abilityName>全半角问题</abilityName>
      <candidateList>
        <item>〈</item>
      </candidateList>
      <explain>文本全半角错误。</explain>
      <paraID> A09F64B</paraID>
      <start>50</start>
      <end>51</end>
      <status>modified</status>
      <modifiedWord>〈</modifiedWord>
      <trackRevisions>false</trackRevisions>
    </reviewItem>
    <reviewItem>
      <errorID>17b27c84-e242-49fd-9289-7db13aee5673</errorID>
      <errorWord>&gt;</errorWord>
      <group>L1_Format</group>
      <groupName>格式问题</groupName>
      <ability>L2_HalfPunc_CN</ability>
      <abilityName>全半角问题</abilityName>
      <candidateList>
        <item>〉</item>
      </candidateList>
      <explain>文本全半角错误。</explain>
      <paraID> A09F64B</paraID>
      <start>53</start>
      <end>54</end>
      <status>modified</status>
      <modifiedWord>〉</modifiedWord>
      <trackRevisions>false</trackRevisions>
    </reviewItem>
    <reviewItem>
      <errorID>dab0eb3c-36b5-4b4b-8f1c-1d4eb368b235</errorID>
      <errorWord>&lt;</errorWord>
      <group>L1_Format</group>
      <groupName>格式问题</groupName>
      <ability>L2_HalfPunc_CN</ability>
      <abilityName>全半角问题</abilityName>
      <candidateList>
        <item>〈</item>
      </candidateList>
      <explain>文本全半角错误。</explain>
      <paraID> A09F64B</paraID>
      <start>60</start>
      <end>61</end>
      <status>modified</status>
      <modifiedWord>〈</modifiedWord>
      <trackRevisions>false</trackRevisions>
    </reviewItem>
    <reviewItem>
      <errorID>399c052a-1a77-4331-a21f-9e7e14779f37</errorID>
      <errorWord>&gt;</errorWord>
      <group>L1_Format</group>
      <groupName>格式问题</groupName>
      <ability>L2_HalfPunc_CN</ability>
      <abilityName>全半角问题</abilityName>
      <candidateList>
        <item>〉</item>
      </candidateList>
      <explain>文本全半角错误。</explain>
      <paraID> A09F64B</paraID>
      <start>63</start>
      <end>64</end>
      <status>modified</status>
      <modifiedWord>〉</modifiedWord>
      <trackRevisions>false</trackRevisions>
    </reviewItem>
    <reviewItem>
      <errorID>10caa12b-4634-4d89-88cf-bc2d4849b825</errorID>
      <errorWord>,</errorWord>
      <group>L1_Format</group>
      <groupName>格式问题</groupName>
      <ability>L2_HalfPunc_CN</ability>
      <abilityName>全半角问题</abilityName>
      <candidateList>
        <item>，</item>
      </candidateList>
      <explain>文本全半角错误。</explain>
      <paraID>7284323E</paraID>
      <start>21</start>
      <end>22</end>
      <status>modified</status>
      <modifiedWord>，</modifiedWord>
      <trackRevisions>false</trackRevisions>
    </reviewItem>
    <reviewItem>
      <errorID>8c5c7fcf-e0ff-4f42-8f94-2c9fdbfa8d2d</errorID>
      <errorWord>件</errorWord>
      <group>L1_Word</group>
      <groupName>字词问题</groupName>
      <ability>L2_Typo</ability>
      <abilityName>字词错误</abilityName>
      <candidateList>
        <item>件和</item>
      </candidateList>
      <explain/>
      <paraID>7D254955</paraID>
      <start>35</start>
      <end>37</end>
      <status>modified</status>
      <modifiedWord>件和</modifiedWord>
      <trackRevisions>false</trackRevisions>
    </reviewItem>
    <reviewItem>
      <errorID>0f255647-85fc-47a7-87b9-833551940469</errorID>
      <errorWord>支</errorWord>
      <group>L1_Word</group>
      <groupName>字词问题</groupName>
      <ability>L2_Typo</ability>
      <abilityName>字词错误</abilityName>
      <candidateList>
        <item>支出</item>
      </candidateList>
      <explain/>
      <paraID> D560269</paraID>
      <start>23</start>
      <end>25</end>
      <status>modified</status>
      <modifiedWord>支出</modifiedWord>
      <trackRevisions>false</trackRevisions>
    </reviewItem>
    <reviewItem>
      <errorID>b78d126d-fe68-4f34-bcac-443a4b508830</errorID>
      <errorWord>于</errorWord>
      <group>L1_Word</group>
      <groupName>字词问题</groupName>
      <ability>L2_Typo</ability>
      <abilityName>字词错误</abilityName>
      <candidateList>
        <item>于日</item>
      </candidateList>
      <explain/>
      <paraID>6E599AB2</paraID>
      <start>125</start>
      <end>127</end>
      <status>modified</status>
      <modifiedWord>于日</modifiedWord>
      <trackRevisions>false</trackRevisions>
    </reviewItem>
    <reviewItem>
      <errorID>a46d2bb4-054d-4c6e-912e-6c71358b5225</errorID>
      <errorWord>件</errorWord>
      <group>L1_Word</group>
      <groupName>字词问题</groupName>
      <ability>L2_Typo</ability>
      <abilityName>字词错误</abilityName>
      <candidateList>
        <item>件和</item>
      </candidateList>
      <explain/>
      <paraID>6E599AB2</paraID>
      <start>140</start>
      <end>142</end>
      <status>modified</status>
      <modifiedWord>件和</modifiedWord>
      <trackRevisions>false</trackRevisions>
    </reviewItem>
    <reviewItem>
      <errorID>a4310e81-4189-4a05-a239-de1dc309d348</errorID>
      <errorWord>，</errorWord>
      <group>L1_Word</group>
      <groupName>字词问题</groupName>
      <ability>L2_Typo</ability>
      <abilityName>字词错误</abilityName>
      <candidateList>
        <item>，在</item>
      </candidateList>
      <explain/>
      <paraID>644424E1</paraID>
      <start>155</start>
      <end>157</end>
      <status>modified</status>
      <modifiedWord>，在</modifiedWord>
      <trackRevisions>false</trackRevisions>
    </reviewItem>
    <reviewItem>
      <errorID>0b10fa4b-50e6-4a90-9ce8-993e131065b4</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1601EC67</paraID>
      <start>0</start>
      <end>2</end>
      <status>modified</status>
      <modifiedWord>8.</modifiedWord>
      <trackRevisions>false</trackRevisions>
    </reviewItem>
    <reviewItem>
      <errorID>ae32ce51-6bbb-41f5-9806-36bd2986f8a8</errorID>
      <errorWord>(</errorWord>
      <group>L1_Format</group>
      <groupName>格式问题</groupName>
      <ability>L2_HalfPunc_CN</ability>
      <abilityName>全半角问题</abilityName>
      <candidateList>
        <item>（</item>
      </candidateList>
      <explain>文本全半角错误。</explain>
      <paraID>3D2AFDAB</paraID>
      <start>134</start>
      <end>135</end>
      <status>unmodified</status>
      <modifiedWord/>
      <trackRevisions>false</trackRevisions>
    </reviewItem>
    <reviewItem>
      <errorID>dd22c9ac-a75f-444e-b039-6e7762663dc4</errorID>
      <errorWord>)</errorWord>
      <group>L1_Format</group>
      <groupName>格式问题</groupName>
      <ability>L2_HalfPunc_CN</ability>
      <abilityName>全半角问题</abilityName>
      <candidateList>
        <item>）</item>
      </candidateList>
      <explain>文本全半角错误。</explain>
      <paraID>3D2AFDAB</paraID>
      <start>136</start>
      <end>137</end>
      <status>modified</status>
      <modifiedWord>）</modifiedWord>
      <trackRevisions>false</trackRevisions>
    </reviewItem>
    <reviewItem>
      <errorID>22103fff-6541-403a-8a0f-bcaec1de6391</errorID>
      <errorWord>党组理论中心组</errorWord>
      <group>L1_Political</group>
      <groupName>政治性问题</groupName>
      <ability>L2_Unpolitical</ability>
      <abilityName>政治敏感错误</abilityName>
      <candidateList>
        <item>党组理论学习中心组</item>
      </candidateList>
      <explain/>
      <paraID>35703BCC</paraID>
      <start>62</start>
      <end>71</end>
      <status>modified</status>
      <modifiedWord>党组理论学习中心组</modifiedWord>
      <trackRevisions>false</trackRevisions>
    </reviewItem>
    <reviewItem>
      <errorID>5129ae6b-7390-4ec0-8c00-455df6d4c1b3</errorID>
      <errorWord>生态环境保护督查</errorWord>
      <group>L1_Political</group>
      <groupName>政治性问题</groupName>
      <ability>L2_Keyword</ability>
      <abilityName>固定表述</abilityName>
      <candidateList>
        <item>生态环境保护督察</item>
      </candidateList>
      <explain>词汇“生态环境保护督察”在特定场景下为固定表述形式，请确认此处的“生态环境保护督查”是否存在不当。</explain>
      <paraID> 3F220E0</paraID>
      <start>4</start>
      <end>12</end>
      <status>modified</status>
      <modifiedWord>生态环境保护督察</modifiedWord>
      <trackRevisions>false</trackRevisions>
    </reviewItem>
    <reviewItem>
      <errorID>388c86ac-8aec-4976-9c7e-27b4e174007a</errorID>
      <errorWord>(</errorWord>
      <group>L1_Format</group>
      <groupName>格式问题</groupName>
      <ability>L2_HalfPunc_CN</ability>
      <abilityName>全半角问题</abilityName>
      <candidateList>
        <item>（</item>
      </candidateList>
      <explain>文本全半角错误。</explain>
      <paraID>4B030A8A</paraID>
      <start>102</start>
      <end>103</end>
      <status>modified</status>
      <modifiedWord>（</modifiedWord>
      <trackRevisions>false</trackRevisions>
    </reviewItem>
    <reviewItem>
      <errorID>af93c1c8-e60f-48c9-9e01-1880385170d2</errorID>
      <errorWord>)</errorWord>
      <group>L1_Format</group>
      <groupName>格式问题</groupName>
      <ability>L2_HalfPunc_CN</ability>
      <abilityName>全半角问题</abilityName>
      <candidateList>
        <item>）</item>
      </candidateList>
      <explain>文本全半角错误。</explain>
      <paraID>4B030A8A</paraID>
      <start>104</start>
      <end>105</end>
      <status>modified</status>
      <modifiedWord>）</modifiedWord>
      <trackRevisions>false</trackRevisions>
    </reviewItem>
    <reviewItem>
      <errorID>8419884c-220e-4356-9338-f720d3231857</errorID>
      <errorWord>行 政审批制度改革</errorWord>
      <group>L1_Political</group>
      <groupName>政治性问题</groupName>
      <ability>L2_Keyword</ability>
      <abilityName>固定表述</abilityName>
      <candidateList>
        <item>行政审批制度改革</item>
      </candidateList>
      <explain>词汇“行政审批制度改革”在特定场景下为固定表述形式，请确认此处的“行 政审批制度改革”是否存在不当。</explain>
      <paraID>61839C49</paraID>
      <start>43</start>
      <end>51</end>
      <status>modified</status>
      <modifiedWord>行政审批制度改革</modifiedWord>
      <trackRevisions>false</trackRevisions>
    </reviewItem>
    <reviewItem>
      <errorID>22bb468e-c343-4973-932d-a51dd0f21d24</errorID>
      <errorWord>,</errorWord>
      <group>L1_Format</group>
      <groupName>格式问题</groupName>
      <ability>L2_HalfPunc_CN</ability>
      <abilityName>全半角问题</abilityName>
      <candidateList>
        <item>，</item>
      </candidateList>
      <explain>文本全半角错误。</explain>
      <paraID>61839C49</paraID>
      <start>280</start>
      <end>281</end>
      <status>modified</status>
      <modifiedWord>，</modifiedWord>
      <trackRevisions>false</trackRevisions>
    </reviewItem>
    <reviewItem>
      <errorID>8f3a2000-f257-4df6-8266-980667a0e810</errorID>
      <errorWord>(</errorWord>
      <group>L1_Format</group>
      <groupName>格式问题</groupName>
      <ability>L2_HalfPunc_CN</ability>
      <abilityName>全半角问题</abilityName>
      <candidateList>
        <item>（</item>
      </candidateList>
      <explain>文本全半角错误。</explain>
      <paraID> 46BDDDC</paraID>
      <start>79</start>
      <end>80</end>
      <status>modified</status>
      <modifiedWord>（</modifiedWord>
      <trackRevisions>false</trackRevisions>
    </reviewItem>
    <reviewItem>
      <errorID>e37740ec-ccf3-44a8-a4f8-24da7c6b16a4</errorID>
      <errorWord>)</errorWord>
      <group>L1_Format</group>
      <groupName>格式问题</groupName>
      <ability>L2_HalfPunc_CN</ability>
      <abilityName>全半角问题</abilityName>
      <candidateList>
        <item>）</item>
      </candidateList>
      <explain>文本全半角错误。</explain>
      <paraID> 46BDDDC</paraID>
      <start>85</start>
      <end>86</end>
      <status>modified</status>
      <modifiedWord>）</modifiedWord>
      <trackRevisions>false</trackRevisions>
    </reviewItem>
    <reviewItem>
      <errorID>cae4f57e-0670-4a40-a500-979056b2a113</errorID>
      <errorWord>，纷</errorWord>
      <group>L1_Word</group>
      <groupName>字词问题</groupName>
      <ability>L2_Typo</ability>
      <abilityName>字词错误</abilityName>
      <candidateList>
        <item>，</item>
      </candidateList>
      <explain/>
      <paraID> E08882C</paraID>
      <start>124</start>
      <end>125</end>
      <status>modified</status>
      <modifiedWord>，</modifiedWord>
      <trackRevisions>false</trackRevisions>
    </reviewItem>
    <reviewItem>
      <errorID>72c428d1-76e1-4424-8a11-916728fa109e</errorID>
      <errorWord>写作</errorWord>
      <group>L1_Word</group>
      <groupName>字词问题</groupName>
      <ability>L2_Typo</ability>
      <abilityName>字词错误</abilityName>
      <candidateList>
        <item>协作</item>
      </candidateList>
      <explain/>
      <paraID>54CC0B17</paraID>
      <start>153</start>
      <end>155</end>
      <status>modified</status>
      <modifiedWord>协作</modifiedWord>
      <trackRevisions>false</trackRevisions>
    </reviewItem>
    <reviewItem>
      <errorID>49728934-6242-49e6-b1fe-fd9d5b36ec34</errorID>
      <errorWord>(</errorWord>
      <group>L1_Format</group>
      <groupName>格式问题</groupName>
      <ability>L2_HalfPunc_CN</ability>
      <abilityName>全半角问题</abilityName>
      <candidateList>
        <item>（</item>
      </candidateList>
      <explain>文本全半角错误。</explain>
      <paraID>2078E79B</paraID>
      <start>176</start>
      <end>177</end>
      <status>modified</status>
      <modifiedWord>（</modifiedWord>
      <trackRevisions>false</trackRevisions>
    </reviewItem>
    <reviewItem>
      <errorID>c3f2fa0d-3491-44bc-a1b8-5eca5623acc7</errorID>
      <errorWord>)</errorWord>
      <group>L1_Format</group>
      <groupName>格式问题</groupName>
      <ability>L2_HalfPunc_CN</ability>
      <abilityName>全半角问题</abilityName>
      <candidateList>
        <item>）</item>
      </candidateList>
      <explain>文本全半角错误。</explain>
      <paraID>2078E79B</paraID>
      <start>182</start>
      <end>183</end>
      <status>modified</status>
      <modifiedWord>）</modifiedWord>
      <trackRevisions>false</trackRevisions>
    </reviewItem>
    <reviewItem>
      <errorID>6b9ea55e-0b57-46b3-963e-ac1d424af5ee</errorID>
      <errorWord>治疗</errorWord>
      <group>L1_Word</group>
      <groupName>字词问题</groupName>
      <ability>L2_Typo</ability>
      <abilityName>字词错误</abilityName>
      <candidateList>
        <item>治理</item>
      </candidateList>
      <explain/>
      <paraID> EFD8DAE</paraID>
      <start>161</start>
      <end>163</end>
      <status>modified</status>
      <modifiedWord>治理</modifiedWord>
      <trackRevisions>false</trackRevisions>
    </reviewItem>
    <reviewItem>
      <errorID>1cb9e781-a868-4857-a2db-314143967466</errorID>
      <errorWord>牢筑</errorWord>
      <group>L1_Word</group>
      <groupName>字词问题</groupName>
      <ability>L2_Typo</ability>
      <abilityName>字词错误</abilityName>
      <candidateList>
        <item>筑牢</item>
      </candidateList>
      <explain/>
      <paraID>1892327A</paraID>
      <start>192</start>
      <end>194</end>
      <status>modified</status>
      <modifiedWord>筑牢</modifiedWord>
      <trackRevisions>false</trackRevisions>
    </reviewItem>
    <reviewItem>
      <errorID>642b513f-ede3-4157-9f11-85ba960d9547</errorID>
      <errorWord>局局</errorWord>
      <group>L1_Word</group>
      <groupName>字词问题</groupName>
      <ability>L2_Typo</ability>
      <abilityName>字词错误</abilityName>
      <candidateList>
        <item>局</item>
      </candidateList>
      <explain/>
      <paraID>70ACBE3A</paraID>
      <start>77</start>
      <end>78</end>
      <status>modified</status>
      <modifiedWord>局</modifiedWord>
      <trackRevisions>false</trackRevisions>
    </reviewItem>
    <reviewItem>
      <errorID>2efcdaa1-ee4e-4fce-9df6-604e288142b0</errorID>
      <errorWord>,</errorWord>
      <group>L1_Format</group>
      <groupName>格式问题</groupName>
      <ability>L2_HalfPunc_CN</ability>
      <abilityName>全半角问题</abilityName>
      <candidateList>
        <item>，</item>
      </candidateList>
      <explain>文本全半角错误。</explain>
      <paraID>6B70C405</paraID>
      <start>15</start>
      <end>16</end>
      <status>modified</status>
      <modifiedWord>，</modifiedWord>
      <trackRevisions>false</trackRevisions>
    </reviewItem>
    <reviewItem>
      <errorID>d648806e-d102-4b8a-a5e3-24387e9054b8</errorID>
      <errorWord>万</errorWord>
      <group>L1_Word</group>
      <groupName>字词问题</groupName>
      <ability>L2_Typo</ability>
      <abilityName>字词错误</abilityName>
      <candidateList>
        <item>万元</item>
      </candidateList>
      <explain/>
      <paraID>5014215E</paraID>
      <start>15</start>
      <end>17</end>
      <status>modified</status>
      <modifiedWord>万元</modifiedWord>
      <trackRevisions>false</trackRevisions>
    </reviewItem>
    <reviewItem>
      <errorID>966315d6-4ece-42fa-b833-1c381a59952a</errorID>
      <errorWord>,</errorWord>
      <group>L1_Format</group>
      <groupName>格式问题</groupName>
      <ability>L2_HalfPunc_CN</ability>
      <abilityName>全半角问题</abilityName>
      <candidateList>
        <item>，</item>
      </candidateList>
      <explain>文本全半角错误。</explain>
      <paraID>538ED0C8</paraID>
      <start>12</start>
      <end>13</end>
      <status>modified</status>
      <modifiedWord>，</modifiedWord>
      <trackRevisions>false</trackRevisions>
    </reviewItem>
    <reviewItem>
      <errorID>c1026f9f-b221-4f3c-a909-22ba0a7572c8</errorID>
      <errorWord>,</errorWord>
      <group>L1_Format</group>
      <groupName>格式问题</groupName>
      <ability>L2_HalfPunc_CN</ability>
      <abilityName>全半角问题</abilityName>
      <candidateList>
        <item>，</item>
      </candidateList>
      <explain>文本全半角错误。</explain>
      <paraID>14128827</paraID>
      <start>11</start>
      <end>12</end>
      <status>modified</status>
      <modifiedWord>，</modifiedWord>
      <trackRevisions>false</trackRevisions>
    </reviewItem>
    <reviewItem>
      <errorID>8f5015a3-7e5c-4971-8000-0a70ff07be82</errorID>
      <errorWord>,</errorWord>
      <group>L1_Format</group>
      <groupName>格式问题</groupName>
      <ability>L2_HalfPunc_CN</ability>
      <abilityName>全半角问题</abilityName>
      <candidateList>
        <item>，</item>
      </candidateList>
      <explain>文本全半角错误。</explain>
      <paraID>14128827</paraID>
      <start>21</start>
      <end>22</end>
      <status>modified</status>
      <modifiedWord>，</modifiedWord>
      <trackRevisions>false</trackRevisions>
    </reviewItem>
    <reviewItem>
      <errorID>6efbe29f-e81c-4829-b603-3586c7ed0616</errorID>
      <errorWord>等的</errorWord>
      <group>L1_Word</group>
      <groupName>字词问题</groupName>
      <ability>L2_Typo</ability>
      <abilityName>字词错误</abilityName>
      <candidateList>
        <item>等</item>
      </candidateList>
      <explain/>
      <paraID>46252D07</paraID>
      <start>26</start>
      <end>27</end>
      <status>modified</status>
      <modifiedWord>等</modifiedWord>
      <trackRevisions>false</trackRevisions>
    </reviewItem>
    <reviewItem>
      <errorID>85cc6705-c054-4db3-89db-aeb8f0a9a21b</errorID>
      <errorWord>,</errorWord>
      <group>L1_Format</group>
      <groupName>格式问题</groupName>
      <ability>L2_HalfPunc_CN</ability>
      <abilityName>全半角问题</abilityName>
      <candidateList>
        <item>，</item>
      </candidateList>
      <explain>文本全半角错误。</explain>
      <paraID>496B43DE</paraID>
      <start>11</start>
      <end>12</end>
      <status>modified</status>
      <modifiedWord>，</modifiedWord>
      <trackRevisions>false</trackRevisions>
    </reviewItem>
    <reviewItem>
      <errorID>4e977b0e-2107-4a97-824a-d129a0b79a37</errorID>
      <errorWord>,</errorWord>
      <group>L1_Format</group>
      <groupName>格式问题</groupName>
      <ability>L2_HalfPunc_CN</ability>
      <abilityName>全半角问题</abilityName>
      <candidateList>
        <item>，</item>
      </candidateList>
      <explain>文本全半角错误。</explain>
      <paraID>496B43DE</paraID>
      <start>18</start>
      <end>19</end>
      <status>modified</status>
      <modifiedWord>，</modifiedWord>
      <trackRevisions>false</trackRevisions>
    </reviewItem>
    <reviewItem>
      <errorID>778206d7-982b-46d5-b0a0-00ddb3264b15</errorID>
      <errorWord>（</errorWord>
      <group>L1_Punc</group>
      <groupName>标点问题</groupName>
      <ability>L2_Punc_CN</ability>
      <abilityName>标点符号问题</abilityName>
      <candidateList/>
      <explain>同一形式括号套用。</explain>
      <paraID>74E6813E</paraID>
      <start>32</start>
      <end>33</end>
      <status>ignored</status>
      <modifiedWord/>
      <trackRevisions>false</trackRevisions>
    </reviewItem>
    <reviewItem>
      <errorID>42c2f4a6-fd57-422e-af7e-5280233df78f</errorID>
      <errorWord>）</errorWord>
      <group>L1_Punc</group>
      <groupName>标点问题</groupName>
      <ability>L2_Punc_CN</ability>
      <abilityName>标点符号问题</abilityName>
      <candidateList/>
      <explain>同一形式括号套用。</explain>
      <paraID>74E6813E</paraID>
      <start>39</start>
      <end>40</end>
      <status>ignored</status>
      <modifiedWord/>
      <trackRevisions>false</trackRevisions>
    </reviewItem>
    <reviewItem>
      <errorID>2d1e7b2e-38b1-46f6-8df6-cbec27b006b9</errorID>
      <errorWord>（</errorWord>
      <group>L1_Punc</group>
      <groupName>标点问题</groupName>
      <ability>L2_Punc_CN</ability>
      <abilityName>标点符号问题</abilityName>
      <candidateList/>
      <explain>同一形式括号套用。</explain>
      <paraID>74E6813E</paraID>
      <start>125</start>
      <end>126</end>
      <status>unmodified</status>
      <modifiedWord/>
      <trackRevisions>false</trackRevisions>
    </reviewItem>
    <reviewItem>
      <errorID>e11df700-a409-4fc1-b683-a4088eac59f2</errorID>
      <errorWord>）</errorWord>
      <group>L1_Punc</group>
      <groupName>标点问题</groupName>
      <ability>L2_Punc_CN</ability>
      <abilityName>标点符号问题</abilityName>
      <candidateList/>
      <explain>同一形式括号套用。</explain>
      <paraID>74E6813E</paraID>
      <start>132</start>
      <end>133</end>
      <status>unmodified</status>
      <modifiedWord/>
      <trackRevisions>false</trackRevisions>
    </reviewItem>
    <reviewItem>
      <errorID>62a6844d-25c8-4ef3-aadd-9d633149f2e7</errorID>
      <errorWord>（</errorWord>
      <group>L1_Punc</group>
      <groupName>标点问题</groupName>
      <ability>L2_Punc_CN</ability>
      <abilityName>标点符号问题</abilityName>
      <candidateList/>
      <explain>同一形式括号套用。</explain>
      <paraID>33DE46D6</paraID>
      <start>13</start>
      <end>14</end>
      <status>unmodified</status>
      <modifiedWord/>
      <trackRevisions>false</trackRevisions>
    </reviewItem>
    <reviewItem>
      <errorID>4e3c5f39-5e88-4e1d-8f66-f94aa73bf48f</errorID>
      <errorWord>）</errorWord>
      <group>L1_Punc</group>
      <groupName>标点问题</groupName>
      <ability>L2_Punc_CN</ability>
      <abilityName>标点符号问题</abilityName>
      <candidateList/>
      <explain>同一形式括号套用。</explain>
      <paraID>33DE46D6</paraID>
      <start>20</start>
      <end>21</end>
      <status>unmodified</status>
      <modifiedWord/>
      <trackRevisions>false</trackRevisions>
    </reviewItem>
    <reviewItem>
      <errorID>5b488520-ac07-49db-bce7-cac6eb9083c4</errorID>
      <errorWord>【2024】36号</errorWord>
      <group>L1_Knowledge</group>
      <groupName>知识性问题</groupName>
      <ability>L2_Knowledge</ability>
      <abilityName>其他知识</abilityName>
      <candidateList>
        <item>〔2024〕36号</item>
      </candidateList>
      <explain>发文字号格式错误。</explain>
      <paraID>772E7B53</paraID>
      <start>40</start>
      <end>49</end>
      <status>unmodified</status>
      <modifiedWord/>
      <trackRevisions>false</trackRevisions>
    </reviewItem>
    <reviewItem>
      <errorID>1e546733-4a46-4e33-942c-6d21ac477d82</errorID>
      <errorWord>使用范围</errorWord>
      <group>L1_Word</group>
      <groupName>字词问题</groupName>
      <ability>L2_Typo</ability>
      <abilityName>字词错误</abilityName>
      <candidateList>
        <item>适用范围</item>
      </candidateList>
      <explain>存在发音相同字词的误用。</explain>
      <paraID>3B7C6A42</paraID>
      <start>0</start>
      <end>4</end>
      <status>unmodified</status>
      <modifiedWord/>
      <trackRevisions>false</trackRevisions>
    </reviewItem>
    <reviewItem>
      <errorID>f4c72c32-e583-4503-8038-7f56a4e0a083</errorID>
      <errorWord>【2024】36号</errorWord>
      <group>L1_Knowledge</group>
      <groupName>知识性问题</groupName>
      <ability>L2_Knowledge</ability>
      <abilityName>其他知识</abilityName>
      <candidateList>
        <item>〔2024〕36号</item>
      </candidateList>
      <explain>发文字号格式错误。</explain>
      <paraID>3D473F1C</paraID>
      <start>40</start>
      <end>49</end>
      <status>unmodified</status>
      <modifiedWord/>
      <trackRevisions>false</trackRevisions>
    </reviewItem>
    <reviewItem>
      <errorID>1c664fe1-70ec-4ff9-ac98-22a65c06fcde</errorID>
      <errorWord>使用范围</errorWord>
      <group>L1_Word</group>
      <groupName>字词问题</groupName>
      <ability>L2_Typo</ability>
      <abilityName>字词错误</abilityName>
      <candidateList>
        <item>适用范围</item>
      </candidateList>
      <explain>存在发音相同字词的误用。</explain>
      <paraID>7CC9FA96</paraID>
      <start>0</start>
      <end>4</end>
      <status>unmodified</status>
      <modifiedWord/>
      <trackRevisions>false</trackRevisions>
    </reviewItem>
    <reviewItem>
      <errorID>11fcc5a3-29c0-4556-b92c-8ad6e56a970a</errorID>
      <errorWord>使用范围</errorWord>
      <group>L1_Word</group>
      <groupName>字词问题</groupName>
      <ability>L2_Typo</ability>
      <abilityName>字词错误</abilityName>
      <candidateList>
        <item>适用范围</item>
      </candidateList>
      <explain>存在发音相同字词的误用。</explain>
      <paraID> AA989DE</paraID>
      <start>0</start>
      <end>4</end>
      <status>unmodified</status>
      <modifiedWord/>
      <trackRevisions>false</trackRevisions>
    </reviewItem>
    <reviewItem>
      <errorID>8ba01ab3-303e-4721-b0b6-9041c56fc234</errorID>
      <errorWord>使用范围</errorWord>
      <group>L1_Word</group>
      <groupName>字词问题</groupName>
      <ability>L2_Typo</ability>
      <abilityName>字词错误</abilityName>
      <candidateList>
        <item>适用范围</item>
      </candidateList>
      <explain>存在发音相同字词的误用。</explain>
      <paraID>27EA42CF</paraID>
      <start>0</start>
      <end>4</end>
      <status>unmodified</status>
      <modifiedWord/>
      <trackRevisions>false</trackRevisions>
    </reviewItem>
    <reviewItem>
      <errorID>a90b78e7-3045-4b76-8b26-e9fbb95a084f</errorID>
      <errorWord>收益</errorWord>
      <group>L1_Word</group>
      <groupName>字词问题</groupName>
      <ability>L2_Typo</ability>
      <abilityName>字词错误</abilityName>
      <candidateList>
        <item>受益</item>
      </candidateList>
      <explain>存在发音相同字词的误用。</explain>
      <paraID>458E94D8</paraID>
      <start>0</start>
      <end>2</end>
      <status>unmodified</status>
      <modifiedWord/>
      <trackRevisions>false</trackRevisions>
    </reviewItem>
    <reviewItem>
      <errorID>187f422e-3098-4c85-a249-e3700f7c8379</errorID>
      <errorWord>【2025】8号</errorWord>
      <group>L1_Knowledge</group>
      <groupName>知识性问题</groupName>
      <ability>L2_Knowledge</ability>
      <abilityName>其他知识</abilityName>
      <candidateList>
        <item>〔2025〕8号</item>
      </candidateList>
      <explain>发文字号格式错误。</explain>
      <paraID>2DE508EC</paraID>
      <start>20</start>
      <end>28</end>
      <status>unmodified</status>
      <modifiedWord/>
      <trackRevisions>false</trackRevisions>
    </reviewItem>
    <reviewItem>
      <errorID>3c7c3323-16fc-4ab0-a179-29658f036979</errorID>
      <errorWord>使用范围</errorWord>
      <group>L1_Word</group>
      <groupName>字词问题</groupName>
      <ability>L2_Typo</ability>
      <abilityName>字词错误</abilityName>
      <candidateList>
        <item>适用范围</item>
      </candidateList>
      <explain>存在发音相同字词的误用。</explain>
      <paraID>5CD8F342</paraID>
      <start>0</start>
      <end>4</end>
      <status>unmodified</status>
      <modifiedWord/>
      <trackRevisions>false</trackRevisions>
    </reviewItem>
    <reviewItem>
      <errorID>5c2d2276-2f7e-44e9-bb8f-cb6335442b40</errorID>
      <errorWord>使用范围</errorWord>
      <group>L1_Word</group>
      <groupName>字词问题</groupName>
      <ability>L2_Typo</ability>
      <abilityName>字词错误</abilityName>
      <candidateList>
        <item>适用范围</item>
      </candidateList>
      <explain>存在发音相同字词的误用。</explain>
      <paraID> 956BA0E</paraID>
      <start>0</start>
      <end>4</end>
      <status>unmodified</status>
      <modifiedWord/>
      <trackRevisions>false</trackRevisions>
    </reviewItem>
    <reviewItem>
      <errorID>1a8acc9d-3233-41e7-a241-c8dca0e78000</errorID>
      <errorWord>使用范围</errorWord>
      <group>L1_Word</group>
      <groupName>字词问题</groupName>
      <ability>L2_Typo</ability>
      <abilityName>字词错误</abilityName>
      <candidateList>
        <item>适用范围</item>
      </candidateList>
      <explain>存在发音相同字词的误用。</explain>
      <paraID>1757D943</paraID>
      <start>0</start>
      <end>4</end>
      <status>unmodified</status>
      <modifiedWord/>
      <trackRevisions>false</trackRevisions>
    </reviewItem>
    <reviewItem>
      <errorID>3ec19756-d419-4f95-ac26-17df37778b1f</errorID>
      <errorWord>治理想</errorWord>
      <group>L1_Word</group>
      <groupName>字词问题</groupName>
      <ability>L2_Typo</ability>
      <abilityName>字词错误</abilityName>
      <candidateList>
        <item>治理</item>
      </candidateList>
      <explain/>
      <paraID>1B47F1EE</paraID>
      <start>15</start>
      <end>18</end>
      <status>unmodified</status>
      <modifiedWord/>
      <trackRevisions>false</trackRevisions>
    </reviewItem>
    <reviewItem>
      <errorID>2e1b6f87-a457-4ee4-acb0-507fcd6e0173</errorID>
      <errorWord>使用范围</errorWord>
      <group>L1_Word</group>
      <groupName>字词问题</groupName>
      <ability>L2_Typo</ability>
      <abilityName>字词错误</abilityName>
      <candidateList>
        <item>适用范围</item>
      </candidateList>
      <explain>存在发音相同字词的误用。</explain>
      <paraID>50C10A42</paraID>
      <start>0</start>
      <end>4</end>
      <status>unmodified</status>
      <modifiedWord/>
      <trackRevisions>false</trackRevisions>
    </reviewItem>
    <reviewItem>
      <errorID>765bfcb2-8b67-46ed-abe3-643075c5e248</errorID>
      <errorWord>【2024】23号</errorWord>
      <group>L1_Knowledge</group>
      <groupName>知识性问题</groupName>
      <ability>L2_Knowledge</ability>
      <abilityName>其他知识</abilityName>
      <candidateList>
        <item>〔2024〕23号</item>
      </candidateList>
      <explain>发文字号格式错误。</explain>
      <paraID>52B3A56A</paraID>
      <start>2</start>
      <end>11</end>
      <status>unmodified</status>
      <modifiedWord/>
      <trackRevisions>false</trackRevisions>
    </reviewItem>
    <reviewItem>
      <errorID>a3a00e88-8f2a-4e02-bcb2-1009e9c48e85</errorID>
      <errorWord>使用范围</errorWord>
      <group>L1_Word</group>
      <groupName>字词问题</groupName>
      <ability>L2_Typo</ability>
      <abilityName>字词错误</abilityName>
      <candidateList>
        <item>适用范围</item>
      </candidateList>
      <explain>存在发音相同字词的误用。</explain>
      <paraID>649CDFD2</paraID>
      <start>0</start>
      <end>4</end>
      <status>unmodified</status>
      <modifiedWord/>
      <trackRevisions>false</trackRevisions>
    </reviewItem>
    <reviewItem>
      <errorID>3f85699b-9e2d-44f2-bffd-ac839710cf10</errorID>
      <errorWord>使用范围</errorWord>
      <group>L1_Word</group>
      <groupName>字词问题</groupName>
      <ability>L2_Typo</ability>
      <abilityName>字词错误</abilityName>
      <candidateList>
        <item>适用范围</item>
      </candidateList>
      <explain>存在发音相同字词的误用。</explain>
      <paraID>1FE09E18</paraID>
      <start>0</start>
      <end>4</end>
      <status>unmodified</status>
      <modifiedWord/>
      <trackRevisions>false</trackRevisions>
    </reviewItem>
    <reviewItem>
      <errorID>dd110eff-a220-4f4f-89a4-62c12cba48d6</errorID>
      <errorWord>【2024】23号</errorWord>
      <group>L1_Knowledge</group>
      <groupName>知识性问题</groupName>
      <ability>L2_Knowledge</ability>
      <abilityName>其他知识</abilityName>
      <candidateList>
        <item>〔2024〕23号</item>
      </candidateList>
      <explain>发文字号格式错误。</explain>
      <paraID>6371739F</paraID>
      <start>2</start>
      <end>11</end>
      <status>unmodified</status>
      <modifiedWord/>
      <trackRevisions>false</trackRevisions>
    </reviewItem>
    <reviewItem>
      <errorID>c9c6fd1c-6628-4358-ab08-e1a3ac39b04e</errorID>
      <errorWord>使用范围</errorWord>
      <group>L1_Word</group>
      <groupName>字词问题</groupName>
      <ability>L2_Typo</ability>
      <abilityName>字词错误</abilityName>
      <candidateList>
        <item>适用范围</item>
      </candidateList>
      <explain>存在发音相同字词的误用。</explain>
      <paraID>29A329B0</paraID>
      <start>0</start>
      <end>4</end>
      <status>unmodified</status>
      <modifiedWord/>
      <trackRevisions>false</trackRevisions>
    </reviewItem>
    <reviewItem>
      <errorID>75d4152b-51e3-43da-9171-5eba16559a57</errorID>
      <errorWord>减低</errorWord>
      <group>L1_Grammar</group>
      <groupName>语法问题</groupName>
      <ability>L2_Grammar</ability>
      <abilityName>语法错误</abilityName>
      <candidateList>
        <item>降低</item>
      </candidateList>
      <explain>“减低～风险”搭配不当，建议修改为“降低～风险”。</explain>
      <paraID> A15AB5B</paraID>
      <start>11</start>
      <end>13</end>
      <status>unmodified</status>
      <modifiedWord/>
      <trackRevisions>false</trackRevisions>
    </reviewItem>
    <reviewItem>
      <errorID>bac87ae6-874e-4e53-ae5f-85a58a8d8b45</errorID>
      <errorWord>减低</errorWord>
      <group>L1_Grammar</group>
      <groupName>语法问题</groupName>
      <ability>L2_Grammar</ability>
      <abilityName>语法错误</abilityName>
      <candidateList>
        <item>降低</item>
      </candidateList>
      <explain>“减低～风险”搭配不当，建议修改为“降低～风险”。</explain>
      <paraID>5E85AD5F</paraID>
      <start>11</start>
      <end>13</end>
      <status>unmodified</status>
      <modifiedWord/>
      <trackRevisions>false</trackRevisions>
    </reviewItem>
    <reviewItem>
      <errorID>604ccbd6-b0d0-4d58-aaef-1df13c2a148c</errorID>
      <errorWord>环</errorWord>
      <group>L1_Word</group>
      <groupName>字词问题</groupName>
      <ability>L2_Typo</ability>
      <abilityName>字词错误</abilityName>
      <candidateList>
        <item>环境</item>
      </candidateList>
      <explain/>
      <paraID>1E7A02C9</paraID>
      <start>5</start>
      <end>6</end>
      <status>unmodified</status>
      <modifiedWord/>
      <trackRevisions>false</trackRevisions>
    </reviewItem>
    <reviewItem>
      <errorID>20335a80-9d76-479d-bfe8-808074aebd86</errorID>
      <errorWord>规</errorWord>
      <group>L1_Word</group>
      <groupName>字词问题</groupName>
      <ability>L2_Typo</ability>
      <abilityName>字词错误</abilityName>
      <candidateList>
        <item>规和</item>
      </candidateList>
      <explain/>
      <paraID>7A8E8367</paraID>
      <start>53</start>
      <end>54</end>
      <status>unmodified</status>
      <modifiedWord/>
      <trackRevisions>false</trackRevisions>
    </reviewItem>
    <reviewItem>
      <errorID>b9863193-18e1-4e81-bc50-f884a4d47344</errorID>
      <errorWord>提高</errorWord>
      <group>L1_Grammar</group>
      <groupName>语法问题</groupName>
      <ability>L2_Grammar</ability>
      <abilityName>语法错误</abilityName>
      <candidateList>
        <item>增强</item>
      </candidateList>
      <explain>“提高～意识”搭配不当，建议修改为“增强～意识”。</explain>
      <paraID>7A8E8367</paraID>
      <start>78</start>
      <end>80</end>
      <status>unmodified</status>
      <modifiedWord/>
      <trackRevisions>false</trackRevisions>
    </reviewItem>
    <reviewItem>
      <errorID>19f043f7-0625-4122-8ad1-3b501d8b4962</errorID>
      <errorWord>使用范围</errorWord>
      <group>L1_Word</group>
      <groupName>字词问题</groupName>
      <ability>L2_Typo</ability>
      <abilityName>字词错误</abilityName>
      <candidateList>
        <item>适用范围</item>
      </candidateList>
      <explain>存在发音相同字词的误用。</explain>
      <paraID>59E74D3B</paraID>
      <start>0</start>
      <end>4</end>
      <status>unmodified</status>
      <modifiedWord/>
      <trackRevisions>false</trackRevisions>
    </reviewItem>
    <reviewItem>
      <errorID>baaadf86-0a14-4c81-921c-5915283990ef</errorID>
      <errorWord>-</errorWord>
      <group>L1_Format</group>
      <groupName>格式问题</groupName>
      <ability>L2_HalfPunc_CN</ability>
      <abilityName>全半角问题</abilityName>
      <candidateList>
        <item>－</item>
      </candidateList>
      <explain>文本全半角错误。</explain>
      <paraID>6B448492</paraID>
      <start>4</start>
      <end>5</end>
      <status>unmodified</status>
      <modifiedWord/>
      <trackRevisions>false</trackRevisions>
    </reviewItem>
    <reviewItem>
      <errorID>5469fa55-7d8a-42fd-accd-c94e6648a01f</errorID>
      <errorWord>规</errorWord>
      <group>L1_Word</group>
      <groupName>字词问题</groupName>
      <ability>L2_Typo</ability>
      <abilityName>字词错误</abilityName>
      <candidateList>
        <item>规和</item>
      </candidateList>
      <explain/>
      <paraID>32A71F0C</paraID>
      <start>53</start>
      <end>54</end>
      <status>unmodified</status>
      <modifiedWord/>
      <trackRevisions>false</trackRevisions>
    </reviewItem>
    <reviewItem>
      <errorID>34169246-7273-4a08-b615-606aceca2ac9</errorID>
      <errorWord>提高</errorWord>
      <group>L1_Grammar</group>
      <groupName>语法问题</groupName>
      <ability>L2_Grammar</ability>
      <abilityName>语法错误</abilityName>
      <candidateList>
        <item>增强</item>
      </candidateList>
      <explain>“提高～意识”搭配不当，建议修改为“增强～意识”。</explain>
      <paraID>32A71F0C</paraID>
      <start>78</start>
      <end>80</end>
      <status>unmodified</status>
      <modifiedWord/>
      <trackRevisions>false</trackRevisions>
    </reviewItem>
    <reviewItem>
      <errorID>4833f0df-4654-46a9-81ec-a072dbacb5d4</errorID>
      <errorWord>&gt;</errorWord>
      <group>L1_Punc</group>
      <groupName>标点问题</groupName>
      <ability>L2_Punc_CN</ability>
      <abilityName>标点符号问题</abilityName>
      <candidateList/>
      <explain/>
      <paraID>27CDB4FE</paraID>
      <start>0</start>
      <end>1</end>
      <status>unmodified</status>
      <modifiedWord/>
      <trackRevisions>false</trackRevisions>
    </reviewItem>
    <reviewItem>
      <errorID>37d0e72e-caf0-433c-873d-5eb0e9a34956</errorID>
      <errorWord>使用范围</errorWord>
      <group>L1_Word</group>
      <groupName>字词问题</groupName>
      <ability>L2_Typo</ability>
      <abilityName>字词错误</abilityName>
      <candidateList>
        <item>适用范围</item>
      </candidateList>
      <explain>存在发音相同字词的误用。</explain>
      <paraID>44CC3B58</paraID>
      <start>0</start>
      <end>4</end>
      <status>unmodified</status>
      <modifiedWord/>
      <trackRevisions>false</trackRevisions>
    </reviewItem>
    <reviewItem>
      <errorID>344c7ade-3eff-4e86-a7db-bd097fdd3b33</errorID>
      <errorWord>-</errorWord>
      <group>L1_Format</group>
      <groupName>格式问题</groupName>
      <ability>L2_HalfPunc_CN</ability>
      <abilityName>全半角问题</abilityName>
      <candidateList>
        <item>－</item>
      </candidateList>
      <explain>文本全半角错误。</explain>
      <paraID>5C51931A</paraID>
      <start>4</start>
      <end>5</end>
      <status>unmodified</status>
      <modifiedWord/>
      <trackRevisions>false</trackRevisions>
    </reviewItem>
    <reviewItem>
      <errorID>0fdc6e9c-2fe6-4d35-8be1-b9061a1e1e73</errorID>
      <errorWord>提高</errorWord>
      <group>L1_Grammar</group>
      <groupName>语法问题</groupName>
      <ability>L2_Grammar</ability>
      <abilityName>语法错误</abilityName>
      <candidateList>
        <item>增强</item>
      </candidateList>
      <explain>“提高～意识”搭配不当，建议修改为“增强～意识”。</explain>
      <paraID>6718F1AD</paraID>
      <start>112</start>
      <end>114</end>
      <status>unmodified</status>
      <modifiedWord/>
      <trackRevisions>false</trackRevisions>
    </reviewItem>
    <reviewItem>
      <errorID>78cfdcf6-e34a-4647-b2b9-45518ceaea4c</errorID>
      <errorWord>使用范围</errorWord>
      <group>L1_Word</group>
      <groupName>字词问题</groupName>
      <ability>L2_Typo</ability>
      <abilityName>字词错误</abilityName>
      <candidateList>
        <item>适用范围</item>
      </candidateList>
      <explain>存在发音相同字词的误用。</explain>
      <paraID>3E774E7D</paraID>
      <start>0</start>
      <end>4</end>
      <status>unmodified</status>
      <modifiedWord/>
      <trackRevisions>false</trackRevisions>
    </reviewItem>
    <reviewItem>
      <errorID>4f2cd613-878e-4c40-874f-620ba5e806d4</errorID>
      <errorWord>-</errorWord>
      <group>L1_Format</group>
      <groupName>格式问题</groupName>
      <ability>L2_HalfPunc_CN</ability>
      <abilityName>全半角问题</abilityName>
      <candidateList>
        <item>－</item>
      </candidateList>
      <explain>文本全半角错误。</explain>
      <paraID>12FBBBD5</paraID>
      <start>4</start>
      <end>5</end>
      <status>unmodified</status>
      <modifiedWord/>
      <trackRevisions>false</trackRevisions>
    </reviewItem>
    <reviewItem>
      <errorID>c94cea5e-4001-4981-a564-4f4148fdde69</errorID>
      <errorWord>提高</errorWord>
      <group>L1_Grammar</group>
      <groupName>语法问题</groupName>
      <ability>L2_Grammar</ability>
      <abilityName>语法错误</abilityName>
      <candidateList>
        <item>增强</item>
      </candidateList>
      <explain>“提高～意识”搭配不当，建议修改为“增强～意识”。</explain>
      <paraID>73B00CE2</paraID>
      <start>0</start>
      <end>2</end>
      <status>unmodified</status>
      <modifiedWord/>
      <trackRevisions>false</trackRevisions>
    </reviewItem>
    <reviewItem>
      <errorID>34436181-6bac-49cf-ad32-81759240b638</errorID>
      <errorWord>使用范围</errorWord>
      <group>L1_Word</group>
      <groupName>字词问题</groupName>
      <ability>L2_Typo</ability>
      <abilityName>字词错误</abilityName>
      <candidateList>
        <item>适用范围</item>
      </candidateList>
      <explain>存在发音相同字词的误用。</explain>
      <paraID>268756AF</paraID>
      <start>0</start>
      <end>4</end>
      <status>unmodified</status>
      <modifiedWord/>
      <trackRevisions>false</trackRevisions>
    </reviewItem>
    <reviewItem>
      <errorID>00c04ad3-7f48-460e-9b24-01eb77faf1f5</errorID>
      <errorWord>-</errorWord>
      <group>L1_Format</group>
      <groupName>格式问题</groupName>
      <ability>L2_HalfPunc_CN</ability>
      <abilityName>全半角问题</abilityName>
      <candidateList>
        <item>－</item>
      </candidateList>
      <explain>文本全半角错误。</explain>
      <paraID>3A8A1436</paraID>
      <start>4</start>
      <end>5</end>
      <status>unmodified</status>
      <modifiedWord/>
      <trackRevisions>false</trackRevisions>
    </reviewItem>
    <reviewItem>
      <errorID>4f3274eb-338a-4f2e-8720-65325dbeea3c</errorID>
      <errorWord>用来</errorWord>
      <group>L1_Grammar</group>
      <groupName>语法问题</groupName>
      <ability>L2_Grammar</ability>
      <abilityName>语法错误</abilityName>
      <candidateList>
        <item>用于</item>
      </candidateList>
      <explain>“用来～开展”搭配不当，建议修改为“用于～开展”。</explain>
      <paraID>5E692E63</paraID>
      <start>20</start>
      <end>22</end>
      <status>unmodified</status>
      <modifiedWord/>
      <trackRevisions>false</trackRevisions>
    </reviewItem>
    <reviewItem>
      <errorID>8901f244-5113-4c7e-acd5-3f468a309a6c</errorID>
      <errorWord>执行率</errorWord>
      <group>L1_Word</group>
      <groupName>字词问题</groupName>
      <ability>L2_Typo</ability>
      <abilityName>字词错误</abilityName>
      <candidateList>
        <item>执行</item>
      </candidateList>
      <explain/>
      <paraID>6D30AEC1</paraID>
      <start>4</start>
      <end>7</end>
      <status>unmodified</status>
      <modifiedWord/>
      <trackRevisions>false</trackRevisions>
    </reviewItem>
    <reviewItem>
      <errorID>6f285b59-e7a4-48fe-afc9-f3b16374a3ef</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1EE2C40C</paraID>
      <start>7</start>
      <end>12</end>
      <status>unmodified</status>
      <modifiedWord/>
      <trackRevisions>false</trackRevisions>
    </reviewItem>
    <reviewItem>
      <errorID>57d57da5-0771-4b85-b3db-6f2102a6a698</errorID>
      <errorWord>提高</errorWord>
      <group>L1_Grammar</group>
      <groupName>语法问题</groupName>
      <ability>L2_Grammar</ability>
      <abilityName>语法错误</abilityName>
      <candidateList>
        <item>增强</item>
      </candidateList>
      <explain>“提高～意识”搭配不当，建议修改为“增强～意识”。</explain>
      <paraID>72FD93BC</paraID>
      <start>112</start>
      <end>114</end>
      <status>unmodified</status>
      <modifiedWord/>
      <trackRevisions>false</trackRevisions>
    </reviewItem>
    <reviewItem>
      <errorID>4f112f9e-e7a9-42a5-a375-f822b76c3afb</errorID>
      <errorWord>使用范围</errorWord>
      <group>L1_Word</group>
      <groupName>字词问题</groupName>
      <ability>L2_Typo</ability>
      <abilityName>字词错误</abilityName>
      <candidateList>
        <item>适用范围</item>
      </candidateList>
      <explain>存在发音相同字词的误用。</explain>
      <paraID>4697202D</paraID>
      <start>0</start>
      <end>4</end>
      <status>unmodified</status>
      <modifiedWord/>
      <trackRevisions>false</trackRevisions>
    </reviewItem>
    <reviewItem>
      <errorID>9cf39937-cd19-4883-bf04-97cf58c715ef</errorID>
      <errorWord>-</errorWord>
      <group>L1_Format</group>
      <groupName>格式问题</groupName>
      <ability>L2_HalfPunc_CN</ability>
      <abilityName>全半角问题</abilityName>
      <candidateList>
        <item>－</item>
      </candidateList>
      <explain>文本全半角错误。</explain>
      <paraID> FB5E0C2</paraID>
      <start>4</start>
      <end>5</end>
      <status>unmodified</status>
      <modifiedWord/>
      <trackRevisions>false</trackRevisions>
    </reviewItem>
    <reviewItem>
      <errorID>5ad174ac-bbda-4020-ad50-f32f3c72d60c</errorID>
      <errorWord>......</errorWord>
      <group>L1_Punc</group>
      <groupName>标点问题</groupName>
      <ability>L2_Punc_CN</ability>
      <abilityName>标点符号问题</abilityName>
      <candidateList>
        <item>……</item>
      </candidateList>
      <explain/>
      <paraID>376A0058</paraID>
      <start>0</start>
      <end>6</end>
      <status>unmodified</status>
      <modifiedWord/>
      <trackRevisions>false</trackRevisions>
    </reviewItem>
    <reviewItem>
      <errorID>8fa502b7-5dbe-4ad5-a5c0-83017033ceeb</errorID>
      <errorWord>提高</errorWord>
      <group>L1_Grammar</group>
      <groupName>语法问题</groupName>
      <ability>L2_Grammar</ability>
      <abilityName>语法错误</abilityName>
      <candidateList>
        <item>增强</item>
      </candidateList>
      <explain>“提高～意识”搭配不当，建议修改为“增强～意识”。</explain>
      <paraID>55C6C94C</paraID>
      <start>0</start>
      <end>2</end>
      <status>unmodified</status>
      <modifiedWord/>
      <trackRevisions>false</trackRevisions>
    </reviewItem>
    <reviewItem>
      <errorID>961f6f2f-7863-46bb-8e09-a894dcaf7687</errorID>
      <errorWord>......</errorWord>
      <group>L1_Punc</group>
      <groupName>标点问题</groupName>
      <ability>L2_Punc_CN</ability>
      <abilityName>标点符号问题</abilityName>
      <candidateList>
        <item>……</item>
      </candidateList>
      <explain/>
      <paraID>3063984D</paraID>
      <start>0</start>
      <end>6</end>
      <status>unmodified</status>
      <modifiedWord/>
      <trackRevisions>false</trackRevisions>
    </reviewItem>
    <reviewItem>
      <errorID>ef3f4f22-3d49-4baf-a29f-d648a42d7e25</errorID>
      <errorWord>,</errorWord>
      <group>L1_Format</group>
      <groupName>格式问题</groupName>
      <ability>L2_HalfPunc_CN</ability>
      <abilityName>全半角问题</abilityName>
      <candidateList>
        <item>，</item>
      </candidateList>
      <explain>文本全半角错误。</explain>
      <paraID>3EB74019</paraID>
      <start>29</start>
      <end>30</end>
      <status>unmodified</status>
      <modifiedWord/>
      <trackRevisions>false</trackRevisions>
    </reviewItem>
    <reviewItem>
      <errorID>9cffe728-b69e-4948-b0a3-39cf6b75434b</errorID>
      <errorWord>,</errorWord>
      <group>L1_Format</group>
      <groupName>格式问题</groupName>
      <ability>L2_HalfPunc_CN</ability>
      <abilityName>全半角问题</abilityName>
      <candidateList>
        <item>，</item>
      </candidateList>
      <explain>文本全半角错误。</explain>
      <paraID>3EB74019</paraID>
      <start>60</start>
      <end>61</end>
      <status>unmodified</status>
      <modifiedWord/>
      <trackRevisions>false</trackRevisions>
    </reviewItem>
    <reviewItem>
      <errorID>2cff193e-fb0a-48f2-a31d-c06c5b631de0</errorID>
      <errorWord>,</errorWord>
      <group>L1_Format</group>
      <groupName>格式问题</groupName>
      <ability>L2_HalfPunc_CN</ability>
      <abilityName>全半角问题</abilityName>
      <candidateList>
        <item>，</item>
      </candidateList>
      <explain>文本全半角错误。</explain>
      <paraID>3EB74019</paraID>
      <start>70</start>
      <end>71</end>
      <status>unmodified</status>
      <modifiedWord/>
      <trackRevisions>false</trackRevisions>
    </reviewItem>
    <reviewItem>
      <errorID>b8e7cdb5-440a-4443-a233-507cd8fe8ce6</errorID>
      <errorWord>用来</errorWord>
      <group>L1_Grammar</group>
      <groupName>语法问题</groupName>
      <ability>L2_Grammar</ability>
      <abilityName>语法错误</abilityName>
      <candidateList>
        <item>用于</item>
      </candidateList>
      <explain>“用来～开展”搭配不当，建议修改为“用于～开展”。</explain>
      <paraID>60576B4B</paraID>
      <start>20</start>
      <end>22</end>
      <status>unmodified</status>
      <modifiedWord/>
      <trackRevisions>false</trackRevisions>
    </reviewItem>
    <reviewItem>
      <errorID>273b69ab-3759-4b64-9b54-09a543b6f938</errorID>
      <errorWord>、</errorWord>
      <group>L1_Word</group>
      <groupName>字词问题</groupName>
      <ability>L2_Typo</ability>
      <abilityName>字词错误</abilityName>
      <candidateList>
        <item>、管</item>
      </candidateList>
      <explain/>
      <paraID>71E0038F</paraID>
      <start>71</start>
      <end>72</end>
      <status>unmodified</status>
      <modifiedWord/>
      <trackRevisions>false</trackRevisions>
    </reviewItem>
    <reviewItem>
      <errorID>ce73ce76-6391-4477-b433-d71cbb0983f6</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124DFB12</paraID>
      <start>7</start>
      <end>12</end>
      <status>unmodified</status>
      <modifiedWord/>
      <trackRevisions>false</trackRevisions>
    </reviewItem>
    <reviewItem>
      <errorID>c0900334-ebfc-47c5-aa1b-12df58029330</errorID>
      <errorWord>规</errorWord>
      <group>L1_Word</group>
      <groupName>字词问题</groupName>
      <ability>L2_Typo</ability>
      <abilityName>字词错误</abilityName>
      <candidateList>
        <item>规和</item>
      </candidateList>
      <explain/>
      <paraID>44D2A6F6</paraID>
      <start>53</start>
      <end>54</end>
      <status>unmodified</status>
      <modifiedWord/>
      <trackRevisions>false</trackRevisions>
    </reviewItem>
    <reviewItem>
      <errorID>20e1dc10-8d0e-4eb2-bacd-d3fc26db1e04</errorID>
      <errorWord>提高</errorWord>
      <group>L1_Grammar</group>
      <groupName>语法问题</groupName>
      <ability>L2_Grammar</ability>
      <abilityName>语法错误</abilityName>
      <candidateList>
        <item>增强</item>
      </candidateList>
      <explain>“提高～意识”搭配不当，建议修改为“增强～意识”。</explain>
      <paraID>44D2A6F6</paraID>
      <start>78</start>
      <end>80</end>
      <status>unmodified</status>
      <modifiedWord/>
      <trackRevisions>false</trackRevisions>
    </reviewItem>
    <reviewItem>
      <errorID>3b57f239-5243-4354-910b-ccbf783c6890</errorID>
      <errorWord>使用范围</errorWord>
      <group>L1_Word</group>
      <groupName>字词问题</groupName>
      <ability>L2_Typo</ability>
      <abilityName>字词错误</abilityName>
      <candidateList>
        <item>适用范围</item>
      </candidateList>
      <explain>存在发音相同字词的误用。</explain>
      <paraID>5F4A4B6D</paraID>
      <start>0</start>
      <end>4</end>
      <status>unmodified</status>
      <modifiedWord/>
      <trackRevisions>false</trackRevisions>
    </reviewItem>
    <reviewItem>
      <errorID>f176c7f1-833c-4b66-a003-5e115f5f7304</errorID>
      <errorWord>-</errorWord>
      <group>L1_Format</group>
      <groupName>格式问题</groupName>
      <ability>L2_HalfPunc_CN</ability>
      <abilityName>全半角问题</abilityName>
      <candidateList>
        <item>－</item>
      </candidateList>
      <explain>文本全半角错误。</explain>
      <paraID>78F037FB</paraID>
      <start>4</start>
      <end>5</end>
      <status>unmodified</status>
      <modifiedWord/>
      <trackRevisions>false</trackRevisions>
    </reviewItem>
    <reviewItem>
      <errorID>2691f4b3-9470-4242-80f4-1520a736d53f</errorID>
      <errorWord>规</errorWord>
      <group>L1_Word</group>
      <groupName>字词问题</groupName>
      <ability>L2_Typo</ability>
      <abilityName>字词错误</abilityName>
      <candidateList>
        <item>规和</item>
      </candidateList>
      <explain/>
      <paraID>1E319BC7</paraID>
      <start>53</start>
      <end>55</end>
      <status>modified</status>
      <modifiedWord>规和</modifiedWord>
      <trackRevisions>false</trackRevisions>
    </reviewItem>
    <reviewItem>
      <errorID>bf6fd753-ff2d-48db-b59e-c43fb43486ee</errorID>
      <errorWord>提高</errorWord>
      <group>L1_Grammar</group>
      <groupName>语法问题</groupName>
      <ability>L2_Grammar</ability>
      <abilityName>语法错误</abilityName>
      <candidateList>
        <item>增强</item>
      </candidateList>
      <explain>“提高～意识”搭配不当，建议修改为“增强～意识”。</explain>
      <paraID>1E319BC7</paraID>
      <start>79</start>
      <end>81</end>
      <status>modified</status>
      <modifiedWord>增强</modifiedWord>
      <trackRevisions>false</trackRevisions>
    </reviewItem>
    <reviewItem>
      <errorID>944f8f00-a415-4312-9819-70b00d80719a</errorID>
      <errorWord>&gt;</errorWord>
      <group>L1_Punc</group>
      <groupName>标点问题</groupName>
      <ability>L2_Punc_CN</ability>
      <abilityName>标点符号问题</abilityName>
      <candidateList/>
      <explain/>
      <paraID>2211A18B</paraID>
      <start>0</start>
      <end>1</end>
      <status>unmodified</status>
      <modifiedWord/>
      <trackRevisions>false</trackRevisions>
    </reviewItem>
    <reviewItem>
      <errorID>6133ced8-0bae-4000-bcf7-cf648a31d5e2</errorID>
      <errorWord>......</errorWord>
      <group>L1_Punc</group>
      <groupName>标点问题</groupName>
      <ability>L2_Punc_CN</ability>
      <abilityName>标点符号问题</abilityName>
      <candidateList>
        <item>……</item>
      </candidateList>
      <explain/>
      <paraID>3084781E</paraID>
      <start>0</start>
      <end>6</end>
      <status>unmodified</status>
      <modifiedWord/>
      <trackRevisions>false</trackRevisions>
    </reviewItem>
    <reviewItem>
      <errorID>a50fe982-9a99-4566-8752-9be00fb34bed</errorID>
      <errorWord>......</errorWord>
      <group>L1_Punc</group>
      <groupName>标点问题</groupName>
      <ability>L2_Punc_CN</ability>
      <abilityName>标点符号问题</abilityName>
      <candidateList>
        <item>……</item>
      </candidateList>
      <explain/>
      <paraID>3144A2A2</paraID>
      <start>0</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f8a542-4370-4ef6-a1b3-cb2afdc09bb6}">
  <ds:schemaRefs/>
</ds:datastoreItem>
</file>

<file path=docProps/app.xml><?xml version="1.0" encoding="utf-8"?>
<Properties xmlns="http://schemas.openxmlformats.org/officeDocument/2006/extended-properties" xmlns:vt="http://schemas.openxmlformats.org/officeDocument/2006/docPropsVTypes">
  <Template>Normal</Template>
  <Pages>90</Pages>
  <Words>18355</Words>
  <Characters>19435</Characters>
  <Lines>1504</Lines>
  <Paragraphs>1423</Paragraphs>
  <TotalTime>0</TotalTime>
  <ScaleCrop>false</ScaleCrop>
  <LinksUpToDate>false</LinksUpToDate>
  <CharactersWithSpaces>19646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2023-09-12T01:55:00Z</dcterms:created>
  <dc:creator>ASUS</dc:creator>
  <cp:lastModifiedBy>燕子</cp:lastModifiedBy>
  <dcterms:modified xsi:type="dcterms:W3CDTF">2026-09-09T07:37:52Z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40B651C9E5E147DC8111A8190209472A_13</vt:lpwstr>
  </property>
  <property fmtid="{D5CDD505-2E9C-101B-9397-08002B2CF9AE}" pid="4" name="KSOTemplateDocerSaveRecord">
    <vt:lpwstr>eyJoZGlkIjoiZDRkZWIxMzk1M2Q4MjkwNDI5NWViOTI4Y2IwYWI4MGEiLCJ1c2VySWQiOiIzODkxMTM4NTAifQ==</vt:lpwstr>
  </property>
</Properties>
</file>