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9EC909">
      <w:pPr>
        <w:pStyle w:val="8"/>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附件4</w:t>
      </w:r>
    </w:p>
    <w:p w14:paraId="21AA449F">
      <w:pPr>
        <w:pStyle w:val="16"/>
        <w:spacing w:beforeAutospacing="0"/>
        <w:jc w:val="center"/>
        <w:rPr>
          <w:rFonts w:hint="eastAsia"/>
          <w:sz w:val="72"/>
          <w:szCs w:val="72"/>
          <w:shd w:val="clear" w:color="auto" w:fill="FFFFFF"/>
        </w:rPr>
      </w:pPr>
    </w:p>
    <w:p w14:paraId="40780622">
      <w:pPr>
        <w:pStyle w:val="16"/>
        <w:spacing w:beforeAutospacing="0"/>
        <w:jc w:val="center"/>
        <w:rPr>
          <w:rFonts w:hint="eastAsia"/>
          <w:sz w:val="72"/>
          <w:szCs w:val="72"/>
          <w:shd w:val="clear" w:color="auto" w:fill="FFFFFF"/>
        </w:rPr>
      </w:pPr>
    </w:p>
    <w:p w14:paraId="17C073FA">
      <w:pPr>
        <w:pStyle w:val="16"/>
        <w:spacing w:beforeAutospacing="0"/>
        <w:jc w:val="both"/>
        <w:rPr>
          <w:rFonts w:hint="eastAsia"/>
          <w:sz w:val="72"/>
          <w:szCs w:val="72"/>
          <w:shd w:val="clear" w:color="auto" w:fill="FFFFFF"/>
        </w:rPr>
      </w:pPr>
    </w:p>
    <w:p w14:paraId="5F3B1A1F">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2025年度州</w:t>
      </w:r>
      <w:r>
        <w:rPr>
          <w:rFonts w:hint="eastAsia" w:ascii="Times New Roman" w:hAnsi="Times New Roman" w:eastAsia="方正小标宋简体" w:cs="Times New Roman"/>
          <w:color w:val="auto"/>
          <w:kern w:val="2"/>
          <w:sz w:val="44"/>
          <w:szCs w:val="44"/>
          <w:highlight w:val="none"/>
          <w:lang w:val="en-US" w:eastAsia="zh-CN" w:bidi="ar-SA"/>
        </w:rPr>
        <w:t>级部门（单位）决算</w:t>
      </w:r>
    </w:p>
    <w:p w14:paraId="22191295">
      <w:pPr>
        <w:pStyle w:val="8"/>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公开文字说明范本</w:t>
      </w:r>
      <w:r>
        <w:rPr>
          <w:rFonts w:hint="eastAsia" w:ascii="Times New Roman" w:eastAsia="方正小标宋简体" w:cs="Times New Roman"/>
          <w:color w:val="auto"/>
          <w:kern w:val="2"/>
          <w:sz w:val="44"/>
          <w:szCs w:val="44"/>
          <w:highlight w:val="none"/>
          <w:lang w:val="en-US" w:eastAsia="zh-CN" w:bidi="ar-SA"/>
        </w:rPr>
        <w:t>及样表</w:t>
      </w:r>
    </w:p>
    <w:p w14:paraId="413081B5">
      <w:pPr>
        <w:pStyle w:val="16"/>
        <w:spacing w:beforeAutospacing="0"/>
        <w:jc w:val="center"/>
        <w:rPr>
          <w:sz w:val="72"/>
          <w:szCs w:val="72"/>
          <w:shd w:val="clear" w:color="auto" w:fill="FFFFFF"/>
        </w:rPr>
      </w:pPr>
    </w:p>
    <w:p w14:paraId="538C3EFD">
      <w:pPr>
        <w:pStyle w:val="16"/>
        <w:spacing w:beforeAutospacing="0"/>
        <w:jc w:val="center"/>
        <w:rPr>
          <w:sz w:val="72"/>
          <w:szCs w:val="72"/>
          <w:shd w:val="clear" w:color="auto" w:fill="FFFFFF"/>
        </w:rPr>
      </w:pPr>
    </w:p>
    <w:p w14:paraId="0676A624">
      <w:pPr>
        <w:pStyle w:val="16"/>
        <w:spacing w:beforeAutospacing="0"/>
        <w:jc w:val="center"/>
        <w:rPr>
          <w:sz w:val="72"/>
          <w:szCs w:val="72"/>
          <w:shd w:val="clear" w:color="auto" w:fill="FFFFFF"/>
        </w:rPr>
      </w:pPr>
    </w:p>
    <w:p w14:paraId="0B58F28A">
      <w:pPr>
        <w:pStyle w:val="16"/>
        <w:spacing w:beforeAutospacing="0"/>
        <w:jc w:val="center"/>
        <w:rPr>
          <w:sz w:val="72"/>
          <w:szCs w:val="72"/>
          <w:shd w:val="clear" w:color="auto" w:fill="FFFFFF"/>
        </w:rPr>
      </w:pPr>
    </w:p>
    <w:p w14:paraId="1B899AB0">
      <w:pPr>
        <w:pStyle w:val="16"/>
        <w:spacing w:beforeAutospacing="0"/>
        <w:jc w:val="center"/>
        <w:rPr>
          <w:sz w:val="72"/>
          <w:szCs w:val="72"/>
          <w:shd w:val="clear" w:color="auto" w:fill="FFFFFF"/>
        </w:rPr>
      </w:pPr>
    </w:p>
    <w:p w14:paraId="1E819468">
      <w:pPr>
        <w:pStyle w:val="16"/>
        <w:spacing w:beforeAutospacing="0"/>
        <w:jc w:val="center"/>
        <w:rPr>
          <w:sz w:val="72"/>
          <w:szCs w:val="72"/>
          <w:shd w:val="clear" w:color="auto" w:fill="FFFFFF"/>
        </w:rPr>
      </w:pPr>
    </w:p>
    <w:p w14:paraId="035A1542">
      <w:pPr>
        <w:pStyle w:val="16"/>
        <w:spacing w:beforeAutospacing="0"/>
        <w:jc w:val="center"/>
        <w:rPr>
          <w:sz w:val="72"/>
          <w:szCs w:val="72"/>
          <w:shd w:val="clear" w:color="auto" w:fill="FFFFFF"/>
        </w:rPr>
      </w:pPr>
    </w:p>
    <w:p w14:paraId="62C105C7">
      <w:pPr>
        <w:pStyle w:val="8"/>
        <w:jc w:val="both"/>
        <w:rPr>
          <w:rFonts w:hint="eastAsia" w:ascii="方正小标宋简体" w:hAnsi="方正小标宋简体" w:eastAsia="方正小标宋简体" w:cs="方正小标宋简体"/>
          <w:color w:val="auto"/>
          <w:kern w:val="2"/>
          <w:sz w:val="44"/>
          <w:szCs w:val="44"/>
          <w:highlight w:val="none"/>
          <w:lang w:val="en-US" w:eastAsia="zh-CN" w:bidi="ar-SA"/>
        </w:rPr>
      </w:pPr>
    </w:p>
    <w:p w14:paraId="6C6FDD84">
      <w:pPr>
        <w:pStyle w:val="8"/>
        <w:jc w:val="center"/>
        <w:rPr>
          <w:rFonts w:hint="eastAsia" w:ascii="Times New Roman" w:hAnsi="Times New Roman" w:eastAsia="方正小标宋简体" w:cs="Times New Roman"/>
          <w:color w:val="auto"/>
          <w:kern w:val="2"/>
          <w:sz w:val="44"/>
          <w:szCs w:val="44"/>
          <w:highlight w:val="none"/>
          <w:lang w:val="en-US" w:eastAsia="zh-CN" w:bidi="ar-SA"/>
        </w:rPr>
      </w:pPr>
      <w:bookmarkStart w:id="0" w:name="_Toc15396476"/>
      <w:bookmarkStart w:id="1" w:name="_Toc15377426"/>
      <w:bookmarkStart w:id="2" w:name="_Toc15377194"/>
      <w:bookmarkStart w:id="3" w:name="_Toc15396598"/>
      <w:bookmarkStart w:id="4" w:name="_Toc15378442"/>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r>
        <w:rPr>
          <w:rFonts w:hint="eastAsia" w:ascii="Times New Roman" w:eastAsia="方正小标宋简体" w:cs="Times New Roman"/>
          <w:color w:val="auto"/>
          <w:kern w:val="2"/>
          <w:sz w:val="44"/>
          <w:szCs w:val="44"/>
          <w:highlight w:val="none"/>
          <w:lang w:val="en-US" w:eastAsia="zh-CN" w:bidi="ar-SA"/>
        </w:rPr>
        <w:t>阿坝州</w:t>
      </w:r>
      <w:bookmarkStart w:id="5" w:name="_Toc15306268"/>
      <w:r>
        <w:rPr>
          <w:rFonts w:hint="eastAsia" w:ascii="Times New Roman" w:hAnsi="Times New Roman" w:eastAsia="方正小标宋简体" w:cs="Times New Roman"/>
          <w:color w:val="auto"/>
          <w:kern w:val="2"/>
          <w:sz w:val="44"/>
          <w:szCs w:val="44"/>
          <w:highlight w:val="none"/>
          <w:lang w:val="en-US" w:eastAsia="zh-CN" w:bidi="ar-SA"/>
        </w:rPr>
        <w:t>黑水环境监测站</w:t>
      </w:r>
    </w:p>
    <w:p w14:paraId="5C9ECADC">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w:t>
      </w:r>
      <w:bookmarkEnd w:id="0"/>
      <w:bookmarkEnd w:id="1"/>
      <w:bookmarkEnd w:id="2"/>
      <w:bookmarkEnd w:id="3"/>
      <w:bookmarkEnd w:id="4"/>
      <w:bookmarkEnd w:id="5"/>
    </w:p>
    <w:p w14:paraId="5F7B3A30">
      <w:pPr>
        <w:pStyle w:val="2"/>
        <w:jc w:val="center"/>
        <w:sectPr>
          <w:pgSz w:w="11915" w:h="16851"/>
          <w:pgMar w:top="2098" w:right="1474" w:bottom="1984" w:left="1587" w:header="851" w:footer="992" w:gutter="0"/>
          <w:pgNumType w:fmt="numberInDash" w:start="1"/>
          <w:cols w:space="0" w:num="1"/>
          <w:docGrid w:type="lines" w:linePitch="312" w:charSpace="0"/>
        </w:sectPr>
      </w:pPr>
      <w:r>
        <w:rPr>
          <w:rFonts w:hint="eastAsia" w:ascii="Times New Roman" w:hAnsi="Times New Roman" w:eastAsia="仿宋_GB2312" w:cs="仿宋_GB2312"/>
          <w:color w:val="auto"/>
          <w:sz w:val="32"/>
          <w:szCs w:val="32"/>
          <w:highlight w:val="none"/>
          <w:lang w:val="en-US" w:eastAsia="zh-CN"/>
        </w:rPr>
        <w:t>（注：</w:t>
      </w:r>
      <w:r>
        <w:rPr>
          <w:rFonts w:hint="eastAsia" w:eastAsia="仿宋_GB2312" w:cs="仿宋_GB2312"/>
          <w:color w:val="auto"/>
          <w:sz w:val="32"/>
          <w:szCs w:val="32"/>
          <w:highlight w:val="none"/>
          <w:lang w:val="en-US" w:eastAsia="zh-CN"/>
        </w:rPr>
        <w:t>以下为部门公开范本。单位公开内容应参照部门公开内容和报表格式，并与部门公开内容做好衔接）</w:t>
      </w:r>
    </w:p>
    <w:sdt>
      <w:sdtPr>
        <w:rPr>
          <w:rFonts w:hint="eastAsia" w:ascii="黑体" w:hAnsi="黑体" w:eastAsia="黑体" w:cs="黑体"/>
          <w:sz w:val="72"/>
          <w:szCs w:val="72"/>
          <w:lang w:val="en-US" w:eastAsia="zh-CN" w:bidi="ar-SA"/>
        </w:rPr>
        <w:id w:val="147453534"/>
        <w15:color w:val="DBDBDB"/>
        <w:docPartObj>
          <w:docPartGallery w:val="Table of Contents"/>
          <w:docPartUnique/>
        </w:docPartObj>
      </w:sdtPr>
      <w:sdtEndPr>
        <w:rPr>
          <w:rFonts w:hint="eastAsia" w:ascii="黑体" w:hAnsi="黑体" w:eastAsia="黑体" w:cs="黑体"/>
          <w:sz w:val="72"/>
          <w:szCs w:val="72"/>
          <w:lang w:val="en-US" w:eastAsia="zh-CN" w:bidi="ar-SA"/>
        </w:rPr>
      </w:sdtEndPr>
      <w:sdtContent>
        <w:p w14:paraId="2E302FAA">
          <w:pPr>
            <w:spacing w:before="0" w:beforeLines="0" w:after="0" w:afterLines="0" w:line="240" w:lineRule="auto"/>
            <w:ind w:left="0" w:leftChars="0" w:right="0" w:rightChars="0" w:firstLine="0" w:firstLineChars="0"/>
            <w:jc w:val="center"/>
            <w:rPr>
              <w:rFonts w:hint="eastAsia" w:ascii="黑体" w:hAnsi="黑体" w:eastAsia="黑体" w:cs="黑体"/>
              <w:sz w:val="72"/>
              <w:szCs w:val="72"/>
            </w:rPr>
          </w:pPr>
          <w:r>
            <w:rPr>
              <w:rFonts w:hint="eastAsia" w:ascii="黑体" w:hAnsi="黑体" w:eastAsia="黑体" w:cs="黑体"/>
              <w:sz w:val="72"/>
              <w:szCs w:val="72"/>
            </w:rPr>
            <w:t>目录</w:t>
          </w:r>
        </w:p>
        <w:p w14:paraId="7EEA1B10">
          <w:pPr>
            <w:pStyle w:val="13"/>
            <w:tabs>
              <w:tab w:val="right" w:leader="dot" w:pos="8296"/>
            </w:tabs>
            <w:jc w:val="center"/>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18</w:t>
          </w:r>
          <w:r>
            <w:rPr>
              <w:rFonts w:hint="eastAsia" w:ascii="Times New Roman" w:hAnsi="Times New Roman" w:eastAsia="仿宋_GB2312" w:cs="仿宋_GB2312"/>
              <w:color w:val="auto"/>
              <w:sz w:val="32"/>
              <w:szCs w:val="32"/>
              <w:highlight w:val="none"/>
            </w:rPr>
            <w:t>日</w:t>
          </w:r>
        </w:p>
        <w:p w14:paraId="071E3ECC">
          <w:pPr>
            <w:pStyle w:val="2"/>
            <w:rPr>
              <w:rFonts w:hint="eastAsia"/>
            </w:rPr>
          </w:pPr>
        </w:p>
        <w:p w14:paraId="38470543">
          <w:pPr>
            <w:pStyle w:val="13"/>
            <w:tabs>
              <w:tab w:val="right" w:leader="dot" w:pos="8854"/>
            </w:tabs>
            <w:rPr>
              <w:rFonts w:hint="eastAsia" w:ascii="仿宋_GB2312" w:hAnsi="仿宋_GB2312" w:eastAsia="仿宋_GB2312" w:cs="仿宋_GB2312"/>
              <w:sz w:val="32"/>
              <w:szCs w:val="32"/>
            </w:rPr>
          </w:pPr>
          <w:r>
            <w:fldChar w:fldCharType="begin"/>
          </w:r>
          <w:r>
            <w:instrText xml:space="preserve">TOC \o "1-2" \h \u </w:instrText>
          </w:r>
          <w:r>
            <w:fldChar w:fldCharType="separate"/>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_Toc9942 </w:instrText>
          </w:r>
          <w:r>
            <w:rPr>
              <w:rFonts w:hint="eastAsia" w:ascii="黑体" w:hAnsi="黑体" w:eastAsia="黑体" w:cs="黑体"/>
              <w:sz w:val="32"/>
              <w:szCs w:val="32"/>
            </w:rPr>
            <w:fldChar w:fldCharType="separate"/>
          </w:r>
          <w:r>
            <w:rPr>
              <w:rFonts w:hint="eastAsia" w:ascii="黑体" w:hAnsi="黑体" w:eastAsia="黑体" w:cs="黑体"/>
              <w:sz w:val="32"/>
              <w:szCs w:val="32"/>
              <w:highlight w:val="none"/>
            </w:rPr>
            <w:t>第一部分</w:t>
          </w:r>
          <w:r>
            <w:rPr>
              <w:rFonts w:hint="eastAsia" w:ascii="黑体" w:hAnsi="黑体" w:eastAsia="黑体" w:cs="黑体"/>
              <w:sz w:val="32"/>
              <w:szCs w:val="32"/>
              <w:highlight w:val="none"/>
              <w:lang w:val="en-US" w:eastAsia="zh-CN"/>
            </w:rPr>
            <w:t xml:space="preserve"> </w:t>
          </w:r>
          <w:r>
            <w:rPr>
              <w:rFonts w:hint="eastAsia" w:ascii="黑体" w:hAnsi="黑体" w:eastAsia="黑体" w:cs="黑体"/>
              <w:sz w:val="32"/>
              <w:szCs w:val="32"/>
              <w:highlight w:val="none"/>
            </w:rPr>
            <w:t xml:space="preserve"> </w:t>
          </w:r>
          <w:r>
            <w:rPr>
              <w:rFonts w:hint="eastAsia" w:ascii="黑体" w:hAnsi="黑体" w:eastAsia="黑体" w:cs="黑体"/>
              <w:bCs w:val="0"/>
              <w:sz w:val="32"/>
              <w:szCs w:val="32"/>
              <w:highlight w:val="none"/>
            </w:rPr>
            <w:t>部门概况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_Toc9942 \h </w:instrText>
          </w:r>
          <w:r>
            <w:rPr>
              <w:rFonts w:hint="eastAsia" w:ascii="黑体" w:hAnsi="黑体" w:eastAsia="黑体" w:cs="黑体"/>
              <w:sz w:val="32"/>
              <w:szCs w:val="32"/>
            </w:rPr>
            <w:fldChar w:fldCharType="separate"/>
          </w:r>
          <w:r>
            <w:rPr>
              <w:rFonts w:hint="eastAsia" w:ascii="黑体" w:hAnsi="黑体" w:eastAsia="黑体" w:cs="黑体"/>
              <w:sz w:val="32"/>
              <w:szCs w:val="32"/>
            </w:rPr>
            <w:t>- 1 -</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596B7A99">
          <w:pPr>
            <w:pStyle w:val="15"/>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_Toc15582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一、</w:t>
          </w:r>
          <w:r>
            <w:rPr>
              <w:rFonts w:hint="eastAsia" w:ascii="仿宋_GB2312" w:hAnsi="仿宋_GB2312" w:eastAsia="仿宋_GB2312" w:cs="仿宋_GB2312"/>
              <w:sz w:val="32"/>
              <w:szCs w:val="32"/>
              <w:highlight w:val="none"/>
              <w:lang w:eastAsia="zh-CN"/>
            </w:rPr>
            <w:t>部门职责</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_Toc15582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3E53AFC">
          <w:pPr>
            <w:pStyle w:val="15"/>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_Toc20129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shd w:val="clear" w:color="auto" w:fill="FFFFFF"/>
            </w:rPr>
            <w:t>二、机构设置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_Toc20129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C8226D3">
          <w:pPr>
            <w:pStyle w:val="13"/>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_Toc24244 </w:instrText>
          </w:r>
          <w:r>
            <w:rPr>
              <w:rFonts w:hint="eastAsia" w:ascii="仿宋_GB2312" w:hAnsi="仿宋_GB2312" w:eastAsia="仿宋_GB2312" w:cs="仿宋_GB2312"/>
              <w:sz w:val="32"/>
              <w:szCs w:val="32"/>
            </w:rPr>
            <w:fldChar w:fldCharType="separate"/>
          </w:r>
          <w:r>
            <w:rPr>
              <w:rFonts w:hint="eastAsia" w:ascii="黑体" w:hAnsi="黑体" w:eastAsia="黑体" w:cs="黑体"/>
              <w:sz w:val="32"/>
              <w:szCs w:val="32"/>
              <w:highlight w:val="none"/>
            </w:rPr>
            <w:t>第二部分</w:t>
          </w:r>
          <w:r>
            <w:rPr>
              <w:rFonts w:hint="eastAsia" w:ascii="黑体" w:hAnsi="黑体" w:eastAsia="黑体" w:cs="黑体"/>
              <w:sz w:val="32"/>
              <w:szCs w:val="32"/>
              <w:highlight w:val="none"/>
              <w:lang w:val="en-US" w:eastAsia="zh-CN"/>
            </w:rPr>
            <w:t xml:space="preserve"> </w:t>
          </w:r>
          <w:r>
            <w:rPr>
              <w:rFonts w:hint="eastAsia" w:ascii="黑体" w:hAnsi="黑体" w:eastAsia="黑体" w:cs="黑体"/>
              <w:sz w:val="32"/>
              <w:szCs w:val="32"/>
              <w:highlight w:val="none"/>
            </w:rPr>
            <w:t xml:space="preserve"> </w:t>
          </w:r>
          <w:r>
            <w:rPr>
              <w:rFonts w:hint="eastAsia" w:ascii="黑体" w:hAnsi="黑体" w:eastAsia="黑体" w:cs="黑体"/>
              <w:sz w:val="32"/>
              <w:szCs w:val="32"/>
              <w:highlight w:val="none"/>
              <w:lang w:val="en-US" w:eastAsia="zh-CN"/>
            </w:rPr>
            <w:t>2025年度</w:t>
          </w:r>
          <w:r>
            <w:rPr>
              <w:rFonts w:hint="eastAsia" w:ascii="黑体" w:hAnsi="黑体" w:eastAsia="黑体" w:cs="黑体"/>
              <w:sz w:val="32"/>
              <w:szCs w:val="32"/>
              <w:highlight w:val="none"/>
            </w:rPr>
            <w:t>部门决算情况说明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_Toc24244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BFAE4B4">
          <w:pPr>
            <w:pStyle w:val="15"/>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_Toc23444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shd w:val="clear" w:color="auto" w:fill="FFFFFF"/>
            </w:rPr>
            <w:t>一、收入支出决算总体情况说明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_Toc23444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7728054">
          <w:pPr>
            <w:pStyle w:val="15"/>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_Toc9757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shd w:val="clear" w:color="auto" w:fill="FFFFFF"/>
            </w:rPr>
            <w:t>二、收入决算情况说明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_Toc9757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- 3 -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98FB264">
          <w:pPr>
            <w:pStyle w:val="15"/>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_Toc27062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shd w:val="clear" w:color="auto" w:fill="FFFFFF"/>
            </w:rPr>
            <w:t>三、支出决算情况说明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_Toc27062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- 4 -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2B80D66">
          <w:pPr>
            <w:pStyle w:val="15"/>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_Toc16707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shd w:val="clear" w:color="auto" w:fill="FFFFFF"/>
            </w:rPr>
            <w:t>四、财政拨款收入支出决算总体情况说明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_Toc16707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FAF70E1">
          <w:pPr>
            <w:pStyle w:val="15"/>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_Toc28607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shd w:val="clear" w:color="auto" w:fill="FFFFFF"/>
            </w:rPr>
            <w:t>五、一般公共预算财政拨款支出决算情况说明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_Toc28607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- 6 -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029524F">
          <w:pPr>
            <w:pStyle w:val="15"/>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_Toc12367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shd w:val="clear" w:color="auto" w:fill="FFFFFF"/>
            </w:rPr>
            <w:t>六、一般公共预算财政拨款基本支出决算情况说明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_Toc12367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- 8 -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A0925E0">
          <w:pPr>
            <w:pStyle w:val="15"/>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_Toc2117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七、财政拨款“三公”经费财政拨款支出决算情况说明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_Toc2117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- 9 -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1BF8ED4">
          <w:pPr>
            <w:pStyle w:val="15"/>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_Toc31333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八、政府性基金预算支出决算情况说明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_Toc31333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CF4BE91">
          <w:pPr>
            <w:pStyle w:val="15"/>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_Toc8497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九、国有资本经营预算支出决算情况说明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_Toc8497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EA0AD26">
          <w:pPr>
            <w:pStyle w:val="15"/>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_Toc13238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十、其他重要事项的情况说明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_Toc13238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9A0D5D9">
          <w:pPr>
            <w:pStyle w:val="13"/>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_Toc11289 </w:instrText>
          </w:r>
          <w:r>
            <w:rPr>
              <w:rFonts w:hint="eastAsia" w:ascii="仿宋_GB2312" w:hAnsi="仿宋_GB2312" w:eastAsia="仿宋_GB2312" w:cs="仿宋_GB2312"/>
              <w:sz w:val="32"/>
              <w:szCs w:val="32"/>
            </w:rPr>
            <w:fldChar w:fldCharType="separate"/>
          </w:r>
          <w:r>
            <w:rPr>
              <w:rFonts w:hint="eastAsia" w:ascii="黑体" w:hAnsi="黑体" w:eastAsia="黑体" w:cs="黑体"/>
              <w:bCs w:val="0"/>
              <w:sz w:val="32"/>
              <w:szCs w:val="32"/>
              <w:shd w:val="clear" w:color="auto" w:fill="FFFFFF"/>
            </w:rPr>
            <w:t xml:space="preserve">第三部分 </w:t>
          </w:r>
          <w:r>
            <w:rPr>
              <w:rFonts w:hint="eastAsia" w:ascii="黑体" w:hAnsi="黑体" w:eastAsia="黑体" w:cs="黑体"/>
              <w:bCs w:val="0"/>
              <w:sz w:val="32"/>
              <w:szCs w:val="32"/>
              <w:shd w:val="clear" w:color="auto" w:fill="FFFFFF"/>
              <w:lang w:val="en-US" w:eastAsia="zh-CN"/>
            </w:rPr>
            <w:t xml:space="preserve"> </w:t>
          </w:r>
          <w:r>
            <w:rPr>
              <w:rFonts w:hint="eastAsia" w:ascii="黑体" w:hAnsi="黑体" w:eastAsia="黑体" w:cs="黑体"/>
              <w:bCs w:val="0"/>
              <w:sz w:val="32"/>
              <w:szCs w:val="32"/>
              <w:shd w:val="clear" w:color="auto" w:fill="FFFFFF"/>
            </w:rPr>
            <w:t>名词解释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_Toc11289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- 13 -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67F225E">
          <w:pPr>
            <w:pStyle w:val="13"/>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_Toc9477 </w:instrText>
          </w:r>
          <w:r>
            <w:rPr>
              <w:rFonts w:hint="eastAsia" w:ascii="仿宋_GB2312" w:hAnsi="仿宋_GB2312" w:eastAsia="仿宋_GB2312" w:cs="仿宋_GB2312"/>
              <w:sz w:val="32"/>
              <w:szCs w:val="32"/>
            </w:rPr>
            <w:fldChar w:fldCharType="separate"/>
          </w:r>
          <w:r>
            <w:rPr>
              <w:rFonts w:hint="eastAsia" w:ascii="黑体" w:hAnsi="黑体" w:eastAsia="黑体" w:cs="黑体"/>
              <w:sz w:val="32"/>
              <w:szCs w:val="32"/>
              <w:highlight w:val="none"/>
            </w:rPr>
            <w:t>第四部分</w:t>
          </w:r>
          <w:r>
            <w:rPr>
              <w:rFonts w:hint="eastAsia" w:ascii="黑体" w:hAnsi="黑体" w:eastAsia="黑体" w:cs="黑体"/>
              <w:sz w:val="32"/>
              <w:szCs w:val="32"/>
              <w:highlight w:val="none"/>
              <w:lang w:val="en-US" w:eastAsia="zh-CN"/>
            </w:rPr>
            <w:t xml:space="preserve"> </w:t>
          </w:r>
          <w:r>
            <w:rPr>
              <w:rFonts w:hint="eastAsia" w:ascii="黑体" w:hAnsi="黑体" w:eastAsia="黑体" w:cs="黑体"/>
              <w:sz w:val="32"/>
              <w:szCs w:val="32"/>
              <w:highlight w:val="none"/>
            </w:rPr>
            <w:t xml:space="preserve"> 附件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_Toc9477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- 16 -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5D0F591">
          <w:pPr>
            <w:pStyle w:val="13"/>
            <w:tabs>
              <w:tab w:val="right" w:leader="dot" w:pos="8854"/>
            </w:tabs>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_Toc32308 </w:instrText>
          </w:r>
          <w:r>
            <w:rPr>
              <w:rFonts w:hint="eastAsia" w:ascii="仿宋_GB2312" w:hAnsi="仿宋_GB2312" w:eastAsia="仿宋_GB2312" w:cs="仿宋_GB2312"/>
              <w:sz w:val="32"/>
              <w:szCs w:val="32"/>
            </w:rPr>
            <w:fldChar w:fldCharType="separate"/>
          </w:r>
          <w:r>
            <w:rPr>
              <w:rFonts w:hint="eastAsia" w:ascii="黑体" w:hAnsi="黑体" w:eastAsia="黑体" w:cs="黑体"/>
              <w:sz w:val="32"/>
              <w:szCs w:val="32"/>
              <w:highlight w:val="none"/>
            </w:rPr>
            <w:t>第五部分</w:t>
          </w:r>
          <w:r>
            <w:rPr>
              <w:rFonts w:hint="eastAsia" w:ascii="黑体" w:hAnsi="黑体" w:eastAsia="黑体" w:cs="黑体"/>
              <w:sz w:val="32"/>
              <w:szCs w:val="32"/>
              <w:highlight w:val="none"/>
              <w:lang w:val="en-US" w:eastAsia="zh-CN"/>
            </w:rPr>
            <w:t xml:space="preserve"> </w:t>
          </w:r>
          <w:r>
            <w:rPr>
              <w:rFonts w:hint="eastAsia" w:ascii="黑体" w:hAnsi="黑体" w:eastAsia="黑体" w:cs="黑体"/>
              <w:sz w:val="32"/>
              <w:szCs w:val="32"/>
              <w:highlight w:val="none"/>
            </w:rPr>
            <w:t xml:space="preserve"> 附表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_Toc32308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- 22 -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A6DAD22">
          <w:r>
            <w:fldChar w:fldCharType="end"/>
          </w:r>
        </w:p>
      </w:sdtContent>
    </w:sdt>
    <w:p w14:paraId="5E7063D0">
      <w:pPr>
        <w:pStyle w:val="5"/>
        <w:jc w:val="center"/>
        <w:rPr>
          <w:rStyle w:val="25"/>
          <w:rFonts w:hint="eastAsia" w:ascii="Times New Roman" w:hAnsi="Times New Roman" w:eastAsia="方正小标宋简体" w:cs="方正小标宋简体"/>
          <w:b/>
          <w:bCs w:val="0"/>
          <w:color w:val="auto"/>
          <w:highlight w:val="none"/>
        </w:rPr>
      </w:pPr>
      <w:bookmarkStart w:id="6" w:name="_Toc9942"/>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5"/>
          <w:rFonts w:hint="eastAsia" w:ascii="Times New Roman" w:hAnsi="Times New Roman" w:eastAsia="方正小标宋简体" w:cs="方正小标宋简体"/>
          <w:b w:val="0"/>
          <w:bCs w:val="0"/>
          <w:color w:val="auto"/>
          <w:highlight w:val="none"/>
        </w:rPr>
        <w:t>部门概况</w:t>
      </w:r>
      <w:bookmarkEnd w:id="6"/>
    </w:p>
    <w:p w14:paraId="10F1077B">
      <w:pPr>
        <w:pStyle w:val="16"/>
        <w:spacing w:beforeAutospacing="0" w:afterAutospacing="0" w:line="560" w:lineRule="exact"/>
        <w:rPr>
          <w:rFonts w:hint="eastAsia"/>
          <w:sz w:val="32"/>
          <w:szCs w:val="32"/>
        </w:rPr>
      </w:pPr>
      <w:r>
        <w:rPr>
          <w:shd w:val="clear" w:color="auto" w:fill="FFFFFF"/>
        </w:rPr>
        <w:t> </w:t>
      </w:r>
    </w:p>
    <w:p w14:paraId="3E79FC6C">
      <w:pPr>
        <w:pStyle w:val="6"/>
        <w:keepNext w:val="0"/>
        <w:keepLines w:val="0"/>
        <w:pageBreakBefore w:val="0"/>
        <w:widowControl/>
        <w:kinsoku/>
        <w:wordWrap/>
        <w:overflowPunct/>
        <w:topLinePunct w:val="0"/>
        <w:autoSpaceDE/>
        <w:autoSpaceDN/>
        <w:bidi w:val="0"/>
        <w:adjustRightInd/>
        <w:snapToGrid/>
        <w:textAlignment w:val="auto"/>
        <w:rPr>
          <w:rStyle w:val="26"/>
          <w:rFonts w:hint="eastAsia" w:ascii="Times New Roman" w:hAnsi="Times New Roman" w:eastAsia="黑体"/>
          <w:b w:val="0"/>
          <w:bCs w:val="0"/>
          <w:color w:val="auto"/>
          <w:highlight w:val="none"/>
          <w:lang w:eastAsia="zh-CN"/>
        </w:rPr>
      </w:pPr>
      <w:bookmarkStart w:id="7" w:name="_Toc15377197"/>
      <w:bookmarkStart w:id="8" w:name="_Toc15396600"/>
      <w:bookmarkStart w:id="9" w:name="_Toc15582"/>
      <w:r>
        <w:rPr>
          <w:rFonts w:hint="eastAsia" w:ascii="Times New Roman" w:hAnsi="Times New Roman" w:eastAsia="黑体"/>
          <w:b w:val="0"/>
          <w:color w:val="auto"/>
          <w:highlight w:val="none"/>
        </w:rPr>
        <w:t>一、</w:t>
      </w:r>
      <w:bookmarkEnd w:id="7"/>
      <w:bookmarkEnd w:id="8"/>
      <w:r>
        <w:rPr>
          <w:rFonts w:hint="eastAsia" w:ascii="Times New Roman" w:hAnsi="Times New Roman" w:eastAsia="黑体"/>
          <w:b w:val="0"/>
          <w:color w:val="auto"/>
          <w:highlight w:val="none"/>
          <w:lang w:eastAsia="zh-CN"/>
        </w:rPr>
        <w:t>部门职责</w:t>
      </w:r>
      <w:bookmarkEnd w:id="9"/>
    </w:p>
    <w:p w14:paraId="0BD51B3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楷体" w:hAnsi="楷体" w:eastAsia="楷体" w:cs="楷体"/>
          <w:sz w:val="32"/>
          <w:szCs w:val="32"/>
          <w:shd w:val="clear" w:color="auto" w:fill="FFFFFF"/>
        </w:rPr>
      </w:pPr>
      <w:r>
        <w:rPr>
          <w:rFonts w:hint="eastAsia" w:ascii="楷体" w:hAnsi="楷体" w:eastAsia="楷体" w:cs="楷体"/>
          <w:b/>
          <w:bCs/>
          <w:sz w:val="32"/>
          <w:szCs w:val="32"/>
          <w:shd w:val="clear" w:color="auto" w:fill="FFFFFF"/>
        </w:rPr>
        <w:t>（一）主要职能。</w:t>
      </w:r>
    </w:p>
    <w:p w14:paraId="09818CE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bookmarkStart w:id="10" w:name="OLE_LINK7"/>
      <w:r>
        <w:rPr>
          <w:rFonts w:hint="eastAsia" w:ascii="仿宋" w:hAnsi="仿宋" w:eastAsia="仿宋" w:cs="仿宋"/>
          <w:sz w:val="32"/>
          <w:szCs w:val="32"/>
        </w:rPr>
        <w:t>1.负责建立健全生态环境保护监督管理制度。贯彻落实生态环境保护方面的法律法规和国家、省、州标准，拟定县域生态环境保护规范性文件，会同</w:t>
      </w:r>
      <w:r>
        <w:rPr>
          <w:rFonts w:hint="eastAsia" w:ascii="仿宋" w:hAnsi="仿宋" w:eastAsia="仿宋" w:cs="仿宋"/>
          <w:sz w:val="32"/>
          <w:szCs w:val="32"/>
          <w:shd w:val="clear" w:color="auto" w:fill="FFFFFF"/>
          <w:lang w:bidi="ar"/>
        </w:rPr>
        <w:t>有关</w:t>
      </w:r>
      <w:r>
        <w:rPr>
          <w:rFonts w:hint="eastAsia" w:ascii="仿宋" w:hAnsi="仿宋" w:eastAsia="仿宋" w:cs="仿宋"/>
          <w:sz w:val="32"/>
          <w:szCs w:val="32"/>
        </w:rPr>
        <w:t>部门编制并监督实施全县重点区域、流域、饮用水水源地生态环境规划和水功能区划。负责生态环境监测工作。贯彻执行生态环境监测制度、规范和有关标准。会同有关部门统一规划生态环境质量监测站点设置。组织实施生态环境质量监测、污染源监督性监测、温室气体减排监测、应急监测。组织开展生态环境质量状况的调查评价、预警预测。依法公开环境质量、环境监测等环境信息。协助县生态环境局提出生态环境保护领域固定资产投资规模和方向的建议，配合有关部门做好组织实施和监督工作。参与指导推动循环经济和生态环保产业发展。完成阿坝州生态环境局和黑水县委、县政府交办的其他事项。</w:t>
      </w:r>
    </w:p>
    <w:p w14:paraId="4A07732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bookmarkStart w:id="11" w:name="_Toc31842"/>
      <w:r>
        <w:rPr>
          <w:rFonts w:hint="eastAsia" w:ascii="仿宋" w:hAnsi="仿宋" w:eastAsia="仿宋" w:cs="仿宋"/>
          <w:sz w:val="32"/>
          <w:szCs w:val="32"/>
        </w:rPr>
        <w:t>2.完成州生态环境监测中心站交办的其他任务。</w:t>
      </w:r>
      <w:bookmarkEnd w:id="11"/>
    </w:p>
    <w:bookmarkEnd w:id="10"/>
    <w:p w14:paraId="1AD974F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楷体" w:hAnsi="楷体" w:eastAsia="楷体" w:cs="楷体"/>
          <w:b/>
          <w:bCs/>
          <w:sz w:val="32"/>
          <w:szCs w:val="32"/>
          <w:shd w:val="clear" w:color="auto" w:fill="FFFFFF"/>
        </w:rPr>
      </w:pPr>
      <w:r>
        <w:rPr>
          <w:rFonts w:hint="eastAsia" w:ascii="楷体" w:hAnsi="楷体" w:eastAsia="楷体" w:cs="楷体"/>
          <w:b/>
          <w:bCs/>
          <w:sz w:val="32"/>
          <w:szCs w:val="32"/>
          <w:shd w:val="clear" w:color="auto" w:fill="FFFFFF"/>
        </w:rPr>
        <w:t>（二）202</w:t>
      </w:r>
      <w:r>
        <w:rPr>
          <w:rFonts w:hint="eastAsia" w:ascii="楷体" w:hAnsi="楷体" w:eastAsia="楷体" w:cs="楷体"/>
          <w:b/>
          <w:bCs/>
          <w:sz w:val="32"/>
          <w:szCs w:val="32"/>
          <w:shd w:val="clear" w:color="auto" w:fill="FFFFFF"/>
          <w:lang w:val="en-US" w:eastAsia="zh-CN"/>
        </w:rPr>
        <w:t>5</w:t>
      </w:r>
      <w:r>
        <w:rPr>
          <w:rFonts w:hint="eastAsia" w:ascii="楷体" w:hAnsi="楷体" w:eastAsia="楷体" w:cs="楷体"/>
          <w:b/>
          <w:bCs/>
          <w:sz w:val="32"/>
          <w:szCs w:val="32"/>
          <w:shd w:val="clear" w:color="auto" w:fill="FFFFFF"/>
        </w:rPr>
        <w:t>年</w:t>
      </w:r>
      <w:r>
        <w:rPr>
          <w:rFonts w:hint="eastAsia" w:ascii="楷体" w:hAnsi="楷体" w:eastAsia="楷体" w:cs="楷体"/>
          <w:b/>
          <w:bCs/>
          <w:sz w:val="32"/>
          <w:szCs w:val="32"/>
          <w:shd w:val="clear" w:color="auto" w:fill="FFFFFF"/>
          <w:lang w:val="en-US" w:eastAsia="zh-CN"/>
        </w:rPr>
        <w:t>度</w:t>
      </w:r>
      <w:r>
        <w:rPr>
          <w:rFonts w:hint="eastAsia" w:ascii="楷体" w:hAnsi="楷体" w:eastAsia="楷体" w:cs="楷体"/>
          <w:b/>
          <w:bCs/>
          <w:sz w:val="32"/>
          <w:szCs w:val="32"/>
          <w:shd w:val="clear" w:color="auto" w:fill="FFFFFF"/>
        </w:rPr>
        <w:t>重点工作完成情况。</w:t>
      </w:r>
    </w:p>
    <w:p w14:paraId="2368DA6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1.做好202</w:t>
      </w:r>
      <w:r>
        <w:rPr>
          <w:rFonts w:hint="eastAsia" w:ascii="仿宋" w:hAnsi="仿宋" w:eastAsia="仿宋" w:cs="仿宋"/>
          <w:sz w:val="32"/>
          <w:szCs w:val="32"/>
          <w:lang w:val="en-US" w:eastAsia="zh-CN"/>
        </w:rPr>
        <w:t>5</w:t>
      </w:r>
      <w:r>
        <w:rPr>
          <w:rFonts w:hint="eastAsia" w:ascii="仿宋" w:hAnsi="仿宋" w:eastAsia="仿宋" w:cs="仿宋"/>
          <w:sz w:val="32"/>
          <w:szCs w:val="32"/>
        </w:rPr>
        <w:t>年污染源监督性监测、温室气体减排监测、应急监测。生态环境质量状况的调查评价、预警预测。依法公开环境质量、环境监测等环境信息等工作。</w:t>
      </w:r>
    </w:p>
    <w:p w14:paraId="088EB35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2.开展环境质量监测。一是加强水环境质量监测。全县集中式饮用水源地</w:t>
      </w:r>
      <w:r>
        <w:rPr>
          <w:rFonts w:hint="eastAsia" w:ascii="仿宋" w:hAnsi="仿宋" w:eastAsia="仿宋" w:cs="仿宋"/>
          <w:sz w:val="32"/>
          <w:szCs w:val="32"/>
          <w:lang w:eastAsia="zh-CN"/>
        </w:rPr>
        <w:t>水质</w:t>
      </w:r>
      <w:r>
        <w:rPr>
          <w:rFonts w:hint="eastAsia" w:ascii="仿宋" w:hAnsi="仿宋" w:eastAsia="仿宋" w:cs="仿宋"/>
          <w:sz w:val="32"/>
          <w:szCs w:val="32"/>
        </w:rPr>
        <w:t>监测；乡镇饮用水水源地水质监测；二是县城全年空气环境质量监测。农村空气环境质量监测；三是加强全县土壤环境质量监测。</w:t>
      </w:r>
    </w:p>
    <w:p w14:paraId="65833DB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3.党风廉政建设及组织党建工作。紧紧围绕环保工作职责，按照“转职能、转方式、转作风”的要求，全面落实党风廉政建设相关工作。</w:t>
      </w:r>
    </w:p>
    <w:p w14:paraId="76E2796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4.两联一进群众工作。按照县委、县政府总体安排部署，做好两联一进工作及相关乡村振兴工作。</w:t>
      </w:r>
    </w:p>
    <w:p w14:paraId="695856E8">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rPr>
          <w:rFonts w:ascii="黑体" w:hAnsi="黑体" w:eastAsia="黑体" w:cs="黑体"/>
          <w:b w:val="0"/>
          <w:bCs w:val="0"/>
          <w:sz w:val="32"/>
          <w:szCs w:val="32"/>
          <w:highlight w:val="none"/>
          <w:shd w:val="clear" w:color="auto" w:fill="FFFFFF"/>
        </w:rPr>
      </w:pPr>
      <w:bookmarkStart w:id="12" w:name="_Toc31564"/>
      <w:bookmarkStart w:id="13" w:name="_Toc20129"/>
      <w:r>
        <w:rPr>
          <w:rFonts w:ascii="黑体" w:hAnsi="黑体" w:eastAsia="黑体" w:cs="黑体"/>
          <w:b w:val="0"/>
          <w:bCs w:val="0"/>
          <w:sz w:val="32"/>
          <w:szCs w:val="32"/>
          <w:highlight w:val="none"/>
          <w:shd w:val="clear" w:color="auto" w:fill="FFFFFF"/>
        </w:rPr>
        <w:t>二、机构设置</w:t>
      </w:r>
      <w:bookmarkEnd w:id="12"/>
      <w:bookmarkEnd w:id="13"/>
    </w:p>
    <w:p w14:paraId="27D03EB9">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阿坝州黑水环境监测站属于阿坝州黑水生态环境局二级预算单位。总编制1</w:t>
      </w:r>
      <w:r>
        <w:rPr>
          <w:rFonts w:hint="eastAsia" w:ascii="仿宋" w:hAnsi="仿宋" w:eastAsia="仿宋" w:cs="仿宋"/>
          <w:sz w:val="32"/>
          <w:szCs w:val="32"/>
          <w:lang w:val="en-US" w:eastAsia="zh-CN"/>
        </w:rPr>
        <w:t>1</w:t>
      </w:r>
      <w:r>
        <w:rPr>
          <w:rFonts w:hint="eastAsia" w:ascii="仿宋" w:hAnsi="仿宋" w:eastAsia="仿宋" w:cs="仿宋"/>
          <w:sz w:val="32"/>
          <w:szCs w:val="32"/>
        </w:rPr>
        <w:t>名，均属于事业编制。在职人员总数1</w:t>
      </w:r>
      <w:r>
        <w:rPr>
          <w:rFonts w:hint="eastAsia" w:ascii="仿宋" w:hAnsi="仿宋" w:eastAsia="仿宋" w:cs="仿宋"/>
          <w:sz w:val="32"/>
          <w:szCs w:val="32"/>
          <w:lang w:val="en-US" w:eastAsia="zh-CN"/>
        </w:rPr>
        <w:t>0</w:t>
      </w:r>
      <w:r>
        <w:rPr>
          <w:rFonts w:hint="eastAsia" w:ascii="仿宋" w:hAnsi="仿宋" w:eastAsia="仿宋" w:cs="仿宋"/>
          <w:sz w:val="32"/>
          <w:szCs w:val="32"/>
        </w:rPr>
        <w:t>人，退休人员0人。编外长期聘用的人员0名。</w:t>
      </w:r>
      <w:bookmarkStart w:id="51" w:name="_GoBack"/>
      <w:bookmarkEnd w:id="51"/>
    </w:p>
    <w:p w14:paraId="2DDDF530">
      <w:pPr>
        <w:pStyle w:val="5"/>
        <w:jc w:val="center"/>
        <w:rPr>
          <w:rFonts w:hint="eastAsia" w:ascii="Times New Roman" w:hAnsi="Times New Roman" w:eastAsia="方正小标宋简体" w:cs="方正小标宋简体"/>
          <w:b w:val="0"/>
          <w:color w:val="auto"/>
          <w:highlight w:val="none"/>
        </w:rPr>
      </w:pPr>
      <w:bookmarkStart w:id="14" w:name="_Toc15396602"/>
      <w:bookmarkStart w:id="15" w:name="_Toc24244"/>
      <w:bookmarkStart w:id="16" w:name="_Toc15377204"/>
      <w:bookmarkStart w:id="17" w:name="_Toc26358"/>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4"/>
      <w:bookmarkEnd w:id="15"/>
      <w:bookmarkEnd w:id="16"/>
    </w:p>
    <w:p w14:paraId="57A5AD5F">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rPr>
          <w:rFonts w:ascii="黑体" w:hAnsi="黑体" w:eastAsia="黑体" w:cs="黑体"/>
          <w:b w:val="0"/>
          <w:bCs w:val="0"/>
          <w:sz w:val="32"/>
          <w:szCs w:val="32"/>
          <w:shd w:val="clear" w:color="auto" w:fill="FFFFFF"/>
        </w:rPr>
      </w:pPr>
      <w:bookmarkStart w:id="18" w:name="_Toc23444"/>
      <w:r>
        <w:rPr>
          <w:rFonts w:ascii="黑体" w:hAnsi="黑体" w:eastAsia="黑体" w:cs="黑体"/>
          <w:b w:val="0"/>
          <w:bCs w:val="0"/>
          <w:sz w:val="32"/>
          <w:szCs w:val="32"/>
          <w:shd w:val="clear" w:color="auto" w:fill="FFFFFF"/>
        </w:rPr>
        <w:t>一、收入支出决算总体情况说明</w:t>
      </w:r>
      <w:bookmarkEnd w:id="17"/>
      <w:bookmarkEnd w:id="18"/>
    </w:p>
    <w:p w14:paraId="09F90250">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仿宋" w:hAnsi="仿宋" w:eastAsia="仿宋" w:cs="仿宋"/>
          <w:sz w:val="32"/>
          <w:szCs w:val="32"/>
        </w:rPr>
        <w:t>总计</w:t>
      </w:r>
      <w:r>
        <w:rPr>
          <w:rFonts w:hint="eastAsia" w:ascii="仿宋" w:hAnsi="仿宋" w:eastAsia="仿宋" w:cs="仿宋"/>
          <w:sz w:val="32"/>
          <w:szCs w:val="32"/>
          <w:lang w:val="en-US" w:eastAsia="zh-CN"/>
        </w:rPr>
        <w:t>均为255.73</w:t>
      </w:r>
      <w:r>
        <w:rPr>
          <w:rFonts w:hint="eastAsia" w:ascii="仿宋" w:hAnsi="仿宋" w:eastAsia="仿宋" w:cs="仿宋"/>
          <w:sz w:val="32"/>
          <w:szCs w:val="32"/>
        </w:rPr>
        <w:t>万元。与</w:t>
      </w:r>
      <w:r>
        <w:rPr>
          <w:rFonts w:hint="eastAsia" w:ascii="仿宋" w:hAnsi="仿宋" w:eastAsia="仿宋" w:cs="仿宋"/>
          <w:sz w:val="32"/>
          <w:szCs w:val="32"/>
          <w:lang w:val="en-US" w:eastAsia="zh-CN"/>
        </w:rPr>
        <w:t>上</w:t>
      </w:r>
      <w:r>
        <w:rPr>
          <w:rFonts w:hint="eastAsia" w:ascii="仿宋" w:hAnsi="仿宋" w:eastAsia="仿宋" w:cs="仿宋"/>
          <w:sz w:val="32"/>
          <w:szCs w:val="32"/>
        </w:rPr>
        <w:t>年相比，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仿宋" w:hAnsi="仿宋" w:eastAsia="仿宋" w:cs="仿宋"/>
          <w:sz w:val="32"/>
          <w:szCs w:val="32"/>
        </w:rPr>
        <w:t>总计</w:t>
      </w:r>
      <w:r>
        <w:rPr>
          <w:rFonts w:hint="eastAsia" w:ascii="仿宋" w:hAnsi="仿宋" w:eastAsia="仿宋" w:cs="仿宋"/>
          <w:sz w:val="32"/>
          <w:szCs w:val="32"/>
          <w:lang w:val="en-US" w:eastAsia="zh-CN"/>
        </w:rPr>
        <w:t>减少22.44</w:t>
      </w:r>
      <w:r>
        <w:rPr>
          <w:rFonts w:hint="eastAsia" w:ascii="仿宋" w:hAnsi="仿宋" w:eastAsia="仿宋" w:cs="仿宋"/>
          <w:sz w:val="32"/>
          <w:szCs w:val="32"/>
        </w:rPr>
        <w:t>万元，</w:t>
      </w:r>
      <w:r>
        <w:rPr>
          <w:rFonts w:hint="eastAsia" w:ascii="仿宋" w:hAnsi="仿宋" w:eastAsia="仿宋" w:cs="仿宋"/>
          <w:sz w:val="32"/>
          <w:szCs w:val="32"/>
          <w:lang w:val="en-US" w:eastAsia="zh-CN"/>
        </w:rPr>
        <w:t>下降8.07</w:t>
      </w:r>
      <w:r>
        <w:rPr>
          <w:rFonts w:hint="eastAsia" w:ascii="仿宋" w:hAnsi="仿宋" w:eastAsia="仿宋" w:cs="仿宋"/>
          <w:sz w:val="32"/>
          <w:szCs w:val="32"/>
        </w:rPr>
        <w:t>%。主要变动原因是</w:t>
      </w:r>
      <w:r>
        <w:rPr>
          <w:rFonts w:hint="eastAsia" w:ascii="仿宋" w:hAnsi="仿宋" w:eastAsia="仿宋" w:cs="仿宋"/>
          <w:sz w:val="32"/>
          <w:szCs w:val="32"/>
          <w:lang w:val="en-US" w:eastAsia="zh-CN"/>
        </w:rPr>
        <w:t>人员编制减少，</w:t>
      </w:r>
      <w:r>
        <w:rPr>
          <w:rFonts w:hint="eastAsia" w:ascii="仿宋" w:hAnsi="仿宋" w:eastAsia="仿宋" w:cs="仿宋"/>
          <w:sz w:val="32"/>
          <w:szCs w:val="32"/>
        </w:rPr>
        <w:t>人员经费支出</w:t>
      </w:r>
      <w:r>
        <w:rPr>
          <w:rFonts w:hint="eastAsia" w:ascii="仿宋" w:hAnsi="仿宋" w:eastAsia="仿宋" w:cs="仿宋"/>
          <w:sz w:val="32"/>
          <w:szCs w:val="32"/>
          <w:lang w:val="en-US" w:eastAsia="zh-CN"/>
        </w:rPr>
        <w:t>减少</w:t>
      </w:r>
      <w:r>
        <w:rPr>
          <w:rFonts w:hint="eastAsia" w:ascii="仿宋" w:hAnsi="仿宋" w:eastAsia="仿宋" w:cs="仿宋"/>
          <w:sz w:val="32"/>
          <w:szCs w:val="32"/>
        </w:rPr>
        <w:t>。</w:t>
      </w:r>
    </w:p>
    <w:p w14:paraId="44BA92E0">
      <w:pPr>
        <w:pStyle w:val="16"/>
        <w:spacing w:beforeAutospacing="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407BAEE3">
      <w:pPr>
        <w:pStyle w:val="16"/>
        <w:spacing w:beforeAutospacing="0"/>
        <w:rPr>
          <w:rFonts w:hint="eastAsia" w:ascii="Times New Roman" w:hAnsi="Times New Roman" w:eastAsia="仿宋_GB2312" w:cs="仿宋_GB2312"/>
          <w:color w:val="auto"/>
          <w:sz w:val="32"/>
          <w:szCs w:val="32"/>
          <w:highlight w:val="none"/>
        </w:rPr>
      </w:pPr>
      <w:r>
        <w:drawing>
          <wp:inline distT="0" distB="0" distL="114300" distR="114300">
            <wp:extent cx="5463540" cy="3143250"/>
            <wp:effectExtent l="4445" t="4445" r="18415" b="1460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44A17BA8">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rPr>
          <w:rFonts w:ascii="黑体" w:hAnsi="黑体" w:eastAsia="黑体" w:cs="黑体"/>
          <w:b w:val="0"/>
          <w:bCs w:val="0"/>
          <w:sz w:val="32"/>
          <w:szCs w:val="32"/>
          <w:shd w:val="clear" w:color="auto" w:fill="FFFFFF"/>
        </w:rPr>
      </w:pPr>
      <w:bookmarkStart w:id="19" w:name="_Toc11751"/>
      <w:bookmarkStart w:id="20" w:name="_Toc9757"/>
      <w:r>
        <w:rPr>
          <w:rFonts w:ascii="黑体" w:hAnsi="黑体" w:eastAsia="黑体" w:cs="黑体"/>
          <w:b w:val="0"/>
          <w:bCs w:val="0"/>
          <w:sz w:val="32"/>
          <w:szCs w:val="32"/>
          <w:shd w:val="clear" w:color="auto" w:fill="FFFFFF"/>
        </w:rPr>
        <w:t>二、收入决算情况说明</w:t>
      </w:r>
      <w:bookmarkEnd w:id="19"/>
      <w:bookmarkEnd w:id="20"/>
    </w:p>
    <w:p w14:paraId="7ED3C2A7">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
          <w:bCs/>
          <w:sz w:val="32"/>
          <w:szCs w:val="32"/>
        </w:rPr>
      </w:pPr>
      <w:bookmarkStart w:id="21" w:name="_Hlk207273542"/>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w:t>
      </w:r>
      <w:r>
        <w:rPr>
          <w:rFonts w:hint="eastAsia" w:ascii="仿宋" w:hAnsi="仿宋" w:eastAsia="仿宋" w:cs="仿宋"/>
          <w:sz w:val="32"/>
          <w:szCs w:val="32"/>
          <w:lang w:val="en-US" w:eastAsia="zh-CN"/>
        </w:rPr>
        <w:t>度</w:t>
      </w:r>
      <w:r>
        <w:rPr>
          <w:rFonts w:hint="eastAsia" w:ascii="仿宋" w:hAnsi="仿宋" w:eastAsia="仿宋" w:cs="仿宋"/>
          <w:sz w:val="32"/>
          <w:szCs w:val="32"/>
        </w:rPr>
        <w:t>本年收入合计</w:t>
      </w:r>
      <w:r>
        <w:rPr>
          <w:rFonts w:hint="eastAsia" w:ascii="仿宋" w:hAnsi="仿宋" w:eastAsia="仿宋" w:cs="仿宋"/>
          <w:sz w:val="32"/>
          <w:szCs w:val="32"/>
          <w:lang w:val="en-US" w:eastAsia="zh-CN"/>
        </w:rPr>
        <w:t>255.73</w:t>
      </w:r>
      <w:r>
        <w:rPr>
          <w:rFonts w:hint="eastAsia" w:ascii="仿宋" w:hAnsi="仿宋" w:eastAsia="仿宋" w:cs="仿宋"/>
          <w:sz w:val="32"/>
          <w:szCs w:val="32"/>
        </w:rPr>
        <w:t>万元，其中：一般公共预算财政拨款收入</w:t>
      </w:r>
      <w:r>
        <w:rPr>
          <w:rFonts w:hint="eastAsia" w:ascii="仿宋" w:hAnsi="仿宋" w:eastAsia="仿宋" w:cs="仿宋"/>
          <w:sz w:val="32"/>
          <w:szCs w:val="32"/>
          <w:lang w:val="en-US" w:eastAsia="zh-CN"/>
        </w:rPr>
        <w:t>201.51</w:t>
      </w:r>
      <w:r>
        <w:rPr>
          <w:rFonts w:hint="eastAsia" w:ascii="仿宋" w:hAnsi="仿宋" w:eastAsia="仿宋" w:cs="仿宋"/>
          <w:sz w:val="32"/>
          <w:szCs w:val="32"/>
        </w:rPr>
        <w:t>万元，占7</w:t>
      </w:r>
      <w:r>
        <w:rPr>
          <w:rFonts w:hint="eastAsia" w:ascii="仿宋" w:hAnsi="仿宋" w:eastAsia="仿宋" w:cs="仿宋"/>
          <w:sz w:val="32"/>
          <w:szCs w:val="32"/>
          <w:lang w:val="en-US" w:eastAsia="zh-CN"/>
        </w:rPr>
        <w:t>8.80</w:t>
      </w:r>
      <w:r>
        <w:rPr>
          <w:rFonts w:hint="eastAsia" w:ascii="仿宋" w:hAnsi="仿宋" w:eastAsia="仿宋" w:cs="仿宋"/>
          <w:sz w:val="32"/>
          <w:szCs w:val="32"/>
        </w:rPr>
        <w:t>%；政府性基金预算财政拨款收入0万元，占0%；国有资本经营预算财政拨款收入0万元，占0%；上级补助收入0万元，占0%；事业收入0万元，占0%；经营收入0万元，占0%；附属单位上缴收入0万元，占0%；其他收入</w:t>
      </w:r>
      <w:r>
        <w:rPr>
          <w:rFonts w:hint="eastAsia" w:ascii="仿宋" w:hAnsi="仿宋" w:eastAsia="仿宋" w:cs="仿宋"/>
          <w:sz w:val="32"/>
          <w:szCs w:val="32"/>
          <w:lang w:val="en-US" w:eastAsia="zh-CN"/>
        </w:rPr>
        <w:t>54.22</w:t>
      </w:r>
      <w:r>
        <w:rPr>
          <w:rFonts w:hint="eastAsia" w:ascii="仿宋" w:hAnsi="仿宋" w:eastAsia="仿宋" w:cs="仿宋"/>
          <w:sz w:val="32"/>
          <w:szCs w:val="32"/>
        </w:rPr>
        <w:t>万元，占</w:t>
      </w:r>
      <w:r>
        <w:rPr>
          <w:rFonts w:hint="eastAsia" w:ascii="仿宋" w:hAnsi="仿宋" w:eastAsia="仿宋" w:cs="仿宋"/>
          <w:sz w:val="32"/>
          <w:szCs w:val="32"/>
          <w:lang w:val="en-US" w:eastAsia="zh-CN"/>
        </w:rPr>
        <w:t>21.20</w:t>
      </w:r>
      <w:r>
        <w:rPr>
          <w:rFonts w:hint="eastAsia" w:ascii="仿宋" w:hAnsi="仿宋" w:eastAsia="仿宋" w:cs="仿宋"/>
          <w:sz w:val="32"/>
          <w:szCs w:val="32"/>
        </w:rPr>
        <w:t>%。</w:t>
      </w:r>
      <w:bookmarkEnd w:id="21"/>
      <w:r>
        <w:rPr>
          <w:rFonts w:hint="eastAsia" w:ascii="仿宋" w:hAnsi="仿宋" w:eastAsia="仿宋" w:cs="仿宋"/>
          <w:b/>
          <w:bCs/>
          <w:sz w:val="32"/>
          <w:szCs w:val="32"/>
        </w:rPr>
        <w:t>（注：仅罗列本单位涉及的收入。）</w:t>
      </w:r>
    </w:p>
    <w:p w14:paraId="1CDF6F1E">
      <w:pPr>
        <w:pStyle w:val="16"/>
        <w:spacing w:beforeAutospacing="0" w:afterAutospacing="0" w:line="560" w:lineRule="exact"/>
        <w:ind w:firstLine="640" w:firstLineChars="200"/>
        <w:rPr>
          <w:rFonts w:hint="eastAsia" w:ascii="仿宋" w:hAnsi="仿宋" w:eastAsia="仿宋" w:cs="仿宋"/>
          <w:sz w:val="32"/>
          <w:szCs w:val="32"/>
          <w:lang w:bidi="ar"/>
        </w:rPr>
      </w:pPr>
      <w:r>
        <w:rPr>
          <w:rFonts w:hint="eastAsia" w:ascii="仿宋" w:hAnsi="仿宋" w:eastAsia="仿宋" w:cs="仿宋"/>
          <w:sz w:val="32"/>
          <w:szCs w:val="32"/>
          <w:lang w:bidi="ar"/>
        </w:rPr>
        <w:t>（图2：收入决算结构图）（饼状图）</w:t>
      </w:r>
    </w:p>
    <w:p w14:paraId="42B69269">
      <w:pPr>
        <w:pStyle w:val="16"/>
        <w:spacing w:beforeAutospacing="0"/>
        <w:rPr>
          <w:rFonts w:hint="eastAsia"/>
        </w:rPr>
      </w:pPr>
      <w:r>
        <w:drawing>
          <wp:inline distT="0" distB="0" distL="114300" distR="114300">
            <wp:extent cx="5511800" cy="3133090"/>
            <wp:effectExtent l="4445" t="5080" r="8255" b="5080"/>
            <wp:docPr id="17" name="图表 2" descr="7b0a202020202263686172745265734964223a20223230343731333838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711BAF0B">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rPr>
          <w:rFonts w:ascii="黑体" w:hAnsi="黑体" w:eastAsia="黑体" w:cs="黑体"/>
          <w:b w:val="0"/>
          <w:bCs w:val="0"/>
          <w:sz w:val="32"/>
          <w:szCs w:val="32"/>
          <w:shd w:val="clear" w:color="auto" w:fill="FFFFFF"/>
        </w:rPr>
      </w:pPr>
      <w:bookmarkStart w:id="22" w:name="_Toc5253"/>
      <w:bookmarkStart w:id="23" w:name="_Toc27062"/>
      <w:r>
        <w:rPr>
          <w:rFonts w:ascii="黑体" w:hAnsi="黑体" w:eastAsia="黑体" w:cs="黑体"/>
          <w:b w:val="0"/>
          <w:bCs w:val="0"/>
          <w:sz w:val="32"/>
          <w:szCs w:val="32"/>
          <w:shd w:val="clear" w:color="auto" w:fill="FFFFFF"/>
        </w:rPr>
        <w:t>三、支出决算情况说明</w:t>
      </w:r>
      <w:bookmarkEnd w:id="22"/>
      <w:bookmarkEnd w:id="23"/>
    </w:p>
    <w:p w14:paraId="67EF59D4">
      <w:pPr>
        <w:ind w:firstLine="640" w:firstLineChars="200"/>
        <w:rPr>
          <w:rFonts w:hint="eastAsia" w:ascii="仿宋" w:hAnsi="仿宋" w:eastAsia="仿宋" w:cs="仿宋"/>
          <w:b/>
          <w:bCs/>
          <w:sz w:val="32"/>
          <w:szCs w:val="32"/>
        </w:rPr>
      </w:pPr>
      <w:bookmarkStart w:id="24" w:name="_Hlk207273555"/>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w:t>
      </w:r>
      <w:r>
        <w:rPr>
          <w:rFonts w:hint="eastAsia" w:ascii="仿宋" w:hAnsi="仿宋" w:eastAsia="仿宋" w:cs="仿宋"/>
          <w:sz w:val="32"/>
          <w:szCs w:val="32"/>
          <w:lang w:val="en-US" w:eastAsia="zh-CN"/>
        </w:rPr>
        <w:t>度</w:t>
      </w:r>
      <w:r>
        <w:rPr>
          <w:rFonts w:hint="eastAsia" w:ascii="仿宋" w:hAnsi="仿宋" w:eastAsia="仿宋" w:cs="仿宋"/>
          <w:sz w:val="32"/>
          <w:szCs w:val="32"/>
        </w:rPr>
        <w:t>本年支出合计</w:t>
      </w:r>
      <w:r>
        <w:rPr>
          <w:rFonts w:hint="eastAsia" w:ascii="仿宋" w:hAnsi="仿宋" w:eastAsia="仿宋" w:cs="仿宋"/>
          <w:sz w:val="32"/>
          <w:szCs w:val="32"/>
          <w:lang w:val="en-US" w:eastAsia="zh-CN"/>
        </w:rPr>
        <w:t>255.73</w:t>
      </w:r>
      <w:r>
        <w:rPr>
          <w:rFonts w:hint="eastAsia" w:ascii="仿宋" w:hAnsi="仿宋" w:eastAsia="仿宋" w:cs="仿宋"/>
          <w:sz w:val="32"/>
          <w:szCs w:val="32"/>
        </w:rPr>
        <w:t>万元，其中：基本支出</w:t>
      </w:r>
      <w:r>
        <w:rPr>
          <w:rFonts w:hint="eastAsia" w:ascii="仿宋" w:hAnsi="仿宋" w:eastAsia="仿宋" w:cs="仿宋"/>
          <w:sz w:val="32"/>
          <w:szCs w:val="32"/>
          <w:lang w:val="en-US" w:eastAsia="zh-CN"/>
        </w:rPr>
        <w:t>255.73</w:t>
      </w:r>
      <w:r>
        <w:rPr>
          <w:rFonts w:hint="eastAsia" w:ascii="仿宋" w:hAnsi="仿宋" w:eastAsia="仿宋" w:cs="仿宋"/>
          <w:sz w:val="32"/>
          <w:szCs w:val="32"/>
        </w:rPr>
        <w:t>万元，占100%；项目支出0万元，占0%；上缴上级支出0万元，占0%；经营支出0万元，占0%；对附属单位补助支出0万元，占0%。</w:t>
      </w:r>
      <w:bookmarkEnd w:id="24"/>
      <w:r>
        <w:rPr>
          <w:rFonts w:hint="eastAsia" w:ascii="仿宋" w:hAnsi="仿宋" w:eastAsia="仿宋" w:cs="仿宋"/>
          <w:b/>
          <w:bCs/>
          <w:sz w:val="32"/>
          <w:szCs w:val="32"/>
        </w:rPr>
        <w:t>（注：仅罗列本单位涉及的支出。）</w:t>
      </w:r>
    </w:p>
    <w:p w14:paraId="64561426">
      <w:pPr>
        <w:ind w:firstLine="640" w:firstLineChars="200"/>
        <w:rPr>
          <w:rFonts w:hint="eastAsia" w:ascii="仿宋" w:hAnsi="仿宋" w:eastAsia="仿宋" w:cs="仿宋"/>
          <w:sz w:val="32"/>
          <w:szCs w:val="32"/>
        </w:rPr>
      </w:pPr>
      <w:r>
        <w:rPr>
          <w:rFonts w:hint="eastAsia" w:ascii="仿宋" w:hAnsi="仿宋" w:eastAsia="仿宋" w:cs="仿宋"/>
          <w:sz w:val="32"/>
          <w:szCs w:val="32"/>
        </w:rPr>
        <w:t>（图3：支出决算结构图）（饼状图）</w:t>
      </w:r>
    </w:p>
    <w:p w14:paraId="554FD27D">
      <w:pPr>
        <w:pStyle w:val="16"/>
        <w:spacing w:beforeAutospacing="0"/>
        <w:ind w:firstLine="480" w:firstLineChars="200"/>
        <w:rPr>
          <w:rFonts w:hint="eastAsia"/>
        </w:rPr>
      </w:pPr>
      <w:r>
        <w:drawing>
          <wp:inline distT="0" distB="0" distL="114300" distR="114300">
            <wp:extent cx="4826000" cy="3086100"/>
            <wp:effectExtent l="4445" t="4445" r="8255" b="14605"/>
            <wp:docPr id="3" name="图表 2" descr="7b0a202020202263686172745265734964223a20223230343731333838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Pr>
          <w:shd w:val="clear" w:color="auto" w:fill="FFFFFF"/>
        </w:rPr>
        <w:t> </w:t>
      </w:r>
    </w:p>
    <w:p w14:paraId="724AF9B2">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rPr>
          <w:rFonts w:ascii="黑体" w:hAnsi="黑体" w:eastAsia="黑体" w:cs="黑体"/>
          <w:b w:val="0"/>
          <w:bCs w:val="0"/>
          <w:sz w:val="32"/>
          <w:szCs w:val="32"/>
          <w:shd w:val="clear" w:color="auto" w:fill="FFFFFF"/>
        </w:rPr>
      </w:pPr>
      <w:bookmarkStart w:id="25" w:name="_Toc16707"/>
      <w:bookmarkStart w:id="26" w:name="_Toc14916"/>
      <w:r>
        <w:rPr>
          <w:rFonts w:ascii="黑体" w:hAnsi="黑体" w:eastAsia="黑体" w:cs="黑体"/>
          <w:b w:val="0"/>
          <w:bCs w:val="0"/>
          <w:sz w:val="32"/>
          <w:szCs w:val="32"/>
          <w:shd w:val="clear" w:color="auto" w:fill="FFFFFF"/>
        </w:rPr>
        <w:t>四、财政拨款收入支出决算总体情况说明</w:t>
      </w:r>
      <w:bookmarkEnd w:id="25"/>
      <w:bookmarkEnd w:id="26"/>
    </w:p>
    <w:p w14:paraId="6E4BAF0F">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bidi="ar"/>
        </w:rPr>
        <w:t>202</w:t>
      </w:r>
      <w:r>
        <w:rPr>
          <w:rFonts w:hint="eastAsia" w:ascii="仿宋" w:hAnsi="仿宋" w:eastAsia="仿宋" w:cs="仿宋"/>
          <w:sz w:val="32"/>
          <w:szCs w:val="32"/>
          <w:lang w:val="en-US" w:eastAsia="zh-CN" w:bidi="ar"/>
        </w:rPr>
        <w:t>5</w:t>
      </w:r>
      <w:r>
        <w:rPr>
          <w:rFonts w:hint="eastAsia" w:ascii="仿宋" w:hAnsi="仿宋" w:eastAsia="仿宋" w:cs="仿宋"/>
          <w:sz w:val="32"/>
          <w:szCs w:val="32"/>
          <w:lang w:bidi="ar"/>
        </w:rPr>
        <w:t>年</w:t>
      </w:r>
      <w:r>
        <w:rPr>
          <w:rFonts w:hint="eastAsia" w:ascii="仿宋" w:hAnsi="仿宋" w:eastAsia="仿宋" w:cs="仿宋"/>
          <w:sz w:val="32"/>
          <w:szCs w:val="32"/>
          <w:lang w:val="en-US" w:eastAsia="zh-CN" w:bidi="ar"/>
        </w:rPr>
        <w:t>度</w:t>
      </w:r>
      <w:r>
        <w:rPr>
          <w:rFonts w:hint="eastAsia" w:ascii="仿宋" w:hAnsi="仿宋" w:eastAsia="仿宋" w:cs="仿宋"/>
          <w:sz w:val="32"/>
          <w:szCs w:val="32"/>
          <w:lang w:bidi="ar"/>
        </w:rPr>
        <w:t>财政拨款</w:t>
      </w:r>
      <w:r>
        <w:rPr>
          <w:rFonts w:hint="eastAsia" w:ascii="Times New Roman" w:hAnsi="Times New Roman" w:eastAsia="仿宋_GB2312" w:cs="仿宋_GB2312"/>
          <w:color w:val="auto"/>
          <w:kern w:val="2"/>
          <w:sz w:val="32"/>
          <w:szCs w:val="32"/>
          <w:highlight w:val="none"/>
          <w:lang w:val="en-US" w:eastAsia="zh-CN" w:bidi="ar-SA"/>
        </w:rPr>
        <w:t>收入、支出</w:t>
      </w:r>
      <w:r>
        <w:rPr>
          <w:rFonts w:hint="eastAsia" w:ascii="仿宋" w:hAnsi="仿宋" w:eastAsia="仿宋" w:cs="仿宋"/>
          <w:sz w:val="32"/>
          <w:szCs w:val="32"/>
          <w:lang w:bidi="ar"/>
        </w:rPr>
        <w:t>总计</w:t>
      </w:r>
      <w:r>
        <w:rPr>
          <w:rFonts w:hint="eastAsia" w:ascii="仿宋" w:hAnsi="仿宋" w:eastAsia="仿宋" w:cs="仿宋"/>
          <w:sz w:val="32"/>
          <w:szCs w:val="32"/>
          <w:lang w:val="en-US" w:eastAsia="zh-CN"/>
        </w:rPr>
        <w:t>511.46</w:t>
      </w:r>
      <w:r>
        <w:rPr>
          <w:rFonts w:hint="eastAsia" w:ascii="仿宋" w:hAnsi="仿宋" w:eastAsia="仿宋" w:cs="仿宋"/>
          <w:sz w:val="32"/>
          <w:szCs w:val="32"/>
          <w:lang w:bidi="ar"/>
        </w:rPr>
        <w:t>万元。与</w:t>
      </w:r>
      <w:r>
        <w:rPr>
          <w:rFonts w:hint="eastAsia" w:ascii="仿宋" w:hAnsi="仿宋" w:eastAsia="仿宋" w:cs="仿宋"/>
          <w:sz w:val="32"/>
          <w:szCs w:val="32"/>
          <w:lang w:val="en-US" w:eastAsia="zh-CN" w:bidi="ar"/>
        </w:rPr>
        <w:t>上</w:t>
      </w:r>
      <w:r>
        <w:rPr>
          <w:rFonts w:hint="eastAsia" w:ascii="仿宋" w:hAnsi="仿宋" w:eastAsia="仿宋" w:cs="仿宋"/>
          <w:sz w:val="32"/>
          <w:szCs w:val="32"/>
          <w:lang w:bidi="ar"/>
        </w:rPr>
        <w:t>年</w:t>
      </w:r>
      <w:r>
        <w:rPr>
          <w:rFonts w:hint="eastAsia" w:ascii="仿宋" w:hAnsi="仿宋" w:eastAsia="仿宋" w:cs="仿宋"/>
          <w:sz w:val="32"/>
          <w:szCs w:val="32"/>
          <w:lang w:val="en-US" w:eastAsia="zh-CN" w:bidi="ar"/>
        </w:rPr>
        <w:t>度</w:t>
      </w:r>
      <w:r>
        <w:rPr>
          <w:rFonts w:hint="eastAsia" w:ascii="仿宋" w:hAnsi="仿宋" w:eastAsia="仿宋" w:cs="仿宋"/>
          <w:sz w:val="32"/>
          <w:szCs w:val="32"/>
          <w:lang w:bidi="ar"/>
        </w:rPr>
        <w:t>相比，财政拨款</w:t>
      </w:r>
      <w:r>
        <w:rPr>
          <w:rFonts w:hint="eastAsia" w:ascii="Times New Roman" w:hAnsi="Times New Roman" w:eastAsia="仿宋_GB2312" w:cs="仿宋_GB2312"/>
          <w:color w:val="auto"/>
          <w:kern w:val="2"/>
          <w:sz w:val="32"/>
          <w:szCs w:val="32"/>
          <w:highlight w:val="none"/>
          <w:lang w:val="en-US" w:eastAsia="zh-CN" w:bidi="ar-SA"/>
        </w:rPr>
        <w:t>收入、支出</w:t>
      </w:r>
      <w:bookmarkStart w:id="27" w:name="OLE_LINK3"/>
      <w:r>
        <w:rPr>
          <w:rFonts w:hint="eastAsia" w:ascii="仿宋" w:hAnsi="仿宋" w:eastAsia="仿宋" w:cs="仿宋"/>
          <w:sz w:val="32"/>
          <w:szCs w:val="32"/>
        </w:rPr>
        <w:t>总计</w:t>
      </w:r>
      <w:r>
        <w:rPr>
          <w:rFonts w:hint="eastAsia" w:ascii="仿宋" w:hAnsi="仿宋" w:eastAsia="仿宋" w:cs="仿宋"/>
          <w:sz w:val="32"/>
          <w:szCs w:val="32"/>
          <w:lang w:val="en-US" w:eastAsia="zh-CN"/>
        </w:rPr>
        <w:t>各减少22.44</w:t>
      </w:r>
      <w:r>
        <w:rPr>
          <w:rFonts w:hint="eastAsia" w:ascii="仿宋" w:hAnsi="仿宋" w:eastAsia="仿宋" w:cs="仿宋"/>
          <w:sz w:val="32"/>
          <w:szCs w:val="32"/>
        </w:rPr>
        <w:t>万元，</w:t>
      </w:r>
      <w:r>
        <w:rPr>
          <w:rFonts w:hint="eastAsia" w:ascii="仿宋" w:hAnsi="仿宋" w:eastAsia="仿宋" w:cs="仿宋"/>
          <w:sz w:val="32"/>
          <w:szCs w:val="32"/>
          <w:lang w:val="en-US" w:eastAsia="zh-CN"/>
        </w:rPr>
        <w:t>下降8.07</w:t>
      </w:r>
      <w:r>
        <w:rPr>
          <w:rFonts w:hint="eastAsia" w:ascii="仿宋" w:hAnsi="仿宋" w:eastAsia="仿宋" w:cs="仿宋"/>
          <w:sz w:val="32"/>
          <w:szCs w:val="32"/>
        </w:rPr>
        <w:t>%。主要变动原因是</w:t>
      </w:r>
      <w:r>
        <w:rPr>
          <w:rFonts w:hint="eastAsia" w:ascii="仿宋" w:hAnsi="仿宋" w:eastAsia="仿宋" w:cs="仿宋"/>
          <w:sz w:val="32"/>
          <w:szCs w:val="32"/>
          <w:lang w:val="en-US" w:eastAsia="zh-CN"/>
        </w:rPr>
        <w:t>人员编制减少，</w:t>
      </w:r>
      <w:r>
        <w:rPr>
          <w:rFonts w:hint="eastAsia" w:ascii="仿宋" w:hAnsi="仿宋" w:eastAsia="仿宋" w:cs="仿宋"/>
          <w:sz w:val="32"/>
          <w:szCs w:val="32"/>
        </w:rPr>
        <w:t>人员经费支出</w:t>
      </w:r>
      <w:r>
        <w:rPr>
          <w:rFonts w:hint="eastAsia" w:ascii="仿宋" w:hAnsi="仿宋" w:eastAsia="仿宋" w:cs="仿宋"/>
          <w:sz w:val="32"/>
          <w:szCs w:val="32"/>
          <w:lang w:val="en-US" w:eastAsia="zh-CN"/>
        </w:rPr>
        <w:t>减少</w:t>
      </w:r>
      <w:r>
        <w:rPr>
          <w:rFonts w:hint="eastAsia" w:ascii="仿宋" w:hAnsi="仿宋" w:eastAsia="仿宋" w:cs="仿宋"/>
          <w:sz w:val="32"/>
          <w:szCs w:val="32"/>
        </w:rPr>
        <w:t>。</w:t>
      </w:r>
    </w:p>
    <w:bookmarkEnd w:id="27"/>
    <w:p w14:paraId="1E0B0F4D">
      <w:pPr>
        <w:pStyle w:val="16"/>
        <w:spacing w:beforeAutospacing="0" w:afterAutospacing="0" w:line="560" w:lineRule="exact"/>
        <w:ind w:firstLine="640" w:firstLineChars="200"/>
        <w:rPr>
          <w:rFonts w:hint="eastAsia" w:ascii="仿宋_GB2312" w:hAnsi="仿宋_GB2312" w:eastAsia="仿宋_GB2312" w:cs="仿宋_GB2312"/>
          <w:sz w:val="32"/>
          <w:szCs w:val="32"/>
          <w:lang w:bidi="ar"/>
        </w:rPr>
      </w:pPr>
      <w:r>
        <w:rPr>
          <w:rFonts w:hint="eastAsia" w:ascii="仿宋" w:hAnsi="仿宋" w:eastAsia="仿宋" w:cs="仿宋"/>
          <w:sz w:val="32"/>
          <w:szCs w:val="32"/>
          <w:lang w:bidi="ar"/>
        </w:rPr>
        <w:t>（图4：财政拨款收、支决算总计变动情况）（柱状图）</w:t>
      </w:r>
    </w:p>
    <w:p w14:paraId="2956B518">
      <w:pPr>
        <w:pStyle w:val="16"/>
        <w:spacing w:beforeAutospacing="0"/>
        <w:ind w:firstLine="480" w:firstLineChars="200"/>
        <w:rPr>
          <w:rFonts w:hint="eastAsia"/>
        </w:rPr>
      </w:pPr>
      <w:r>
        <w:drawing>
          <wp:inline distT="0" distB="0" distL="114300" distR="114300">
            <wp:extent cx="4578985" cy="2258060"/>
            <wp:effectExtent l="4445" t="4445" r="7620" b="2349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E6E356D">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rPr>
          <w:rFonts w:ascii="黑体" w:hAnsi="黑体" w:eastAsia="黑体" w:cs="黑体"/>
          <w:b w:val="0"/>
          <w:bCs w:val="0"/>
          <w:sz w:val="32"/>
          <w:szCs w:val="32"/>
          <w:shd w:val="clear" w:color="auto" w:fill="FFFFFF"/>
        </w:rPr>
      </w:pPr>
      <w:bookmarkStart w:id="28" w:name="_Toc22636"/>
      <w:bookmarkStart w:id="29" w:name="_Toc28607"/>
      <w:r>
        <w:rPr>
          <w:rFonts w:ascii="黑体" w:hAnsi="黑体" w:eastAsia="黑体" w:cs="黑体"/>
          <w:b w:val="0"/>
          <w:bCs w:val="0"/>
          <w:sz w:val="32"/>
          <w:szCs w:val="32"/>
          <w:shd w:val="clear" w:color="auto" w:fill="FFFFFF"/>
        </w:rPr>
        <w:t>五、一般公共预算财政拨款支出决算情况说明</w:t>
      </w:r>
      <w:bookmarkEnd w:id="28"/>
      <w:bookmarkEnd w:id="29"/>
    </w:p>
    <w:p w14:paraId="256148C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0"/>
    </w:p>
    <w:p w14:paraId="13D51EA4">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bidi="ar"/>
        </w:rPr>
        <w:t>202</w:t>
      </w:r>
      <w:r>
        <w:rPr>
          <w:rFonts w:hint="eastAsia" w:ascii="仿宋" w:hAnsi="仿宋" w:eastAsia="仿宋" w:cs="仿宋"/>
          <w:sz w:val="32"/>
          <w:szCs w:val="32"/>
          <w:lang w:val="en-US" w:eastAsia="zh-CN" w:bidi="ar"/>
        </w:rPr>
        <w:t>5</w:t>
      </w:r>
      <w:r>
        <w:rPr>
          <w:rFonts w:hint="eastAsia" w:ascii="仿宋" w:hAnsi="仿宋" w:eastAsia="仿宋" w:cs="仿宋"/>
          <w:sz w:val="32"/>
          <w:szCs w:val="32"/>
          <w:lang w:bidi="ar"/>
        </w:rPr>
        <w:t>年</w:t>
      </w:r>
      <w:r>
        <w:rPr>
          <w:rFonts w:hint="eastAsia" w:ascii="仿宋" w:hAnsi="仿宋" w:eastAsia="仿宋" w:cs="仿宋"/>
          <w:sz w:val="32"/>
          <w:szCs w:val="32"/>
          <w:lang w:val="en-US" w:eastAsia="zh-CN" w:bidi="ar"/>
        </w:rPr>
        <w:t>度</w:t>
      </w:r>
      <w:r>
        <w:rPr>
          <w:rFonts w:hint="eastAsia" w:ascii="仿宋" w:hAnsi="仿宋" w:eastAsia="仿宋" w:cs="仿宋"/>
          <w:sz w:val="32"/>
          <w:szCs w:val="32"/>
          <w:lang w:bidi="ar"/>
        </w:rPr>
        <w:t>一般公共预算财政拨款支出</w:t>
      </w:r>
      <w:r>
        <w:rPr>
          <w:rFonts w:hint="eastAsia" w:ascii="仿宋" w:hAnsi="仿宋" w:eastAsia="仿宋" w:cs="仿宋"/>
          <w:sz w:val="32"/>
          <w:szCs w:val="32"/>
          <w:lang w:val="en-US" w:eastAsia="zh-CN" w:bidi="ar"/>
        </w:rPr>
        <w:t>201.51</w:t>
      </w:r>
      <w:r>
        <w:rPr>
          <w:rFonts w:hint="eastAsia" w:ascii="仿宋" w:hAnsi="仿宋" w:eastAsia="仿宋" w:cs="仿宋"/>
          <w:sz w:val="32"/>
          <w:szCs w:val="32"/>
          <w:lang w:bidi="ar"/>
        </w:rPr>
        <w:t>万元，占本年支出合计的100%。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w:t>
      </w:r>
      <w:r>
        <w:rPr>
          <w:rFonts w:hint="eastAsia" w:ascii="仿宋" w:hAnsi="仿宋" w:eastAsia="仿宋" w:cs="仿宋"/>
          <w:sz w:val="32"/>
          <w:szCs w:val="32"/>
          <w:lang w:bidi="ar"/>
        </w:rPr>
        <w:t>，一般公共预算财政拨款支出</w:t>
      </w:r>
      <w:r>
        <w:rPr>
          <w:rFonts w:hint="eastAsia" w:ascii="Times New Roman" w:hAnsi="Times New Roman" w:eastAsia="仿宋_GB2312" w:cs="仿宋_GB2312"/>
          <w:color w:val="auto"/>
          <w:kern w:val="2"/>
          <w:sz w:val="32"/>
          <w:szCs w:val="32"/>
          <w:highlight w:val="none"/>
          <w:lang w:val="en-US" w:eastAsia="zh-CN" w:bidi="ar-SA"/>
        </w:rPr>
        <w:t>减少22.44万元</w:t>
      </w:r>
      <w:r>
        <w:rPr>
          <w:rFonts w:hint="eastAsia" w:ascii="仿宋" w:hAnsi="仿宋" w:eastAsia="仿宋" w:cs="仿宋"/>
          <w:sz w:val="32"/>
          <w:szCs w:val="32"/>
          <w:lang w:bidi="ar"/>
        </w:rPr>
        <w:t>，</w:t>
      </w:r>
      <w:r>
        <w:rPr>
          <w:rFonts w:hint="eastAsia" w:ascii="Times New Roman" w:hAnsi="Times New Roman" w:eastAsia="仿宋_GB2312" w:cs="仿宋_GB2312"/>
          <w:color w:val="auto"/>
          <w:kern w:val="2"/>
          <w:sz w:val="32"/>
          <w:szCs w:val="32"/>
          <w:highlight w:val="none"/>
          <w:lang w:val="en-US" w:eastAsia="zh-CN" w:bidi="ar-SA"/>
        </w:rPr>
        <w:t>下降6.24%</w:t>
      </w:r>
      <w:r>
        <w:rPr>
          <w:rFonts w:hint="eastAsia" w:ascii="仿宋" w:hAnsi="仿宋" w:eastAsia="仿宋" w:cs="仿宋"/>
          <w:sz w:val="32"/>
          <w:szCs w:val="32"/>
          <w:lang w:bidi="ar"/>
        </w:rPr>
        <w:t>。</w:t>
      </w:r>
      <w:r>
        <w:rPr>
          <w:rFonts w:hint="eastAsia" w:ascii="仿宋" w:hAnsi="仿宋" w:eastAsia="仿宋" w:cs="仿宋"/>
          <w:sz w:val="32"/>
          <w:szCs w:val="32"/>
        </w:rPr>
        <w:t>主要变动原因</w:t>
      </w:r>
      <w:r>
        <w:rPr>
          <w:rFonts w:hint="eastAsia" w:ascii="仿宋" w:hAnsi="仿宋" w:eastAsia="仿宋" w:cs="仿宋"/>
          <w:sz w:val="32"/>
          <w:szCs w:val="32"/>
          <w:lang w:val="en-US" w:eastAsia="zh-CN"/>
        </w:rPr>
        <w:t>人员编制减少，</w:t>
      </w:r>
      <w:r>
        <w:rPr>
          <w:rFonts w:hint="eastAsia" w:ascii="仿宋" w:hAnsi="仿宋" w:eastAsia="仿宋" w:cs="仿宋"/>
          <w:sz w:val="32"/>
          <w:szCs w:val="32"/>
        </w:rPr>
        <w:t>人员经费支出</w:t>
      </w:r>
      <w:r>
        <w:rPr>
          <w:rFonts w:hint="eastAsia" w:ascii="仿宋" w:hAnsi="仿宋" w:eastAsia="仿宋" w:cs="仿宋"/>
          <w:sz w:val="32"/>
          <w:szCs w:val="32"/>
          <w:lang w:val="en-US" w:eastAsia="zh-CN"/>
        </w:rPr>
        <w:t>减少</w:t>
      </w:r>
      <w:r>
        <w:rPr>
          <w:rFonts w:hint="eastAsia" w:ascii="仿宋" w:hAnsi="仿宋" w:eastAsia="仿宋" w:cs="仿宋"/>
          <w:sz w:val="32"/>
          <w:szCs w:val="32"/>
        </w:rPr>
        <w:t>。</w:t>
      </w:r>
    </w:p>
    <w:p w14:paraId="6BEFAA55">
      <w:pPr>
        <w:pStyle w:val="16"/>
        <w:spacing w:beforeAutospacing="0" w:afterAutospacing="0" w:line="560" w:lineRule="exact"/>
        <w:ind w:firstLine="640" w:firstLineChars="200"/>
        <w:rPr>
          <w:rFonts w:hint="eastAsia" w:ascii="仿宋" w:hAnsi="仿宋" w:eastAsia="仿宋" w:cs="仿宋"/>
          <w:sz w:val="32"/>
          <w:szCs w:val="32"/>
          <w:lang w:bidi="ar"/>
        </w:rPr>
      </w:pPr>
      <w:r>
        <w:rPr>
          <w:rFonts w:hint="eastAsia" w:ascii="仿宋" w:hAnsi="仿宋" w:eastAsia="仿宋" w:cs="仿宋"/>
          <w:sz w:val="32"/>
          <w:szCs w:val="32"/>
          <w:lang w:bidi="ar"/>
        </w:rPr>
        <w:t>（图5：一般公共预算财政拨款</w:t>
      </w:r>
      <w:r>
        <w:rPr>
          <w:rFonts w:hint="eastAsia" w:ascii="仿宋" w:hAnsi="仿宋" w:eastAsia="仿宋" w:cs="仿宋"/>
          <w:sz w:val="32"/>
          <w:szCs w:val="32"/>
          <w:lang w:eastAsia="zh-CN" w:bidi="ar"/>
        </w:rPr>
        <w:t>支出</w:t>
      </w:r>
      <w:r>
        <w:rPr>
          <w:rFonts w:hint="eastAsia" w:ascii="仿宋" w:hAnsi="仿宋" w:eastAsia="仿宋" w:cs="仿宋"/>
          <w:sz w:val="32"/>
          <w:szCs w:val="32"/>
          <w:lang w:val="en-US" w:eastAsia="zh-CN" w:bidi="ar"/>
        </w:rPr>
        <w:t>决算</w:t>
      </w:r>
      <w:r>
        <w:rPr>
          <w:rFonts w:hint="eastAsia" w:ascii="仿宋" w:hAnsi="仿宋" w:eastAsia="仿宋" w:cs="仿宋"/>
          <w:sz w:val="32"/>
          <w:szCs w:val="32"/>
          <w:lang w:bidi="ar"/>
        </w:rPr>
        <w:t>变动情况）（柱状图）</w:t>
      </w:r>
    </w:p>
    <w:p w14:paraId="646661B5">
      <w:pPr>
        <w:pStyle w:val="16"/>
        <w:spacing w:beforeAutospacing="0"/>
        <w:rPr>
          <w:rFonts w:hint="eastAsia"/>
        </w:rPr>
      </w:pPr>
      <w:r>
        <w:drawing>
          <wp:inline distT="0" distB="0" distL="114300" distR="114300">
            <wp:extent cx="5387340" cy="3152140"/>
            <wp:effectExtent l="4445" t="4445" r="18415" b="5715"/>
            <wp:docPr id="2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337C57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1"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1"/>
    </w:p>
    <w:p w14:paraId="33FC9018">
      <w:pPr>
        <w:keepNext w:val="0"/>
        <w:keepLines w:val="0"/>
        <w:pageBreakBefore w:val="0"/>
        <w:widowControl/>
        <w:kinsoku/>
        <w:wordWrap/>
        <w:overflowPunct/>
        <w:topLinePunct w:val="0"/>
        <w:autoSpaceDE/>
        <w:autoSpaceDN/>
        <w:bidi w:val="0"/>
        <w:adjustRightInd/>
        <w:snapToGrid/>
        <w:spacing w:line="600" w:lineRule="exact"/>
        <w:ind w:firstLine="1134"/>
        <w:textAlignment w:val="auto"/>
        <w:rPr>
          <w:rFonts w:hint="eastAsia" w:ascii="仿宋" w:hAnsi="仿宋" w:eastAsia="仿宋" w:cs="仿宋"/>
          <w:b/>
          <w:sz w:val="32"/>
          <w:szCs w:val="32"/>
        </w:rPr>
      </w:pPr>
      <w:r>
        <w:rPr>
          <w:rFonts w:hint="eastAsia" w:ascii="仿宋" w:hAnsi="仿宋" w:eastAsia="仿宋" w:cs="仿宋"/>
          <w:sz w:val="32"/>
          <w:szCs w:val="32"/>
          <w:lang w:bidi="ar"/>
        </w:rPr>
        <w:t>202</w:t>
      </w:r>
      <w:r>
        <w:rPr>
          <w:rFonts w:hint="eastAsia" w:ascii="仿宋" w:hAnsi="仿宋" w:eastAsia="仿宋" w:cs="仿宋"/>
          <w:sz w:val="32"/>
          <w:szCs w:val="32"/>
          <w:lang w:val="en-US" w:eastAsia="zh-CN" w:bidi="ar"/>
        </w:rPr>
        <w:t>5</w:t>
      </w:r>
      <w:r>
        <w:rPr>
          <w:rFonts w:hint="eastAsia" w:ascii="仿宋" w:hAnsi="仿宋" w:eastAsia="仿宋" w:cs="仿宋"/>
          <w:sz w:val="32"/>
          <w:szCs w:val="32"/>
          <w:lang w:bidi="ar"/>
        </w:rPr>
        <w:t>年</w:t>
      </w:r>
      <w:r>
        <w:rPr>
          <w:rFonts w:hint="eastAsia" w:ascii="仿宋" w:hAnsi="仿宋" w:eastAsia="仿宋" w:cs="仿宋"/>
          <w:sz w:val="32"/>
          <w:szCs w:val="32"/>
          <w:lang w:val="en-US" w:eastAsia="zh-CN" w:bidi="ar"/>
        </w:rPr>
        <w:t>度</w:t>
      </w:r>
      <w:r>
        <w:rPr>
          <w:rFonts w:hint="eastAsia" w:ascii="仿宋" w:hAnsi="仿宋" w:eastAsia="仿宋" w:cs="仿宋"/>
          <w:sz w:val="32"/>
          <w:szCs w:val="32"/>
          <w:lang w:bidi="ar"/>
        </w:rPr>
        <w:t>一般公共预算财政拨款支出</w:t>
      </w:r>
      <w:r>
        <w:rPr>
          <w:rFonts w:hint="eastAsia" w:ascii="仿宋" w:hAnsi="仿宋" w:eastAsia="仿宋" w:cs="仿宋"/>
          <w:sz w:val="32"/>
          <w:szCs w:val="32"/>
          <w:lang w:val="en-US" w:eastAsia="zh-CN" w:bidi="ar"/>
        </w:rPr>
        <w:t>201.51</w:t>
      </w:r>
      <w:r>
        <w:rPr>
          <w:rFonts w:hint="eastAsia" w:ascii="仿宋" w:hAnsi="仿宋" w:eastAsia="仿宋" w:cs="仿宋"/>
          <w:sz w:val="32"/>
          <w:szCs w:val="32"/>
          <w:lang w:bidi="ar"/>
        </w:rPr>
        <w:t>万元，主要用于以下方面</w:t>
      </w:r>
      <w:r>
        <w:rPr>
          <w:rFonts w:hint="eastAsia" w:ascii="仿宋" w:hAnsi="仿宋" w:eastAsia="仿宋" w:cs="仿宋"/>
          <w:sz w:val="32"/>
          <w:szCs w:val="32"/>
          <w:lang w:eastAsia="zh-CN" w:bidi="ar"/>
        </w:rPr>
        <w:t>：</w:t>
      </w:r>
      <w:r>
        <w:rPr>
          <w:rFonts w:hint="eastAsia" w:ascii="仿宋" w:hAnsi="仿宋" w:eastAsia="仿宋" w:cs="仿宋"/>
          <w:sz w:val="32"/>
          <w:szCs w:val="32"/>
          <w:lang w:bidi="ar"/>
        </w:rPr>
        <w:t>节能环保支出</w:t>
      </w:r>
      <w:r>
        <w:rPr>
          <w:rFonts w:hint="eastAsia" w:ascii="仿宋" w:hAnsi="仿宋" w:eastAsia="仿宋" w:cs="仿宋"/>
          <w:sz w:val="32"/>
          <w:szCs w:val="32"/>
          <w:lang w:val="en-US" w:eastAsia="zh-CN" w:bidi="ar"/>
        </w:rPr>
        <w:t>137.12</w:t>
      </w:r>
      <w:r>
        <w:rPr>
          <w:rFonts w:hint="eastAsia" w:ascii="仿宋" w:hAnsi="仿宋" w:eastAsia="仿宋" w:cs="仿宋"/>
          <w:sz w:val="32"/>
          <w:szCs w:val="32"/>
          <w:lang w:bidi="ar"/>
        </w:rPr>
        <w:t>万元，占</w:t>
      </w:r>
      <w:r>
        <w:rPr>
          <w:rFonts w:hint="eastAsia" w:ascii="仿宋" w:hAnsi="仿宋" w:eastAsia="仿宋" w:cs="仿宋"/>
          <w:sz w:val="32"/>
          <w:szCs w:val="32"/>
          <w:lang w:val="en-US" w:eastAsia="zh-CN" w:bidi="ar"/>
        </w:rPr>
        <w:t>68.05</w:t>
      </w:r>
      <w:r>
        <w:rPr>
          <w:rFonts w:hint="eastAsia" w:ascii="仿宋" w:hAnsi="仿宋" w:eastAsia="仿宋" w:cs="仿宋"/>
          <w:sz w:val="32"/>
          <w:szCs w:val="32"/>
          <w:lang w:bidi="ar"/>
        </w:rPr>
        <w:t>%；社会保障和就业支出</w:t>
      </w:r>
      <w:r>
        <w:rPr>
          <w:rFonts w:hint="eastAsia" w:ascii="仿宋" w:hAnsi="仿宋" w:eastAsia="仿宋" w:cs="仿宋"/>
          <w:sz w:val="32"/>
          <w:szCs w:val="32"/>
          <w:lang w:val="en-US" w:eastAsia="zh-CN" w:bidi="ar"/>
        </w:rPr>
        <w:t>33.31</w:t>
      </w:r>
      <w:r>
        <w:rPr>
          <w:rFonts w:hint="eastAsia" w:ascii="仿宋" w:hAnsi="仿宋" w:eastAsia="仿宋" w:cs="仿宋"/>
          <w:sz w:val="32"/>
          <w:szCs w:val="32"/>
          <w:lang w:bidi="ar"/>
        </w:rPr>
        <w:t>万元，占</w:t>
      </w:r>
      <w:r>
        <w:rPr>
          <w:rFonts w:hint="eastAsia" w:ascii="仿宋" w:hAnsi="仿宋" w:eastAsia="仿宋" w:cs="仿宋"/>
          <w:sz w:val="32"/>
          <w:szCs w:val="32"/>
          <w:lang w:val="en-US" w:eastAsia="zh-CN" w:bidi="ar"/>
        </w:rPr>
        <w:t>16.53</w:t>
      </w:r>
      <w:r>
        <w:rPr>
          <w:rFonts w:hint="eastAsia" w:ascii="仿宋" w:hAnsi="仿宋" w:eastAsia="仿宋" w:cs="仿宋"/>
          <w:sz w:val="32"/>
          <w:szCs w:val="32"/>
          <w:lang w:bidi="ar"/>
        </w:rPr>
        <w:t>%；卫生健康支出</w:t>
      </w:r>
      <w:r>
        <w:rPr>
          <w:rFonts w:hint="eastAsia" w:ascii="仿宋" w:hAnsi="仿宋" w:eastAsia="仿宋" w:cs="仿宋"/>
          <w:sz w:val="32"/>
          <w:szCs w:val="32"/>
          <w:lang w:val="en-US" w:eastAsia="zh-CN" w:bidi="ar"/>
        </w:rPr>
        <w:t>12.94</w:t>
      </w:r>
      <w:r>
        <w:rPr>
          <w:rFonts w:hint="eastAsia" w:ascii="仿宋" w:hAnsi="仿宋" w:eastAsia="仿宋" w:cs="仿宋"/>
          <w:sz w:val="32"/>
          <w:szCs w:val="32"/>
          <w:lang w:bidi="ar"/>
        </w:rPr>
        <w:t>万元，占</w:t>
      </w:r>
      <w:r>
        <w:rPr>
          <w:rFonts w:hint="eastAsia" w:ascii="仿宋" w:hAnsi="仿宋" w:eastAsia="仿宋" w:cs="仿宋"/>
          <w:sz w:val="32"/>
          <w:szCs w:val="32"/>
          <w:lang w:val="en-US" w:eastAsia="zh-CN" w:bidi="ar"/>
        </w:rPr>
        <w:t>6.42</w:t>
      </w:r>
      <w:r>
        <w:rPr>
          <w:rFonts w:hint="eastAsia" w:ascii="仿宋" w:hAnsi="仿宋" w:eastAsia="仿宋" w:cs="仿宋"/>
          <w:sz w:val="32"/>
          <w:szCs w:val="32"/>
          <w:lang w:bidi="ar"/>
        </w:rPr>
        <w:t>%；住房保障支出</w:t>
      </w:r>
      <w:r>
        <w:rPr>
          <w:rFonts w:hint="eastAsia" w:ascii="仿宋" w:hAnsi="仿宋" w:eastAsia="仿宋" w:cs="仿宋"/>
          <w:sz w:val="32"/>
          <w:szCs w:val="32"/>
          <w:lang w:val="en-US" w:eastAsia="zh-CN" w:bidi="ar"/>
        </w:rPr>
        <w:t>18.13</w:t>
      </w:r>
      <w:r>
        <w:rPr>
          <w:rFonts w:hint="eastAsia" w:ascii="仿宋" w:hAnsi="仿宋" w:eastAsia="仿宋" w:cs="仿宋"/>
          <w:sz w:val="32"/>
          <w:szCs w:val="32"/>
          <w:lang w:bidi="ar"/>
        </w:rPr>
        <w:t>万元，占</w:t>
      </w:r>
      <w:r>
        <w:rPr>
          <w:rFonts w:hint="eastAsia" w:ascii="仿宋" w:hAnsi="仿宋" w:eastAsia="仿宋" w:cs="仿宋"/>
          <w:sz w:val="32"/>
          <w:szCs w:val="32"/>
          <w:lang w:val="en-US" w:eastAsia="zh-CN" w:bidi="ar"/>
        </w:rPr>
        <w:t>9.00</w:t>
      </w:r>
      <w:r>
        <w:rPr>
          <w:rFonts w:hint="eastAsia" w:ascii="仿宋" w:hAnsi="仿宋" w:eastAsia="仿宋" w:cs="仿宋"/>
          <w:sz w:val="32"/>
          <w:szCs w:val="32"/>
          <w:lang w:bidi="ar"/>
        </w:rPr>
        <w:t>%。</w:t>
      </w:r>
      <w:r>
        <w:rPr>
          <w:rFonts w:hint="eastAsia" w:ascii="仿宋" w:hAnsi="仿宋" w:eastAsia="仿宋" w:cs="仿宋"/>
          <w:b/>
          <w:sz w:val="32"/>
          <w:szCs w:val="32"/>
        </w:rPr>
        <w:t>（注：仅罗列本单位涉及的全部功能分类科目，至类级。）</w:t>
      </w:r>
    </w:p>
    <w:p w14:paraId="7B30B96A">
      <w:pPr>
        <w:pStyle w:val="16"/>
        <w:spacing w:beforeAutospacing="0" w:afterAutospacing="0" w:line="560" w:lineRule="exact"/>
        <w:ind w:firstLine="640" w:firstLineChars="200"/>
        <w:rPr>
          <w:rFonts w:hint="eastAsia" w:ascii="仿宋" w:hAnsi="仿宋" w:eastAsia="仿宋" w:cs="仿宋"/>
          <w:sz w:val="32"/>
          <w:szCs w:val="32"/>
          <w:lang w:bidi="ar"/>
        </w:rPr>
      </w:pPr>
      <w:r>
        <w:rPr>
          <w:rFonts w:hint="eastAsia" w:ascii="仿宋" w:hAnsi="仿宋" w:eastAsia="仿宋" w:cs="仿宋"/>
          <w:sz w:val="32"/>
          <w:szCs w:val="32"/>
          <w:lang w:bidi="ar"/>
        </w:rPr>
        <w:t>（图6：一般公共预算财政拨款支出决算结构）（饼状图）</w:t>
      </w:r>
    </w:p>
    <w:p w14:paraId="17460967">
      <w:pPr>
        <w:pStyle w:val="16"/>
        <w:spacing w:beforeAutospacing="0"/>
        <w:rPr>
          <w:rFonts w:hint="eastAsia"/>
        </w:rPr>
      </w:pPr>
      <w:r>
        <w:drawing>
          <wp:inline distT="0" distB="0" distL="114300" distR="114300">
            <wp:extent cx="5473700" cy="2980690"/>
            <wp:effectExtent l="5080" t="4445" r="7620" b="5715"/>
            <wp:docPr id="4" name="图表 3" descr="7b0a202020202263686172745265734964223a20223230343734373338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FEA1CF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2"/>
    </w:p>
    <w:p w14:paraId="539F87A8">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2024年一般公共预算支出决算数为</w:t>
      </w:r>
      <w:r>
        <w:rPr>
          <w:rFonts w:hint="eastAsia" w:ascii="仿宋" w:hAnsi="仿宋" w:eastAsia="仿宋" w:cs="仿宋"/>
          <w:sz w:val="32"/>
          <w:szCs w:val="32"/>
          <w:lang w:bidi="ar"/>
        </w:rPr>
        <w:t>278.17</w:t>
      </w:r>
      <w:r>
        <w:rPr>
          <w:rFonts w:hint="eastAsia" w:ascii="仿宋" w:hAnsi="仿宋" w:eastAsia="仿宋" w:cs="仿宋"/>
          <w:sz w:val="32"/>
          <w:szCs w:val="32"/>
        </w:rPr>
        <w:t>万元，完成预算100%。其中：</w:t>
      </w:r>
    </w:p>
    <w:p w14:paraId="2A240B94">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1.社会保障和就业支出（208）行政事业单位养老支出（20805）机关事业单位基本养老保险缴费支出（2080505）</w:t>
      </w:r>
      <w:r>
        <w:rPr>
          <w:rFonts w:hint="eastAsia" w:ascii="仿宋" w:hAnsi="仿宋" w:eastAsia="仿宋" w:cs="仿宋"/>
          <w:sz w:val="32"/>
          <w:szCs w:val="32"/>
          <w:lang w:eastAsia="zh-CN"/>
        </w:rPr>
        <w:t>：</w:t>
      </w:r>
      <w:r>
        <w:rPr>
          <w:rFonts w:hint="eastAsia" w:ascii="仿宋" w:hAnsi="仿宋" w:eastAsia="仿宋" w:cs="仿宋"/>
          <w:sz w:val="32"/>
          <w:szCs w:val="32"/>
        </w:rPr>
        <w:t>支出决算为</w:t>
      </w:r>
      <w:r>
        <w:rPr>
          <w:rFonts w:hint="eastAsia" w:ascii="仿宋" w:hAnsi="仿宋" w:eastAsia="仿宋" w:cs="仿宋"/>
          <w:sz w:val="32"/>
          <w:szCs w:val="32"/>
          <w:lang w:val="en-US" w:eastAsia="zh-CN"/>
        </w:rPr>
        <w:t>22.21</w:t>
      </w:r>
      <w:r>
        <w:rPr>
          <w:rFonts w:hint="eastAsia" w:ascii="仿宋" w:hAnsi="仿宋" w:eastAsia="仿宋" w:cs="仿宋"/>
          <w:sz w:val="32"/>
          <w:szCs w:val="32"/>
        </w:rPr>
        <w:t>万元，完成预算100%。</w:t>
      </w:r>
    </w:p>
    <w:p w14:paraId="43DCF48C">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2.社会保障和就业支出（208）行政事业单位养老支出（20805）机关事业单位职业年金缴费支出（2080506）</w:t>
      </w:r>
      <w:r>
        <w:rPr>
          <w:rFonts w:hint="eastAsia" w:ascii="仿宋" w:hAnsi="仿宋" w:eastAsia="仿宋" w:cs="仿宋"/>
          <w:sz w:val="32"/>
          <w:szCs w:val="32"/>
          <w:lang w:eastAsia="zh-CN"/>
        </w:rPr>
        <w:t>：</w:t>
      </w:r>
      <w:r>
        <w:rPr>
          <w:rFonts w:hint="eastAsia" w:ascii="仿宋" w:hAnsi="仿宋" w:eastAsia="仿宋" w:cs="仿宋"/>
          <w:sz w:val="32"/>
          <w:szCs w:val="32"/>
        </w:rPr>
        <w:t>支出决算为</w:t>
      </w:r>
      <w:r>
        <w:rPr>
          <w:rFonts w:hint="eastAsia" w:ascii="仿宋" w:hAnsi="仿宋" w:eastAsia="仿宋" w:cs="仿宋"/>
          <w:sz w:val="32"/>
          <w:szCs w:val="32"/>
          <w:lang w:val="en-US" w:eastAsia="zh-CN"/>
        </w:rPr>
        <w:t>11.10</w:t>
      </w:r>
      <w:r>
        <w:rPr>
          <w:rFonts w:hint="eastAsia" w:ascii="仿宋" w:hAnsi="仿宋" w:eastAsia="仿宋" w:cs="仿宋"/>
          <w:sz w:val="32"/>
          <w:szCs w:val="32"/>
        </w:rPr>
        <w:t>万元，完成预算100%。</w:t>
      </w:r>
    </w:p>
    <w:p w14:paraId="0E9E7927">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3.卫生健康支出（210）行政事业单位医疗（21011）事业单位医疗（2101102）</w:t>
      </w:r>
      <w:r>
        <w:rPr>
          <w:rFonts w:hint="eastAsia" w:ascii="仿宋" w:hAnsi="仿宋" w:eastAsia="仿宋" w:cs="仿宋"/>
          <w:sz w:val="32"/>
          <w:szCs w:val="32"/>
          <w:lang w:eastAsia="zh-CN"/>
        </w:rPr>
        <w:t>：</w:t>
      </w:r>
      <w:r>
        <w:rPr>
          <w:rFonts w:hint="eastAsia" w:ascii="仿宋" w:hAnsi="仿宋" w:eastAsia="仿宋" w:cs="仿宋"/>
          <w:sz w:val="32"/>
          <w:szCs w:val="32"/>
        </w:rPr>
        <w:t>支出决算为</w:t>
      </w:r>
      <w:r>
        <w:rPr>
          <w:rFonts w:hint="eastAsia" w:ascii="仿宋" w:hAnsi="仿宋" w:eastAsia="仿宋" w:cs="仿宋"/>
          <w:sz w:val="32"/>
          <w:szCs w:val="32"/>
          <w:lang w:val="en-US" w:eastAsia="zh-CN"/>
        </w:rPr>
        <w:t>10.95</w:t>
      </w:r>
      <w:r>
        <w:rPr>
          <w:rFonts w:hint="eastAsia" w:ascii="仿宋" w:hAnsi="仿宋" w:eastAsia="仿宋" w:cs="仿宋"/>
          <w:sz w:val="32"/>
          <w:szCs w:val="32"/>
        </w:rPr>
        <w:t>万元，完成预算100%。</w:t>
      </w:r>
    </w:p>
    <w:p w14:paraId="709A7BEC">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4.卫生健康支出（210）行政事业单位医疗（21011）其他行政事业单位医疗支出（2101199）</w:t>
      </w:r>
      <w:r>
        <w:rPr>
          <w:rFonts w:hint="eastAsia" w:ascii="仿宋" w:hAnsi="仿宋" w:eastAsia="仿宋" w:cs="仿宋"/>
          <w:sz w:val="32"/>
          <w:szCs w:val="32"/>
          <w:lang w:eastAsia="zh-CN"/>
        </w:rPr>
        <w:t>：</w:t>
      </w:r>
      <w:r>
        <w:rPr>
          <w:rFonts w:hint="eastAsia" w:ascii="仿宋" w:hAnsi="仿宋" w:eastAsia="仿宋" w:cs="仿宋"/>
          <w:sz w:val="32"/>
          <w:szCs w:val="32"/>
        </w:rPr>
        <w:t>支出决算为</w:t>
      </w:r>
      <w:r>
        <w:rPr>
          <w:rFonts w:hint="eastAsia" w:ascii="仿宋" w:hAnsi="仿宋" w:eastAsia="仿宋" w:cs="仿宋"/>
          <w:sz w:val="32"/>
          <w:szCs w:val="32"/>
          <w:lang w:val="en-US" w:eastAsia="zh-CN"/>
        </w:rPr>
        <w:t>1.99</w:t>
      </w:r>
      <w:r>
        <w:rPr>
          <w:rFonts w:hint="eastAsia" w:ascii="仿宋" w:hAnsi="仿宋" w:eastAsia="仿宋" w:cs="仿宋"/>
          <w:sz w:val="32"/>
          <w:szCs w:val="32"/>
        </w:rPr>
        <w:t>万元，完成预算100%。</w:t>
      </w:r>
    </w:p>
    <w:p w14:paraId="7190F3C2">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5.节能环保支出（211）环境监测与监察（21102）其他环境监测与监察支出（2110299）</w:t>
      </w:r>
      <w:r>
        <w:rPr>
          <w:rFonts w:hint="eastAsia" w:ascii="仿宋" w:hAnsi="仿宋" w:eastAsia="仿宋" w:cs="仿宋"/>
          <w:sz w:val="32"/>
          <w:szCs w:val="32"/>
          <w:lang w:eastAsia="zh-CN"/>
        </w:rPr>
        <w:t>：</w:t>
      </w:r>
      <w:r>
        <w:rPr>
          <w:rFonts w:hint="eastAsia" w:ascii="仿宋" w:hAnsi="仿宋" w:eastAsia="仿宋" w:cs="仿宋"/>
          <w:sz w:val="32"/>
          <w:szCs w:val="32"/>
        </w:rPr>
        <w:t>支出决算为</w:t>
      </w:r>
      <w:r>
        <w:rPr>
          <w:rFonts w:hint="eastAsia" w:ascii="仿宋" w:hAnsi="仿宋" w:eastAsia="仿宋" w:cs="仿宋"/>
          <w:sz w:val="32"/>
          <w:szCs w:val="32"/>
          <w:lang w:val="en-US" w:eastAsia="zh-CN"/>
        </w:rPr>
        <w:t>137.12</w:t>
      </w:r>
      <w:r>
        <w:rPr>
          <w:rFonts w:hint="eastAsia" w:ascii="仿宋" w:hAnsi="仿宋" w:eastAsia="仿宋" w:cs="仿宋"/>
          <w:sz w:val="32"/>
          <w:szCs w:val="32"/>
        </w:rPr>
        <w:t>万元，完成预算100%。</w:t>
      </w:r>
    </w:p>
    <w:p w14:paraId="60E45063">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6.住房保障支出（221）住房改革支出（22102）住房公积金（2210201）</w:t>
      </w:r>
      <w:r>
        <w:rPr>
          <w:rFonts w:hint="eastAsia" w:ascii="仿宋" w:hAnsi="仿宋" w:eastAsia="仿宋" w:cs="仿宋"/>
          <w:sz w:val="32"/>
          <w:szCs w:val="32"/>
          <w:lang w:eastAsia="zh-CN"/>
        </w:rPr>
        <w:t>：</w:t>
      </w:r>
      <w:r>
        <w:rPr>
          <w:rFonts w:hint="eastAsia" w:ascii="仿宋" w:hAnsi="仿宋" w:eastAsia="仿宋" w:cs="仿宋"/>
          <w:sz w:val="32"/>
          <w:szCs w:val="32"/>
        </w:rPr>
        <w:t>支出决算为</w:t>
      </w:r>
      <w:r>
        <w:rPr>
          <w:rFonts w:hint="eastAsia" w:ascii="仿宋" w:hAnsi="仿宋" w:eastAsia="仿宋" w:cs="仿宋"/>
          <w:sz w:val="32"/>
          <w:szCs w:val="32"/>
          <w:lang w:val="en-US" w:eastAsia="zh-CN"/>
        </w:rPr>
        <w:t>18.3</w:t>
      </w:r>
      <w:r>
        <w:rPr>
          <w:rFonts w:hint="eastAsia" w:ascii="仿宋" w:hAnsi="仿宋" w:eastAsia="仿宋" w:cs="仿宋"/>
          <w:sz w:val="32"/>
          <w:szCs w:val="32"/>
        </w:rPr>
        <w:t>万元，完成预算100%。</w:t>
      </w:r>
    </w:p>
    <w:p w14:paraId="31ECC9FF">
      <w:pPr>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（注：仅罗列本单位涉及的全部功能分类科目，至项级。上述“预算”口径为全年预算数。增减变动原因为决算数</w:t>
      </w:r>
      <w:r>
        <w:rPr>
          <w:rFonts w:hint="eastAsia" w:ascii="仿宋" w:hAnsi="仿宋" w:eastAsia="仿宋" w:cs="仿宋"/>
          <w:b/>
          <w:bCs/>
          <w:sz w:val="32"/>
          <w:szCs w:val="32"/>
          <w:lang w:eastAsia="zh-CN"/>
        </w:rPr>
        <w:t>〈</w:t>
      </w:r>
      <w:r>
        <w:rPr>
          <w:rFonts w:hint="eastAsia" w:ascii="仿宋" w:hAnsi="仿宋" w:eastAsia="仿宋" w:cs="仿宋"/>
          <w:b/>
          <w:bCs/>
          <w:sz w:val="32"/>
          <w:szCs w:val="32"/>
        </w:rPr>
        <w:t>项级</w:t>
      </w:r>
      <w:r>
        <w:rPr>
          <w:rFonts w:hint="eastAsia" w:ascii="仿宋" w:hAnsi="仿宋" w:eastAsia="仿宋" w:cs="仿宋"/>
          <w:b/>
          <w:bCs/>
          <w:sz w:val="32"/>
          <w:szCs w:val="32"/>
          <w:lang w:eastAsia="zh-CN"/>
        </w:rPr>
        <w:t>〉</w:t>
      </w:r>
      <w:r>
        <w:rPr>
          <w:rFonts w:hint="eastAsia" w:ascii="仿宋" w:hAnsi="仿宋" w:eastAsia="仿宋" w:cs="仿宋"/>
          <w:b/>
          <w:bCs/>
          <w:sz w:val="32"/>
          <w:szCs w:val="32"/>
        </w:rPr>
        <w:t>和全年预算数</w:t>
      </w:r>
      <w:r>
        <w:rPr>
          <w:rFonts w:hint="eastAsia" w:ascii="仿宋" w:hAnsi="仿宋" w:eastAsia="仿宋" w:cs="仿宋"/>
          <w:b/>
          <w:bCs/>
          <w:sz w:val="32"/>
          <w:szCs w:val="32"/>
          <w:lang w:eastAsia="zh-CN"/>
        </w:rPr>
        <w:t>〈</w:t>
      </w:r>
      <w:r>
        <w:rPr>
          <w:rFonts w:hint="eastAsia" w:ascii="仿宋" w:hAnsi="仿宋" w:eastAsia="仿宋" w:cs="仿宋"/>
          <w:b/>
          <w:bCs/>
          <w:sz w:val="32"/>
          <w:szCs w:val="32"/>
        </w:rPr>
        <w:t>项级</w:t>
      </w:r>
      <w:r>
        <w:rPr>
          <w:rFonts w:hint="eastAsia" w:ascii="仿宋" w:hAnsi="仿宋" w:eastAsia="仿宋" w:cs="仿宋"/>
          <w:b/>
          <w:bCs/>
          <w:sz w:val="32"/>
          <w:szCs w:val="32"/>
          <w:lang w:eastAsia="zh-CN"/>
        </w:rPr>
        <w:t>〉</w:t>
      </w:r>
      <w:r>
        <w:rPr>
          <w:rFonts w:hint="eastAsia" w:ascii="仿宋" w:hAnsi="仿宋" w:eastAsia="仿宋" w:cs="仿宋"/>
          <w:b/>
          <w:bCs/>
          <w:sz w:val="32"/>
          <w:szCs w:val="32"/>
        </w:rPr>
        <w:t>比较，与预算数持平可以不写原因。）</w:t>
      </w:r>
    </w:p>
    <w:p w14:paraId="640E01EB">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rPr>
          <w:rFonts w:ascii="黑体" w:hAnsi="黑体" w:eastAsia="黑体" w:cs="黑体"/>
          <w:b w:val="0"/>
          <w:bCs w:val="0"/>
          <w:sz w:val="32"/>
          <w:szCs w:val="32"/>
          <w:shd w:val="clear" w:color="auto" w:fill="FFFFFF"/>
        </w:rPr>
      </w:pPr>
      <w:bookmarkStart w:id="33" w:name="_Toc15162"/>
      <w:bookmarkStart w:id="34" w:name="_Toc12367"/>
      <w:r>
        <w:rPr>
          <w:rFonts w:ascii="黑体" w:hAnsi="黑体" w:eastAsia="黑体" w:cs="黑体"/>
          <w:b w:val="0"/>
          <w:bCs w:val="0"/>
          <w:sz w:val="32"/>
          <w:szCs w:val="32"/>
          <w:shd w:val="clear" w:color="auto" w:fill="FFFFFF"/>
        </w:rPr>
        <w:t>六、一般公共预算财政拨款基本支出决算情况说明</w:t>
      </w:r>
      <w:bookmarkEnd w:id="33"/>
      <w:bookmarkEnd w:id="34"/>
    </w:p>
    <w:p w14:paraId="086C7CC0">
      <w:pPr>
        <w:keepNext w:val="0"/>
        <w:keepLines w:val="0"/>
        <w:pageBreakBefore w:val="0"/>
        <w:widowControl/>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w:t>
      </w:r>
      <w:r>
        <w:rPr>
          <w:rFonts w:hint="eastAsia" w:ascii="仿宋" w:hAnsi="仿宋" w:eastAsia="仿宋" w:cs="仿宋"/>
          <w:sz w:val="32"/>
          <w:szCs w:val="32"/>
          <w:lang w:val="en-US" w:eastAsia="zh-CN"/>
        </w:rPr>
        <w:t>度</w:t>
      </w:r>
      <w:r>
        <w:rPr>
          <w:rFonts w:hint="eastAsia" w:ascii="仿宋" w:hAnsi="仿宋" w:eastAsia="仿宋" w:cs="仿宋"/>
          <w:sz w:val="32"/>
          <w:szCs w:val="32"/>
        </w:rPr>
        <w:t>一般公共预算财政拨款基本支出</w:t>
      </w:r>
      <w:r>
        <w:rPr>
          <w:rFonts w:hint="eastAsia" w:ascii="仿宋" w:hAnsi="仿宋" w:eastAsia="仿宋" w:cs="仿宋"/>
          <w:sz w:val="32"/>
          <w:szCs w:val="32"/>
          <w:lang w:val="en-US" w:eastAsia="zh-CN"/>
        </w:rPr>
        <w:t>201.51</w:t>
      </w:r>
      <w:r>
        <w:rPr>
          <w:rFonts w:hint="eastAsia" w:ascii="仿宋" w:hAnsi="仿宋" w:eastAsia="仿宋" w:cs="仿宋"/>
          <w:sz w:val="32"/>
          <w:szCs w:val="32"/>
        </w:rPr>
        <w:t>万元，其中：人员经费</w:t>
      </w:r>
      <w:r>
        <w:rPr>
          <w:rFonts w:hint="eastAsia" w:ascii="仿宋" w:hAnsi="仿宋" w:eastAsia="仿宋" w:cs="仿宋"/>
          <w:sz w:val="32"/>
          <w:szCs w:val="32"/>
          <w:lang w:val="en-US" w:eastAsia="zh-CN"/>
        </w:rPr>
        <w:t>180.65</w:t>
      </w:r>
      <w:r>
        <w:rPr>
          <w:rFonts w:hint="eastAsia" w:ascii="仿宋" w:hAnsi="仿宋" w:eastAsia="仿宋" w:cs="仿宋"/>
          <w:sz w:val="32"/>
          <w:szCs w:val="32"/>
        </w:rPr>
        <w:t>万元，主要包括：基本工资</w:t>
      </w:r>
      <w:r>
        <w:rPr>
          <w:rFonts w:hint="eastAsia" w:ascii="仿宋" w:hAnsi="仿宋" w:eastAsia="仿宋" w:cs="仿宋"/>
          <w:sz w:val="32"/>
          <w:szCs w:val="32"/>
          <w:lang w:val="en-US" w:eastAsia="zh-CN"/>
        </w:rPr>
        <w:t>52.61</w:t>
      </w:r>
      <w:r>
        <w:rPr>
          <w:rFonts w:hint="eastAsia" w:ascii="仿宋" w:hAnsi="仿宋" w:eastAsia="仿宋" w:cs="仿宋"/>
          <w:sz w:val="32"/>
          <w:szCs w:val="32"/>
        </w:rPr>
        <w:t>万元、津贴补贴</w:t>
      </w:r>
      <w:r>
        <w:rPr>
          <w:rFonts w:hint="eastAsia" w:ascii="仿宋" w:hAnsi="仿宋" w:eastAsia="仿宋" w:cs="仿宋"/>
          <w:sz w:val="32"/>
          <w:szCs w:val="32"/>
          <w:lang w:val="en-US" w:eastAsia="zh-CN"/>
        </w:rPr>
        <w:t>21.16</w:t>
      </w:r>
      <w:r>
        <w:rPr>
          <w:rFonts w:hint="eastAsia" w:ascii="仿宋" w:hAnsi="仿宋" w:eastAsia="仿宋" w:cs="仿宋"/>
          <w:sz w:val="32"/>
          <w:szCs w:val="32"/>
        </w:rPr>
        <w:t>万元、绩效工资</w:t>
      </w:r>
      <w:r>
        <w:rPr>
          <w:rFonts w:hint="eastAsia" w:ascii="仿宋" w:hAnsi="仿宋" w:eastAsia="仿宋" w:cs="仿宋"/>
          <w:sz w:val="32"/>
          <w:szCs w:val="32"/>
          <w:lang w:val="en-US" w:eastAsia="zh-CN"/>
        </w:rPr>
        <w:t>41.25</w:t>
      </w:r>
      <w:r>
        <w:rPr>
          <w:rFonts w:hint="eastAsia" w:ascii="仿宋" w:hAnsi="仿宋" w:eastAsia="仿宋" w:cs="仿宋"/>
          <w:sz w:val="32"/>
          <w:szCs w:val="32"/>
        </w:rPr>
        <w:t>万元、机关事业单位基本养老保险缴费</w:t>
      </w:r>
      <w:r>
        <w:rPr>
          <w:rFonts w:hint="eastAsia" w:ascii="仿宋" w:hAnsi="仿宋" w:eastAsia="仿宋" w:cs="仿宋"/>
          <w:sz w:val="32"/>
          <w:szCs w:val="32"/>
          <w:lang w:val="en-US" w:eastAsia="zh-CN"/>
        </w:rPr>
        <w:t>22.21</w:t>
      </w:r>
      <w:r>
        <w:rPr>
          <w:rFonts w:hint="eastAsia" w:ascii="仿宋" w:hAnsi="仿宋" w:eastAsia="仿宋" w:cs="仿宋"/>
          <w:sz w:val="32"/>
          <w:szCs w:val="32"/>
        </w:rPr>
        <w:t>万元、职业年金缴费</w:t>
      </w:r>
      <w:r>
        <w:rPr>
          <w:rFonts w:hint="eastAsia" w:ascii="仿宋" w:hAnsi="仿宋" w:eastAsia="仿宋" w:cs="仿宋"/>
          <w:sz w:val="32"/>
          <w:szCs w:val="32"/>
          <w:lang w:val="en-US" w:eastAsia="zh-CN"/>
        </w:rPr>
        <w:t>11.10</w:t>
      </w:r>
      <w:r>
        <w:rPr>
          <w:rFonts w:hint="eastAsia" w:ascii="仿宋" w:hAnsi="仿宋" w:eastAsia="仿宋" w:cs="仿宋"/>
          <w:sz w:val="32"/>
          <w:szCs w:val="32"/>
        </w:rPr>
        <w:t>万元、职工基本医疗保险缴费</w:t>
      </w:r>
      <w:r>
        <w:rPr>
          <w:rFonts w:hint="eastAsia" w:ascii="仿宋" w:hAnsi="仿宋" w:eastAsia="仿宋" w:cs="仿宋"/>
          <w:sz w:val="32"/>
          <w:szCs w:val="32"/>
          <w:lang w:val="en-US" w:eastAsia="zh-CN"/>
        </w:rPr>
        <w:t>10.96</w:t>
      </w:r>
      <w:r>
        <w:rPr>
          <w:rFonts w:hint="eastAsia" w:ascii="仿宋" w:hAnsi="仿宋" w:eastAsia="仿宋" w:cs="仿宋"/>
          <w:sz w:val="32"/>
          <w:szCs w:val="32"/>
        </w:rPr>
        <w:t>万元、其他社会保障缴费</w:t>
      </w:r>
      <w:r>
        <w:rPr>
          <w:rFonts w:hint="eastAsia" w:ascii="仿宋" w:hAnsi="仿宋" w:eastAsia="仿宋" w:cs="仿宋"/>
          <w:sz w:val="32"/>
          <w:szCs w:val="32"/>
          <w:lang w:val="en-US" w:eastAsia="zh-CN"/>
        </w:rPr>
        <w:t>3.23</w:t>
      </w:r>
      <w:r>
        <w:rPr>
          <w:rFonts w:hint="eastAsia" w:ascii="仿宋" w:hAnsi="仿宋" w:eastAsia="仿宋" w:cs="仿宋"/>
          <w:sz w:val="32"/>
          <w:szCs w:val="32"/>
        </w:rPr>
        <w:t>万元、医疗费补助0万元、奖励金0万元、住房公积金</w:t>
      </w:r>
      <w:r>
        <w:rPr>
          <w:rFonts w:hint="eastAsia" w:ascii="仿宋" w:hAnsi="仿宋" w:eastAsia="仿宋" w:cs="仿宋"/>
          <w:sz w:val="32"/>
          <w:szCs w:val="32"/>
          <w:lang w:val="en-US" w:eastAsia="zh-CN"/>
        </w:rPr>
        <w:t>18.13</w:t>
      </w:r>
      <w:r>
        <w:rPr>
          <w:rFonts w:hint="eastAsia" w:ascii="仿宋" w:hAnsi="仿宋" w:eastAsia="仿宋" w:cs="仿宋"/>
          <w:sz w:val="32"/>
          <w:szCs w:val="32"/>
        </w:rPr>
        <w:t>万元。</w:t>
      </w:r>
    </w:p>
    <w:p w14:paraId="59FB320F">
      <w:pPr>
        <w:keepNext w:val="0"/>
        <w:keepLines w:val="0"/>
        <w:pageBreakBefore w:val="0"/>
        <w:widowControl/>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公用经费</w:t>
      </w:r>
      <w:r>
        <w:rPr>
          <w:rFonts w:hint="eastAsia" w:ascii="仿宋" w:hAnsi="仿宋" w:eastAsia="仿宋" w:cs="仿宋"/>
          <w:sz w:val="32"/>
          <w:szCs w:val="32"/>
          <w:lang w:val="en-US" w:eastAsia="zh-CN"/>
        </w:rPr>
        <w:t>20.86</w:t>
      </w:r>
      <w:r>
        <w:rPr>
          <w:rFonts w:hint="eastAsia" w:ascii="仿宋" w:hAnsi="仿宋" w:eastAsia="仿宋" w:cs="仿宋"/>
          <w:sz w:val="32"/>
          <w:szCs w:val="32"/>
        </w:rPr>
        <w:t>万元，主要包括：办公费</w:t>
      </w:r>
      <w:r>
        <w:rPr>
          <w:rFonts w:hint="eastAsia" w:ascii="仿宋" w:hAnsi="仿宋" w:eastAsia="仿宋" w:cs="仿宋"/>
          <w:sz w:val="32"/>
          <w:szCs w:val="32"/>
          <w:lang w:val="en-US" w:eastAsia="zh-CN"/>
        </w:rPr>
        <w:t>6.02</w:t>
      </w:r>
      <w:r>
        <w:rPr>
          <w:rFonts w:hint="eastAsia" w:ascii="仿宋" w:hAnsi="仿宋" w:eastAsia="仿宋" w:cs="仿宋"/>
          <w:sz w:val="32"/>
          <w:szCs w:val="32"/>
        </w:rPr>
        <w:t>万元、印刷费0万元、咨询费0万元、手续费0万元、水费</w:t>
      </w:r>
      <w:r>
        <w:rPr>
          <w:rFonts w:hint="eastAsia" w:ascii="仿宋" w:hAnsi="仿宋" w:eastAsia="仿宋" w:cs="仿宋"/>
          <w:sz w:val="32"/>
          <w:szCs w:val="32"/>
          <w:lang w:val="en-US" w:eastAsia="zh-CN"/>
        </w:rPr>
        <w:t>0.39</w:t>
      </w:r>
      <w:r>
        <w:rPr>
          <w:rFonts w:hint="eastAsia" w:ascii="仿宋" w:hAnsi="仿宋" w:eastAsia="仿宋" w:cs="仿宋"/>
          <w:sz w:val="32"/>
          <w:szCs w:val="32"/>
        </w:rPr>
        <w:t>万元、电费</w:t>
      </w:r>
      <w:r>
        <w:rPr>
          <w:rFonts w:hint="eastAsia" w:ascii="仿宋" w:hAnsi="仿宋" w:eastAsia="仿宋" w:cs="仿宋"/>
          <w:sz w:val="32"/>
          <w:szCs w:val="32"/>
          <w:lang w:val="en-US" w:eastAsia="zh-CN"/>
        </w:rPr>
        <w:t>0.52</w:t>
      </w:r>
      <w:r>
        <w:rPr>
          <w:rFonts w:hint="eastAsia" w:ascii="仿宋" w:hAnsi="仿宋" w:eastAsia="仿宋" w:cs="仿宋"/>
          <w:sz w:val="32"/>
          <w:szCs w:val="32"/>
        </w:rPr>
        <w:t>万元、邮电费</w:t>
      </w:r>
      <w:r>
        <w:rPr>
          <w:rFonts w:hint="eastAsia" w:ascii="仿宋" w:hAnsi="仿宋" w:eastAsia="仿宋" w:cs="仿宋"/>
          <w:sz w:val="32"/>
          <w:szCs w:val="32"/>
          <w:lang w:val="en-US" w:eastAsia="zh-CN"/>
        </w:rPr>
        <w:t>1.73</w:t>
      </w:r>
      <w:r>
        <w:rPr>
          <w:rFonts w:hint="eastAsia" w:ascii="仿宋" w:hAnsi="仿宋" w:eastAsia="仿宋" w:cs="仿宋"/>
          <w:sz w:val="32"/>
          <w:szCs w:val="32"/>
        </w:rPr>
        <w:t>万元、差旅费</w:t>
      </w:r>
      <w:r>
        <w:rPr>
          <w:rFonts w:hint="eastAsia" w:ascii="仿宋" w:hAnsi="仿宋" w:eastAsia="仿宋" w:cs="仿宋"/>
          <w:sz w:val="32"/>
          <w:szCs w:val="32"/>
          <w:lang w:val="en-US" w:eastAsia="zh-CN"/>
        </w:rPr>
        <w:t>8.10</w:t>
      </w:r>
      <w:r>
        <w:rPr>
          <w:rFonts w:hint="eastAsia" w:ascii="仿宋" w:hAnsi="仿宋" w:eastAsia="仿宋" w:cs="仿宋"/>
          <w:sz w:val="32"/>
          <w:szCs w:val="32"/>
        </w:rPr>
        <w:t>万元、培训费</w:t>
      </w:r>
      <w:r>
        <w:rPr>
          <w:rFonts w:hint="eastAsia" w:ascii="仿宋" w:hAnsi="仿宋" w:eastAsia="仿宋" w:cs="仿宋"/>
          <w:sz w:val="32"/>
          <w:szCs w:val="32"/>
          <w:lang w:val="en-US" w:eastAsia="zh-CN"/>
        </w:rPr>
        <w:t>0.31</w:t>
      </w:r>
      <w:r>
        <w:rPr>
          <w:rFonts w:hint="eastAsia" w:ascii="仿宋" w:hAnsi="仿宋" w:eastAsia="仿宋" w:cs="仿宋"/>
          <w:sz w:val="32"/>
          <w:szCs w:val="32"/>
        </w:rPr>
        <w:t>万元、公务接待费0.288万元、劳务费0.49万元、福利费</w:t>
      </w:r>
      <w:r>
        <w:rPr>
          <w:rFonts w:hint="eastAsia" w:ascii="仿宋" w:hAnsi="仿宋" w:eastAsia="仿宋" w:cs="仿宋"/>
          <w:sz w:val="32"/>
          <w:szCs w:val="32"/>
          <w:lang w:val="en-US" w:eastAsia="zh-CN"/>
        </w:rPr>
        <w:t>1.88</w:t>
      </w:r>
      <w:r>
        <w:rPr>
          <w:rFonts w:hint="eastAsia" w:ascii="仿宋" w:hAnsi="仿宋" w:eastAsia="仿宋" w:cs="仿宋"/>
          <w:sz w:val="32"/>
          <w:szCs w:val="32"/>
        </w:rPr>
        <w:t>万元、其他商品和服务支出</w:t>
      </w:r>
      <w:r>
        <w:rPr>
          <w:rFonts w:hint="eastAsia" w:ascii="仿宋" w:hAnsi="仿宋" w:eastAsia="仿宋" w:cs="仿宋"/>
          <w:sz w:val="32"/>
          <w:szCs w:val="32"/>
          <w:lang w:val="en-US" w:eastAsia="zh-CN"/>
        </w:rPr>
        <w:t>1.91</w:t>
      </w:r>
      <w:r>
        <w:rPr>
          <w:rFonts w:hint="eastAsia" w:ascii="仿宋" w:hAnsi="仿宋" w:eastAsia="仿宋" w:cs="仿宋"/>
          <w:sz w:val="32"/>
          <w:szCs w:val="32"/>
        </w:rPr>
        <w:t>万元。</w:t>
      </w:r>
      <w:r>
        <w:rPr>
          <w:rFonts w:hint="eastAsia" w:ascii="仿宋" w:hAnsi="仿宋" w:eastAsia="仿宋" w:cs="仿宋"/>
          <w:b/>
          <w:bCs/>
          <w:sz w:val="32"/>
          <w:szCs w:val="32"/>
        </w:rPr>
        <w:t>（注：仅罗列本单位实际支出涉及的经济分类科目。）</w:t>
      </w:r>
    </w:p>
    <w:p w14:paraId="14BC59FF">
      <w:pPr>
        <w:pStyle w:val="6"/>
        <w:keepNext w:val="0"/>
        <w:keepLines w:val="0"/>
        <w:pageBreakBefore w:val="0"/>
        <w:widowControl/>
        <w:kinsoku/>
        <w:wordWrap/>
        <w:overflowPunct/>
        <w:topLinePunct w:val="0"/>
        <w:autoSpaceDE/>
        <w:autoSpaceDN/>
        <w:bidi w:val="0"/>
        <w:adjustRightInd/>
        <w:snapToGrid/>
        <w:spacing w:beforeAutospacing="0" w:afterAutospacing="0"/>
        <w:ind w:firstLine="640" w:firstLineChars="200"/>
        <w:textAlignment w:val="auto"/>
        <w:rPr>
          <w:rFonts w:ascii="黑体" w:hAnsi="黑体" w:eastAsia="黑体" w:cs="黑体"/>
          <w:b w:val="0"/>
          <w:bCs w:val="0"/>
          <w:sz w:val="32"/>
          <w:szCs w:val="32"/>
        </w:rPr>
      </w:pPr>
      <w:bookmarkStart w:id="35" w:name="_Toc22709"/>
      <w:bookmarkStart w:id="36" w:name="_Toc2117"/>
      <w:r>
        <w:rPr>
          <w:rFonts w:ascii="黑体" w:hAnsi="黑体" w:eastAsia="黑体" w:cs="黑体"/>
          <w:b w:val="0"/>
          <w:bCs w:val="0"/>
          <w:sz w:val="32"/>
          <w:szCs w:val="32"/>
        </w:rPr>
        <w:t>七、财政拨款“三公”经费财政拨款支出决算情况说明</w:t>
      </w:r>
      <w:bookmarkEnd w:id="35"/>
      <w:bookmarkEnd w:id="36"/>
    </w:p>
    <w:p w14:paraId="6062CDC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7"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7"/>
    </w:p>
    <w:p w14:paraId="46E058D9">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Cs w:val="32"/>
          <w:shd w:val="clear" w:color="auto" w:fill="FFFFFF"/>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 w:hAnsi="仿宋" w:eastAsia="仿宋" w:cs="仿宋"/>
          <w:sz w:val="32"/>
          <w:szCs w:val="32"/>
          <w:lang w:val="en-US" w:eastAsia="zh-CN"/>
        </w:rPr>
        <w:t>0.00</w:t>
      </w:r>
      <w:r>
        <w:rPr>
          <w:rFonts w:hint="eastAsia" w:ascii="仿宋" w:hAnsi="仿宋" w:eastAsia="仿宋" w:cs="仿宋"/>
          <w:sz w:val="32"/>
          <w:szCs w:val="32"/>
        </w:rPr>
        <w:t>万元，完成预算</w:t>
      </w:r>
      <w:r>
        <w:rPr>
          <w:rFonts w:hint="eastAsia" w:ascii="仿宋" w:hAnsi="仿宋" w:eastAsia="仿宋" w:cs="仿宋"/>
          <w:sz w:val="32"/>
          <w:szCs w:val="32"/>
          <w:lang w:val="en-US" w:eastAsia="zh-CN"/>
        </w:rPr>
        <w:t>0</w:t>
      </w:r>
      <w:r>
        <w:rPr>
          <w:rFonts w:hint="eastAsia" w:ascii="仿宋" w:hAnsi="仿宋" w:eastAsia="仿宋" w:cs="仿宋"/>
          <w:sz w:val="32"/>
          <w:szCs w:val="32"/>
        </w:rPr>
        <w:t>%，主要原因是厉行节约。</w:t>
      </w:r>
    </w:p>
    <w:p w14:paraId="27BD497C">
      <w:pPr>
        <w:ind w:firstLine="643" w:firstLineChars="200"/>
        <w:rPr>
          <w:rFonts w:hint="eastAsia" w:ascii="仿宋" w:hAnsi="仿宋" w:eastAsia="仿宋" w:cs="仿宋"/>
          <w:b/>
          <w:bCs/>
          <w:sz w:val="32"/>
          <w:szCs w:val="32"/>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23B8ECEB">
      <w:pPr>
        <w:spacing w:line="600" w:lineRule="exact"/>
        <w:ind w:firstLine="643" w:firstLineChars="200"/>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（二）“三公”经费财政拨款支出决算具体情况说明</w:t>
      </w:r>
    </w:p>
    <w:p w14:paraId="654A9E7E">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w:t>
      </w:r>
      <w:r>
        <w:rPr>
          <w:rFonts w:hint="eastAsia" w:ascii="仿宋" w:hAnsi="仿宋" w:eastAsia="仿宋" w:cs="仿宋"/>
          <w:sz w:val="32"/>
          <w:szCs w:val="32"/>
        </w:rPr>
        <w:t>，因公出国（境）费支出决算0万元，占0%；公务用车购置及运行维护费支出决算0万元，占0%；公务接待费支出决算</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w:t>
      </w:r>
    </w:p>
    <w:p w14:paraId="0865C92B">
      <w:pPr>
        <w:ind w:firstLine="640" w:firstLineChars="200"/>
        <w:rPr>
          <w:rFonts w:hint="eastAsia" w:ascii="仿宋" w:hAnsi="仿宋" w:eastAsia="仿宋" w:cs="仿宋"/>
          <w:sz w:val="32"/>
          <w:szCs w:val="32"/>
        </w:rPr>
      </w:pPr>
      <w:r>
        <w:rPr>
          <w:rFonts w:hint="eastAsia" w:ascii="仿宋" w:hAnsi="仿宋" w:eastAsia="仿宋" w:cs="仿宋"/>
          <w:sz w:val="32"/>
          <w:szCs w:val="32"/>
        </w:rPr>
        <w:t>（图7：“三公”经费财政拨款支出结构图）（饼状图）</w:t>
      </w:r>
    </w:p>
    <w:p w14:paraId="43E32946">
      <w:pPr>
        <w:pStyle w:val="16"/>
        <w:spacing w:beforeAutospacing="0"/>
        <w:rPr>
          <w:rStyle w:val="19"/>
          <w:rFonts w:hint="eastAsia"/>
          <w:shd w:val="clear" w:color="auto" w:fill="FFFFFF"/>
        </w:rPr>
      </w:pPr>
      <w:r>
        <w:drawing>
          <wp:inline distT="0" distB="0" distL="114300" distR="114300">
            <wp:extent cx="5292090" cy="3048000"/>
            <wp:effectExtent l="4445" t="4445" r="18415" b="14605"/>
            <wp:docPr id="21" name="图表 3" descr="7b0a202020202263686172745265734964223a20223230343736383839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CB3342C">
      <w:pPr>
        <w:keepNext w:val="0"/>
        <w:keepLines w:val="0"/>
        <w:pageBreakBefore w:val="0"/>
        <w:widowControl/>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1.因公出国（境）经费支出0万元</w:t>
      </w:r>
      <w:r>
        <w:rPr>
          <w:rFonts w:hint="eastAsia" w:ascii="仿宋" w:hAnsi="仿宋" w:eastAsia="仿宋" w:cs="仿宋"/>
          <w:sz w:val="32"/>
          <w:szCs w:val="32"/>
        </w:rPr>
        <w:t>，完成预算0%。全年安排因公出国（境）团组0次，出国（境）0人。</w:t>
      </w:r>
      <w:r>
        <w:rPr>
          <w:rFonts w:hint="eastAsia" w:ascii="Times New Roman" w:hAnsi="Times New Roman" w:eastAsia="仿宋_GB2312" w:cs="仿宋_GB2312"/>
          <w:color w:val="auto"/>
          <w:kern w:val="2"/>
          <w:sz w:val="32"/>
          <w:szCs w:val="32"/>
          <w:highlight w:val="none"/>
          <w:lang w:val="en-US" w:eastAsia="zh-CN" w:bidi="ar-SA"/>
        </w:rPr>
        <w:t>因公出国（境）支出决算比</w:t>
      </w:r>
      <w:r>
        <w:rPr>
          <w:rFonts w:hint="eastAsia" w:eastAsia="仿宋_GB2312" w:cs="仿宋_GB2312"/>
          <w:color w:val="auto"/>
          <w:kern w:val="2"/>
          <w:sz w:val="32"/>
          <w:szCs w:val="32"/>
          <w:highlight w:val="none"/>
          <w:lang w:val="en-US" w:eastAsia="zh-CN" w:bidi="ar-SA"/>
        </w:rPr>
        <w:t>上年度</w:t>
      </w:r>
      <w:r>
        <w:rPr>
          <w:rFonts w:hint="eastAsia" w:ascii="仿宋" w:hAnsi="仿宋" w:eastAsia="仿宋" w:cs="仿宋"/>
          <w:sz w:val="32"/>
          <w:szCs w:val="32"/>
        </w:rPr>
        <w:t>增加0万元，增长0%。</w:t>
      </w:r>
    </w:p>
    <w:p w14:paraId="01E582B6">
      <w:pPr>
        <w:keepNext w:val="0"/>
        <w:keepLines w:val="0"/>
        <w:pageBreakBefore w:val="0"/>
        <w:widowControl/>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2.公务用车购置及运行维护费支出0万元</w:t>
      </w:r>
      <w:r>
        <w:rPr>
          <w:rFonts w:hint="eastAsia" w:ascii="仿宋" w:hAnsi="仿宋" w:eastAsia="仿宋" w:cs="仿宋"/>
          <w:b/>
          <w:bCs/>
          <w:sz w:val="32"/>
          <w:szCs w:val="32"/>
          <w:lang w:eastAsia="zh-CN"/>
        </w:rPr>
        <w:t>，</w:t>
      </w:r>
      <w:r>
        <w:rPr>
          <w:rFonts w:hint="eastAsia" w:ascii="仿宋" w:hAnsi="仿宋" w:eastAsia="仿宋" w:cs="仿宋"/>
          <w:sz w:val="32"/>
          <w:szCs w:val="32"/>
        </w:rPr>
        <w:t>完成预算0%。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仿宋" w:hAnsi="仿宋" w:eastAsia="仿宋" w:cs="仿宋"/>
          <w:sz w:val="32"/>
          <w:szCs w:val="32"/>
        </w:rPr>
        <w:t>增加0万元，增长0%。</w:t>
      </w:r>
    </w:p>
    <w:p w14:paraId="5CD42402">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其中：</w:t>
      </w:r>
      <w:r>
        <w:rPr>
          <w:rFonts w:hint="eastAsia" w:ascii="仿宋" w:hAnsi="仿宋" w:eastAsia="仿宋" w:cs="仿宋"/>
          <w:b/>
          <w:bCs/>
          <w:sz w:val="32"/>
          <w:szCs w:val="32"/>
        </w:rPr>
        <w:t>公务用车购置支出0万元</w:t>
      </w:r>
      <w:r>
        <w:rPr>
          <w:rFonts w:hint="eastAsia" w:ascii="仿宋" w:hAnsi="仿宋" w:eastAsia="仿宋" w:cs="仿宋"/>
          <w:sz w:val="32"/>
          <w:szCs w:val="32"/>
        </w:rPr>
        <w:t>。全年按规定更新购置公务用车0辆，其中：轿车0辆、金额0万元，越野车0辆、金额0万元，载客汽车0辆、金额0万元。截至202</w:t>
      </w:r>
      <w:r>
        <w:rPr>
          <w:rFonts w:hint="eastAsia" w:ascii="仿宋" w:hAnsi="仿宋" w:eastAsia="仿宋" w:cs="仿宋"/>
          <w:sz w:val="32"/>
          <w:szCs w:val="32"/>
          <w:lang w:val="en-US" w:eastAsia="zh-CN"/>
        </w:rPr>
        <w:t>5</w:t>
      </w:r>
      <w:r>
        <w:rPr>
          <w:rFonts w:hint="eastAsia" w:ascii="仿宋" w:hAnsi="仿宋" w:eastAsia="仿宋" w:cs="仿宋"/>
          <w:sz w:val="32"/>
          <w:szCs w:val="32"/>
        </w:rPr>
        <w:t>年12月底，单位共有公务用车0辆，其中：轿车0辆、越野车0辆、载客汽车0辆。</w:t>
      </w:r>
    </w:p>
    <w:p w14:paraId="51763ACB">
      <w:pPr>
        <w:keepNext w:val="0"/>
        <w:keepLines w:val="0"/>
        <w:pageBreakBefore w:val="0"/>
        <w:widowControl/>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公务用车运行维护费支出0万元</w:t>
      </w:r>
      <w:r>
        <w:rPr>
          <w:rFonts w:hint="eastAsia" w:ascii="仿宋" w:hAnsi="仿宋" w:eastAsia="仿宋" w:cs="仿宋"/>
          <w:sz w:val="32"/>
          <w:szCs w:val="32"/>
        </w:rPr>
        <w:t>。</w:t>
      </w:r>
    </w:p>
    <w:p w14:paraId="3FBA54F7">
      <w:pPr>
        <w:keepNext w:val="0"/>
        <w:keepLines w:val="0"/>
        <w:pageBreakBefore w:val="0"/>
        <w:widowControl/>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3.公务接待费支出</w:t>
      </w:r>
      <w:r>
        <w:rPr>
          <w:rFonts w:hint="eastAsia" w:ascii="仿宋" w:hAnsi="仿宋" w:eastAsia="仿宋" w:cs="仿宋"/>
          <w:sz w:val="32"/>
          <w:szCs w:val="32"/>
          <w:lang w:val="en-US" w:eastAsia="zh-CN"/>
        </w:rPr>
        <w:t>0.00</w:t>
      </w:r>
      <w:r>
        <w:rPr>
          <w:rFonts w:hint="eastAsia" w:ascii="仿宋" w:hAnsi="仿宋" w:eastAsia="仿宋" w:cs="仿宋"/>
          <w:sz w:val="32"/>
          <w:szCs w:val="32"/>
        </w:rPr>
        <w:t>万元，完成预算</w:t>
      </w:r>
      <w:r>
        <w:rPr>
          <w:rFonts w:hint="eastAsia" w:ascii="仿宋" w:hAnsi="仿宋" w:eastAsia="仿宋" w:cs="仿宋"/>
          <w:sz w:val="32"/>
          <w:szCs w:val="32"/>
          <w:lang w:val="en-US" w:eastAsia="zh-CN"/>
        </w:rPr>
        <w:t>0.00</w:t>
      </w:r>
      <w:r>
        <w:rPr>
          <w:rFonts w:hint="eastAsia" w:ascii="仿宋" w:hAnsi="仿宋" w:eastAsia="仿宋" w:cs="仿宋"/>
          <w:sz w:val="32"/>
          <w:szCs w:val="32"/>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ascii="仿宋" w:hAnsi="仿宋" w:eastAsia="仿宋" w:cs="仿宋"/>
          <w:sz w:val="32"/>
          <w:szCs w:val="32"/>
        </w:rPr>
        <w:t>0.2</w:t>
      </w:r>
      <w:r>
        <w:rPr>
          <w:rFonts w:hint="eastAsia" w:ascii="仿宋" w:hAnsi="仿宋" w:eastAsia="仿宋" w:cs="仿宋"/>
          <w:sz w:val="32"/>
          <w:szCs w:val="32"/>
          <w:lang w:val="en-US" w:eastAsia="zh-CN"/>
        </w:rPr>
        <w:t>9</w:t>
      </w:r>
      <w:r>
        <w:rPr>
          <w:rFonts w:hint="eastAsia" w:ascii="仿宋" w:hAnsi="仿宋" w:eastAsia="仿宋" w:cs="仿宋"/>
          <w:sz w:val="32"/>
          <w:szCs w:val="32"/>
        </w:rPr>
        <w:t>万元，</w:t>
      </w:r>
      <w:r>
        <w:rPr>
          <w:rFonts w:hint="eastAsia" w:ascii="Times New Roman" w:hAnsi="Times New Roman" w:eastAsia="仿宋_GB2312" w:cs="仿宋_GB2312"/>
          <w:color w:val="auto"/>
          <w:kern w:val="2"/>
          <w:sz w:val="32"/>
          <w:szCs w:val="32"/>
          <w:highlight w:val="none"/>
          <w:lang w:val="en-US" w:eastAsia="zh-CN" w:bidi="ar-SA"/>
        </w:rPr>
        <w:t>下降</w:t>
      </w:r>
      <w:r>
        <w:rPr>
          <w:rFonts w:hint="eastAsia" w:ascii="仿宋" w:hAnsi="仿宋" w:eastAsia="仿宋" w:cs="仿宋"/>
          <w:sz w:val="32"/>
          <w:szCs w:val="32"/>
        </w:rPr>
        <w:t>100%。</w:t>
      </w:r>
      <w:r>
        <w:rPr>
          <w:rFonts w:hint="eastAsia" w:ascii="仿宋" w:hAnsi="仿宋" w:eastAsia="仿宋" w:cs="仿宋"/>
          <w:sz w:val="32"/>
          <w:szCs w:val="32"/>
          <w:highlight w:val="none"/>
        </w:rPr>
        <w:t>主要原因是</w:t>
      </w:r>
      <w:r>
        <w:rPr>
          <w:rFonts w:hint="eastAsia" w:ascii="仿宋" w:hAnsi="仿宋" w:eastAsia="仿宋" w:cs="仿宋"/>
          <w:sz w:val="32"/>
          <w:szCs w:val="32"/>
          <w:highlight w:val="none"/>
          <w:lang w:val="en-US" w:eastAsia="zh-CN"/>
        </w:rPr>
        <w:t>厉行节约</w:t>
      </w:r>
      <w:r>
        <w:rPr>
          <w:rFonts w:hint="eastAsia" w:ascii="仿宋" w:hAnsi="仿宋" w:eastAsia="仿宋" w:cs="仿宋"/>
          <w:sz w:val="32"/>
          <w:szCs w:val="32"/>
          <w:highlight w:val="none"/>
        </w:rPr>
        <w:t>。其中</w:t>
      </w:r>
      <w:r>
        <w:rPr>
          <w:rFonts w:hint="eastAsia" w:ascii="仿宋" w:hAnsi="仿宋" w:eastAsia="仿宋" w:cs="仿宋"/>
          <w:sz w:val="32"/>
          <w:szCs w:val="32"/>
        </w:rPr>
        <w:t>：</w:t>
      </w:r>
    </w:p>
    <w:p w14:paraId="6A5A4BB0">
      <w:pPr>
        <w:keepNext w:val="0"/>
        <w:keepLines w:val="0"/>
        <w:pageBreakBefore w:val="0"/>
        <w:widowControl/>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国内公务接待支出</w:t>
      </w:r>
      <w:r>
        <w:rPr>
          <w:rFonts w:hint="eastAsia" w:ascii="仿宋" w:hAnsi="仿宋" w:eastAsia="仿宋" w:cs="仿宋"/>
          <w:b/>
          <w:bCs/>
          <w:sz w:val="32"/>
          <w:szCs w:val="32"/>
          <w:lang w:val="en-US" w:eastAsia="zh-CN"/>
        </w:rPr>
        <w:t>0.00</w:t>
      </w:r>
      <w:r>
        <w:rPr>
          <w:rFonts w:hint="eastAsia" w:ascii="仿宋" w:hAnsi="仿宋" w:eastAsia="仿宋" w:cs="仿宋"/>
          <w:b/>
          <w:bCs/>
          <w:sz w:val="32"/>
          <w:szCs w:val="32"/>
        </w:rPr>
        <w:t>万元。</w:t>
      </w:r>
      <w:r>
        <w:rPr>
          <w:rFonts w:hint="eastAsia" w:ascii="仿宋" w:hAnsi="仿宋" w:eastAsia="仿宋" w:cs="仿宋"/>
          <w:sz w:val="32"/>
          <w:szCs w:val="32"/>
          <w:highlight w:val="none"/>
        </w:rPr>
        <w:t>国内公务接待</w:t>
      </w:r>
      <w:r>
        <w:rPr>
          <w:rFonts w:hint="eastAsia" w:ascii="仿宋" w:hAnsi="仿宋" w:eastAsia="仿宋" w:cs="仿宋"/>
          <w:sz w:val="32"/>
          <w:szCs w:val="32"/>
          <w:highlight w:val="none"/>
          <w:lang w:val="en-US" w:eastAsia="zh-CN"/>
        </w:rPr>
        <w:t>0</w:t>
      </w:r>
      <w:r>
        <w:rPr>
          <w:rFonts w:hint="eastAsia" w:ascii="仿宋" w:hAnsi="仿宋" w:eastAsia="仿宋" w:cs="仿宋"/>
          <w:sz w:val="32"/>
          <w:szCs w:val="32"/>
          <w:highlight w:val="none"/>
        </w:rPr>
        <w:t>批次，</w:t>
      </w:r>
      <w:r>
        <w:rPr>
          <w:rFonts w:hint="eastAsia" w:ascii="仿宋" w:hAnsi="仿宋" w:eastAsia="仿宋" w:cs="仿宋"/>
          <w:sz w:val="32"/>
          <w:szCs w:val="32"/>
          <w:highlight w:val="none"/>
          <w:lang w:val="en-US" w:eastAsia="zh-CN"/>
        </w:rPr>
        <w:t>0</w:t>
      </w:r>
      <w:r>
        <w:rPr>
          <w:rFonts w:hint="eastAsia" w:ascii="仿宋" w:hAnsi="仿宋" w:eastAsia="仿宋" w:cs="仿宋"/>
          <w:sz w:val="32"/>
          <w:szCs w:val="32"/>
          <w:highlight w:val="none"/>
        </w:rPr>
        <w:t>人次（不包括陪同人员），共计支出</w:t>
      </w:r>
      <w:r>
        <w:rPr>
          <w:rFonts w:hint="eastAsia" w:ascii="仿宋" w:hAnsi="仿宋" w:eastAsia="仿宋" w:cs="仿宋"/>
          <w:sz w:val="32"/>
          <w:szCs w:val="32"/>
          <w:highlight w:val="none"/>
          <w:lang w:val="en-US" w:eastAsia="zh-CN"/>
        </w:rPr>
        <w:t>0.00</w:t>
      </w:r>
      <w:r>
        <w:rPr>
          <w:rFonts w:hint="eastAsia" w:ascii="仿宋" w:hAnsi="仿宋" w:eastAsia="仿宋" w:cs="仿宋"/>
          <w:sz w:val="32"/>
          <w:szCs w:val="32"/>
          <w:highlight w:val="none"/>
        </w:rPr>
        <w:t>万元。</w:t>
      </w:r>
    </w:p>
    <w:p w14:paraId="2516957A">
      <w:pPr>
        <w:keepNext w:val="0"/>
        <w:keepLines w:val="0"/>
        <w:pageBreakBefore w:val="0"/>
        <w:widowControl/>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外事接待支出0万元</w:t>
      </w:r>
      <w:r>
        <w:rPr>
          <w:rFonts w:hint="eastAsia" w:ascii="仿宋" w:hAnsi="仿宋" w:eastAsia="仿宋" w:cs="仿宋"/>
          <w:sz w:val="32"/>
          <w:szCs w:val="32"/>
        </w:rPr>
        <w:t>，外事接待0批次，0人，共计支出0万元。</w:t>
      </w:r>
    </w:p>
    <w:p w14:paraId="6E712A6E">
      <w:pPr>
        <w:pStyle w:val="6"/>
        <w:keepNext w:val="0"/>
        <w:keepLines w:val="0"/>
        <w:pageBreakBefore w:val="0"/>
        <w:widowControl/>
        <w:kinsoku/>
        <w:wordWrap/>
        <w:overflowPunct/>
        <w:topLinePunct w:val="0"/>
        <w:autoSpaceDE/>
        <w:autoSpaceDN/>
        <w:bidi w:val="0"/>
        <w:adjustRightInd/>
        <w:snapToGrid/>
        <w:spacing w:beforeAutospacing="0" w:afterAutospacing="0"/>
        <w:ind w:firstLine="640" w:firstLineChars="200"/>
        <w:textAlignment w:val="auto"/>
        <w:rPr>
          <w:rFonts w:ascii="黑体" w:hAnsi="黑体" w:eastAsia="黑体" w:cs="黑体"/>
          <w:b w:val="0"/>
          <w:bCs w:val="0"/>
          <w:sz w:val="32"/>
          <w:szCs w:val="32"/>
        </w:rPr>
      </w:pPr>
      <w:bookmarkStart w:id="38" w:name="_Toc31333"/>
      <w:bookmarkStart w:id="39" w:name="_Toc30084"/>
      <w:r>
        <w:rPr>
          <w:rFonts w:ascii="黑体" w:hAnsi="黑体" w:eastAsia="黑体" w:cs="黑体"/>
          <w:b w:val="0"/>
          <w:bCs w:val="0"/>
          <w:sz w:val="32"/>
          <w:szCs w:val="32"/>
        </w:rPr>
        <w:t>八、政府性基金预算支出决算情况说明</w:t>
      </w:r>
      <w:bookmarkEnd w:id="38"/>
      <w:bookmarkEnd w:id="39"/>
    </w:p>
    <w:p w14:paraId="6D2DB5E4">
      <w:pPr>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textAlignment w:val="auto"/>
        <w:outlineLvl w:val="9"/>
        <w:rPr>
          <w:rFonts w:hint="eastAsia" w:ascii="Times New Roman" w:hAnsi="Times New Roman" w:eastAsia="仿宋_GB2312" w:cs="仿宋_GB2312"/>
          <w:b w:val="0"/>
          <w:bCs w:val="0"/>
          <w:color w:val="auto"/>
          <w:kern w:val="2"/>
          <w:sz w:val="32"/>
          <w:szCs w:val="32"/>
          <w:highlight w:val="none"/>
          <w:lang w:val="en-US" w:eastAsia="zh-CN" w:bidi="ar-SA"/>
        </w:rPr>
      </w:pPr>
      <w:bookmarkStart w:id="40" w:name="_Toc10884"/>
      <w:r>
        <w:rPr>
          <w:rFonts w:hint="eastAsia" w:eastAsia="仿宋_GB2312" w:cs="仿宋_GB2312"/>
          <w:b w:val="0"/>
          <w:bCs w:val="0"/>
          <w:color w:val="auto"/>
          <w:kern w:val="2"/>
          <w:sz w:val="32"/>
          <w:szCs w:val="32"/>
          <w:highlight w:val="none"/>
          <w:lang w:val="en-US" w:eastAsia="zh-CN" w:bidi="ar-SA"/>
        </w:rPr>
        <w:t>2025年度</w:t>
      </w:r>
      <w:r>
        <w:rPr>
          <w:rFonts w:hint="eastAsia" w:ascii="Times New Roman" w:hAnsi="Times New Roman" w:eastAsia="仿宋_GB2312" w:cs="仿宋_GB2312"/>
          <w:b w:val="0"/>
          <w:bCs w:val="0"/>
          <w:color w:val="auto"/>
          <w:kern w:val="2"/>
          <w:sz w:val="32"/>
          <w:szCs w:val="32"/>
          <w:highlight w:val="none"/>
          <w:lang w:val="en-US" w:eastAsia="zh-CN" w:bidi="ar-SA"/>
        </w:rPr>
        <w:t>政府性基金预算财政拨款支出0.00万元，占本年支出合计的0.00%。与</w:t>
      </w:r>
      <w:r>
        <w:rPr>
          <w:rFonts w:hint="eastAsia" w:eastAsia="仿宋_GB2312" w:cs="仿宋_GB2312"/>
          <w:b w:val="0"/>
          <w:bCs w:val="0"/>
          <w:color w:val="auto"/>
          <w:kern w:val="2"/>
          <w:sz w:val="32"/>
          <w:szCs w:val="32"/>
          <w:highlight w:val="none"/>
          <w:lang w:val="en-US" w:eastAsia="zh-CN" w:bidi="ar-SA"/>
        </w:rPr>
        <w:t>上</w:t>
      </w:r>
      <w:r>
        <w:rPr>
          <w:rFonts w:hint="eastAsia" w:ascii="Times New Roman" w:hAnsi="Times New Roman" w:eastAsia="仿宋_GB2312" w:cs="仿宋_GB2312"/>
          <w:b w:val="0"/>
          <w:bCs w:val="0"/>
          <w:color w:val="auto"/>
          <w:kern w:val="2"/>
          <w:sz w:val="32"/>
          <w:szCs w:val="32"/>
          <w:highlight w:val="none"/>
          <w:lang w:val="en-US" w:eastAsia="zh-CN" w:bidi="ar-SA"/>
        </w:rPr>
        <w:t>年度相比，政府性基金预算财政拨款支出增加0.00万元，增长0.00%。</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6D2A0D25">
      <w:pPr>
        <w:pStyle w:val="6"/>
        <w:keepNext w:val="0"/>
        <w:keepLines w:val="0"/>
        <w:pageBreakBefore w:val="0"/>
        <w:widowControl/>
        <w:kinsoku/>
        <w:wordWrap/>
        <w:overflowPunct/>
        <w:topLinePunct w:val="0"/>
        <w:autoSpaceDE/>
        <w:autoSpaceDN/>
        <w:bidi w:val="0"/>
        <w:adjustRightInd/>
        <w:snapToGrid/>
        <w:spacing w:beforeAutospacing="0" w:afterAutospacing="0"/>
        <w:ind w:firstLine="640" w:firstLineChars="200"/>
        <w:textAlignment w:val="auto"/>
        <w:rPr>
          <w:rFonts w:ascii="黑体" w:hAnsi="黑体" w:eastAsia="黑体" w:cs="黑体"/>
          <w:b w:val="0"/>
          <w:bCs w:val="0"/>
          <w:sz w:val="32"/>
          <w:szCs w:val="32"/>
        </w:rPr>
      </w:pPr>
      <w:bookmarkStart w:id="41" w:name="_Toc8497"/>
      <w:r>
        <w:rPr>
          <w:rFonts w:ascii="黑体" w:hAnsi="黑体" w:eastAsia="黑体" w:cs="黑体"/>
          <w:b w:val="0"/>
          <w:bCs w:val="0"/>
          <w:sz w:val="32"/>
          <w:szCs w:val="32"/>
        </w:rPr>
        <w:t>九、国有资本经营预算支出决算情况说明</w:t>
      </w:r>
      <w:bookmarkEnd w:id="40"/>
      <w:bookmarkEnd w:id="41"/>
    </w:p>
    <w:p w14:paraId="72174BDD">
      <w:pPr>
        <w:keepNext w:val="0"/>
        <w:keepLines w:val="0"/>
        <w:pageBreakBefore w:val="0"/>
        <w:widowControl/>
        <w:kinsoku/>
        <w:wordWrap/>
        <w:overflowPunct/>
        <w:topLinePunct w:val="0"/>
        <w:autoSpaceDE/>
        <w:autoSpaceDN/>
        <w:bidi w:val="0"/>
        <w:adjustRightInd/>
        <w:snapToGrid/>
        <w:spacing w:line="600" w:lineRule="exact"/>
        <w:ind w:firstLine="641"/>
        <w:textAlignment w:val="auto"/>
        <w:rPr>
          <w:rFonts w:hint="eastAsi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国有资本经营预算财政拨款支出0.00万元，占本年支出合计的0.00%。与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年度相比，国有资本经营预算财政拨款支出增加0.00万元，增长0.00%。</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231C028E">
      <w:pPr>
        <w:pStyle w:val="6"/>
        <w:keepNext w:val="0"/>
        <w:keepLines w:val="0"/>
        <w:pageBreakBefore w:val="0"/>
        <w:widowControl/>
        <w:kinsoku/>
        <w:wordWrap/>
        <w:overflowPunct/>
        <w:topLinePunct w:val="0"/>
        <w:autoSpaceDE/>
        <w:autoSpaceDN/>
        <w:bidi w:val="0"/>
        <w:adjustRightInd/>
        <w:snapToGrid/>
        <w:spacing w:beforeAutospacing="0" w:afterAutospacing="0"/>
        <w:ind w:firstLine="640" w:firstLineChars="200"/>
        <w:textAlignment w:val="auto"/>
        <w:rPr>
          <w:rFonts w:ascii="黑体" w:hAnsi="黑体" w:eastAsia="黑体" w:cs="黑体"/>
          <w:b w:val="0"/>
          <w:bCs w:val="0"/>
          <w:sz w:val="32"/>
          <w:szCs w:val="32"/>
        </w:rPr>
      </w:pPr>
      <w:bookmarkStart w:id="42" w:name="_Toc13238"/>
      <w:bookmarkStart w:id="43" w:name="_Toc26541"/>
      <w:r>
        <w:rPr>
          <w:rFonts w:ascii="黑体" w:hAnsi="黑体" w:eastAsia="黑体" w:cs="黑体"/>
          <w:b w:val="0"/>
          <w:bCs w:val="0"/>
          <w:sz w:val="32"/>
          <w:szCs w:val="32"/>
        </w:rPr>
        <w:t>十、其他重要事项的情况说明</w:t>
      </w:r>
      <w:bookmarkEnd w:id="42"/>
      <w:bookmarkEnd w:id="43"/>
    </w:p>
    <w:p w14:paraId="49EB38D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4" w:name="_Toc15377222"/>
      <w:r>
        <w:rPr>
          <w:rFonts w:hint="eastAsia" w:ascii="Times New Roman" w:hAnsi="Times New Roman" w:eastAsia="楷体_GB2312" w:cs="楷体_GB2312"/>
          <w:b/>
          <w:color w:val="auto"/>
          <w:sz w:val="32"/>
          <w:szCs w:val="32"/>
          <w:highlight w:val="none"/>
        </w:rPr>
        <w:t>（一）机关运行经费支出情况</w:t>
      </w:r>
      <w:bookmarkEnd w:id="44"/>
    </w:p>
    <w:p w14:paraId="3F8E1390">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eastAsia="仿宋_GB2312" w:cs="仿宋_GB2312"/>
          <w:color w:val="auto"/>
          <w:kern w:val="2"/>
          <w:sz w:val="32"/>
          <w:szCs w:val="32"/>
          <w:highlight w:val="none"/>
          <w:lang w:val="en-US" w:eastAsia="zh-CN" w:bidi="ar-SA"/>
        </w:rPr>
        <w:t>2025年度</w:t>
      </w:r>
      <w:r>
        <w:rPr>
          <w:rFonts w:hint="eastAsia" w:ascii="仿宋" w:hAnsi="仿宋" w:eastAsia="仿宋" w:cs="仿宋"/>
          <w:sz w:val="32"/>
          <w:szCs w:val="32"/>
        </w:rPr>
        <w:t>，阿坝州黑水环境监测站机关运行经费支出0万元，</w:t>
      </w:r>
      <w:r>
        <w:rPr>
          <w:rFonts w:hint="eastAsia" w:ascii="Times New Roman" w:hAnsi="Times New Roman" w:eastAsia="仿宋_GB2312" w:cs="仿宋_GB2312"/>
          <w:color w:val="auto"/>
          <w:kern w:val="2"/>
          <w:sz w:val="32"/>
          <w:szCs w:val="32"/>
          <w:highlight w:val="none"/>
          <w:lang w:val="en-US" w:eastAsia="zh-CN" w:bidi="ar-SA"/>
        </w:rPr>
        <w:t>比上年度决算数持平。</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08EB8CD9">
      <w:pPr>
        <w:spacing w:line="600" w:lineRule="exact"/>
        <w:ind w:firstLine="643" w:firstLineChars="200"/>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（二）政府采购支出情况</w:t>
      </w:r>
    </w:p>
    <w:p w14:paraId="4F870FD0">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shd w:val="clear" w:color="auto" w:fill="FFFFFF"/>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 w:hAnsi="仿宋" w:eastAsia="仿宋" w:cs="仿宋"/>
          <w:sz w:val="32"/>
          <w:szCs w:val="32"/>
          <w:shd w:val="clear" w:color="auto" w:fill="FFFFFF"/>
        </w:rPr>
        <w:t>阿坝州黑水环境监测站政府采购支出总额0万元，其中：政府采购货物支出0万元、政府采购工程支出0万元、政府采购服务支出0万元</w:t>
      </w:r>
      <w:r>
        <w:rPr>
          <w:rFonts w:hint="eastAsia" w:ascii="仿宋" w:hAnsi="仿宋" w:eastAsia="仿宋" w:cs="仿宋"/>
          <w:sz w:val="32"/>
          <w:szCs w:val="32"/>
          <w:shd w:val="clear" w:color="auto" w:fill="FFFFFF"/>
          <w:lang w:eastAsia="zh-CN"/>
        </w:rPr>
        <w:t>。</w:t>
      </w:r>
      <w:r>
        <w:rPr>
          <w:rFonts w:hint="eastAsia" w:ascii="仿宋" w:hAnsi="仿宋" w:eastAsia="仿宋" w:cs="仿宋"/>
          <w:sz w:val="32"/>
          <w:szCs w:val="32"/>
          <w:shd w:val="clear" w:color="auto" w:fill="FFFFFF"/>
        </w:rPr>
        <w:t>授予中小企业合同金额0万元，占政府采购支出总额的0%，其中：授予小微企业合同金额0万元，占政府采购支出总额的0%。</w:t>
      </w:r>
    </w:p>
    <w:p w14:paraId="5A52007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（三）国有资产占有使用情况</w:t>
      </w:r>
    </w:p>
    <w:p w14:paraId="08A2D408">
      <w:pPr>
        <w:keepNext w:val="0"/>
        <w:keepLines w:val="0"/>
        <w:pageBreakBefore w:val="0"/>
        <w:widowControl/>
        <w:kinsoku/>
        <w:wordWrap/>
        <w:overflowPunct/>
        <w:topLinePunct w:val="0"/>
        <w:autoSpaceDE/>
        <w:autoSpaceDN/>
        <w:bidi w:val="0"/>
        <w:adjustRightInd/>
        <w:snapToGrid/>
        <w:spacing w:line="600" w:lineRule="exact"/>
        <w:ind w:firstLine="641"/>
        <w:textAlignment w:val="auto"/>
        <w:rPr>
          <w:rFonts w:hint="eastAsia" w:ascii="仿宋" w:hAnsi="仿宋" w:eastAsia="仿宋" w:cs="仿宋"/>
          <w:kern w:val="2"/>
          <w:sz w:val="32"/>
          <w:szCs w:val="32"/>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 w:hAnsi="仿宋" w:eastAsia="仿宋" w:cs="仿宋"/>
          <w:sz w:val="32"/>
          <w:szCs w:val="32"/>
          <w:shd w:val="clear" w:color="auto" w:fill="FFFFFF"/>
        </w:rPr>
        <w:t>，阿坝州黑水环境监测</w:t>
      </w:r>
      <w:r>
        <w:rPr>
          <w:rFonts w:hint="eastAsia" w:ascii="仿宋" w:hAnsi="仿宋" w:eastAsia="仿宋" w:cs="仿宋"/>
          <w:sz w:val="32"/>
          <w:szCs w:val="32"/>
          <w:shd w:val="clear" w:color="auto" w:fill="FFFFFF"/>
          <w:lang w:val="en-US" w:eastAsia="zh-CN"/>
        </w:rPr>
        <w:t>站</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辆，其他用车主要是用于日</w:t>
      </w:r>
      <w:r>
        <w:rPr>
          <w:rFonts w:hint="eastAsia" w:ascii="仿宋_GB2312" w:hAnsi="仿宋_GB2312" w:eastAsia="仿宋_GB2312" w:cs="仿宋_GB2312"/>
          <w:sz w:val="32"/>
          <w:szCs w:val="32"/>
          <w:lang w:val="en-US" w:eastAsia="zh-CN"/>
        </w:rPr>
        <w:t>常办理公务、执法处理突发事件和公务活动工作等</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14:paraId="150E17C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64136EA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5" w:name="_Toc24679"/>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ascii="仿宋" w:hAnsi="仿宋" w:eastAsia="仿宋" w:cs="仿宋"/>
          <w:sz w:val="32"/>
          <w:szCs w:val="32"/>
          <w:shd w:val="clear" w:color="auto" w:fill="FFFFFF"/>
        </w:rPr>
        <w:t>阿坝州黑水环境监测</w:t>
      </w:r>
      <w:r>
        <w:rPr>
          <w:rFonts w:hint="eastAsia" w:ascii="仿宋" w:hAnsi="仿宋" w:eastAsia="仿宋" w:cs="仿宋"/>
          <w:sz w:val="32"/>
          <w:szCs w:val="32"/>
          <w:shd w:val="clear" w:color="auto" w:fill="FFFFFF"/>
          <w:lang w:val="en-US" w:eastAsia="zh-CN"/>
        </w:rPr>
        <w:t>站</w:t>
      </w:r>
      <w:r>
        <w:rPr>
          <w:rFonts w:hint="eastAsia" w:ascii="Times New Roman" w:hAnsi="Times New Roman" w:eastAsia="仿宋_GB2312" w:cs="仿宋_GB2312"/>
          <w:color w:val="auto"/>
          <w:kern w:val="2"/>
          <w:sz w:val="32"/>
          <w:szCs w:val="32"/>
          <w:highlight w:val="none"/>
          <w:lang w:val="en-US" w:eastAsia="zh-CN" w:bidi="ar-SA"/>
        </w:rPr>
        <w:t>在2025年度，组织对***（项目名称）等0个项目涉及金额0万元开展了事前绩效评估，对0个项目编制了绩效目标，在预算执行过程中，选取0个项目开展绩效监控。</w:t>
      </w:r>
    </w:p>
    <w:p w14:paraId="5F1A75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部门预算（含部门预算项目）绩效自评报告（此项单位不涉及）、***等专项预算项目绩效自评报告，其中，***部门预算（含部门预算项目）绩效自评得分为***分，绩效自评综述……；***专项预算项目绩效自评得分为***分，绩效自评综述……。绩效自评报告详见附件。（注：如不涉及，可根据实际修改表述。）</w:t>
      </w:r>
    </w:p>
    <w:p w14:paraId="19C4C453">
      <w:pPr>
        <w:bidi w:val="0"/>
      </w:pPr>
    </w:p>
    <w:p w14:paraId="325F2A05">
      <w:pPr>
        <w:pStyle w:val="5"/>
        <w:keepNext w:val="0"/>
        <w:keepLines w:val="0"/>
        <w:pageBreakBefore w:val="0"/>
        <w:widowControl/>
        <w:kinsoku/>
        <w:wordWrap/>
        <w:overflowPunct/>
        <w:topLinePunct w:val="0"/>
        <w:autoSpaceDE/>
        <w:autoSpaceDN/>
        <w:bidi w:val="0"/>
        <w:adjustRightInd/>
        <w:snapToGrid/>
        <w:spacing w:beforeAutospacing="0" w:afterAutospacing="0" w:line="560" w:lineRule="exact"/>
        <w:ind w:firstLine="2200" w:firstLineChars="500"/>
        <w:jc w:val="both"/>
        <w:textAlignment w:val="auto"/>
        <w:rPr>
          <w:rFonts w:ascii="黑体" w:hAnsi="黑体" w:eastAsia="黑体" w:cs="黑体"/>
          <w:b w:val="0"/>
          <w:bCs w:val="0"/>
          <w:sz w:val="44"/>
          <w:szCs w:val="44"/>
          <w:shd w:val="clear" w:color="auto" w:fill="FFFFFF"/>
        </w:rPr>
      </w:pPr>
      <w:bookmarkStart w:id="46" w:name="_Toc11289"/>
      <w:r>
        <w:rPr>
          <w:rFonts w:ascii="黑体" w:hAnsi="黑体" w:eastAsia="黑体" w:cs="黑体"/>
          <w:b w:val="0"/>
          <w:bCs w:val="0"/>
          <w:sz w:val="44"/>
          <w:szCs w:val="44"/>
          <w:shd w:val="clear" w:color="auto" w:fill="FFFFFF"/>
        </w:rPr>
        <w:t>第三部分 名词解释</w:t>
      </w:r>
      <w:bookmarkEnd w:id="45"/>
      <w:bookmarkEnd w:id="46"/>
    </w:p>
    <w:p w14:paraId="07DBDB22">
      <w:pPr>
        <w:pStyle w:val="16"/>
        <w:spacing w:beforeAutospacing="0"/>
        <w:rPr>
          <w:rFonts w:hint="eastAsia"/>
        </w:rPr>
      </w:pPr>
    </w:p>
    <w:p w14:paraId="18726E9C">
      <w:pPr>
        <w:pStyle w:val="16"/>
        <w:spacing w:beforeAutospacing="0" w:afterAutospacing="0" w:line="56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1.财政拨款收入：指单位从同级财政部门取得的财政预算资金。</w:t>
      </w:r>
    </w:p>
    <w:p w14:paraId="790A268B">
      <w:pPr>
        <w:pStyle w:val="16"/>
        <w:spacing w:beforeAutospacing="0" w:afterAutospacing="0" w:line="56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2.事业收入：指事业单位开展专业业务活动及辅助活动取得的收入。</w:t>
      </w:r>
    </w:p>
    <w:p w14:paraId="15759477">
      <w:pPr>
        <w:pStyle w:val="16"/>
        <w:spacing w:beforeAutospacing="0" w:afterAutospacing="0" w:line="56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3.经营收入：指事业单位在专业业务活动及其辅助活动之外开展非独立核算经营活动取得的收入。</w:t>
      </w:r>
    </w:p>
    <w:p w14:paraId="5ACD5758">
      <w:pPr>
        <w:pStyle w:val="16"/>
        <w:spacing w:beforeAutospacing="0" w:afterAutospacing="0" w:line="56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4.其他收入：指单位取得的除上述收入以外的各项收入。</w:t>
      </w:r>
    </w:p>
    <w:p w14:paraId="129CBB11">
      <w:pPr>
        <w:pStyle w:val="16"/>
        <w:spacing w:beforeAutospacing="0" w:afterAutospacing="0" w:line="56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5.使用非财政拨款结余：指事业单位使用以前年度积累的非财政拨款结余弥补当年收支差额的金额。</w:t>
      </w:r>
    </w:p>
    <w:p w14:paraId="21C12477">
      <w:pPr>
        <w:pStyle w:val="16"/>
        <w:spacing w:beforeAutospacing="0" w:afterAutospacing="0" w:line="56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6.年初结转和结余：指以前年度尚未完成、结转到本年按有关规定继续使用的资金。</w:t>
      </w:r>
    </w:p>
    <w:p w14:paraId="09A09FEF">
      <w:pPr>
        <w:pStyle w:val="16"/>
        <w:spacing w:beforeAutospacing="0" w:afterAutospacing="0" w:line="56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7.结余分配：指事业单位按照会计制度规定缴纳的所得税、提取的专用结余以及转入非财政拨款结余的金额等。</w:t>
      </w:r>
    </w:p>
    <w:p w14:paraId="722437DD">
      <w:pPr>
        <w:pStyle w:val="16"/>
        <w:spacing w:beforeAutospacing="0" w:afterAutospacing="0" w:line="56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8.年末结转和结余：指单位按有关规定结转到下年或以后年度继续使用的资金。</w:t>
      </w:r>
    </w:p>
    <w:p w14:paraId="72800148">
      <w:pPr>
        <w:pStyle w:val="16"/>
        <w:spacing w:beforeAutospacing="0" w:afterAutospacing="0" w:line="56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9.社会保障和就业支出（208）行政事业单位养老支出（20805）机关事业单位基本养老保险缴费支出（2080505）：指反映机关事业单位实施养老保险制度由单位缴纳的基本养老保险费支出。</w:t>
      </w:r>
    </w:p>
    <w:p w14:paraId="33BE2BDB">
      <w:pPr>
        <w:pStyle w:val="16"/>
        <w:spacing w:beforeAutospacing="0" w:afterAutospacing="0" w:line="56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10.社会保障和就业支出（208）行政事业单位养老支出（20805）机关事业单位职业年金缴费支出（2080506）：指反映机关事业单位实施养老保险制度由单位实际缴纳的职业年金支出。</w:t>
      </w:r>
    </w:p>
    <w:p w14:paraId="21A53E69">
      <w:pPr>
        <w:pStyle w:val="16"/>
        <w:spacing w:beforeAutospacing="0" w:afterAutospacing="0" w:line="56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11.卫生健康支出（210）行政事业单位医疗（21011）事业单位医疗（2101102）：指反映财政部门安排的事业单位基本医疗保险缴费经费，未参加医疗保险的事业单位的公费医疗经费，按国家规定享受离休人员待遇的医疗经费。</w:t>
      </w:r>
    </w:p>
    <w:p w14:paraId="5B58116B">
      <w:pPr>
        <w:pStyle w:val="16"/>
        <w:spacing w:beforeAutospacing="0" w:afterAutospacing="0" w:line="56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12.节能环保支出（211）环境监测与监察（21102）其他环境监测与监察支出（2110299）：主要用于单位正常运转的基本支出，包括基本工资、津贴补贴等人员经费以及办公费、印刷费、水电费、公务接待费等日常公用经费。</w:t>
      </w:r>
    </w:p>
    <w:p w14:paraId="5CA11674">
      <w:pPr>
        <w:pStyle w:val="16"/>
        <w:spacing w:beforeAutospacing="0" w:afterAutospacing="0" w:line="56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13.住房保障支出（类）住房改革支出（款）住房公积金（项）：指反映事业单位按人力资源部、财政部规定的基本工资和津贴补贴以及规定比例为职工缴纳的住房公积金。</w:t>
      </w:r>
    </w:p>
    <w:p w14:paraId="2AE73F27">
      <w:pPr>
        <w:pStyle w:val="16"/>
        <w:spacing w:beforeAutospacing="0" w:afterAutospacing="0" w:line="56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14.基本支出：指为保障机构正常运转、完成日常工作任务而发生的人员支出和公用支出。</w:t>
      </w:r>
    </w:p>
    <w:p w14:paraId="046E7AF0">
      <w:pPr>
        <w:pStyle w:val="16"/>
        <w:spacing w:beforeAutospacing="0" w:afterAutospacing="0" w:line="56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15.项目支出：指在基本支出之外为完成特定行政任务和事业发展目标所发生的支出。</w:t>
      </w:r>
    </w:p>
    <w:p w14:paraId="1D6EEC68">
      <w:pPr>
        <w:pStyle w:val="16"/>
        <w:spacing w:beforeAutospacing="0" w:afterAutospacing="0" w:line="56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16.经营支出：指事业单位在专业业务活动及其辅助活动之外开展非独立核算经营活动发生的支出。</w:t>
      </w:r>
    </w:p>
    <w:p w14:paraId="4370137E">
      <w:pPr>
        <w:pStyle w:val="16"/>
        <w:spacing w:beforeAutospacing="0" w:afterAutospacing="0" w:line="56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17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DA8AE14">
      <w:pPr>
        <w:pStyle w:val="16"/>
        <w:spacing w:beforeAutospacing="0" w:afterAutospacing="0" w:line="560" w:lineRule="exact"/>
        <w:ind w:firstLine="640" w:firstLineChars="200"/>
        <w:rPr>
          <w:rFonts w:hint="eastAsia" w:ascii="仿宋_GB2312" w:hAnsi="仿宋_GB2312" w:eastAsia="仿宋_GB2312" w:cs="仿宋_GB2312"/>
          <w:sz w:val="32"/>
          <w:szCs w:val="32"/>
          <w:shd w:val="clear" w:color="auto" w:fill="FFFFFF"/>
        </w:rPr>
        <w:sectPr>
          <w:footerReference r:id="rId3" w:type="default"/>
          <w:pgSz w:w="11915" w:h="16851"/>
          <w:pgMar w:top="2098" w:right="1474" w:bottom="1984" w:left="1587" w:header="851" w:footer="992" w:gutter="0"/>
          <w:pgNumType w:fmt="numberInDash" w:start="0"/>
          <w:cols w:space="0" w:num="1"/>
          <w:docGrid w:type="lines" w:linePitch="312" w:charSpace="0"/>
        </w:sectPr>
      </w:pPr>
      <w:r>
        <w:rPr>
          <w:rFonts w:hint="eastAsia" w:ascii="仿宋_GB2312" w:hAnsi="仿宋_GB2312" w:eastAsia="仿宋_GB2312" w:cs="仿宋_GB2312"/>
          <w:sz w:val="32"/>
          <w:szCs w:val="32"/>
          <w:shd w:val="clear" w:color="auto" w:fill="FFFFFF"/>
        </w:rPr>
        <w:t>18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4A43E4D">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Style w:val="25"/>
          <w:rFonts w:hint="eastAsia" w:ascii="Times New Roman" w:hAnsi="Times New Roman" w:eastAsia="黑体"/>
          <w:b w:val="0"/>
          <w:color w:val="auto"/>
          <w:highlight w:val="none"/>
          <w:lang w:eastAsia="zh-CN"/>
        </w:rPr>
      </w:pPr>
      <w:bookmarkStart w:id="47" w:name="_Toc9477"/>
      <w:bookmarkStart w:id="48"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7"/>
      <w:bookmarkEnd w:id="48"/>
    </w:p>
    <w:p w14:paraId="471B8BEC">
      <w:pPr>
        <w:keepNext w:val="0"/>
        <w:keepLines w:val="0"/>
        <w:pageBreakBefore w:val="0"/>
        <w:widowControl/>
        <w:kinsoku/>
        <w:wordWrap/>
        <w:overflowPunct/>
        <w:topLinePunct w:val="0"/>
        <w:autoSpaceDE/>
        <w:autoSpaceDN/>
        <w:bidi w:val="0"/>
        <w:adjustRightInd/>
        <w:snapToGrid/>
        <w:spacing w:line="572" w:lineRule="exact"/>
        <w:jc w:val="left"/>
        <w:textAlignment w:val="auto"/>
        <w:outlineLvl w:val="9"/>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5FC116EA">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2929B4DB">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14:paraId="203E0F3D">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14:paraId="6A01C845">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6050E965">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23C00135">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ascii="Times New Roman" w:hAnsi="Times New Roman" w:eastAsia="仿宋_GB2312" w:cs="仿宋_GB2312"/>
          <w:color w:val="auto"/>
          <w:kern w:val="2"/>
          <w:sz w:val="32"/>
          <w:szCs w:val="32"/>
          <w:highlight w:val="none"/>
          <w:lang w:val="en-US" w:eastAsia="zh-CN" w:bidi="ar-SA"/>
        </w:rPr>
        <w:t>***内设</w:t>
      </w:r>
      <w:r>
        <w:rPr>
          <w:rFonts w:hint="default" w:ascii="Times New Roman" w:hAnsi="Times New Roman" w:eastAsia="仿宋_GB2312" w:cs="仿宋_GB2312"/>
          <w:color w:val="auto"/>
          <w:kern w:val="2"/>
          <w:sz w:val="32"/>
          <w:szCs w:val="32"/>
          <w:highlight w:val="none"/>
          <w:lang w:val="en-US" w:eastAsia="zh-CN" w:bidi="ar-SA"/>
        </w:rPr>
        <w:t>处室</w:t>
      </w:r>
      <w:r>
        <w:rPr>
          <w:rFonts w:hint="eastAsia" w:ascii="Times New Roman" w:hAnsi="Times New Roman" w:eastAsia="仿宋_GB2312" w:cs="仿宋_GB2312"/>
          <w:color w:val="auto"/>
          <w:kern w:val="2"/>
          <w:sz w:val="32"/>
          <w:szCs w:val="32"/>
          <w:highlight w:val="none"/>
          <w:lang w:val="en-US" w:eastAsia="zh-CN" w:bidi="ar-SA"/>
        </w:rPr>
        <w:t>及下属单位情况</w:t>
      </w:r>
      <w:r>
        <w:rPr>
          <w:rFonts w:hint="default" w:ascii="Times New Roman" w:hAnsi="Times New Roman" w:eastAsia="仿宋_GB2312" w:cs="仿宋_GB2312"/>
          <w:color w:val="auto"/>
          <w:kern w:val="2"/>
          <w:sz w:val="32"/>
          <w:szCs w:val="32"/>
          <w:highlight w:val="none"/>
          <w:lang w:val="en-US" w:eastAsia="zh-CN" w:bidi="ar-SA"/>
        </w:rPr>
        <w:t>。</w:t>
      </w:r>
    </w:p>
    <w:p w14:paraId="6118B283">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Times New Roman"/>
          <w:sz w:val="32"/>
          <w:szCs w:val="32"/>
          <w:lang w:val="en-US" w:eastAsia="zh-CN"/>
        </w:rPr>
        <w:t>职责和功能。</w:t>
      </w:r>
    </w:p>
    <w:p w14:paraId="62954F4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cs="Times New Roman"/>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sz w:val="32"/>
          <w:szCs w:val="32"/>
          <w:lang w:val="en-US" w:eastAsia="zh-CN"/>
        </w:rPr>
        <w:t>及下属单位编制</w:t>
      </w:r>
      <w:r>
        <w:rPr>
          <w:rFonts w:hint="eastAsia" w:ascii="Times New Roman" w:hAnsi="Times New Roman" w:eastAsia="仿宋_GB2312" w:cs="Times New Roman"/>
          <w:sz w:val="32"/>
          <w:szCs w:val="32"/>
          <w:lang w:val="en-US" w:eastAsia="zh-CN"/>
        </w:rPr>
        <w:t>情况、</w:t>
      </w:r>
      <w:r>
        <w:rPr>
          <w:rFonts w:hint="default" w:ascii="Times New Roman" w:hAnsi="Times New Roman" w:eastAsia="仿宋_GB2312" w:cs="Times New Roman"/>
          <w:sz w:val="32"/>
          <w:szCs w:val="32"/>
          <w:lang w:val="en-US" w:eastAsia="zh-CN"/>
        </w:rPr>
        <w:t>年末实有人数</w:t>
      </w:r>
      <w:r>
        <w:rPr>
          <w:rFonts w:hint="eastAsia" w:ascii="Times New Roman" w:hAnsi="Times New Roman" w:eastAsia="仿宋_GB2312" w:cs="Times New Roman"/>
          <w:sz w:val="32"/>
          <w:szCs w:val="32"/>
          <w:lang w:val="en-US" w:eastAsia="zh-CN"/>
        </w:rPr>
        <w:t>情况。</w:t>
      </w:r>
    </w:p>
    <w:p w14:paraId="4F0C2DF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0858DF49">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年年初预算收入情况、决算报表收入情况。</w:t>
      </w:r>
    </w:p>
    <w:p w14:paraId="5A94089B">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年年初预算支出情况、决算报表支出情况。</w:t>
      </w:r>
    </w:p>
    <w:p w14:paraId="3C4FB30B">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w:t>
      </w:r>
      <w:r>
        <w:rPr>
          <w:rFonts w:hint="default" w:ascii="Times New Roman" w:hAnsi="Times New Roman" w:eastAsia="仿宋_GB2312" w:cs="Times New Roman"/>
          <w:sz w:val="32"/>
          <w:szCs w:val="32"/>
          <w:lang w:val="en-US" w:eastAsia="zh-CN"/>
        </w:rPr>
        <w:t>结转结余</w:t>
      </w:r>
      <w:r>
        <w:rPr>
          <w:rFonts w:hint="eastAsia" w:ascii="Times New Roman" w:hAnsi="Times New Roman" w:eastAsia="仿宋_GB2312" w:cs="Times New Roman"/>
          <w:sz w:val="32"/>
          <w:szCs w:val="32"/>
          <w:lang w:val="en-US" w:eastAsia="zh-CN"/>
        </w:rPr>
        <w:t>情况</w:t>
      </w:r>
      <w:r>
        <w:rPr>
          <w:rFonts w:hint="default" w:ascii="Times New Roman" w:hAnsi="Times New Roman" w:eastAsia="仿宋_GB2312" w:cs="Times New Roman"/>
          <w:sz w:val="32"/>
          <w:szCs w:val="32"/>
          <w:lang w:val="en-US" w:eastAsia="zh-CN"/>
        </w:rPr>
        <w:t>。</w:t>
      </w:r>
    </w:p>
    <w:p w14:paraId="28B2274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7D3860B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总体绩效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，依次包括履职效能、预算管理、财务管理、资产管理、采购管理等情况。</w:t>
      </w:r>
    </w:p>
    <w:p w14:paraId="70B847C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履职效能。部门整体绩效目标中选定3—5个核心职能目标，对职能目标完成效果情况绩效分析。</w:t>
      </w:r>
    </w:p>
    <w:p w14:paraId="1BB4291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。围绕预算编制质量、单位收入统筹、支出执行进度、预算年终结余、严控一般性支出</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14:paraId="69A65EB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财务管理</w:t>
      </w:r>
      <w:r>
        <w:rPr>
          <w:rFonts w:hint="eastAsia" w:ascii="Times New Roman" w:hAnsi="Times New Roman" w:eastAsia="仿宋_GB2312" w:cs="仿宋_GB2312"/>
          <w:color w:val="auto"/>
          <w:kern w:val="2"/>
          <w:sz w:val="32"/>
          <w:szCs w:val="32"/>
          <w:highlight w:val="none"/>
          <w:lang w:val="zh-CN" w:eastAsia="zh-CN" w:bidi="ar-SA"/>
        </w:rPr>
        <w:t>。围绕财务管理制度、财务岗位设置、资金使用规范</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14:paraId="0D353A9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zh-CN" w:eastAsia="zh-CN" w:bidi="ar-SA"/>
        </w:rPr>
        <w:t>。围绕人均资产变化率、资产利用率、资产盘活率</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14:paraId="531ACA6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采购管理</w:t>
      </w:r>
      <w:r>
        <w:rPr>
          <w:rFonts w:hint="eastAsia" w:ascii="Times New Roman" w:hAnsi="Times New Roman" w:eastAsia="仿宋_GB2312" w:cs="仿宋_GB2312"/>
          <w:color w:val="auto"/>
          <w:kern w:val="2"/>
          <w:sz w:val="32"/>
          <w:szCs w:val="32"/>
          <w:highlight w:val="none"/>
          <w:lang w:val="zh-CN" w:eastAsia="zh-CN" w:bidi="ar-SA"/>
        </w:rPr>
        <w:t>。围绕支持中小企业发展、采购执行率</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14:paraId="366A07F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Times New Roman" w:hAnsi="Times New Roman" w:eastAsia="仿宋_GB2312" w:cs="仿宋_GB2312"/>
          <w:color w:val="auto"/>
          <w:kern w:val="2"/>
          <w:sz w:val="32"/>
          <w:szCs w:val="32"/>
          <w:highlight w:val="none"/>
          <w:lang w:val="zh-CN" w:eastAsia="zh-CN" w:bidi="ar-SA"/>
        </w:rPr>
        <w:t>填报以下数据，并</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项目绩效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，依次包括项目</w:t>
      </w:r>
      <w:r>
        <w:rPr>
          <w:rFonts w:hint="default" w:ascii="Times New Roman" w:hAnsi="Times New Roman" w:eastAsia="仿宋_GB2312" w:cs="仿宋_GB2312"/>
          <w:color w:val="auto"/>
          <w:kern w:val="2"/>
          <w:sz w:val="32"/>
          <w:szCs w:val="32"/>
          <w:highlight w:val="none"/>
          <w:lang w:val="en-US" w:eastAsia="zh-CN" w:bidi="ar-SA"/>
        </w:rPr>
        <w:t>决策、项目执行、目标实现等情况</w:t>
      </w:r>
      <w:r>
        <w:rPr>
          <w:rFonts w:hint="eastAsia" w:ascii="Times New Roman" w:hAnsi="Times New Roman" w:eastAsia="仿宋_GB2312" w:cs="仿宋_GB2312"/>
          <w:color w:val="auto"/>
          <w:kern w:val="2"/>
          <w:sz w:val="32"/>
          <w:szCs w:val="32"/>
          <w:highlight w:val="none"/>
          <w:lang w:val="en-US" w:eastAsia="zh-CN" w:bidi="ar-SA"/>
        </w:rPr>
        <w:t>。</w:t>
      </w:r>
    </w:p>
    <w:p w14:paraId="128BF8A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个。</w:t>
      </w:r>
    </w:p>
    <w:p w14:paraId="083B5FA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个。</w:t>
      </w:r>
    </w:p>
    <w:p w14:paraId="4680CE2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项目决策。围绕决策程序、目标设置、项目入库</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14:paraId="3288436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2.项目执行</w:t>
      </w:r>
      <w:r>
        <w:rPr>
          <w:rFonts w:hint="eastAsia" w:ascii="Times New Roman" w:hAnsi="Times New Roman" w:eastAsia="仿宋_GB2312" w:cs="仿宋_GB2312"/>
          <w:color w:val="auto"/>
          <w:kern w:val="2"/>
          <w:sz w:val="32"/>
          <w:szCs w:val="32"/>
          <w:highlight w:val="none"/>
          <w:lang w:val="zh-CN" w:eastAsia="zh-CN" w:bidi="ar-SA"/>
        </w:rPr>
        <w:t>。围绕资金执行同向、项目调整、执行结果</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14:paraId="6102356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目标实现。围绕目标完成、目标偏离、实现效果</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14:paraId="2926249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州</w:t>
      </w:r>
      <w:r>
        <w:rPr>
          <w:rFonts w:hint="default" w:ascii="Times New Roman" w:hAnsi="Times New Roman" w:eastAsia="仿宋_GB2312" w:cs="仿宋_GB2312"/>
          <w:color w:val="auto"/>
          <w:kern w:val="2"/>
          <w:sz w:val="32"/>
          <w:szCs w:val="32"/>
          <w:highlight w:val="none"/>
          <w:lang w:val="en-US" w:eastAsia="zh-CN" w:bidi="ar-SA"/>
        </w:rPr>
        <w:t>级部门对</w:t>
      </w:r>
      <w:r>
        <w:rPr>
          <w:rFonts w:hint="eastAsia" w:eastAsia="仿宋_GB2312" w:cs="仿宋_GB2312"/>
          <w:color w:val="auto"/>
          <w:kern w:val="2"/>
          <w:sz w:val="32"/>
          <w:szCs w:val="32"/>
          <w:highlight w:val="none"/>
          <w:lang w:val="en-US" w:eastAsia="zh-CN" w:bidi="ar-SA"/>
        </w:rPr>
        <w:t>2025年度</w:t>
      </w:r>
      <w:r>
        <w:rPr>
          <w:rFonts w:hint="default" w:ascii="Times New Roman" w:hAnsi="Times New Roman" w:eastAsia="仿宋_GB2312" w:cs="仿宋_GB2312"/>
          <w:color w:val="auto"/>
          <w:kern w:val="2"/>
          <w:sz w:val="32"/>
          <w:szCs w:val="32"/>
          <w:highlight w:val="none"/>
          <w:lang w:val="en-US" w:eastAsia="zh-CN" w:bidi="ar-SA"/>
        </w:rPr>
        <w:t>一般公共预算、政府性基金预算、国有资本经营预算安排的常年项目、阶段项目绩效目标完成情况，以及债券资金、政府购买服务有关情况进行梳理阐述</w:t>
      </w:r>
      <w:r>
        <w:rPr>
          <w:rFonts w:hint="eastAsia" w:eastAsia="仿宋_GB2312" w:cs="仿宋_GB2312"/>
          <w:color w:val="auto"/>
          <w:kern w:val="2"/>
          <w:sz w:val="32"/>
          <w:szCs w:val="32"/>
          <w:highlight w:val="none"/>
          <w:lang w:val="en-US" w:eastAsia="zh-CN" w:bidi="ar-SA"/>
        </w:rPr>
        <w:t>。</w:t>
      </w:r>
    </w:p>
    <w:p w14:paraId="5E5691B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仿宋_GB2312"/>
          <w:color w:val="auto"/>
          <w:kern w:val="2"/>
          <w:sz w:val="32"/>
          <w:szCs w:val="32"/>
          <w:highlight w:val="none"/>
          <w:lang w:val="zh-CN" w:eastAsia="zh-CN" w:bidi="ar-SA"/>
        </w:rPr>
        <w:t>围绕内部应用情况、</w:t>
      </w:r>
      <w:r>
        <w:rPr>
          <w:rFonts w:hint="default" w:ascii="Times New Roman" w:hAnsi="Times New Roman" w:eastAsia="仿宋_GB2312" w:cs="仿宋_GB2312"/>
          <w:color w:val="auto"/>
          <w:kern w:val="2"/>
          <w:sz w:val="32"/>
          <w:szCs w:val="32"/>
          <w:highlight w:val="none"/>
          <w:lang w:val="zh-CN" w:eastAsia="zh-CN" w:bidi="ar-SA"/>
        </w:rPr>
        <w:t>信息公开情况</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整改反馈情况</w:t>
      </w:r>
      <w:r>
        <w:rPr>
          <w:rFonts w:hint="eastAsia" w:ascii="Times New Roman" w:hAnsi="Times New Roman" w:eastAsia="仿宋_GB2312" w:cs="仿宋_GB2312"/>
          <w:color w:val="auto"/>
          <w:kern w:val="2"/>
          <w:sz w:val="32"/>
          <w:szCs w:val="32"/>
          <w:highlight w:val="none"/>
          <w:lang w:val="zh-CN" w:eastAsia="zh-CN" w:bidi="ar-SA"/>
        </w:rPr>
        <w:t>进行分析。</w:t>
      </w:r>
    </w:p>
    <w:p w14:paraId="03602B9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1E3FF81E">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Times New Roman" w:hAnsi="Times New Roman" w:eastAsia="仿宋_GB2312" w:cs="Times New Roman"/>
          <w:sz w:val="32"/>
          <w:szCs w:val="32"/>
          <w:u w:val="none"/>
          <w:lang w:val="en-US" w:eastAsia="zh-CN" w:bidi="ar"/>
        </w:rPr>
        <w:t>简要阐述部门预算绩效自评总体结论，其中必须包含自评得分。</w:t>
      </w:r>
    </w:p>
    <w:p w14:paraId="0AE966A1">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ascii="Times New Roman" w:hAnsi="Times New Roman" w:eastAsia="仿宋_GB2312" w:cs="Times New Roman"/>
          <w:sz w:val="32"/>
          <w:szCs w:val="32"/>
          <w:u w:val="none"/>
          <w:lang w:val="en-US" w:eastAsia="zh-CN" w:bidi="ar"/>
        </w:rPr>
        <w:t>简要阐述部门预算绩效自评发现的主要问题。</w:t>
      </w:r>
    </w:p>
    <w:p w14:paraId="73451707">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u w:val="none"/>
          <w:lang w:val="en"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r>
        <w:rPr>
          <w:rFonts w:hint="eastAsia" w:ascii="Times New Roman" w:hAnsi="Times New Roman" w:eastAsia="仿宋_GB2312" w:cs="Times New Roman"/>
          <w:sz w:val="32"/>
          <w:szCs w:val="32"/>
          <w:u w:val="none"/>
          <w:lang w:val="en-US" w:eastAsia="zh-CN" w:bidi="ar"/>
        </w:rPr>
        <w:t>简要阐述</w:t>
      </w:r>
      <w:bookmarkStart w:id="49" w:name="_Hlk110546638"/>
      <w:r>
        <w:rPr>
          <w:rFonts w:hint="eastAsia" w:ascii="Times New Roman" w:hAnsi="Times New Roman" w:eastAsia="仿宋_GB2312" w:cs="Times New Roman"/>
          <w:sz w:val="32"/>
          <w:szCs w:val="32"/>
          <w:u w:val="none"/>
          <w:lang w:val="en" w:eastAsia="zh-CN" w:bidi="ar"/>
        </w:rPr>
        <w:t>预算安排、完善政策、改进管理等方面的</w:t>
      </w:r>
      <w:r>
        <w:rPr>
          <w:rFonts w:hint="eastAsia" w:ascii="Times New Roman" w:hAnsi="Times New Roman" w:eastAsia="仿宋_GB2312" w:cs="Times New Roman"/>
          <w:sz w:val="32"/>
          <w:szCs w:val="32"/>
          <w:u w:val="none"/>
          <w:lang w:val="en-US" w:eastAsia="zh-CN" w:bidi="ar"/>
        </w:rPr>
        <w:t>措施</w:t>
      </w:r>
      <w:r>
        <w:rPr>
          <w:rFonts w:hint="eastAsia" w:ascii="Times New Roman" w:hAnsi="Times New Roman" w:eastAsia="仿宋_GB2312" w:cs="Times New Roman"/>
          <w:sz w:val="32"/>
          <w:szCs w:val="32"/>
          <w:u w:val="none"/>
          <w:lang w:val="en" w:eastAsia="zh-CN" w:bidi="ar"/>
        </w:rPr>
        <w:t>建议，其中</w:t>
      </w:r>
      <w:r>
        <w:rPr>
          <w:rFonts w:hint="eastAsia" w:ascii="Times New Roman" w:hAnsi="Times New Roman" w:eastAsia="仿宋_GB2312" w:cs="Times New Roman"/>
          <w:sz w:val="32"/>
          <w:szCs w:val="32"/>
          <w:u w:val="none"/>
          <w:lang w:val="en-US" w:eastAsia="zh-CN" w:bidi="ar"/>
        </w:rPr>
        <w:t>必须对应评价发现的主要问题一一提出措施建议。</w:t>
      </w:r>
    </w:p>
    <w:bookmarkEnd w:id="49"/>
    <w:p w14:paraId="4D838D1B">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26B66ACD">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49A25CEE">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（注：</w:t>
      </w:r>
      <w:r>
        <w:rPr>
          <w:rFonts w:hint="eastAsia" w:ascii="Times New Roman" w:eastAsia="仿宋_GB2312" w:cs="仿宋_GB2312"/>
          <w:b w:val="0"/>
          <w:bCs w:val="0"/>
          <w:kern w:val="0"/>
          <w:position w:val="0"/>
          <w:sz w:val="32"/>
          <w:szCs w:val="32"/>
          <w:highlight w:val="none"/>
          <w:lang w:val="en-US" w:eastAsia="zh-CN" w:bidi="ar-SA"/>
        </w:rPr>
        <w:t>部门需公开部门预算绩效自评报告和部门预算项目支出绩效自评表（2025年度），</w:t>
      </w:r>
      <w:r>
        <w:rPr>
          <w:rFonts w:hint="eastAsia" w:ascii="宋体" w:hAnsi="宋体" w:eastAsia="仿宋_GB2312" w:cs="仿宋_GB2312"/>
          <w:b w:val="0"/>
          <w:sz w:val="32"/>
          <w:szCs w:val="32"/>
          <w:highlight w:val="none"/>
          <w:u w:val="none"/>
          <w:lang w:eastAsia="zh-CN"/>
        </w:rPr>
        <w:t>部门评价项目数量</w:t>
      </w:r>
      <w:r>
        <w:rPr>
          <w:rFonts w:hint="eastAsia" w:ascii="宋体" w:hAnsi="宋体" w:cs="仿宋_GB2312"/>
          <w:b w:val="0"/>
          <w:sz w:val="32"/>
          <w:szCs w:val="32"/>
          <w:highlight w:val="none"/>
          <w:u w:val="none"/>
          <w:lang w:eastAsia="zh-CN"/>
        </w:rPr>
        <w:t>在</w:t>
      </w:r>
      <w:r>
        <w:rPr>
          <w:rFonts w:hint="eastAsia" w:ascii="宋体" w:hAnsi="宋体" w:eastAsia="仿宋_GB2312" w:cs="仿宋_GB2312"/>
          <w:b w:val="0"/>
          <w:sz w:val="32"/>
          <w:szCs w:val="32"/>
          <w:highlight w:val="none"/>
          <w:u w:val="none"/>
          <w:lang w:val="en-US" w:eastAsia="zh-CN"/>
        </w:rPr>
        <w:t>3个以内的，</w:t>
      </w:r>
      <w:r>
        <w:rPr>
          <w:rFonts w:hint="eastAsia" w:ascii="宋体" w:hAnsi="宋体" w:eastAsia="仿宋_GB2312" w:cs="仿宋_GB2312"/>
          <w:sz w:val="32"/>
          <w:szCs w:val="32"/>
          <w:highlight w:val="none"/>
          <w:u w:val="none"/>
        </w:rPr>
        <w:t>至少将1个部门评价报告向社会公开</w:t>
      </w:r>
      <w:r>
        <w:rPr>
          <w:rFonts w:hint="eastAsia" w:ascii="宋体" w:hAnsi="宋体" w:eastAsia="仿宋_GB2312" w:cs="仿宋_GB2312"/>
          <w:sz w:val="32"/>
          <w:szCs w:val="32"/>
          <w:highlight w:val="none"/>
          <w:u w:val="none"/>
          <w:lang w:eastAsia="zh-CN"/>
        </w:rPr>
        <w:t>；</w:t>
      </w:r>
      <w:r>
        <w:rPr>
          <w:rFonts w:hint="eastAsia" w:ascii="宋体" w:hAnsi="宋体" w:eastAsia="仿宋_GB2312" w:cs="仿宋_GB2312"/>
          <w:b w:val="0"/>
          <w:sz w:val="32"/>
          <w:szCs w:val="32"/>
          <w:highlight w:val="none"/>
          <w:u w:val="none"/>
          <w:lang w:eastAsia="zh-CN"/>
        </w:rPr>
        <w:t>部门评价项目数量大于</w:t>
      </w:r>
      <w:r>
        <w:rPr>
          <w:rFonts w:hint="eastAsia" w:ascii="宋体" w:hAnsi="宋体" w:eastAsia="仿宋_GB2312" w:cs="仿宋_GB2312"/>
          <w:b w:val="0"/>
          <w:sz w:val="32"/>
          <w:szCs w:val="32"/>
          <w:highlight w:val="none"/>
          <w:u w:val="none"/>
          <w:lang w:val="en-US" w:eastAsia="zh-CN"/>
        </w:rPr>
        <w:t>3个的，</w:t>
      </w:r>
      <w:r>
        <w:rPr>
          <w:rFonts w:hint="eastAsia" w:ascii="宋体" w:hAnsi="宋体" w:eastAsia="仿宋_GB2312" w:cs="仿宋_GB2312"/>
          <w:sz w:val="32"/>
          <w:szCs w:val="32"/>
          <w:highlight w:val="none"/>
          <w:u w:val="none"/>
        </w:rPr>
        <w:t>至少将</w:t>
      </w:r>
      <w:r>
        <w:rPr>
          <w:rFonts w:hint="eastAsia" w:ascii="宋体" w:hAnsi="宋体" w:eastAsia="仿宋_GB2312" w:cs="仿宋_GB2312"/>
          <w:sz w:val="32"/>
          <w:szCs w:val="32"/>
          <w:highlight w:val="none"/>
          <w:u w:val="none"/>
          <w:lang w:val="en-US" w:eastAsia="zh-CN"/>
        </w:rPr>
        <w:t>2</w:t>
      </w:r>
      <w:r>
        <w:rPr>
          <w:rFonts w:hint="eastAsia" w:ascii="宋体" w:hAnsi="宋体" w:eastAsia="仿宋_GB2312" w:cs="仿宋_GB2312"/>
          <w:sz w:val="32"/>
          <w:szCs w:val="32"/>
          <w:highlight w:val="none"/>
          <w:u w:val="none"/>
        </w:rPr>
        <w:t>个部门评价报告向社会公开</w:t>
      </w:r>
      <w:r>
        <w:rPr>
          <w:rFonts w:hint="eastAsia" w:ascii="宋体" w:hAnsi="宋体" w:eastAsia="仿宋_GB2312" w:cs="仿宋_GB2312"/>
          <w:sz w:val="32"/>
          <w:szCs w:val="32"/>
          <w:highlight w:val="none"/>
          <w:u w:val="none"/>
          <w:lang w:eastAsia="zh-CN"/>
        </w:rPr>
        <w:t>。</w:t>
      </w:r>
      <w:r>
        <w:rPr>
          <w:rFonts w:hint="eastAsia" w:ascii="Times New Roman" w:eastAsia="仿宋_GB2312" w:cs="仿宋_GB2312"/>
          <w:b w:val="0"/>
          <w:bCs w:val="0"/>
          <w:kern w:val="0"/>
          <w:position w:val="0"/>
          <w:sz w:val="32"/>
          <w:szCs w:val="32"/>
          <w:highlight w:val="none"/>
          <w:lang w:val="en-US" w:eastAsia="zh-CN" w:bidi="ar-SA"/>
        </w:rPr>
        <w:t>各下属单位需公开部门预算项目支出绩效自评表（2025年度）。</w:t>
      </w:r>
    </w:p>
    <w:p w14:paraId="0C7510D6">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部门预算项目支出绩效自评表（2025年度）</w:t>
      </w:r>
      <w:r>
        <w:rPr>
          <w:rFonts w:hint="eastAsia" w:ascii="Times New Roman" w:eastAsia="仿宋_GB2312" w:cs="仿宋_GB2312"/>
          <w:b w:val="0"/>
          <w:bCs w:val="0"/>
          <w:kern w:val="0"/>
          <w:position w:val="0"/>
          <w:sz w:val="32"/>
          <w:szCs w:val="32"/>
          <w:highlight w:val="none"/>
          <w:lang w:val="en-US" w:eastAsia="zh-CN" w:bidi="ar-SA"/>
        </w:rPr>
        <w:t>为各部门在预算管理一体化系统绩效自评模块上传的表格，</w:t>
      </w:r>
      <w:r>
        <w:rPr>
          <w:rFonts w:hint="eastAsia" w:ascii="Times New Roman" w:hAnsi="Times New Roman" w:eastAsia="仿宋_GB2312" w:cs="仿宋_GB2312"/>
          <w:b w:val="0"/>
          <w:bCs w:val="0"/>
          <w:kern w:val="0"/>
          <w:position w:val="0"/>
          <w:sz w:val="32"/>
          <w:szCs w:val="32"/>
          <w:highlight w:val="none"/>
          <w:lang w:val="en-US" w:eastAsia="zh-CN" w:bidi="ar-SA"/>
        </w:rPr>
        <w:t>该表格应作为附表予以公开）</w:t>
      </w:r>
    </w:p>
    <w:p w14:paraId="4E9CCF21">
      <w:pPr>
        <w:pStyle w:val="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09835892">
      <w:pPr>
        <w:pStyle w:val="8"/>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0A7D0BB0">
      <w:pPr>
        <w:pStyle w:val="28"/>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5258CB89">
      <w:pPr>
        <w:pStyle w:val="28"/>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专项预算项目绩效评价报告范本</w:t>
      </w:r>
    </w:p>
    <w:p w14:paraId="1AC00259">
      <w:pPr>
        <w:pStyle w:val="28"/>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14:paraId="22F62961">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14:paraId="363F308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color w:val="auto"/>
          <w:kern w:val="0"/>
          <w:sz w:val="32"/>
          <w:szCs w:val="32"/>
          <w:highlight w:val="none"/>
          <w:u w:val="none"/>
          <w:shd w:val="clear" w:color="auto" w:fill="FFFFFF"/>
          <w:lang w:val="zh-CN"/>
        </w:rPr>
      </w:pPr>
      <w:r>
        <w:rPr>
          <w:rFonts w:hint="eastAsia" w:ascii="Times New Roman" w:hAnsi="Times New Roman" w:eastAsia="楷体_GB2312"/>
          <w:b/>
          <w:color w:val="auto"/>
          <w:sz w:val="32"/>
          <w:szCs w:val="32"/>
          <w:highlight w:val="none"/>
          <w:u w:val="none"/>
          <w:lang w:val="zh-CN"/>
        </w:rPr>
        <w:t>（一）设立背景及基本情况。</w:t>
      </w:r>
      <w:r>
        <w:rPr>
          <w:rFonts w:hint="eastAsia" w:ascii="Times New Roman" w:hAnsi="Times New Roman" w:eastAsia="仿宋_GB2312" w:cs="仿宋_GB2312"/>
          <w:b w:val="0"/>
          <w:bCs w:val="0"/>
          <w:kern w:val="0"/>
          <w:position w:val="0"/>
          <w:sz w:val="32"/>
          <w:szCs w:val="32"/>
          <w:highlight w:val="none"/>
          <w:lang w:val="en-US" w:eastAsia="zh-CN" w:bidi="ar-SA"/>
        </w:rPr>
        <w:t>项目设立原因及背景，</w:t>
      </w:r>
      <w:r>
        <w:rPr>
          <w:rFonts w:hint="eastAsia" w:ascii="Times New Roman" w:hAnsi="Times New Roman" w:eastAsia="仿宋_GB2312" w:cs="仿宋_GB2312"/>
          <w:b w:val="0"/>
          <w:bCs w:val="0"/>
          <w:kern w:val="0"/>
          <w:position w:val="0"/>
          <w:sz w:val="32"/>
          <w:szCs w:val="32"/>
          <w:highlight w:val="none"/>
          <w:lang w:val="zh-CN" w:eastAsia="zh-CN" w:bidi="ar-SA"/>
        </w:rPr>
        <w:t>项目立项、资金申报的依据，项目主要内容</w:t>
      </w:r>
      <w:r>
        <w:rPr>
          <w:rFonts w:hint="eastAsia" w:ascii="Times New Roman" w:hAnsi="Times New Roman"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主管部门职能</w:t>
      </w:r>
      <w:r>
        <w:rPr>
          <w:rFonts w:hint="eastAsia" w:ascii="Times New Roman" w:hAnsi="Times New Roman" w:eastAsia="仿宋_GB2312" w:cs="仿宋_GB2312"/>
          <w:color w:val="auto"/>
          <w:kern w:val="0"/>
          <w:sz w:val="32"/>
          <w:szCs w:val="32"/>
          <w:highlight w:val="none"/>
          <w:u w:val="none"/>
          <w:shd w:val="clear" w:color="auto" w:fill="FFFFFF"/>
          <w:lang w:val="zh-CN"/>
        </w:rPr>
        <w:t>。</w:t>
      </w:r>
    </w:p>
    <w:p w14:paraId="633CA0C2">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r>
        <w:rPr>
          <w:rFonts w:hint="eastAsia" w:ascii="Times New Roman" w:hAnsi="Times New Roman" w:eastAsia="仿宋_GB2312" w:cs="仿宋_GB2312"/>
          <w:b w:val="0"/>
          <w:bCs w:val="0"/>
          <w:kern w:val="0"/>
          <w:position w:val="0"/>
          <w:sz w:val="32"/>
          <w:szCs w:val="32"/>
          <w:highlight w:val="none"/>
          <w:lang w:val="en-US" w:eastAsia="zh-CN" w:bidi="ar-SA"/>
        </w:rPr>
        <w:t>项目资金</w:t>
      </w:r>
      <w:r>
        <w:rPr>
          <w:rFonts w:hint="eastAsia" w:ascii="Times New Roman" w:hAnsi="Times New Roman" w:eastAsia="仿宋_GB2312" w:cs="仿宋_GB2312"/>
          <w:b w:val="0"/>
          <w:bCs w:val="0"/>
          <w:kern w:val="0"/>
          <w:position w:val="0"/>
          <w:sz w:val="32"/>
          <w:szCs w:val="32"/>
          <w:highlight w:val="none"/>
          <w:lang w:val="zh-CN" w:eastAsia="zh-CN" w:bidi="ar-SA"/>
        </w:rPr>
        <w:t>管理办法制定情况，项目实施目的和主要工作任务，项目支持方向。</w:t>
      </w:r>
    </w:p>
    <w:p w14:paraId="4D74D81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仿宋_GB2312" w:cs="仿宋_GB2312"/>
          <w:b w:val="0"/>
          <w:bCs w:val="0"/>
          <w:kern w:val="0"/>
          <w:position w:val="0"/>
          <w:sz w:val="32"/>
          <w:szCs w:val="32"/>
          <w:highlight w:val="none"/>
          <w:lang w:val="zh-CN" w:eastAsia="zh-CN" w:bidi="ar-SA"/>
        </w:rPr>
        <w:t>项目预算安排情况，项目资金分配原则及考虑因素，项目资金分配情况。</w:t>
      </w:r>
    </w:p>
    <w:p w14:paraId="27F0756B">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（四）项目绩效目标设置。</w:t>
      </w:r>
      <w:r>
        <w:rPr>
          <w:rFonts w:hint="eastAsia" w:ascii="Times New Roman" w:hAnsi="Times New Roman" w:eastAsia="仿宋_GB2312" w:cs="仿宋_GB2312"/>
          <w:b w:val="0"/>
          <w:bCs w:val="0"/>
          <w:kern w:val="0"/>
          <w:position w:val="0"/>
          <w:sz w:val="32"/>
          <w:szCs w:val="32"/>
          <w:highlight w:val="none"/>
          <w:lang w:val="zh-CN" w:eastAsia="zh-CN" w:bidi="ar-SA"/>
        </w:rPr>
        <w:t>项目整体、区域和具体绩效目标设置情况，项目自评工作开展情况。</w:t>
      </w:r>
    </w:p>
    <w:p w14:paraId="1D5B9D74">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14:paraId="4DB0DC5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r>
        <w:rPr>
          <w:rFonts w:hint="eastAsia" w:ascii="Times New Roman" w:hAnsi="Times New Roman" w:eastAsia="仿宋_GB2312" w:cs="仿宋_GB2312"/>
          <w:b w:val="0"/>
          <w:bCs w:val="0"/>
          <w:kern w:val="0"/>
          <w:position w:val="0"/>
          <w:sz w:val="32"/>
          <w:szCs w:val="32"/>
          <w:highlight w:val="none"/>
          <w:lang w:val="zh-CN" w:eastAsia="zh-CN" w:bidi="ar-SA"/>
        </w:rPr>
        <w:t>通过项目绩效自评要实现的目的。</w:t>
      </w:r>
    </w:p>
    <w:p w14:paraId="24357C44">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（二）预设问题及评价重点。</w:t>
      </w:r>
      <w:r>
        <w:rPr>
          <w:rFonts w:hint="eastAsia" w:ascii="Times New Roman" w:hAnsi="Times New Roman" w:eastAsia="仿宋_GB2312" w:cs="仿宋_GB2312"/>
          <w:b w:val="0"/>
          <w:bCs w:val="0"/>
          <w:kern w:val="0"/>
          <w:position w:val="0"/>
          <w:sz w:val="32"/>
          <w:szCs w:val="32"/>
          <w:highlight w:val="none"/>
          <w:lang w:val="zh-CN" w:eastAsia="zh-CN" w:bidi="ar-SA"/>
        </w:rPr>
        <w:t>按照绩效评价指标体系，对资金支出使用全过程及其实施效果进行综合评价和判断。</w:t>
      </w:r>
    </w:p>
    <w:p w14:paraId="0B71D3C4">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eastAsia="zh-CN"/>
        </w:rPr>
        <w:t>（三）评价选点。</w:t>
      </w:r>
      <w:r>
        <w:rPr>
          <w:rFonts w:hint="eastAsia" w:ascii="Times New Roman" w:hAnsi="Times New Roman" w:eastAsia="仿宋_GB2312" w:cs="仿宋_GB2312"/>
          <w:b w:val="0"/>
          <w:bCs w:val="0"/>
          <w:kern w:val="0"/>
          <w:position w:val="0"/>
          <w:sz w:val="32"/>
          <w:szCs w:val="32"/>
          <w:highlight w:val="none"/>
          <w:lang w:val="zh-CN" w:eastAsia="zh-CN" w:bidi="ar-SA"/>
        </w:rPr>
        <w:t>项目绩效自评所抽样点位情况。每个专项预算项目应选取专项资金分配涉及市县总数的20%、总计不超过20个的市县点位进行实地踏勘，且点位清单应作为自评附表。</w:t>
      </w:r>
    </w:p>
    <w:p w14:paraId="5918131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（四）评价方法。</w:t>
      </w:r>
      <w:r>
        <w:rPr>
          <w:rFonts w:hint="eastAsia" w:ascii="Times New Roman" w:hAnsi="Times New Roman" w:eastAsia="仿宋_GB2312" w:cs="仿宋_GB2312"/>
          <w:b w:val="0"/>
          <w:bCs w:val="0"/>
          <w:kern w:val="0"/>
          <w:position w:val="0"/>
          <w:sz w:val="32"/>
          <w:szCs w:val="32"/>
          <w:highlight w:val="none"/>
          <w:lang w:val="zh-CN" w:eastAsia="zh-CN" w:bidi="ar-SA"/>
        </w:rPr>
        <w:t>根据项目情况和评价重点，用于收集相关材料和开展具体评价的方法。包括：采用成本效益分析法、标杆管理法、案卷研究法、单位自评法、实地勘察法、问卷调查法、座谈调研法等多种方法。</w:t>
      </w:r>
    </w:p>
    <w:p w14:paraId="31CABD3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bCs/>
          <w:lang w:eastAsia="zh-CN"/>
        </w:rPr>
      </w:pPr>
      <w:r>
        <w:rPr>
          <w:rFonts w:hint="eastAsia" w:ascii="Times New Roman" w:hAnsi="Times New Roman" w:eastAsia="楷体_GB2312"/>
          <w:b/>
          <w:color w:val="auto"/>
          <w:sz w:val="32"/>
          <w:szCs w:val="32"/>
          <w:highlight w:val="none"/>
          <w:u w:val="none"/>
          <w:lang w:val="zh-CN"/>
        </w:rPr>
        <w:t>（五）评价组织。</w:t>
      </w:r>
      <w:r>
        <w:rPr>
          <w:rFonts w:hint="eastAsia" w:ascii="Times New Roman" w:hAnsi="Times New Roman" w:eastAsia="仿宋_GB2312" w:cs="仿宋_GB2312"/>
          <w:b w:val="0"/>
          <w:bCs w:val="0"/>
          <w:kern w:val="0"/>
          <w:position w:val="0"/>
          <w:sz w:val="32"/>
          <w:szCs w:val="32"/>
          <w:highlight w:val="none"/>
          <w:lang w:val="zh-CN" w:eastAsia="zh-CN" w:bidi="ar-SA"/>
        </w:rPr>
        <w:t>评价组人员构成和职责分工。</w:t>
      </w:r>
    </w:p>
    <w:p w14:paraId="165EE9BF">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14:paraId="25D8AF6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default"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zh-CN" w:eastAsia="zh-CN" w:bidi="ar-SA"/>
        </w:rPr>
        <w:t>项目</w:t>
      </w:r>
      <w:r>
        <w:rPr>
          <w:rFonts w:hint="default" w:ascii="Times New Roman" w:hAnsi="Times New Roman" w:eastAsia="仿宋_GB2312" w:cs="仿宋_GB2312"/>
          <w:b w:val="0"/>
          <w:bCs w:val="0"/>
          <w:kern w:val="0"/>
          <w:position w:val="0"/>
          <w:sz w:val="32"/>
          <w:szCs w:val="32"/>
          <w:highlight w:val="none"/>
          <w:lang w:val="zh-CN" w:eastAsia="zh-CN" w:bidi="ar-SA"/>
        </w:rPr>
        <w:t>预算绩效评价指标体系</w:t>
      </w:r>
      <w:r>
        <w:rPr>
          <w:rFonts w:hint="eastAsia" w:ascii="Times New Roman" w:hAnsi="Times New Roman" w:eastAsia="仿宋_GB2312" w:cs="仿宋_GB2312"/>
          <w:b w:val="0"/>
          <w:bCs w:val="0"/>
          <w:kern w:val="0"/>
          <w:position w:val="0"/>
          <w:sz w:val="32"/>
          <w:szCs w:val="32"/>
          <w:highlight w:val="none"/>
          <w:lang w:val="zh-CN" w:eastAsia="zh-CN" w:bidi="ar-SA"/>
        </w:rPr>
        <w:t>通用指标、专用指标、个性指标</w:t>
      </w:r>
      <w:r>
        <w:rPr>
          <w:rFonts w:hint="default" w:ascii="Times New Roman" w:hAnsi="Times New Roman" w:eastAsia="仿宋_GB2312" w:cs="仿宋_GB2312"/>
          <w:b w:val="0"/>
          <w:bCs w:val="0"/>
          <w:kern w:val="0"/>
          <w:position w:val="0"/>
          <w:sz w:val="32"/>
          <w:szCs w:val="32"/>
          <w:highlight w:val="none"/>
          <w:lang w:val="zh-CN" w:eastAsia="zh-CN" w:bidi="ar-SA"/>
        </w:rPr>
        <w:t>涉及</w:t>
      </w:r>
      <w:r>
        <w:rPr>
          <w:rFonts w:hint="eastAsia" w:ascii="Times New Roman" w:hAnsi="Times New Roman" w:eastAsia="仿宋_GB2312" w:cs="仿宋_GB2312"/>
          <w:b w:val="0"/>
          <w:bCs w:val="0"/>
          <w:kern w:val="0"/>
          <w:position w:val="0"/>
          <w:sz w:val="32"/>
          <w:szCs w:val="32"/>
          <w:highlight w:val="none"/>
          <w:lang w:val="zh-CN" w:eastAsia="zh-CN" w:bidi="ar-SA"/>
        </w:rPr>
        <w:t>二、三级</w:t>
      </w:r>
      <w:r>
        <w:rPr>
          <w:rFonts w:hint="default" w:ascii="Times New Roman" w:hAnsi="Times New Roman" w:eastAsia="仿宋_GB2312" w:cs="仿宋_GB2312"/>
          <w:b w:val="0"/>
          <w:bCs w:val="0"/>
          <w:kern w:val="0"/>
          <w:position w:val="0"/>
          <w:sz w:val="32"/>
          <w:szCs w:val="32"/>
          <w:highlight w:val="none"/>
          <w:lang w:val="zh-CN" w:eastAsia="zh-CN" w:bidi="ar-SA"/>
        </w:rPr>
        <w:t>指标进行</w:t>
      </w:r>
      <w:r>
        <w:rPr>
          <w:rFonts w:hint="eastAsia" w:ascii="Times New Roman" w:hAnsi="Times New Roman" w:eastAsia="仿宋_GB2312" w:cs="仿宋_GB2312"/>
          <w:b w:val="0"/>
          <w:bCs w:val="0"/>
          <w:kern w:val="0"/>
          <w:position w:val="0"/>
          <w:sz w:val="32"/>
          <w:szCs w:val="32"/>
          <w:highlight w:val="none"/>
          <w:lang w:val="zh-CN" w:eastAsia="zh-CN" w:bidi="ar-SA"/>
        </w:rPr>
        <w:t>逐项</w:t>
      </w:r>
      <w:r>
        <w:rPr>
          <w:rFonts w:hint="default" w:ascii="Times New Roman" w:hAnsi="Times New Roman" w:eastAsia="仿宋_GB2312" w:cs="仿宋_GB2312"/>
          <w:b w:val="0"/>
          <w:bCs w:val="0"/>
          <w:kern w:val="0"/>
          <w:position w:val="0"/>
          <w:sz w:val="32"/>
          <w:szCs w:val="32"/>
          <w:highlight w:val="none"/>
          <w:lang w:val="zh-CN" w:eastAsia="zh-CN" w:bidi="ar-SA"/>
        </w:rPr>
        <w:t>绩效分析</w:t>
      </w:r>
      <w:r>
        <w:rPr>
          <w:rFonts w:hint="eastAsia" w:ascii="Times New Roman" w:hAnsi="Times New Roman" w:eastAsia="仿宋_GB2312" w:cs="仿宋_GB2312"/>
          <w:b w:val="0"/>
          <w:bCs w:val="0"/>
          <w:kern w:val="0"/>
          <w:position w:val="0"/>
          <w:sz w:val="32"/>
          <w:szCs w:val="32"/>
          <w:highlight w:val="none"/>
          <w:lang w:val="zh-CN" w:eastAsia="zh-CN" w:bidi="ar-SA"/>
        </w:rPr>
        <w:t>并评分</w:t>
      </w:r>
      <w:r>
        <w:rPr>
          <w:rFonts w:hint="eastAsia" w:ascii="Times New Roman" w:hAnsi="Times New Roman" w:eastAsia="仿宋_GB2312" w:cs="仿宋_GB2312"/>
          <w:b w:val="0"/>
          <w:bCs w:val="0"/>
          <w:kern w:val="0"/>
          <w:position w:val="0"/>
          <w:sz w:val="32"/>
          <w:szCs w:val="32"/>
          <w:highlight w:val="none"/>
          <w:lang w:val="en-US" w:eastAsia="zh-CN" w:bidi="ar-SA"/>
        </w:rPr>
        <w:t>。</w:t>
      </w:r>
    </w:p>
    <w:p w14:paraId="43460391">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15E6F13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项目决策。围绕决策程序、规划论证、资金投向进行绩效分析。</w:t>
      </w:r>
    </w:p>
    <w:p w14:paraId="03709C5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项目管理。围绕制度办法、分配管理、绩效监管进行绩效分析。</w:t>
      </w:r>
    </w:p>
    <w:p w14:paraId="0815446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w:t>
      </w:r>
      <w:r>
        <w:rPr>
          <w:rFonts w:hint="eastAsia" w:ascii="Times New Roman" w:hAnsi="Times New Roman" w:eastAsia="仿宋_GB2312" w:cs="仿宋_GB2312"/>
          <w:b w:val="0"/>
          <w:bCs w:val="0"/>
          <w:kern w:val="0"/>
          <w:position w:val="0"/>
          <w:sz w:val="32"/>
          <w:szCs w:val="32"/>
          <w:highlight w:val="none"/>
          <w:lang w:val="zh-CN" w:eastAsia="zh-CN" w:bidi="ar-SA"/>
        </w:rPr>
        <w:t>围绕预算执行、资金使用进行绩效分析。</w:t>
      </w:r>
    </w:p>
    <w:p w14:paraId="2CFBA72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4.项目结果。围绕</w:t>
      </w:r>
      <w:r>
        <w:rPr>
          <w:rFonts w:hint="eastAsia" w:ascii="Times New Roman" w:hAnsi="Times New Roman" w:eastAsia="仿宋_GB2312" w:cs="仿宋_GB2312"/>
          <w:b w:val="0"/>
          <w:bCs w:val="0"/>
          <w:kern w:val="0"/>
          <w:position w:val="0"/>
          <w:sz w:val="32"/>
          <w:szCs w:val="32"/>
          <w:highlight w:val="none"/>
          <w:lang w:val="zh-CN" w:eastAsia="zh-CN" w:bidi="ar-SA"/>
        </w:rPr>
        <w:t>目标完成、完成时效进行绩效分析。</w:t>
      </w:r>
    </w:p>
    <w:p w14:paraId="735F82E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en-US" w:eastAsia="zh-CN" w:bidi="ar-SA"/>
        </w:rPr>
        <w:t>专项预算项目资金支持对象选择所属指标进行绩效分析。支持对象</w:t>
      </w:r>
      <w:r>
        <w:rPr>
          <w:rFonts w:hint="eastAsia" w:ascii="Times New Roman" w:hAnsi="Times New Roman" w:eastAsia="仿宋_GB2312" w:cs="仿宋_GB2312"/>
          <w:b w:val="0"/>
          <w:bCs w:val="0"/>
          <w:kern w:val="0"/>
          <w:position w:val="0"/>
          <w:sz w:val="32"/>
          <w:szCs w:val="32"/>
          <w:highlight w:val="none"/>
          <w:lang w:val="zh-CN" w:eastAsia="zh-CN" w:bidi="ar-SA"/>
        </w:rPr>
        <w:t>包括产业发展、民生保障、基础设施、行政运转等方面。</w:t>
      </w:r>
    </w:p>
    <w:p w14:paraId="5A6F54D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1.产业发展。围绕符合性、成长性、经济性进行绩效分析。</w:t>
      </w:r>
    </w:p>
    <w:p w14:paraId="3A3A27A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民生保障。</w:t>
      </w:r>
      <w:r>
        <w:rPr>
          <w:rFonts w:hint="eastAsia" w:ascii="Times New Roman" w:hAnsi="Times New Roman" w:eastAsia="仿宋_GB2312" w:cs="仿宋_GB2312"/>
          <w:b w:val="0"/>
          <w:bCs w:val="0"/>
          <w:kern w:val="0"/>
          <w:position w:val="0"/>
          <w:sz w:val="32"/>
          <w:szCs w:val="32"/>
          <w:highlight w:val="none"/>
          <w:lang w:val="en-US" w:eastAsia="zh-CN" w:bidi="ar-SA"/>
        </w:rPr>
        <w:t>围绕区域均衡性、对象精准性、标准合理性、群众满意度进行绩效分析。</w:t>
      </w:r>
    </w:p>
    <w:p w14:paraId="1B1C7D4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3.基础设施。在建项目围绕工程进度和资金拨付进行绩效分析；建成项目围绕项目验收、功能实现、后续管护进行</w:t>
      </w:r>
      <w:r>
        <w:rPr>
          <w:rFonts w:hint="eastAsia" w:ascii="Times New Roman" w:hAnsi="Times New Roman" w:eastAsia="仿宋_GB2312" w:cs="仿宋_GB2312"/>
          <w:b w:val="0"/>
          <w:bCs w:val="0"/>
          <w:kern w:val="0"/>
          <w:position w:val="0"/>
          <w:sz w:val="32"/>
          <w:szCs w:val="32"/>
          <w:highlight w:val="none"/>
          <w:lang w:val="zh-CN" w:eastAsia="zh-CN" w:bidi="ar-SA"/>
        </w:rPr>
        <w:t>绩效分析。</w:t>
      </w:r>
    </w:p>
    <w:p w14:paraId="51B92C1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w:t>
      </w:r>
      <w:r>
        <w:rPr>
          <w:rFonts w:hint="eastAsia" w:ascii="Times New Roman" w:hAnsi="Times New Roman" w:eastAsia="仿宋_GB2312" w:cs="仿宋_GB2312"/>
          <w:b w:val="0"/>
          <w:bCs w:val="0"/>
          <w:kern w:val="0"/>
          <w:position w:val="0"/>
          <w:sz w:val="32"/>
          <w:szCs w:val="32"/>
          <w:highlight w:val="none"/>
          <w:lang w:val="zh-CN" w:eastAsia="zh-CN" w:bidi="ar-SA"/>
        </w:rPr>
        <w:t>行政运转。围绕用途合规性、程序合规性、标准合规性进行绩效分析。</w:t>
      </w:r>
    </w:p>
    <w:p w14:paraId="440D6065">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根据项目个性自行设定部分指标，反映该项指标执行完成情况。</w:t>
      </w:r>
    </w:p>
    <w:p w14:paraId="4F58C09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14:paraId="1721B56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简要阐述专项预算项目绩效自评总体结论，包含评价总分、</w:t>
      </w:r>
      <w:r>
        <w:rPr>
          <w:rFonts w:hint="eastAsia" w:ascii="Times New Roman" w:hAnsi="Times New Roman" w:eastAsia="仿宋_GB2312" w:cs="仿宋_GB2312"/>
          <w:b w:val="0"/>
          <w:bCs w:val="0"/>
          <w:kern w:val="0"/>
          <w:position w:val="0"/>
          <w:sz w:val="32"/>
          <w:szCs w:val="32"/>
          <w:highlight w:val="none"/>
          <w:lang w:val="zh-CN" w:eastAsia="zh-CN" w:bidi="ar-SA"/>
        </w:rPr>
        <w:t>项目实施情况。</w:t>
      </w:r>
    </w:p>
    <w:p w14:paraId="4CC6960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14:paraId="7605F53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简要阐述专项预算项目绩效自评发现的主要问题。</w:t>
      </w:r>
    </w:p>
    <w:p w14:paraId="28F4FF4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14:paraId="10421CA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简要阐述专项预算项目在</w:t>
      </w:r>
      <w:r>
        <w:rPr>
          <w:rFonts w:hint="eastAsia" w:ascii="Times New Roman" w:hAnsi="Times New Roman" w:eastAsia="仿宋_GB2312" w:cs="仿宋_GB2312"/>
          <w:b w:val="0"/>
          <w:bCs w:val="0"/>
          <w:kern w:val="0"/>
          <w:position w:val="0"/>
          <w:sz w:val="32"/>
          <w:szCs w:val="32"/>
          <w:highlight w:val="none"/>
          <w:lang w:val="en" w:eastAsia="zh-CN" w:bidi="ar-SA"/>
        </w:rPr>
        <w:t>预算安排、完善政策、改进管理等方面的</w:t>
      </w:r>
      <w:r>
        <w:rPr>
          <w:rFonts w:hint="eastAsia" w:ascii="Times New Roman" w:hAnsi="Times New Roman" w:eastAsia="仿宋_GB2312" w:cs="仿宋_GB2312"/>
          <w:b w:val="0"/>
          <w:bCs w:val="0"/>
          <w:kern w:val="0"/>
          <w:position w:val="0"/>
          <w:sz w:val="32"/>
          <w:szCs w:val="32"/>
          <w:highlight w:val="none"/>
          <w:lang w:val="en-US" w:eastAsia="zh-CN" w:bidi="ar-SA"/>
        </w:rPr>
        <w:t>措施</w:t>
      </w:r>
      <w:r>
        <w:rPr>
          <w:rFonts w:hint="eastAsia" w:ascii="Times New Roman" w:hAnsi="Times New Roman" w:eastAsia="仿宋_GB2312" w:cs="仿宋_GB2312"/>
          <w:b w:val="0"/>
          <w:bCs w:val="0"/>
          <w:kern w:val="0"/>
          <w:position w:val="0"/>
          <w:sz w:val="32"/>
          <w:szCs w:val="32"/>
          <w:highlight w:val="none"/>
          <w:lang w:val="en" w:eastAsia="zh-CN" w:bidi="ar-SA"/>
        </w:rPr>
        <w:t>建议，其中</w:t>
      </w:r>
      <w:r>
        <w:rPr>
          <w:rFonts w:hint="eastAsia" w:ascii="Times New Roman" w:hAnsi="Times New Roman" w:eastAsia="仿宋_GB2312" w:cs="仿宋_GB2312"/>
          <w:b w:val="0"/>
          <w:bCs w:val="0"/>
          <w:kern w:val="0"/>
          <w:position w:val="0"/>
          <w:sz w:val="32"/>
          <w:szCs w:val="32"/>
          <w:highlight w:val="none"/>
          <w:lang w:val="en-US" w:eastAsia="zh-CN" w:bidi="ar-SA"/>
        </w:rPr>
        <w:t>必须对应评价发现的主要问题一一提出措施建议。</w:t>
      </w:r>
    </w:p>
    <w:p w14:paraId="3FEA708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kern w:val="0"/>
          <w:position w:val="0"/>
          <w:sz w:val="32"/>
          <w:szCs w:val="32"/>
          <w:highlight w:val="none"/>
          <w:lang w:val="en-US" w:eastAsia="zh-CN" w:bidi="ar-SA"/>
        </w:rPr>
      </w:pPr>
      <w:r>
        <w:rPr>
          <w:rFonts w:hint="eastAsia" w:ascii="Times New Roman" w:hAnsi="Times New Roman" w:eastAsia="仿宋_GB2312" w:cs="仿宋_GB2312"/>
          <w:b/>
          <w:bCs/>
          <w:kern w:val="0"/>
          <w:position w:val="0"/>
          <w:sz w:val="32"/>
          <w:szCs w:val="32"/>
          <w:highlight w:val="none"/>
          <w:lang w:val="en-US" w:eastAsia="zh-CN" w:bidi="ar-SA"/>
        </w:rPr>
        <w:t>（</w:t>
      </w:r>
      <w:r>
        <w:rPr>
          <w:rFonts w:hint="eastAsia" w:eastAsia="仿宋_GB2312" w:cs="仿宋_GB2312"/>
          <w:b/>
          <w:bCs/>
          <w:kern w:val="0"/>
          <w:position w:val="0"/>
          <w:sz w:val="32"/>
          <w:szCs w:val="32"/>
          <w:highlight w:val="none"/>
          <w:lang w:val="en-US" w:eastAsia="zh-CN" w:bidi="ar-SA"/>
        </w:rPr>
        <w:t>注：</w:t>
      </w:r>
      <w:r>
        <w:rPr>
          <w:rFonts w:hint="eastAsia" w:ascii="Times New Roman" w:hAnsi="Times New Roman" w:eastAsia="仿宋_GB2312" w:cs="仿宋_GB2312"/>
          <w:b/>
          <w:bCs/>
          <w:kern w:val="0"/>
          <w:position w:val="0"/>
          <w:sz w:val="32"/>
          <w:szCs w:val="32"/>
          <w:highlight w:val="none"/>
          <w:lang w:val="en-US" w:eastAsia="zh-CN" w:bidi="ar-SA"/>
        </w:rPr>
        <w:t>以上绩效自评报告，除涉密敏感内容外，原则上都应予以公开）</w:t>
      </w:r>
    </w:p>
    <w:p w14:paraId="643D7A74">
      <w:pPr>
        <w:pStyle w:val="16"/>
        <w:spacing w:beforeAutospacing="0"/>
        <w:jc w:val="both"/>
        <w:rPr>
          <w:rFonts w:hint="eastAsia"/>
          <w:shd w:val="clear" w:color="auto" w:fill="FFFFFF"/>
        </w:rPr>
      </w:pPr>
    </w:p>
    <w:p w14:paraId="5105FB4D">
      <w:pPr>
        <w:pStyle w:val="16"/>
        <w:spacing w:beforeAutospacing="0"/>
        <w:jc w:val="center"/>
        <w:rPr>
          <w:rFonts w:hint="eastAsia"/>
          <w:shd w:val="clear" w:color="auto" w:fill="FFFFFF"/>
        </w:rPr>
      </w:pPr>
    </w:p>
    <w:p w14:paraId="29E4F2F7">
      <w:pPr>
        <w:keepNext w:val="0"/>
        <w:keepLines w:val="0"/>
        <w:pageBreakBefore w:val="0"/>
        <w:widowControl/>
        <w:kinsoku/>
        <w:wordWrap/>
        <w:overflowPunct/>
        <w:topLinePunct w:val="0"/>
        <w:autoSpaceDE/>
        <w:autoSpaceDN/>
        <w:bidi w:val="0"/>
        <w:adjustRightInd/>
        <w:snapToGrid/>
        <w:jc w:val="center"/>
        <w:textAlignment w:val="auto"/>
        <w:outlineLvl w:val="0"/>
        <w:rPr>
          <w:rFonts w:hint="eastAsia" w:ascii="Times New Roman" w:hAnsi="Times New Roman" w:eastAsia="仿宋"/>
          <w:b w:val="0"/>
          <w:color w:val="auto"/>
          <w:highlight w:val="none"/>
        </w:rPr>
      </w:pPr>
      <w:bookmarkStart w:id="50" w:name="_Toc32308"/>
      <w:r>
        <w:rPr>
          <w:rFonts w:hint="eastAsia" w:ascii="Times New Roman" w:hAnsi="Times New Roman" w:eastAsia="黑体"/>
          <w:color w:val="auto"/>
          <w:sz w:val="44"/>
          <w:szCs w:val="44"/>
          <w:highlight w:val="none"/>
        </w:rPr>
        <w:t>第</w:t>
      </w:r>
      <w:r>
        <w:rPr>
          <w:rStyle w:val="25"/>
          <w:rFonts w:hint="eastAsia" w:ascii="Times New Roman" w:hAnsi="Times New Roman" w:eastAsia="黑体"/>
          <w:b w:val="0"/>
          <w:color w:val="auto"/>
          <w:highlight w:val="none"/>
        </w:rPr>
        <w:t>五部分 附表</w:t>
      </w:r>
      <w:bookmarkEnd w:id="50"/>
    </w:p>
    <w:p w14:paraId="41C12489">
      <w:pPr>
        <w:pStyle w:val="1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kern w:val="2"/>
          <w:sz w:val="32"/>
          <w:szCs w:val="32"/>
          <w:highlight w:val="none"/>
        </w:rPr>
      </w:pPr>
      <w:r>
        <w:rPr>
          <w:rFonts w:hint="eastAsia" w:ascii="Times New Roman" w:hAnsi="Times New Roman" w:eastAsia="仿宋_GB2312" w:cs="仿宋_GB2312"/>
          <w:color w:val="auto"/>
          <w:kern w:val="2"/>
          <w:sz w:val="32"/>
          <w:szCs w:val="32"/>
          <w:highlight w:val="none"/>
        </w:rPr>
        <w:t>一、收入支出决算总表</w:t>
      </w:r>
    </w:p>
    <w:p w14:paraId="29A37589">
      <w:pPr>
        <w:pStyle w:val="1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kern w:val="2"/>
          <w:sz w:val="32"/>
          <w:szCs w:val="32"/>
          <w:highlight w:val="none"/>
        </w:rPr>
      </w:pPr>
      <w:r>
        <w:rPr>
          <w:rFonts w:hint="eastAsia" w:ascii="Times New Roman" w:hAnsi="Times New Roman" w:eastAsia="仿宋_GB2312" w:cs="仿宋_GB2312"/>
          <w:color w:val="auto"/>
          <w:kern w:val="2"/>
          <w:sz w:val="32"/>
          <w:szCs w:val="32"/>
          <w:highlight w:val="none"/>
        </w:rPr>
        <w:t>二、收入决算表</w:t>
      </w:r>
    </w:p>
    <w:p w14:paraId="7EE0D378">
      <w:pPr>
        <w:pStyle w:val="1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kern w:val="2"/>
          <w:sz w:val="32"/>
          <w:szCs w:val="32"/>
          <w:highlight w:val="none"/>
        </w:rPr>
      </w:pPr>
      <w:r>
        <w:rPr>
          <w:rFonts w:hint="eastAsia" w:ascii="Times New Roman" w:hAnsi="Times New Roman" w:eastAsia="仿宋_GB2312" w:cs="仿宋_GB2312"/>
          <w:color w:val="auto"/>
          <w:kern w:val="2"/>
          <w:sz w:val="32"/>
          <w:szCs w:val="32"/>
          <w:highlight w:val="none"/>
        </w:rPr>
        <w:t>三、支出决算表</w:t>
      </w:r>
    </w:p>
    <w:p w14:paraId="121DA678">
      <w:pPr>
        <w:pStyle w:val="1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kern w:val="2"/>
          <w:sz w:val="32"/>
          <w:szCs w:val="32"/>
          <w:highlight w:val="none"/>
        </w:rPr>
      </w:pPr>
      <w:r>
        <w:rPr>
          <w:rFonts w:hint="eastAsia" w:ascii="Times New Roman" w:hAnsi="Times New Roman" w:eastAsia="仿宋_GB2312" w:cs="仿宋_GB2312"/>
          <w:color w:val="auto"/>
          <w:kern w:val="2"/>
          <w:sz w:val="32"/>
          <w:szCs w:val="32"/>
          <w:highlight w:val="none"/>
        </w:rPr>
        <w:t>四、财政拨款收入支出决算总表</w:t>
      </w:r>
    </w:p>
    <w:p w14:paraId="16881772">
      <w:pPr>
        <w:pStyle w:val="1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kern w:val="2"/>
          <w:sz w:val="32"/>
          <w:szCs w:val="32"/>
          <w:highlight w:val="none"/>
        </w:rPr>
      </w:pPr>
      <w:r>
        <w:rPr>
          <w:rFonts w:hint="eastAsia" w:ascii="Times New Roman" w:hAnsi="Times New Roman" w:eastAsia="仿宋_GB2312" w:cs="仿宋_GB2312"/>
          <w:color w:val="auto"/>
          <w:kern w:val="2"/>
          <w:sz w:val="32"/>
          <w:szCs w:val="32"/>
          <w:highlight w:val="none"/>
        </w:rPr>
        <w:t>五、财政拨款支出决算明细表</w:t>
      </w:r>
    </w:p>
    <w:p w14:paraId="7DF83FAF">
      <w:pPr>
        <w:pStyle w:val="1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kern w:val="2"/>
          <w:sz w:val="32"/>
          <w:szCs w:val="32"/>
          <w:highlight w:val="none"/>
        </w:rPr>
      </w:pPr>
      <w:r>
        <w:rPr>
          <w:rFonts w:hint="eastAsia" w:ascii="Times New Roman" w:hAnsi="Times New Roman" w:eastAsia="仿宋_GB2312" w:cs="仿宋_GB2312"/>
          <w:color w:val="auto"/>
          <w:kern w:val="2"/>
          <w:sz w:val="32"/>
          <w:szCs w:val="32"/>
          <w:highlight w:val="none"/>
        </w:rPr>
        <w:t>六、一般公共预算财政拨款支出决算表</w:t>
      </w:r>
    </w:p>
    <w:p w14:paraId="37B02385">
      <w:pPr>
        <w:pStyle w:val="1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kern w:val="2"/>
          <w:sz w:val="32"/>
          <w:szCs w:val="32"/>
          <w:highlight w:val="none"/>
        </w:rPr>
      </w:pPr>
      <w:r>
        <w:rPr>
          <w:rFonts w:hint="eastAsia" w:ascii="Times New Roman" w:hAnsi="Times New Roman" w:eastAsia="仿宋_GB2312" w:cs="仿宋_GB2312"/>
          <w:color w:val="auto"/>
          <w:kern w:val="2"/>
          <w:sz w:val="32"/>
          <w:szCs w:val="32"/>
          <w:highlight w:val="none"/>
        </w:rPr>
        <w:t>七、一般公共预算财政拨款支出决算明细表</w:t>
      </w:r>
    </w:p>
    <w:p w14:paraId="7B4F8466">
      <w:pPr>
        <w:pStyle w:val="1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kern w:val="2"/>
          <w:sz w:val="32"/>
          <w:szCs w:val="32"/>
          <w:highlight w:val="none"/>
        </w:rPr>
      </w:pPr>
      <w:r>
        <w:rPr>
          <w:rFonts w:hint="eastAsia" w:ascii="Times New Roman" w:hAnsi="Times New Roman" w:eastAsia="仿宋_GB2312" w:cs="仿宋_GB2312"/>
          <w:color w:val="auto"/>
          <w:kern w:val="2"/>
          <w:sz w:val="32"/>
          <w:szCs w:val="32"/>
          <w:highlight w:val="none"/>
        </w:rPr>
        <w:t>八、一般公共预算财政拨款基本支出决算表</w:t>
      </w:r>
    </w:p>
    <w:p w14:paraId="34972A27">
      <w:pPr>
        <w:pStyle w:val="1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kern w:val="2"/>
          <w:sz w:val="32"/>
          <w:szCs w:val="32"/>
          <w:highlight w:val="none"/>
        </w:rPr>
      </w:pPr>
      <w:r>
        <w:rPr>
          <w:rFonts w:hint="eastAsia" w:ascii="Times New Roman" w:hAnsi="Times New Roman" w:eastAsia="仿宋_GB2312" w:cs="仿宋_GB2312"/>
          <w:color w:val="auto"/>
          <w:kern w:val="2"/>
          <w:sz w:val="32"/>
          <w:szCs w:val="32"/>
          <w:highlight w:val="none"/>
        </w:rPr>
        <w:t>九、一般公共预算财政拨款项目支出决算表</w:t>
      </w:r>
    </w:p>
    <w:p w14:paraId="2638DFA1">
      <w:pPr>
        <w:pStyle w:val="1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kern w:val="2"/>
          <w:sz w:val="32"/>
          <w:szCs w:val="32"/>
          <w:highlight w:val="none"/>
        </w:rPr>
      </w:pPr>
      <w:r>
        <w:rPr>
          <w:rFonts w:hint="eastAsia" w:ascii="Times New Roman" w:hAnsi="Times New Roman" w:eastAsia="仿宋_GB2312" w:cs="仿宋_GB2312"/>
          <w:color w:val="auto"/>
          <w:kern w:val="2"/>
          <w:sz w:val="32"/>
          <w:szCs w:val="32"/>
          <w:highlight w:val="none"/>
        </w:rPr>
        <w:t>十、政府性基金预算财政拨款收入支出决算表</w:t>
      </w:r>
    </w:p>
    <w:p w14:paraId="6EE7E593">
      <w:pPr>
        <w:pStyle w:val="1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kern w:val="2"/>
          <w:sz w:val="32"/>
          <w:szCs w:val="32"/>
          <w:highlight w:val="none"/>
        </w:rPr>
      </w:pPr>
      <w:r>
        <w:rPr>
          <w:rFonts w:hint="eastAsia" w:ascii="Times New Roman" w:hAnsi="Times New Roman" w:eastAsia="仿宋_GB2312" w:cs="仿宋_GB2312"/>
          <w:color w:val="auto"/>
          <w:kern w:val="2"/>
          <w:sz w:val="32"/>
          <w:szCs w:val="32"/>
          <w:highlight w:val="none"/>
        </w:rPr>
        <w:t>十一、国有资本经营预算财政拨款收入支出决算表</w:t>
      </w:r>
    </w:p>
    <w:p w14:paraId="515F1A2F">
      <w:pPr>
        <w:pStyle w:val="1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kern w:val="2"/>
          <w:sz w:val="32"/>
          <w:szCs w:val="32"/>
          <w:highlight w:val="none"/>
        </w:rPr>
      </w:pPr>
      <w:r>
        <w:rPr>
          <w:rFonts w:hint="eastAsia" w:ascii="Times New Roman" w:hAnsi="Times New Roman" w:eastAsia="仿宋_GB2312" w:cs="仿宋_GB2312"/>
          <w:color w:val="auto"/>
          <w:kern w:val="2"/>
          <w:sz w:val="32"/>
          <w:szCs w:val="32"/>
          <w:highlight w:val="none"/>
        </w:rPr>
        <w:t>十二、国有资本经营预算财政拨款支出决算表</w:t>
      </w:r>
    </w:p>
    <w:p w14:paraId="7042A631">
      <w:pPr>
        <w:pStyle w:val="1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kern w:val="2"/>
          <w:sz w:val="32"/>
          <w:szCs w:val="32"/>
          <w:highlight w:val="none"/>
        </w:rPr>
      </w:pPr>
      <w:r>
        <w:rPr>
          <w:rFonts w:hint="eastAsia" w:ascii="Times New Roman" w:hAnsi="Times New Roman" w:eastAsia="仿宋_GB2312" w:cs="仿宋_GB2312"/>
          <w:color w:val="auto"/>
          <w:kern w:val="2"/>
          <w:sz w:val="32"/>
          <w:szCs w:val="32"/>
          <w:highlight w:val="none"/>
        </w:rPr>
        <w:t>十三、财政拨款“三公”经费支出决算表</w:t>
      </w:r>
    </w:p>
    <w:sectPr>
      <w:pgSz w:w="11915" w:h="16851"/>
      <w:pgMar w:top="2098" w:right="1474" w:bottom="1984"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616D4EC-ED80-4333-A468-6A88D0146CC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061961C4-A3AC-4144-B8FA-F41AF9FA47E8}"/>
  </w:font>
  <w:font w:name="Calibri Light">
    <w:panose1 w:val="020F0302020204030204"/>
    <w:charset w:val="00"/>
    <w:family w:val="auto"/>
    <w:pitch w:val="default"/>
    <w:sig w:usb0="E4002EFF" w:usb1="C000247B" w:usb2="00000009" w:usb3="00000000" w:csb0="200001FF"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3" w:fontKey="{834C375C-705D-40A6-B675-AF9C4BC020FD}"/>
  </w:font>
  <w:font w:name="楷体">
    <w:panose1 w:val="02010609060101010101"/>
    <w:charset w:val="86"/>
    <w:family w:val="auto"/>
    <w:pitch w:val="default"/>
    <w:sig w:usb0="800002BF" w:usb1="38CF7CFA" w:usb2="00000016" w:usb3="00000000" w:csb0="00040001" w:csb1="00000000"/>
    <w:embedRegular r:id="rId4" w:fontKey="{79BB6EFD-097D-40DA-82F4-314309FB1D70}"/>
  </w:font>
  <w:font w:name="仿宋">
    <w:panose1 w:val="02010609060101010101"/>
    <w:charset w:val="86"/>
    <w:family w:val="modern"/>
    <w:pitch w:val="default"/>
    <w:sig w:usb0="800002BF" w:usb1="38CF7CFA" w:usb2="00000016" w:usb3="00000000" w:csb0="00040001" w:csb1="00000000"/>
    <w:embedRegular r:id="rId5" w:fontKey="{27472191-33BE-4A90-87D3-C430BF8CDC8E}"/>
  </w:font>
  <w:font w:name="微软雅黑">
    <w:panose1 w:val="020B0503020204020204"/>
    <w:charset w:val="86"/>
    <w:family w:val="swiss"/>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embedRegular r:id="rId6" w:fontKey="{6794E8DF-046E-4C61-8B1F-65601A0AF4FB}"/>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29D21">
    <w:pPr>
      <w:pStyle w:val="11"/>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4E4B48">
                          <w:pPr>
                            <w:pStyle w:val="11"/>
                            <w:rPr>
                              <w:rFonts w:hint="eastAsia"/>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- 1 -</w:t>
                          </w:r>
                          <w:r>
                            <w:rPr>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224E4B48">
                    <w:pPr>
                      <w:pStyle w:val="11"/>
                      <w:rPr>
                        <w:rFonts w:hint="eastAsia"/>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- 1 -</w:t>
                    </w:r>
                    <w:r>
                      <w:rPr>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RkZWIxMzk1M2Q4MjkwNDI5NWViOTI4Y2IwYWI4MGEifQ=="/>
  </w:docVars>
  <w:rsids>
    <w:rsidRoot w:val="005E5788"/>
    <w:rsid w:val="000426D6"/>
    <w:rsid w:val="000561C7"/>
    <w:rsid w:val="00157994"/>
    <w:rsid w:val="00183149"/>
    <w:rsid w:val="001B4568"/>
    <w:rsid w:val="002105AC"/>
    <w:rsid w:val="002274CD"/>
    <w:rsid w:val="0028525D"/>
    <w:rsid w:val="00292C88"/>
    <w:rsid w:val="003073E8"/>
    <w:rsid w:val="003B7FAD"/>
    <w:rsid w:val="003F43EC"/>
    <w:rsid w:val="004B7120"/>
    <w:rsid w:val="005A742C"/>
    <w:rsid w:val="005E5788"/>
    <w:rsid w:val="00600CE5"/>
    <w:rsid w:val="00637EA9"/>
    <w:rsid w:val="00690882"/>
    <w:rsid w:val="006E3BF3"/>
    <w:rsid w:val="006E7A3F"/>
    <w:rsid w:val="00833EB8"/>
    <w:rsid w:val="008A35AC"/>
    <w:rsid w:val="008A7A1B"/>
    <w:rsid w:val="00931D6C"/>
    <w:rsid w:val="00952267"/>
    <w:rsid w:val="00983FCD"/>
    <w:rsid w:val="009F3947"/>
    <w:rsid w:val="00A92F29"/>
    <w:rsid w:val="00AA006B"/>
    <w:rsid w:val="00AC47E9"/>
    <w:rsid w:val="00BA5546"/>
    <w:rsid w:val="00BD6DFF"/>
    <w:rsid w:val="00CE32AF"/>
    <w:rsid w:val="00D72607"/>
    <w:rsid w:val="00D743B5"/>
    <w:rsid w:val="00DA4E51"/>
    <w:rsid w:val="00DF4579"/>
    <w:rsid w:val="00F044A4"/>
    <w:rsid w:val="00F54D88"/>
    <w:rsid w:val="01141165"/>
    <w:rsid w:val="01891B53"/>
    <w:rsid w:val="01AF34CE"/>
    <w:rsid w:val="025D214D"/>
    <w:rsid w:val="0312471F"/>
    <w:rsid w:val="03327FC8"/>
    <w:rsid w:val="03EF1A15"/>
    <w:rsid w:val="05D67331"/>
    <w:rsid w:val="060F2056"/>
    <w:rsid w:val="06B07B82"/>
    <w:rsid w:val="07E01DA1"/>
    <w:rsid w:val="07FC2953"/>
    <w:rsid w:val="08CB6377"/>
    <w:rsid w:val="09290A37"/>
    <w:rsid w:val="09845E4F"/>
    <w:rsid w:val="09CF1D46"/>
    <w:rsid w:val="09E3201C"/>
    <w:rsid w:val="0A73514E"/>
    <w:rsid w:val="0A8924A4"/>
    <w:rsid w:val="0B642CE9"/>
    <w:rsid w:val="0B8B296C"/>
    <w:rsid w:val="0C0D3381"/>
    <w:rsid w:val="0CFD333B"/>
    <w:rsid w:val="0D367139"/>
    <w:rsid w:val="0DE46363"/>
    <w:rsid w:val="0DFA5B87"/>
    <w:rsid w:val="0E3967A8"/>
    <w:rsid w:val="0EED3C56"/>
    <w:rsid w:val="10836579"/>
    <w:rsid w:val="109F0D66"/>
    <w:rsid w:val="110765F0"/>
    <w:rsid w:val="1125116C"/>
    <w:rsid w:val="117D0ED1"/>
    <w:rsid w:val="11F528ED"/>
    <w:rsid w:val="12972BE0"/>
    <w:rsid w:val="13852D1F"/>
    <w:rsid w:val="14005579"/>
    <w:rsid w:val="14B63F6E"/>
    <w:rsid w:val="14D43754"/>
    <w:rsid w:val="14F055ED"/>
    <w:rsid w:val="15B36D47"/>
    <w:rsid w:val="162739E6"/>
    <w:rsid w:val="168129A1"/>
    <w:rsid w:val="16A91EF8"/>
    <w:rsid w:val="16D231FD"/>
    <w:rsid w:val="175F7283"/>
    <w:rsid w:val="17833833"/>
    <w:rsid w:val="18351C95"/>
    <w:rsid w:val="18A81592"/>
    <w:rsid w:val="18CE5C46"/>
    <w:rsid w:val="198729C4"/>
    <w:rsid w:val="1BF43C15"/>
    <w:rsid w:val="1C2564C4"/>
    <w:rsid w:val="1C3C6242"/>
    <w:rsid w:val="1C4E7529"/>
    <w:rsid w:val="1C8A1B4D"/>
    <w:rsid w:val="1CAB05D0"/>
    <w:rsid w:val="1E0068A1"/>
    <w:rsid w:val="1E0C793C"/>
    <w:rsid w:val="1EC57AEB"/>
    <w:rsid w:val="1F095831"/>
    <w:rsid w:val="1FFD6E47"/>
    <w:rsid w:val="20880DD0"/>
    <w:rsid w:val="20C22D75"/>
    <w:rsid w:val="228A7081"/>
    <w:rsid w:val="22C41F87"/>
    <w:rsid w:val="23935C70"/>
    <w:rsid w:val="23AE0B4E"/>
    <w:rsid w:val="246102B6"/>
    <w:rsid w:val="24811BFB"/>
    <w:rsid w:val="24965AFC"/>
    <w:rsid w:val="24B06F90"/>
    <w:rsid w:val="254259F1"/>
    <w:rsid w:val="259124D5"/>
    <w:rsid w:val="25E35426"/>
    <w:rsid w:val="26116A5D"/>
    <w:rsid w:val="262C1176"/>
    <w:rsid w:val="272F1FA5"/>
    <w:rsid w:val="2838132E"/>
    <w:rsid w:val="28807582"/>
    <w:rsid w:val="28B5674C"/>
    <w:rsid w:val="293D309F"/>
    <w:rsid w:val="297B4FBD"/>
    <w:rsid w:val="2B750012"/>
    <w:rsid w:val="2BD650E5"/>
    <w:rsid w:val="2BD96984"/>
    <w:rsid w:val="2BF612E4"/>
    <w:rsid w:val="2CA563B6"/>
    <w:rsid w:val="2CC633AC"/>
    <w:rsid w:val="2CEF7F73"/>
    <w:rsid w:val="2D7F47BC"/>
    <w:rsid w:val="2DB94CBF"/>
    <w:rsid w:val="2E2959A0"/>
    <w:rsid w:val="2E67296D"/>
    <w:rsid w:val="2FE83639"/>
    <w:rsid w:val="3078676B"/>
    <w:rsid w:val="319E66A5"/>
    <w:rsid w:val="32E64E1A"/>
    <w:rsid w:val="32EE0F67"/>
    <w:rsid w:val="34300C2A"/>
    <w:rsid w:val="345319C9"/>
    <w:rsid w:val="349F69BC"/>
    <w:rsid w:val="34BD77CB"/>
    <w:rsid w:val="357D65D2"/>
    <w:rsid w:val="359C1B10"/>
    <w:rsid w:val="35A87AF3"/>
    <w:rsid w:val="36467762"/>
    <w:rsid w:val="37164F30"/>
    <w:rsid w:val="37180CA8"/>
    <w:rsid w:val="38081BC6"/>
    <w:rsid w:val="3837515E"/>
    <w:rsid w:val="393A3535"/>
    <w:rsid w:val="39567B22"/>
    <w:rsid w:val="3A184B1B"/>
    <w:rsid w:val="3A312A70"/>
    <w:rsid w:val="3A8A77C7"/>
    <w:rsid w:val="3AB72586"/>
    <w:rsid w:val="3AE07D2F"/>
    <w:rsid w:val="3D08531B"/>
    <w:rsid w:val="3D7B5AED"/>
    <w:rsid w:val="3DDB658B"/>
    <w:rsid w:val="3DEB03E6"/>
    <w:rsid w:val="3E987D95"/>
    <w:rsid w:val="401A7DCF"/>
    <w:rsid w:val="40304A1F"/>
    <w:rsid w:val="40B97058"/>
    <w:rsid w:val="414A5F02"/>
    <w:rsid w:val="41783C71"/>
    <w:rsid w:val="42C13FA2"/>
    <w:rsid w:val="42DC702D"/>
    <w:rsid w:val="42DD6902"/>
    <w:rsid w:val="43813731"/>
    <w:rsid w:val="451F3201"/>
    <w:rsid w:val="45603F46"/>
    <w:rsid w:val="45863281"/>
    <w:rsid w:val="466E2692"/>
    <w:rsid w:val="46F228D3"/>
    <w:rsid w:val="47445CC9"/>
    <w:rsid w:val="477A693C"/>
    <w:rsid w:val="47CB7671"/>
    <w:rsid w:val="4823125B"/>
    <w:rsid w:val="48A353C8"/>
    <w:rsid w:val="48BC5937"/>
    <w:rsid w:val="48E7603B"/>
    <w:rsid w:val="491F4AA0"/>
    <w:rsid w:val="4A1B043B"/>
    <w:rsid w:val="4A317C5F"/>
    <w:rsid w:val="4A513E5D"/>
    <w:rsid w:val="4A5B3C35"/>
    <w:rsid w:val="4AFE3EE7"/>
    <w:rsid w:val="4C176DA8"/>
    <w:rsid w:val="4C251A45"/>
    <w:rsid w:val="4CB967AC"/>
    <w:rsid w:val="4CDF5113"/>
    <w:rsid w:val="4D53613E"/>
    <w:rsid w:val="4E4F6905"/>
    <w:rsid w:val="4E524648"/>
    <w:rsid w:val="4E683E6B"/>
    <w:rsid w:val="4EBB3F9B"/>
    <w:rsid w:val="4EE62CF4"/>
    <w:rsid w:val="4F925EE3"/>
    <w:rsid w:val="506C7F45"/>
    <w:rsid w:val="523429E2"/>
    <w:rsid w:val="54E457A3"/>
    <w:rsid w:val="55306D65"/>
    <w:rsid w:val="55762748"/>
    <w:rsid w:val="55AA2FBB"/>
    <w:rsid w:val="566E5D97"/>
    <w:rsid w:val="56C37E91"/>
    <w:rsid w:val="57250B4B"/>
    <w:rsid w:val="57812BC2"/>
    <w:rsid w:val="57C31EF0"/>
    <w:rsid w:val="58910DB7"/>
    <w:rsid w:val="59837DAB"/>
    <w:rsid w:val="5AA63D51"/>
    <w:rsid w:val="5C3F7E9C"/>
    <w:rsid w:val="5CF54B1C"/>
    <w:rsid w:val="5E477DFE"/>
    <w:rsid w:val="5E5B4E53"/>
    <w:rsid w:val="5E631F59"/>
    <w:rsid w:val="5EC24ED2"/>
    <w:rsid w:val="5F5521EA"/>
    <w:rsid w:val="5F9C5FD4"/>
    <w:rsid w:val="5FF4555F"/>
    <w:rsid w:val="60281B3B"/>
    <w:rsid w:val="609A0D33"/>
    <w:rsid w:val="60A17B22"/>
    <w:rsid w:val="61573FF7"/>
    <w:rsid w:val="617C1CB0"/>
    <w:rsid w:val="617D7859"/>
    <w:rsid w:val="61860438"/>
    <w:rsid w:val="61C93D0A"/>
    <w:rsid w:val="646A2293"/>
    <w:rsid w:val="64B74FD0"/>
    <w:rsid w:val="64D92F75"/>
    <w:rsid w:val="65113B31"/>
    <w:rsid w:val="65404DA2"/>
    <w:rsid w:val="65AB66C0"/>
    <w:rsid w:val="65AE61B0"/>
    <w:rsid w:val="664A30AB"/>
    <w:rsid w:val="66761E42"/>
    <w:rsid w:val="66C64EC5"/>
    <w:rsid w:val="685968A7"/>
    <w:rsid w:val="69825989"/>
    <w:rsid w:val="6A547926"/>
    <w:rsid w:val="6A5D57C8"/>
    <w:rsid w:val="6D861B48"/>
    <w:rsid w:val="6EA83964"/>
    <w:rsid w:val="6F2E1A59"/>
    <w:rsid w:val="707A1AB0"/>
    <w:rsid w:val="70C8271B"/>
    <w:rsid w:val="719840FF"/>
    <w:rsid w:val="71E9433F"/>
    <w:rsid w:val="733777E5"/>
    <w:rsid w:val="73880040"/>
    <w:rsid w:val="739B4217"/>
    <w:rsid w:val="74341F76"/>
    <w:rsid w:val="74542618"/>
    <w:rsid w:val="752913AF"/>
    <w:rsid w:val="75575362"/>
    <w:rsid w:val="766A7ED1"/>
    <w:rsid w:val="766C3C49"/>
    <w:rsid w:val="7677439C"/>
    <w:rsid w:val="77091498"/>
    <w:rsid w:val="781070CD"/>
    <w:rsid w:val="78D83818"/>
    <w:rsid w:val="7917100A"/>
    <w:rsid w:val="79D815F5"/>
    <w:rsid w:val="7A230AC3"/>
    <w:rsid w:val="7BFE0D09"/>
    <w:rsid w:val="7C4B2656"/>
    <w:rsid w:val="7C7F3FAA"/>
    <w:rsid w:val="7C95557C"/>
    <w:rsid w:val="7CFE4891"/>
    <w:rsid w:val="7D9677FD"/>
    <w:rsid w:val="7EC32874"/>
    <w:rsid w:val="7F78300A"/>
    <w:rsid w:val="7FDA1C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nhideWhenUsed="0" w:uiPriority="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cs="Times New Roman" w:asciiTheme="minorEastAsia" w:hAnsiTheme="minorEastAsia" w:eastAsiaTheme="minorEastAsia"/>
      <w:sz w:val="24"/>
      <w:szCs w:val="24"/>
      <w:lang w:val="en-US" w:eastAsia="zh-CN" w:bidi="ar-SA"/>
    </w:rPr>
  </w:style>
  <w:style w:type="paragraph" w:styleId="5">
    <w:name w:val="heading 1"/>
    <w:basedOn w:val="1"/>
    <w:next w:val="1"/>
    <w:link w:val="25"/>
    <w:qFormat/>
    <w:uiPriority w:val="0"/>
    <w:pPr>
      <w:spacing w:beforeAutospacing="1" w:afterAutospacing="1"/>
      <w:outlineLvl w:val="0"/>
    </w:pPr>
    <w:rPr>
      <w:rFonts w:hint="eastAsia" w:ascii="宋体" w:hAnsi="宋体" w:eastAsia="宋体"/>
      <w:b/>
      <w:bCs/>
      <w:kern w:val="44"/>
      <w:sz w:val="48"/>
      <w:szCs w:val="48"/>
    </w:rPr>
  </w:style>
  <w:style w:type="paragraph" w:styleId="6">
    <w:name w:val="heading 2"/>
    <w:basedOn w:val="1"/>
    <w:next w:val="1"/>
    <w:link w:val="26"/>
    <w:unhideWhenUsed/>
    <w:qFormat/>
    <w:uiPriority w:val="0"/>
    <w:pPr>
      <w:spacing w:beforeAutospacing="1" w:afterAutospacing="1"/>
      <w:outlineLvl w:val="1"/>
    </w:pPr>
    <w:rPr>
      <w:rFonts w:hint="eastAsia" w:ascii="宋体" w:hAnsi="宋体" w:eastAsia="宋体"/>
      <w:b/>
      <w:bCs/>
      <w:sz w:val="36"/>
      <w:szCs w:val="36"/>
    </w:rPr>
  </w:style>
  <w:style w:type="character" w:default="1" w:styleId="18">
    <w:name w:val="Default Paragraph Font"/>
    <w:unhideWhenUsed/>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pPr>
    <w:rPr>
      <w:sz w:val="18"/>
      <w:szCs w:val="18"/>
    </w:rPr>
  </w:style>
  <w:style w:type="paragraph" w:styleId="3">
    <w:name w:val="Body Text First Indent 2"/>
    <w:basedOn w:val="4"/>
    <w:next w:val="1"/>
    <w:qFormat/>
    <w:uiPriority w:val="99"/>
    <w:pPr>
      <w:ind w:firstLine="420"/>
    </w:pPr>
  </w:style>
  <w:style w:type="paragraph" w:styleId="4">
    <w:name w:val="Body Text Indent"/>
    <w:basedOn w:val="1"/>
    <w:next w:val="3"/>
    <w:qFormat/>
    <w:uiPriority w:val="0"/>
    <w:pPr>
      <w:ind w:firstLine="560" w:firstLineChars="200"/>
    </w:pPr>
  </w:style>
  <w:style w:type="paragraph" w:styleId="7">
    <w:name w:val="Normal Indent"/>
    <w:basedOn w:val="1"/>
    <w:unhideWhenUsed/>
    <w:qFormat/>
    <w:uiPriority w:val="99"/>
    <w:pPr>
      <w:ind w:firstLine="680"/>
    </w:pPr>
  </w:style>
  <w:style w:type="paragraph" w:styleId="8">
    <w:name w:val="Body Text"/>
    <w:basedOn w:val="1"/>
    <w:qFormat/>
    <w:uiPriority w:val="99"/>
    <w:pPr>
      <w:spacing w:beforeLines="30"/>
    </w:pPr>
    <w:rPr>
      <w:rFonts w:ascii="仿宋_GB2312" w:eastAsia="仿宋_GB2312"/>
      <w:kern w:val="0"/>
      <w:sz w:val="30"/>
    </w:rPr>
  </w:style>
  <w:style w:type="paragraph" w:styleId="9">
    <w:name w:val="Plain Text"/>
    <w:basedOn w:val="1"/>
    <w:qFormat/>
    <w:uiPriority w:val="0"/>
    <w:rPr>
      <w:rFonts w:ascii="宋体" w:hAnsi="Courier New"/>
    </w:rPr>
  </w:style>
  <w:style w:type="paragraph" w:styleId="10">
    <w:name w:val="Body Text Indent 2"/>
    <w:basedOn w:val="1"/>
    <w:qFormat/>
    <w:uiPriority w:val="0"/>
    <w:pPr>
      <w:spacing w:after="120" w:line="480" w:lineRule="auto"/>
      <w:ind w:left="420" w:leftChars="200"/>
    </w:pPr>
  </w:style>
  <w:style w:type="paragraph" w:styleId="11">
    <w:name w:val="footer"/>
    <w:basedOn w:val="1"/>
    <w:qFormat/>
    <w:uiPriority w:val="99"/>
    <w:pPr>
      <w:tabs>
        <w:tab w:val="center" w:pos="4153"/>
        <w:tab w:val="right" w:pos="8306"/>
      </w:tabs>
      <w:snapToGrid w:val="0"/>
    </w:pPr>
    <w:rPr>
      <w:sz w:val="18"/>
      <w:szCs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3">
    <w:name w:val="toc 1"/>
    <w:basedOn w:val="1"/>
    <w:next w:val="1"/>
    <w:qFormat/>
    <w:uiPriority w:val="0"/>
  </w:style>
  <w:style w:type="paragraph" w:styleId="14">
    <w:name w:val="table of figures"/>
    <w:basedOn w:val="1"/>
    <w:next w:val="1"/>
    <w:qFormat/>
    <w:uiPriority w:val="99"/>
    <w:pPr>
      <w:spacing w:before="100" w:beforeAutospacing="1" w:after="100" w:afterAutospacing="1"/>
      <w:ind w:left="400" w:leftChars="200" w:hanging="200" w:hangingChars="200"/>
    </w:pPr>
    <w:rPr>
      <w:sz w:val="20"/>
      <w:szCs w:val="21"/>
    </w:rPr>
  </w:style>
  <w:style w:type="paragraph" w:styleId="15">
    <w:name w:val="toc 2"/>
    <w:basedOn w:val="1"/>
    <w:next w:val="1"/>
    <w:qFormat/>
    <w:uiPriority w:val="0"/>
    <w:pPr>
      <w:ind w:left="420" w:leftChars="200"/>
    </w:pPr>
  </w:style>
  <w:style w:type="paragraph" w:styleId="16">
    <w:name w:val="Normal (Web)"/>
    <w:basedOn w:val="1"/>
    <w:qFormat/>
    <w:uiPriority w:val="0"/>
    <w:pPr>
      <w:spacing w:beforeAutospacing="1" w:afterAutospacing="1"/>
    </w:pPr>
  </w:style>
  <w:style w:type="character" w:styleId="19">
    <w:name w:val="Strong"/>
    <w:basedOn w:val="18"/>
    <w:qFormat/>
    <w:uiPriority w:val="0"/>
    <w:rPr>
      <w:b/>
    </w:rPr>
  </w:style>
  <w:style w:type="paragraph" w:customStyle="1" w:styleId="20">
    <w:name w:val="正文文本1"/>
    <w:basedOn w:val="1"/>
    <w:qFormat/>
    <w:uiPriority w:val="99"/>
    <w:pPr>
      <w:spacing w:before="93"/>
    </w:pPr>
    <w:rPr>
      <w:rFonts w:ascii="仿宋_GB2312" w:hAnsi="仿宋_GB2312" w:eastAsia="仿宋_GB2312" w:cs="仿宋_GB2312"/>
      <w:sz w:val="30"/>
      <w:szCs w:val="30"/>
    </w:rPr>
  </w:style>
  <w:style w:type="paragraph" w:customStyle="1" w:styleId="21">
    <w:name w:val="WPSOffice手动目录 1"/>
    <w:qFormat/>
    <w:uiPriority w:val="0"/>
    <w:rPr>
      <w:rFonts w:ascii="Times New Roman" w:hAnsi="Times New Roman" w:eastAsia="宋体" w:cs="Times New Roman"/>
      <w:lang w:val="en-US" w:eastAsia="zh-CN" w:bidi="ar-SA"/>
    </w:rPr>
  </w:style>
  <w:style w:type="paragraph" w:customStyle="1" w:styleId="22">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23">
    <w:name w:val="普通(网站) Char"/>
    <w:basedOn w:val="1"/>
    <w:qFormat/>
    <w:uiPriority w:val="0"/>
    <w:pPr>
      <w:spacing w:before="100" w:beforeAutospacing="1" w:after="100" w:afterAutospacing="1"/>
    </w:pPr>
    <w:rPr>
      <w:rFonts w:hint="eastAsia" w:ascii="宋体" w:hAnsi="宋体" w:eastAsia="宋体"/>
    </w:rPr>
  </w:style>
  <w:style w:type="character" w:customStyle="1" w:styleId="24">
    <w:name w:val="标题 2 字符"/>
    <w:link w:val="6"/>
    <w:qFormat/>
    <w:uiPriority w:val="0"/>
    <w:rPr>
      <w:rFonts w:hint="eastAsia" w:ascii="宋体" w:hAnsi="宋体" w:eastAsia="宋体" w:cs="宋体"/>
      <w:b/>
      <w:bCs/>
      <w:kern w:val="0"/>
      <w:sz w:val="36"/>
      <w:szCs w:val="36"/>
      <w:lang w:val="en-US" w:eastAsia="zh-CN" w:bidi="ar"/>
    </w:rPr>
  </w:style>
  <w:style w:type="character" w:customStyle="1" w:styleId="25">
    <w:name w:val="标题 1 Char"/>
    <w:basedOn w:val="18"/>
    <w:link w:val="5"/>
    <w:qFormat/>
    <w:uiPriority w:val="9"/>
    <w:rPr>
      <w:rFonts w:hint="eastAsia" w:ascii="宋体" w:hAnsi="宋体" w:eastAsia="宋体"/>
      <w:b/>
      <w:bCs/>
      <w:kern w:val="44"/>
      <w:sz w:val="48"/>
      <w:szCs w:val="48"/>
    </w:rPr>
  </w:style>
  <w:style w:type="character" w:customStyle="1" w:styleId="26">
    <w:name w:val="标题 2 Char"/>
    <w:basedOn w:val="18"/>
    <w:link w:val="6"/>
    <w:qFormat/>
    <w:uiPriority w:val="9"/>
    <w:rPr>
      <w:rFonts w:asciiTheme="majorHAnsi" w:hAnsiTheme="majorHAnsi" w:eastAsiaTheme="majorEastAsia" w:cstheme="majorBidi"/>
      <w:b/>
      <w:bCs/>
      <w:kern w:val="2"/>
      <w:sz w:val="32"/>
      <w:szCs w:val="32"/>
    </w:rPr>
  </w:style>
  <w:style w:type="paragraph" w:customStyle="1" w:styleId="27">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customStyle="1" w:styleId="28">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5.xml"/><Relationship Id="rId8" Type="http://schemas.openxmlformats.org/officeDocument/2006/relationships/chart" Target="charts/chart4.xml"/><Relationship Id="rId7" Type="http://schemas.openxmlformats.org/officeDocument/2006/relationships/chart" Target="charts/chart3.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chart" Target="charts/chart7.xml"/><Relationship Id="rId10" Type="http://schemas.openxmlformats.org/officeDocument/2006/relationships/chart" Target="charts/chart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4" Type="http://schemas.microsoft.com/office/2011/relationships/chartColorStyle" Target="colors4.xml"/><Relationship Id="rId3" Type="http://schemas.microsoft.com/office/2011/relationships/chartStyle" Target="style4.xml"/><Relationship Id="rId2" Type="http://schemas.openxmlformats.org/officeDocument/2006/relationships/themeOverride" Target="../theme/themeOverride3.xml"/><Relationship Id="rId1" Type="http://schemas.openxmlformats.org/officeDocument/2006/relationships/oleObject" Target="&#24037;&#20316;&#31807;1" TargetMode="External"/></Relationships>
</file>

<file path=word/charts/_rels/chart3.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2.xml"/><Relationship Id="rId1" Type="http://schemas.openxmlformats.org/officeDocument/2006/relationships/oleObject" Target="&#24037;&#20316;&#31807;1"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24037;&#20316;&#31807;1" TargetMode="External"/></Relationships>
</file>

<file path=word/charts/_rels/chart6.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oleObject" Target="&#24037;&#20316;&#31807;1" TargetMode="External"/></Relationships>
</file>

<file path=word/charts/_rels/chart7.xml.rels><?xml version="1.0" encoding="UTF-8" standalone="yes"?>
<Relationships xmlns="http://schemas.openxmlformats.org/package/2006/relationships"><Relationship Id="rId4" Type="http://schemas.microsoft.com/office/2011/relationships/chartColorStyle" Target="colors3.xml"/><Relationship Id="rId3" Type="http://schemas.microsoft.com/office/2011/relationships/chartStyle" Target="style3.xml"/><Relationship Id="rId2" Type="http://schemas.openxmlformats.org/officeDocument/2006/relationships/chartUserShapes" Target="../drawings/drawing1.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图1：收入、支出决算总计变动情况图（单位：万元）</a:t>
            </a:r>
          </a:p>
        </c:rich>
      </c:tx>
      <c:layout/>
      <c:overlay val="0"/>
      <c:spPr>
        <a:noFill/>
        <a:ln>
          <a:noFill/>
        </a:ln>
        <a:effectLst/>
      </c:spPr>
    </c:title>
    <c:autoTitleDeleted val="0"/>
    <c:plotArea>
      <c:layout/>
      <c:barChart>
        <c:barDir val="col"/>
        <c:grouping val="clustered"/>
        <c:varyColors val="0"/>
        <c:ser>
          <c:idx val="0"/>
          <c:order val="0"/>
          <c:tx>
            <c:strRef>
              <c:f>[工作簿1]Sheet1!$C$4</c:f>
              <c:strCache>
                <c:ptCount val="1"/>
                <c:pt idx="0">
                  <c:v>2024年</c:v>
                </c:pt>
              </c:strCache>
            </c:strRef>
          </c:tx>
          <c:spPr>
            <a:solidFill>
              <a:schemeClr val="accent1"/>
            </a:solidFill>
            <a:ln>
              <a:noFill/>
            </a:ln>
            <a:effectLst/>
          </c:spPr>
          <c:invertIfNegative val="0"/>
          <c:dLbls>
            <c:delete val="1"/>
          </c:dLbls>
          <c:cat>
            <c:strRef>
              <c:f>[工作簿1]Sheet1!$D$3:$E$3</c:f>
              <c:strCache>
                <c:ptCount val="2"/>
                <c:pt idx="0">
                  <c:v>收入</c:v>
                </c:pt>
                <c:pt idx="1">
                  <c:v>支出</c:v>
                </c:pt>
              </c:strCache>
            </c:strRef>
          </c:cat>
          <c:val>
            <c:numRef>
              <c:f>[工作簿1]Sheet1!$D$4:$E$4</c:f>
              <c:numCache>
                <c:formatCode>General</c:formatCode>
                <c:ptCount val="2"/>
                <c:pt idx="0">
                  <c:v>278.17</c:v>
                </c:pt>
                <c:pt idx="1">
                  <c:v>278.17</c:v>
                </c:pt>
              </c:numCache>
            </c:numRef>
          </c:val>
        </c:ser>
        <c:ser>
          <c:idx val="1"/>
          <c:order val="1"/>
          <c:tx>
            <c:strRef>
              <c:f>[工作簿1]Sheet1!$C$5</c:f>
              <c:strCache>
                <c:ptCount val="1"/>
                <c:pt idx="0">
                  <c:v>2025年</c:v>
                </c:pt>
              </c:strCache>
            </c:strRef>
          </c:tx>
          <c:spPr>
            <a:solidFill>
              <a:schemeClr val="accent2"/>
            </a:solidFill>
            <a:ln>
              <a:noFill/>
            </a:ln>
            <a:effectLst/>
          </c:spPr>
          <c:invertIfNegative val="0"/>
          <c:dLbls>
            <c:delete val="1"/>
          </c:dLbls>
          <c:cat>
            <c:strRef>
              <c:f>[工作簿1]Sheet1!$D$3:$E$3</c:f>
              <c:strCache>
                <c:ptCount val="2"/>
                <c:pt idx="0">
                  <c:v>收入</c:v>
                </c:pt>
                <c:pt idx="1">
                  <c:v>支出</c:v>
                </c:pt>
              </c:strCache>
            </c:strRef>
          </c:cat>
          <c:val>
            <c:numRef>
              <c:f>[工作簿1]Sheet1!$D$5:$E$5</c:f>
              <c:numCache>
                <c:formatCode>General</c:formatCode>
                <c:ptCount val="2"/>
                <c:pt idx="0">
                  <c:v>255.73</c:v>
                </c:pt>
                <c:pt idx="1">
                  <c:v>255.73</c:v>
                </c:pt>
              </c:numCache>
            </c:numRef>
          </c:val>
        </c:ser>
        <c:dLbls>
          <c:showLegendKey val="0"/>
          <c:showVal val="0"/>
          <c:showCatName val="0"/>
          <c:showSerName val="0"/>
          <c:showPercent val="0"/>
          <c:showBubbleSize val="0"/>
        </c:dLbls>
        <c:gapWidth val="246"/>
        <c:overlap val="-28"/>
        <c:axId val="708768977"/>
        <c:axId val="491684276"/>
      </c:barChart>
      <c:catAx>
        <c:axId val="70876897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1684276"/>
        <c:crosses val="autoZero"/>
        <c:auto val="1"/>
        <c:lblAlgn val="ctr"/>
        <c:lblOffset val="100"/>
        <c:noMultiLvlLbl val="0"/>
      </c:catAx>
      <c:valAx>
        <c:axId val="491684276"/>
        <c:scaling>
          <c:orientation val="minMax"/>
          <c:min val="0"/>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876897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f3929c3-a541-483e-8c87-62cfe493cf0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r>
              <a:t>图2：收入决算结构图</a:t>
            </a:r>
          </a:p>
        </c:rich>
      </c:tx>
      <c:layout/>
      <c:overlay val="0"/>
      <c:spPr>
        <a:noFill/>
        <a:ln>
          <a:noFill/>
        </a:ln>
        <a:effectLst/>
      </c:spPr>
    </c:title>
    <c:autoTitleDeleted val="0"/>
    <c:plotArea>
      <c:layout/>
      <c:pieChart>
        <c:varyColors val="1"/>
        <c:ser>
          <c:idx val="1"/>
          <c:order val="0"/>
          <c:spPr/>
          <c:explosion val="0"/>
          <c:dPt>
            <c:idx val="0"/>
            <c:bubble3D val="0"/>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dPt>
          <c:dPt>
            <c:idx val="1"/>
            <c:bubble3D val="0"/>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outerShdw blurRad="76200" dist="25400" dir="2700000" algn="tl" rotWithShape="0">
                  <a:schemeClr val="accent2">
                    <a:lumMod val="50000"/>
                    <a:alpha val="30000"/>
                  </a:schemeClr>
                </a:outerShdw>
              </a:effectLst>
            </c:spPr>
          </c:dPt>
          <c:dPt>
            <c:idx val="2"/>
            <c:bubble3D val="0"/>
            <c:spPr>
              <a:gradFill>
                <a:gsLst>
                  <a:gs pos="0">
                    <a:schemeClr val="accent3">
                      <a:lumMod val="40000"/>
                      <a:lumOff val="60000"/>
                    </a:schemeClr>
                  </a:gs>
                  <a:gs pos="90000">
                    <a:schemeClr val="accent3"/>
                  </a:gs>
                </a:gsLst>
                <a:lin ang="5400000" scaled="0"/>
              </a:gradFill>
              <a:ln>
                <a:gradFill>
                  <a:gsLst>
                    <a:gs pos="0">
                      <a:schemeClr val="accent3"/>
                    </a:gs>
                    <a:gs pos="100000">
                      <a:schemeClr val="accent3">
                        <a:lumMod val="75000"/>
                      </a:schemeClr>
                    </a:gs>
                  </a:gsLst>
                  <a:lin ang="5400000" scaled="1"/>
                </a:gradFill>
              </a:ln>
              <a:effectLst>
                <a:outerShdw blurRad="76200" dist="25400" dir="2700000" algn="tl" rotWithShape="0">
                  <a:schemeClr val="accent3">
                    <a:lumMod val="50000"/>
                    <a:alpha val="30000"/>
                  </a:schemeClr>
                </a:outerShdw>
              </a:effectLst>
            </c:spPr>
          </c:dPt>
          <c:dPt>
            <c:idx val="3"/>
            <c:bubble3D val="0"/>
            <c:spPr>
              <a:gradFill>
                <a:gsLst>
                  <a:gs pos="0">
                    <a:schemeClr val="accent4">
                      <a:lumMod val="40000"/>
                      <a:lumOff val="60000"/>
                    </a:schemeClr>
                  </a:gs>
                  <a:gs pos="90000">
                    <a:schemeClr val="accent4"/>
                  </a:gs>
                </a:gsLst>
                <a:lin ang="5400000" scaled="0"/>
              </a:gradFill>
              <a:ln>
                <a:gradFill>
                  <a:gsLst>
                    <a:gs pos="0">
                      <a:schemeClr val="accent4"/>
                    </a:gs>
                    <a:gs pos="100000">
                      <a:schemeClr val="accent4">
                        <a:lumMod val="75000"/>
                      </a:schemeClr>
                    </a:gs>
                  </a:gsLst>
                  <a:lin ang="5400000" scaled="1"/>
                </a:gradFill>
              </a:ln>
              <a:effectLst>
                <a:outerShdw blurRad="76200" dist="25400" dir="2700000" algn="tl" rotWithShape="0">
                  <a:schemeClr val="accent4">
                    <a:lumMod val="50000"/>
                    <a:alpha val="30000"/>
                  </a:schemeClr>
                </a:outerShdw>
              </a:effectLst>
            </c:spPr>
          </c:dPt>
          <c:dPt>
            <c:idx val="4"/>
            <c:bubble3D val="0"/>
            <c:spPr>
              <a:gradFill>
                <a:gsLst>
                  <a:gs pos="0">
                    <a:schemeClr val="accent5">
                      <a:lumMod val="40000"/>
                      <a:lumOff val="60000"/>
                    </a:schemeClr>
                  </a:gs>
                  <a:gs pos="90000">
                    <a:schemeClr val="accent5"/>
                  </a:gs>
                </a:gsLst>
                <a:lin ang="5400000" scaled="0"/>
              </a:gradFill>
              <a:ln>
                <a:gradFill>
                  <a:gsLst>
                    <a:gs pos="0">
                      <a:schemeClr val="accent5"/>
                    </a:gs>
                    <a:gs pos="100000">
                      <a:schemeClr val="accent5">
                        <a:lumMod val="75000"/>
                      </a:schemeClr>
                    </a:gs>
                  </a:gsLst>
                  <a:lin ang="5400000" scaled="1"/>
                </a:gradFill>
              </a:ln>
              <a:effectLst>
                <a:outerShdw blurRad="76200" dist="25400" dir="2700000" algn="tl" rotWithShape="0">
                  <a:schemeClr val="accent5">
                    <a:lumMod val="50000"/>
                    <a:alpha val="30000"/>
                  </a:schemeClr>
                </a:outerShdw>
              </a:effectLst>
            </c:spPr>
          </c:dPt>
          <c:dPt>
            <c:idx val="5"/>
            <c:bubble3D val="0"/>
            <c:spPr>
              <a:gradFill>
                <a:gsLst>
                  <a:gs pos="0">
                    <a:schemeClr val="accent6">
                      <a:lumMod val="40000"/>
                      <a:lumOff val="60000"/>
                    </a:schemeClr>
                  </a:gs>
                  <a:gs pos="90000">
                    <a:schemeClr val="accent6"/>
                  </a:gs>
                </a:gsLst>
                <a:lin ang="5400000" scaled="0"/>
              </a:gradFill>
              <a:ln>
                <a:gradFill>
                  <a:gsLst>
                    <a:gs pos="0">
                      <a:schemeClr val="accent6"/>
                    </a:gs>
                    <a:gs pos="100000">
                      <a:schemeClr val="accent6">
                        <a:lumMod val="75000"/>
                      </a:schemeClr>
                    </a:gs>
                  </a:gsLst>
                  <a:lin ang="5400000" scaled="1"/>
                </a:gradFill>
              </a:ln>
              <a:effectLst>
                <a:outerShdw blurRad="76200" dist="25400" dir="2700000" algn="tl" rotWithShape="0">
                  <a:schemeClr val="accent6">
                    <a:lumMod val="50000"/>
                    <a:alpha val="30000"/>
                  </a:schemeClr>
                </a:outerShdw>
              </a:effectLst>
            </c:spPr>
          </c:dPt>
          <c:dPt>
            <c:idx val="6"/>
            <c:bubble3D val="0"/>
            <c:spPr>
              <a:gradFill>
                <a:gsLst>
                  <a:gs pos="0">
                    <a:schemeClr val="accent1">
                      <a:lumMod val="60000"/>
                      <a:lumMod val="40000"/>
                      <a:lumOff val="60000"/>
                    </a:schemeClr>
                  </a:gs>
                  <a:gs pos="90000">
                    <a:schemeClr val="accent1">
                      <a:lumMod val="60000"/>
                    </a:schemeClr>
                  </a:gs>
                </a:gsLst>
                <a:lin ang="5400000" scaled="0"/>
              </a:gradFill>
              <a:ln>
                <a:gradFill>
                  <a:gsLst>
                    <a:gs pos="0">
                      <a:schemeClr val="accent1">
                        <a:lumMod val="60000"/>
                      </a:schemeClr>
                    </a:gs>
                    <a:gs pos="100000">
                      <a:schemeClr val="accent1">
                        <a:lumMod val="60000"/>
                        <a:lumMod val="75000"/>
                      </a:schemeClr>
                    </a:gs>
                  </a:gsLst>
                  <a:lin ang="5400000" scaled="1"/>
                </a:gradFill>
              </a:ln>
              <a:effectLst>
                <a:outerShdw blurRad="76200" dist="25400" dir="2700000" algn="tl" rotWithShape="0">
                  <a:schemeClr val="accent1">
                    <a:lumMod val="60000"/>
                    <a:lumMod val="50000"/>
                    <a:alpha val="30000"/>
                  </a:schemeClr>
                </a:outerShdw>
              </a:effectLst>
            </c:spPr>
          </c:dPt>
          <c:dPt>
            <c:idx val="7"/>
            <c:bubble3D val="0"/>
            <c:spPr>
              <a:gradFill>
                <a:gsLst>
                  <a:gs pos="0">
                    <a:schemeClr val="accent2">
                      <a:lumMod val="60000"/>
                      <a:lumMod val="40000"/>
                      <a:lumOff val="60000"/>
                    </a:schemeClr>
                  </a:gs>
                  <a:gs pos="90000">
                    <a:schemeClr val="accent2">
                      <a:lumMod val="60000"/>
                    </a:schemeClr>
                  </a:gs>
                </a:gsLst>
                <a:lin ang="5400000" scaled="0"/>
              </a:gradFill>
              <a:ln>
                <a:gradFill>
                  <a:gsLst>
                    <a:gs pos="0">
                      <a:schemeClr val="accent2">
                        <a:lumMod val="60000"/>
                      </a:schemeClr>
                    </a:gs>
                    <a:gs pos="100000">
                      <a:schemeClr val="accent2">
                        <a:lumMod val="60000"/>
                        <a:lumMod val="75000"/>
                      </a:schemeClr>
                    </a:gs>
                  </a:gsLst>
                  <a:lin ang="5400000" scaled="1"/>
                </a:gradFill>
              </a:ln>
              <a:effectLst>
                <a:outerShdw blurRad="76200" dist="25400" dir="2700000" algn="tl" rotWithShape="0">
                  <a:schemeClr val="accent2">
                    <a:lumMod val="60000"/>
                    <a:lumMod val="50000"/>
                    <a:alpha val="30000"/>
                  </a:schemeClr>
                </a:outerShdw>
              </a:effectLst>
            </c:spPr>
          </c:dPt>
          <c:dLbls>
            <c:dLbl>
              <c:idx val="0"/>
              <c:layout/>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1"/>
              <c:layout/>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2"/>
              <c:layout/>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3"/>
              <c:layout/>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4"/>
              <c:layout/>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5"/>
              <c:layout/>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6"/>
              <c:layout/>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7"/>
              <c:layout/>
              <c:dLblPos val="inEnd"/>
              <c:showLegendKey val="0"/>
              <c:showVal val="1"/>
              <c:showCatName val="0"/>
              <c:showSerName val="0"/>
              <c:showPercent val="0"/>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[工作簿1]Sheet1!$C$34:$C$41</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[工作簿1]Sheet1!$D$34:$D$41</c:f>
              <c:numCache>
                <c:formatCode>General</c:formatCode>
                <c:ptCount val="8"/>
                <c:pt idx="0">
                  <c:v>201.51</c:v>
                </c:pt>
                <c:pt idx="1">
                  <c:v>0</c:v>
                </c:pt>
                <c:pt idx="2">
                  <c:v>0</c:v>
                </c:pt>
                <c:pt idx="3">
                  <c:v>0</c:v>
                </c:pt>
                <c:pt idx="4">
                  <c:v>0</c:v>
                </c:pt>
                <c:pt idx="5">
                  <c:v>0</c:v>
                </c:pt>
                <c:pt idx="6">
                  <c:v>0</c:v>
                </c:pt>
                <c:pt idx="7">
                  <c:v>54.22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legend>
    <c:plotVisOnly val="1"/>
    <c:dispBlanksAs val="gap"/>
    <c:showDLblsOverMax val="0"/>
    <c:extLst>
      <c:ext uri="{0b15fc19-7d7d-44ad-8c2d-2c3a37ce22c3}">
        <chartProps xmlns="https://web.wps.cn/et/2018/main" chartId="{7a17ca2f-bf57-43e3-9c90-a331659f695c}"/>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r>
              <a:t>图3：支出决算结构图</a:t>
            </a:r>
          </a:p>
        </c:rich>
      </c:tx>
      <c:layout/>
      <c:overlay val="0"/>
      <c:spPr>
        <a:noFill/>
        <a:ln>
          <a:noFill/>
        </a:ln>
        <a:effectLst/>
      </c:spPr>
    </c:title>
    <c:autoTitleDeleted val="0"/>
    <c:plotArea>
      <c:layout/>
      <c:pieChart>
        <c:varyColors val="1"/>
        <c:ser>
          <c:idx val="1"/>
          <c:order val="0"/>
          <c:spPr/>
          <c:explosion val="0"/>
          <c:dPt>
            <c:idx val="0"/>
            <c:bubble3D val="0"/>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dPt>
          <c:dPt>
            <c:idx val="1"/>
            <c:bubble3D val="0"/>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outerShdw blurRad="76200" dist="25400" dir="2700000" algn="tl" rotWithShape="0">
                  <a:schemeClr val="accent2">
                    <a:lumMod val="50000"/>
                    <a:alpha val="30000"/>
                  </a:schemeClr>
                </a:outerShdw>
              </a:effectLst>
            </c:spPr>
          </c:dPt>
          <c:dPt>
            <c:idx val="2"/>
            <c:bubble3D val="0"/>
            <c:spPr>
              <a:gradFill>
                <a:gsLst>
                  <a:gs pos="0">
                    <a:schemeClr val="accent3">
                      <a:lumMod val="40000"/>
                      <a:lumOff val="60000"/>
                    </a:schemeClr>
                  </a:gs>
                  <a:gs pos="90000">
                    <a:schemeClr val="accent3"/>
                  </a:gs>
                </a:gsLst>
                <a:lin ang="5400000" scaled="0"/>
              </a:gradFill>
              <a:ln>
                <a:gradFill>
                  <a:gsLst>
                    <a:gs pos="0">
                      <a:schemeClr val="accent3"/>
                    </a:gs>
                    <a:gs pos="100000">
                      <a:schemeClr val="accent3">
                        <a:lumMod val="75000"/>
                      </a:schemeClr>
                    </a:gs>
                  </a:gsLst>
                  <a:lin ang="5400000" scaled="1"/>
                </a:gradFill>
              </a:ln>
              <a:effectLst>
                <a:outerShdw blurRad="76200" dist="25400" dir="2700000" algn="tl" rotWithShape="0">
                  <a:schemeClr val="accent3">
                    <a:lumMod val="50000"/>
                    <a:alpha val="30000"/>
                  </a:schemeClr>
                </a:outerShdw>
              </a:effectLst>
            </c:spPr>
          </c:dPt>
          <c:dPt>
            <c:idx val="3"/>
            <c:bubble3D val="0"/>
            <c:spPr>
              <a:gradFill>
                <a:gsLst>
                  <a:gs pos="0">
                    <a:schemeClr val="accent4">
                      <a:lumMod val="40000"/>
                      <a:lumOff val="60000"/>
                    </a:schemeClr>
                  </a:gs>
                  <a:gs pos="90000">
                    <a:schemeClr val="accent4"/>
                  </a:gs>
                </a:gsLst>
                <a:lin ang="5400000" scaled="0"/>
              </a:gradFill>
              <a:ln>
                <a:gradFill>
                  <a:gsLst>
                    <a:gs pos="0">
                      <a:schemeClr val="accent4"/>
                    </a:gs>
                    <a:gs pos="100000">
                      <a:schemeClr val="accent4">
                        <a:lumMod val="75000"/>
                      </a:schemeClr>
                    </a:gs>
                  </a:gsLst>
                  <a:lin ang="5400000" scaled="1"/>
                </a:gradFill>
              </a:ln>
              <a:effectLst>
                <a:outerShdw blurRad="76200" dist="25400" dir="2700000" algn="tl" rotWithShape="0">
                  <a:schemeClr val="accent4">
                    <a:lumMod val="50000"/>
                    <a:alpha val="30000"/>
                  </a:schemeClr>
                </a:outerShdw>
              </a:effectLst>
            </c:spPr>
          </c:dPt>
          <c:dPt>
            <c:idx val="4"/>
            <c:bubble3D val="0"/>
            <c:spPr>
              <a:gradFill>
                <a:gsLst>
                  <a:gs pos="0">
                    <a:schemeClr val="accent5">
                      <a:lumMod val="40000"/>
                      <a:lumOff val="60000"/>
                    </a:schemeClr>
                  </a:gs>
                  <a:gs pos="90000">
                    <a:schemeClr val="accent5"/>
                  </a:gs>
                </a:gsLst>
                <a:lin ang="5400000" scaled="0"/>
              </a:gradFill>
              <a:ln>
                <a:gradFill>
                  <a:gsLst>
                    <a:gs pos="0">
                      <a:schemeClr val="accent5"/>
                    </a:gs>
                    <a:gs pos="100000">
                      <a:schemeClr val="accent5">
                        <a:lumMod val="75000"/>
                      </a:schemeClr>
                    </a:gs>
                  </a:gsLst>
                  <a:lin ang="5400000" scaled="1"/>
                </a:gradFill>
              </a:ln>
              <a:effectLst>
                <a:outerShdw blurRad="76200" dist="25400" dir="2700000" algn="tl" rotWithShape="0">
                  <a:schemeClr val="accent5">
                    <a:lumMod val="50000"/>
                    <a:alpha val="30000"/>
                  </a:schemeClr>
                </a:outerShdw>
              </a:effectLst>
            </c:spPr>
          </c:dPt>
          <c:dPt>
            <c:idx val="5"/>
            <c:bubble3D val="0"/>
            <c:spPr>
              <a:gradFill>
                <a:gsLst>
                  <a:gs pos="0">
                    <a:schemeClr val="accent6">
                      <a:lumMod val="40000"/>
                      <a:lumOff val="60000"/>
                    </a:schemeClr>
                  </a:gs>
                  <a:gs pos="90000">
                    <a:schemeClr val="accent6"/>
                  </a:gs>
                </a:gsLst>
                <a:lin ang="5400000" scaled="0"/>
              </a:gradFill>
              <a:ln>
                <a:gradFill>
                  <a:gsLst>
                    <a:gs pos="0">
                      <a:schemeClr val="accent6"/>
                    </a:gs>
                    <a:gs pos="100000">
                      <a:schemeClr val="accent6">
                        <a:lumMod val="75000"/>
                      </a:schemeClr>
                    </a:gs>
                  </a:gsLst>
                  <a:lin ang="5400000" scaled="1"/>
                </a:gradFill>
              </a:ln>
              <a:effectLst>
                <a:outerShdw blurRad="76200" dist="25400" dir="2700000" algn="tl" rotWithShape="0">
                  <a:schemeClr val="accent6">
                    <a:lumMod val="50000"/>
                    <a:alpha val="30000"/>
                  </a:schemeClr>
                </a:outerShdw>
              </a:effectLst>
            </c:spPr>
          </c:dPt>
          <c:dPt>
            <c:idx val="6"/>
            <c:bubble3D val="0"/>
            <c:spPr>
              <a:gradFill>
                <a:gsLst>
                  <a:gs pos="0">
                    <a:schemeClr val="accent1">
                      <a:lumMod val="60000"/>
                      <a:lumMod val="40000"/>
                      <a:lumOff val="60000"/>
                    </a:schemeClr>
                  </a:gs>
                  <a:gs pos="90000">
                    <a:schemeClr val="accent1">
                      <a:lumMod val="60000"/>
                    </a:schemeClr>
                  </a:gs>
                </a:gsLst>
                <a:lin ang="5400000" scaled="0"/>
              </a:gradFill>
              <a:ln>
                <a:gradFill>
                  <a:gsLst>
                    <a:gs pos="0">
                      <a:schemeClr val="accent1">
                        <a:lumMod val="60000"/>
                      </a:schemeClr>
                    </a:gs>
                    <a:gs pos="100000">
                      <a:schemeClr val="accent1">
                        <a:lumMod val="60000"/>
                        <a:lumMod val="75000"/>
                      </a:schemeClr>
                    </a:gs>
                  </a:gsLst>
                  <a:lin ang="5400000" scaled="1"/>
                </a:gradFill>
              </a:ln>
              <a:effectLst>
                <a:outerShdw blurRad="76200" dist="25400" dir="2700000" algn="tl" rotWithShape="0">
                  <a:schemeClr val="accent1">
                    <a:lumMod val="60000"/>
                    <a:lumMod val="50000"/>
                    <a:alpha val="30000"/>
                  </a:schemeClr>
                </a:outerShdw>
              </a:effectLst>
            </c:spPr>
          </c:dPt>
          <c:dPt>
            <c:idx val="7"/>
            <c:bubble3D val="0"/>
            <c:spPr>
              <a:gradFill>
                <a:gsLst>
                  <a:gs pos="0">
                    <a:schemeClr val="accent2">
                      <a:lumMod val="60000"/>
                      <a:lumMod val="40000"/>
                      <a:lumOff val="60000"/>
                    </a:schemeClr>
                  </a:gs>
                  <a:gs pos="90000">
                    <a:schemeClr val="accent2">
                      <a:lumMod val="60000"/>
                    </a:schemeClr>
                  </a:gs>
                </a:gsLst>
                <a:lin ang="5400000" scaled="0"/>
              </a:gradFill>
              <a:ln>
                <a:gradFill>
                  <a:gsLst>
                    <a:gs pos="0">
                      <a:schemeClr val="accent2">
                        <a:lumMod val="60000"/>
                      </a:schemeClr>
                    </a:gs>
                    <a:gs pos="100000">
                      <a:schemeClr val="accent2">
                        <a:lumMod val="60000"/>
                        <a:lumMod val="75000"/>
                      </a:schemeClr>
                    </a:gs>
                  </a:gsLst>
                  <a:lin ang="5400000" scaled="1"/>
                </a:gradFill>
              </a:ln>
              <a:effectLst>
                <a:outerShdw blurRad="76200" dist="25400" dir="2700000" algn="tl" rotWithShape="0">
                  <a:schemeClr val="accent2">
                    <a:lumMod val="60000"/>
                    <a:lumMod val="50000"/>
                    <a:alpha val="30000"/>
                  </a:schemeClr>
                </a:outerShdw>
              </a:effectLst>
            </c:spPr>
          </c:dPt>
          <c:dLbls>
            <c:dLbl>
              <c:idx val="0"/>
              <c:layout/>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1"/>
              <c:layout/>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2"/>
              <c:layout/>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3"/>
              <c:layout/>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4"/>
              <c:layout/>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5"/>
              <c:layout/>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6"/>
              <c:layout/>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7"/>
              <c:layout/>
              <c:dLblPos val="inEnd"/>
              <c:showLegendKey val="0"/>
              <c:showVal val="1"/>
              <c:showCatName val="0"/>
              <c:showSerName val="0"/>
              <c:showPercent val="0"/>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[工作簿1]Sheet1!$C$34:$C$41</c:f>
              <c:strCache>
                <c:ptCount val="8"/>
                <c:pt idx="0">
                  <c:v>基本支出</c:v>
                </c:pt>
                <c:pt idx="1">
                  <c:v>项目支出</c:v>
                </c:pt>
                <c:pt idx="2">
                  <c:v>上缴上级支出</c:v>
                </c:pt>
                <c:pt idx="3">
                  <c:v>经营支出</c:v>
                </c:pt>
                <c:pt idx="4">
                  <c:v>对附属单位补助支出</c:v>
                </c:pt>
              </c:strCache>
            </c:strRef>
          </c:cat>
          <c:val>
            <c:numRef>
              <c:f>[工作簿1]Sheet1!$D$34:$D$41</c:f>
              <c:numCache>
                <c:formatCode>General</c:formatCode>
                <c:ptCount val="8"/>
                <c:pt idx="0">
                  <c:v>255.73</c:v>
                </c:pt>
                <c:pt idx="1">
                  <c:v>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5"/>
        <c:delete val="1"/>
      </c:legendEntry>
      <c:legendEntry>
        <c:idx val="6"/>
        <c:delete val="1"/>
      </c:legendEntry>
      <c:legendEntry>
        <c:idx val="7"/>
        <c:delete val="1"/>
      </c:legendEntry>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legend>
    <c:plotVisOnly val="1"/>
    <c:dispBlanksAs val="gap"/>
    <c:showDLblsOverMax val="0"/>
    <c:extLst>
      <c:ext uri="{0b15fc19-7d7d-44ad-8c2d-2c3a37ce22c3}">
        <chartProps xmlns="https://web.wps.cn/et/2018/main" chartId="{d51eb46a-3508-4db8-a1b2-84266b63d974}"/>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图4：财政拨款收、支决算总计变动情况</a:t>
            </a:r>
          </a:p>
          <a:p>
            <a:pPr defTabSz="914400">
              <a:defRPr lang="zh-CN" sz="1400" b="1" i="0" u="none" strike="noStrike" kern="1200" baseline="0">
                <a:solidFill>
                  <a:schemeClr val="tx1">
                    <a:lumMod val="75000"/>
                    <a:lumOff val="25000"/>
                  </a:schemeClr>
                </a:solidFill>
                <a:latin typeface="+mn-lt"/>
                <a:ea typeface="+mn-ea"/>
                <a:cs typeface="+mn-cs"/>
              </a:defRPr>
            </a:pPr>
          </a:p>
        </c:rich>
      </c:tx>
      <c:layout/>
      <c:overlay val="0"/>
      <c:spPr>
        <a:noFill/>
        <a:ln>
          <a:noFill/>
        </a:ln>
        <a:effectLst/>
      </c:spPr>
    </c:title>
    <c:autoTitleDeleted val="0"/>
    <c:plotArea>
      <c:layout/>
      <c:barChart>
        <c:barDir val="col"/>
        <c:grouping val="clustered"/>
        <c:varyColors val="0"/>
        <c:ser>
          <c:idx val="0"/>
          <c:order val="0"/>
          <c:tx>
            <c:strRef>
              <c:f>[工作簿1]Sheet1!$C$5</c:f>
              <c:strCache>
                <c:ptCount val="1"/>
                <c:pt idx="0">
                  <c:v>2024年</c:v>
                </c:pt>
              </c:strCache>
            </c:strRef>
          </c:tx>
          <c:spPr>
            <a:solidFill>
              <a:schemeClr val="accent1"/>
            </a:solidFill>
            <a:ln>
              <a:noFill/>
            </a:ln>
            <a:effectLst/>
          </c:spPr>
          <c:invertIfNegative val="0"/>
          <c:dLbls>
            <c:delete val="1"/>
          </c:dLbls>
          <c:cat>
            <c:strRef>
              <c:f>[工作簿1]Sheet1!$D$4:$E$4</c:f>
              <c:strCache>
                <c:ptCount val="2"/>
                <c:pt idx="0">
                  <c:v>收入</c:v>
                </c:pt>
                <c:pt idx="1">
                  <c:v>支出</c:v>
                </c:pt>
              </c:strCache>
            </c:strRef>
          </c:cat>
          <c:val>
            <c:numRef>
              <c:f>[工作簿1]Sheet1!$D$5:$E$5</c:f>
              <c:numCache>
                <c:formatCode>General</c:formatCode>
                <c:ptCount val="2"/>
                <c:pt idx="0">
                  <c:v>556.34</c:v>
                </c:pt>
                <c:pt idx="1">
                  <c:v>556.34</c:v>
                </c:pt>
              </c:numCache>
            </c:numRef>
          </c:val>
        </c:ser>
        <c:ser>
          <c:idx val="1"/>
          <c:order val="1"/>
          <c:tx>
            <c:strRef>
              <c:f>[工作簿1]Sheet1!$C$6</c:f>
              <c:strCache>
                <c:ptCount val="1"/>
                <c:pt idx="0">
                  <c:v>2025年</c:v>
                </c:pt>
              </c:strCache>
            </c:strRef>
          </c:tx>
          <c:spPr>
            <a:solidFill>
              <a:schemeClr val="accent2"/>
            </a:solidFill>
            <a:ln>
              <a:noFill/>
            </a:ln>
            <a:effectLst/>
          </c:spPr>
          <c:invertIfNegative val="0"/>
          <c:dLbls>
            <c:delete val="1"/>
          </c:dLbls>
          <c:cat>
            <c:strRef>
              <c:f>[工作簿1]Sheet1!$D$4:$E$4</c:f>
              <c:strCache>
                <c:ptCount val="2"/>
                <c:pt idx="0">
                  <c:v>收入</c:v>
                </c:pt>
                <c:pt idx="1">
                  <c:v>支出</c:v>
                </c:pt>
              </c:strCache>
            </c:strRef>
          </c:cat>
          <c:val>
            <c:numRef>
              <c:f>[工作簿1]Sheet1!$D$6:$E$6</c:f>
              <c:numCache>
                <c:formatCode>General</c:formatCode>
                <c:ptCount val="2"/>
                <c:pt idx="0">
                  <c:v>511.46</c:v>
                </c:pt>
                <c:pt idx="1">
                  <c:v>511.46</c:v>
                </c:pt>
              </c:numCache>
            </c:numRef>
          </c:val>
        </c:ser>
        <c:dLbls>
          <c:showLegendKey val="0"/>
          <c:showVal val="0"/>
          <c:showCatName val="0"/>
          <c:showSerName val="0"/>
          <c:showPercent val="0"/>
          <c:showBubbleSize val="0"/>
        </c:dLbls>
        <c:gapWidth val="246"/>
        <c:overlap val="-28"/>
        <c:axId val="57683728"/>
        <c:axId val="987128335"/>
      </c:barChart>
      <c:catAx>
        <c:axId val="5768372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7128335"/>
        <c:crosses val="autoZero"/>
        <c:auto val="1"/>
        <c:lblAlgn val="ctr"/>
        <c:lblOffset val="100"/>
        <c:noMultiLvlLbl val="0"/>
      </c:catAx>
      <c:valAx>
        <c:axId val="987128335"/>
        <c:scaling>
          <c:orientation val="minMax"/>
          <c:min val="0"/>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6837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f3dff38-a595-464f-9bc3-aad7dc40124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图5：一般公共预算财政拨款支出决算变动情况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tx>
            <c:strRef>
              <c:f>[工作簿1]Sheet1!$C$5</c:f>
              <c:strCache>
                <c:ptCount val="1"/>
                <c:pt idx="0">
                  <c:v>2024年</c:v>
                </c:pt>
              </c:strCache>
            </c:strRef>
          </c:tx>
          <c:spPr>
            <a:solidFill>
              <a:schemeClr val="accent1"/>
            </a:solidFill>
            <a:ln>
              <a:noFill/>
            </a:ln>
            <a:effectLst/>
          </c:spPr>
          <c:invertIfNegative val="0"/>
          <c:dLbls>
            <c:delete val="1"/>
          </c:dLbls>
          <c:cat>
            <c:strRef>
              <c:f>[工作簿1]Sheet1!$D$4</c:f>
              <c:strCache>
                <c:ptCount val="1"/>
                <c:pt idx="0">
                  <c:v>支出</c:v>
                </c:pt>
              </c:strCache>
            </c:strRef>
          </c:cat>
          <c:val>
            <c:numRef>
              <c:f>[工作簿1]Sheet1!$D$5</c:f>
              <c:numCache>
                <c:formatCode>General</c:formatCode>
                <c:ptCount val="1"/>
                <c:pt idx="0">
                  <c:v>214.92</c:v>
                </c:pt>
              </c:numCache>
            </c:numRef>
          </c:val>
        </c:ser>
        <c:ser>
          <c:idx val="1"/>
          <c:order val="1"/>
          <c:tx>
            <c:strRef>
              <c:f>[工作簿1]Sheet1!$C$6</c:f>
              <c:strCache>
                <c:ptCount val="1"/>
                <c:pt idx="0">
                  <c:v>2025年</c:v>
                </c:pt>
              </c:strCache>
            </c:strRef>
          </c:tx>
          <c:spPr>
            <a:solidFill>
              <a:schemeClr val="accent2"/>
            </a:solidFill>
            <a:ln>
              <a:noFill/>
            </a:ln>
            <a:effectLst/>
          </c:spPr>
          <c:invertIfNegative val="0"/>
          <c:dLbls>
            <c:delete val="1"/>
          </c:dLbls>
          <c:cat>
            <c:strRef>
              <c:f>[工作簿1]Sheet1!$D$4</c:f>
              <c:strCache>
                <c:ptCount val="1"/>
                <c:pt idx="0">
                  <c:v>支出</c:v>
                </c:pt>
              </c:strCache>
            </c:strRef>
          </c:cat>
          <c:val>
            <c:numRef>
              <c:f>[工作簿1]Sheet1!$D$6</c:f>
              <c:numCache>
                <c:formatCode>General</c:formatCode>
                <c:ptCount val="1"/>
                <c:pt idx="0">
                  <c:v>201.51</c:v>
                </c:pt>
              </c:numCache>
            </c:numRef>
          </c:val>
        </c:ser>
        <c:dLbls>
          <c:showLegendKey val="0"/>
          <c:showVal val="0"/>
          <c:showCatName val="0"/>
          <c:showSerName val="0"/>
          <c:showPercent val="0"/>
          <c:showBubbleSize val="0"/>
        </c:dLbls>
        <c:gapWidth val="246"/>
        <c:overlap val="-28"/>
        <c:axId val="57683728"/>
        <c:axId val="987128335"/>
      </c:barChart>
      <c:catAx>
        <c:axId val="5768372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7128335"/>
        <c:crosses val="autoZero"/>
        <c:auto val="1"/>
        <c:lblAlgn val="ctr"/>
        <c:lblOffset val="100"/>
        <c:noMultiLvlLbl val="0"/>
      </c:catAx>
      <c:valAx>
        <c:axId val="987128335"/>
        <c:scaling>
          <c:orientation val="minMax"/>
          <c:min val="0"/>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6837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6cdf3c0-0285-4e47-995b-7b0a29835af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r>
              <a:t>图6：一般公共预算财政拨款支出决算结构</a:t>
            </a:r>
          </a:p>
        </c:rich>
      </c:tx>
      <c:layout/>
      <c:overlay val="0"/>
      <c:spPr>
        <a:noFill/>
        <a:ln>
          <a:noFill/>
        </a:ln>
        <a:effectLst/>
      </c:spPr>
    </c:title>
    <c:autoTitleDeleted val="0"/>
    <c:plotArea>
      <c:layout/>
      <c:pieChart>
        <c:varyColors val="1"/>
        <c:ser>
          <c:idx val="0"/>
          <c:order val="0"/>
          <c:spPr>
            <a:ln>
              <a:noFill/>
            </a:ln>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Pt>
            <c:idx val="3"/>
            <c:bubble3D val="0"/>
            <c:spPr>
              <a:solidFill>
                <a:schemeClr val="accent4"/>
              </a:solidFill>
              <a:ln>
                <a:noFill/>
              </a:ln>
              <a:effectLst/>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bg1"/>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ctr"/>
            <c:showLegendKey val="0"/>
            <c:showVal val="1"/>
            <c:showCatName val="0"/>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[工作簿1]Sheet1!$C$34:$C$37</c:f>
              <c:strCache>
                <c:ptCount val="4"/>
                <c:pt idx="0">
                  <c:v>节能环保支出</c:v>
                </c:pt>
                <c:pt idx="1">
                  <c:v>社会保障和就业支出</c:v>
                </c:pt>
                <c:pt idx="2">
                  <c:v>卫生健康支出</c:v>
                </c:pt>
                <c:pt idx="3">
                  <c:v>住房保障支出</c:v>
                </c:pt>
              </c:strCache>
            </c:strRef>
          </c:cat>
          <c:val>
            <c:numRef>
              <c:f>[工作簿1]Sheet1!$D$34:$D$37</c:f>
              <c:numCache>
                <c:formatCode>General</c:formatCode>
                <c:ptCount val="4"/>
                <c:pt idx="0">
                  <c:v>137.12</c:v>
                </c:pt>
                <c:pt idx="1">
                  <c:v>33.31</c:v>
                </c:pt>
                <c:pt idx="2">
                  <c:v>12.94</c:v>
                </c:pt>
                <c:pt idx="3">
                  <c:v>18.13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legend>
    <c:plotVisOnly val="1"/>
    <c:dispBlanksAs val="gap"/>
    <c:showDLblsOverMax val="0"/>
    <c:extLst>
      <c:ext uri="{0b15fc19-7d7d-44ad-8c2d-2c3a37ce22c3}">
        <chartProps xmlns="https://web.wps.cn/et/2018/main" chartId="{682e4e1e-18e3-408c-b9d2-acd0542582fc}"/>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图7：“三公”经费财政拨款支出结构图</a:t>
            </a:r>
          </a:p>
        </c:rich>
      </c:tx>
      <c:layout/>
      <c:overlay val="0"/>
      <c:spPr>
        <a:noFill/>
        <a:ln>
          <a:noFill/>
        </a:ln>
        <a:effectLst/>
      </c:spPr>
    </c:title>
    <c:autoTitleDeleted val="0"/>
    <c:plotArea>
      <c:layout/>
      <c:pieChart>
        <c:varyColors val="1"/>
        <c:ser>
          <c:idx val="0"/>
          <c:order val="0"/>
          <c:spPr/>
          <c:explosion val="0"/>
          <c:dPt>
            <c:idx val="0"/>
            <c:bubble3D val="0"/>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c:spPr>
          </c:dPt>
          <c:dPt>
            <c:idx val="1"/>
            <c:bubble3D val="0"/>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c:spPr>
          </c:dPt>
          <c:dPt>
            <c:idx val="2"/>
            <c:bubble3D val="0"/>
            <c:spPr>
              <a:gradFill>
                <a:gsLst>
                  <a:gs pos="0">
                    <a:schemeClr val="accent3">
                      <a:lumMod val="40000"/>
                      <a:lumOff val="60000"/>
                    </a:schemeClr>
                  </a:gs>
                  <a:gs pos="90000">
                    <a:schemeClr val="accent3"/>
                  </a:gs>
                </a:gsLst>
                <a:lin ang="5400000" scaled="0"/>
              </a:gradFill>
              <a:ln>
                <a:gradFill>
                  <a:gsLst>
                    <a:gs pos="0">
                      <a:schemeClr val="accent3"/>
                    </a:gs>
                    <a:gs pos="100000">
                      <a:schemeClr val="accent3">
                        <a:lumMod val="75000"/>
                      </a:schemeClr>
                    </a:gs>
                  </a:gsLst>
                  <a:lin ang="5400000" scaled="1"/>
                </a:gradFill>
              </a:ln>
              <a:effectLst/>
            </c:spPr>
          </c:dPt>
          <c:dPt>
            <c:idx val="3"/>
            <c:bubble3D val="0"/>
            <c:spPr>
              <a:gradFill>
                <a:gsLst>
                  <a:gs pos="0">
                    <a:schemeClr val="accent4">
                      <a:lumMod val="40000"/>
                      <a:lumOff val="60000"/>
                    </a:schemeClr>
                  </a:gs>
                  <a:gs pos="90000">
                    <a:schemeClr val="accent4"/>
                  </a:gs>
                </a:gsLst>
                <a:lin ang="5400000" scaled="0"/>
              </a:gradFill>
              <a:ln>
                <a:gradFill>
                  <a:gsLst>
                    <a:gs pos="0">
                      <a:schemeClr val="accent4"/>
                    </a:gs>
                    <a:gs pos="100000">
                      <a:schemeClr val="accent4">
                        <a:lumMod val="75000"/>
                      </a:schemeClr>
                    </a:gs>
                  </a:gsLst>
                  <a:lin ang="5400000" scaled="1"/>
                </a:gradFill>
              </a:ln>
              <a:effectLst/>
            </c:spPr>
          </c:dPt>
          <c:dLbls>
            <c:dLbl>
              <c:idx val="1"/>
              <c:layout/>
              <c:numFmt formatCode="General" sourceLinked="1"/>
              <c:spPr>
                <a:solidFill>
                  <a:sysClr val="window" lastClr="FFFFFF"/>
                </a:solidFill>
                <a:ln>
                  <a:solidFill>
                    <a:sysClr val="windowText" lastClr="000000">
                      <a:lumMod val="25000"/>
                      <a:lumOff val="75000"/>
                    </a:sysClr>
                  </a:solid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1"/>
              <c:showBubbleSize val="0"/>
              <c:separator>
</c:separator>
              <c:extLst>
                <c:ext xmlns:c15="http://schemas.microsoft.com/office/drawing/2012/chart" uri="{CE6537A1-D6FC-4f65-9D91-7224C49458BB}"/>
              </c:extLst>
            </c:dLbl>
            <c:dLbl>
              <c:idx val="2"/>
              <c:layout/>
              <c:numFmt formatCode="General" sourceLinked="1"/>
              <c:spPr>
                <a:solidFill>
                  <a:sysClr val="window" lastClr="FFFFFF"/>
                </a:solidFill>
                <a:ln>
                  <a:solidFill>
                    <a:sysClr val="windowText" lastClr="000000">
                      <a:lumMod val="25000"/>
                      <a:lumOff val="75000"/>
                    </a:sysClr>
                  </a:solid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1"/>
              <c:showBubbleSize val="0"/>
              <c:separator>
</c:separator>
              <c:extLst>
                <c:ext xmlns:c15="http://schemas.microsoft.com/office/drawing/2012/chart" uri="{CE6537A1-D6FC-4f65-9D91-7224C49458BB}"/>
              </c:extLst>
            </c:dLbl>
            <c:dLbl>
              <c:idx val="3"/>
              <c:layout/>
              <c:numFmt formatCode="General" sourceLinked="1"/>
              <c:spPr>
                <a:solidFill>
                  <a:sysClr val="window" lastClr="FFFFFF"/>
                </a:solidFill>
                <a:ln>
                  <a:solidFill>
                    <a:sysClr val="windowText" lastClr="000000">
                      <a:lumMod val="25000"/>
                      <a:lumOff val="75000"/>
                    </a:sysClr>
                  </a:solid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1"/>
              <c:showBubbleSize val="0"/>
              <c:separator>
</c:separator>
              <c:extLst>
                <c:ext xmlns:c15="http://schemas.microsoft.com/office/drawing/2012/chart" uri="{CE6537A1-D6FC-4f65-9D91-7224C49458BB}"/>
              </c:extLst>
            </c:dLbl>
            <c:numFmt formatCode="General" sourceLinked="1"/>
            <c:spPr>
              <a:solidFill>
                <a:sysClr val="window" lastClr="FFFFFF"/>
              </a:solidFill>
              <a:ln>
                <a:solidFill>
                  <a:sysClr val="windowText" lastClr="000000">
                    <a:lumMod val="25000"/>
                    <a:lumOff val="75000"/>
                  </a:sysClr>
                </a:solid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1"/>
            <c:showBubbleSize val="0"/>
            <c:separator>
</c:separator>
            <c:showLeaderLines val="1"/>
            <c:extLst>
              <c:ext xmlns:c15="http://schemas.microsoft.com/office/drawing/2012/chart" uri="{CE6537A1-D6FC-4f65-9D91-7224C49458BB}">
                <c15:spPr xmlns:c15="http://schemas.microsoft.com/office/drawing/2012/chart">
                  <a:prstGeom prst="roundRect">
                    <a:avLst/>
                  </a:prstGeom>
                  <a:noFill/>
                  <a:ln>
                    <a:noFill/>
                  </a:ln>
                </c15:spPr>
                <c15:layout/>
                <c15:showLeaderLines val="1"/>
                <c15:leaderLines>
                  <c:spPr>
                    <a:ln w="9525" cap="flat" cmpd="sng" algn="ctr">
                      <a:solidFill>
                        <a:schemeClr val="tx1">
                          <a:lumMod val="35000"/>
                          <a:lumOff val="65000"/>
                        </a:schemeClr>
                      </a:solidFill>
                      <a:round/>
                    </a:ln>
                    <a:effectLst/>
                  </c:spPr>
                </c15:leaderLines>
              </c:ext>
            </c:extLst>
          </c:dLbls>
          <c:cat>
            <c:strRef>
              <c:f>[工作簿1]Sheet1!$C$34:$C$37</c:f>
              <c:strCache>
                <c:ptCount val="4"/>
                <c:pt idx="0">
                  <c:v>因公出国（境）费支出</c:v>
                </c:pt>
                <c:pt idx="1">
                  <c:v>公务用车购置及运行维护费支出</c:v>
                </c:pt>
                <c:pt idx="2">
                  <c:v>公务接待费支出</c:v>
                </c:pt>
              </c:strCache>
            </c:strRef>
          </c:cat>
          <c:val>
            <c:numRef>
              <c:f>[工作簿1]Sheet1!$D$34:$D$37</c:f>
              <c:numCache>
                <c:formatCode>General</c:formatCode>
                <c:ptCount val="4"/>
                <c:pt idx="0">
                  <c:v>0</c:v>
                </c:pt>
                <c:pt idx="1">
                  <c:v>0</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51700a6-f359-46d4-937c-5f7fdca8b76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userShapes r:id="rId2"/>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0.00138</cdr:x>
      <cdr:y>0.00098</cdr:y>
    </cdr:from>
    <cdr:to>
      <cdr:x>1</cdr:x>
      <cdr:y>1</cdr:y>
    </cdr:to>
    <cdr:sp>
      <cdr:nvSpPr>
        <cdr:cNvPr id="2" name="任意多边形 1"/>
        <cdr:cNvSpPr/>
      </cdr:nvSpPr>
      <cdr:spPr xmlns:a="http://schemas.openxmlformats.org/drawingml/2006/main">
        <a:xfrm xmlns:a="http://schemas.openxmlformats.org/drawingml/2006/main">
          <a:off x="50800" y="50800"/>
          <a:ext cx="4853305" cy="2877185"/>
        </a:xfrm>
        <a:custGeom>
          <a:avLst/>
          <a:gdLst/>
          <a:ahLst/>
          <a:cxnLst>
            <a:cxn ang="3">
              <a:pos x="hc" y="t"/>
            </a:cxn>
            <a:cxn ang="cd2">
              <a:pos x="l" y="vc"/>
            </a:cxn>
            <a:cxn ang="cd4">
              <a:pos x="hc" y="b"/>
            </a:cxn>
            <a:cxn ang="0">
              <a:pos x="r" y="vc"/>
            </a:cxn>
          </a:cxnLst>
          <a:rect l="l" t="t" r="r" b="b"/>
          <a:pathLst>
            <a:path w="7898" h="4934">
              <a:moveTo>
                <a:pt x="370" y="136"/>
              </a:moveTo>
              <a:cubicBezTo>
                <a:pt x="236" y="136"/>
                <a:pt x="128" y="244"/>
                <a:pt x="128" y="378"/>
              </a:cubicBezTo>
              <a:lnTo>
                <a:pt x="128" y="4557"/>
              </a:lnTo>
              <a:cubicBezTo>
                <a:pt x="128" y="4690"/>
                <a:pt x="236" y="4799"/>
                <a:pt x="370" y="4799"/>
              </a:cubicBezTo>
              <a:lnTo>
                <a:pt x="7528" y="4799"/>
              </a:lnTo>
              <a:cubicBezTo>
                <a:pt x="7662" y="4799"/>
                <a:pt x="7770" y="4690"/>
                <a:pt x="7770" y="4557"/>
              </a:cubicBezTo>
              <a:lnTo>
                <a:pt x="7770" y="378"/>
              </a:lnTo>
              <a:cubicBezTo>
                <a:pt x="7770" y="244"/>
                <a:pt x="7662" y="136"/>
                <a:pt x="7528" y="136"/>
              </a:cubicBezTo>
              <a:lnTo>
                <a:pt x="370" y="136"/>
              </a:lnTo>
              <a:close/>
              <a:moveTo>
                <a:pt x="0" y="0"/>
              </a:moveTo>
              <a:lnTo>
                <a:pt x="7898" y="0"/>
              </a:lnTo>
              <a:lnTo>
                <a:pt x="7898" y="4934"/>
              </a:lnTo>
              <a:lnTo>
                <a:pt x="0" y="4934"/>
              </a:lnTo>
              <a:lnTo>
                <a:pt x="0" y="0"/>
              </a:lnTo>
              <a:close/>
            </a:path>
          </a:pathLst>
        </a:custGeom>
        <a:noFill/>
        <a:l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xmlns:a="http://schemas.openxmlformats.org/drawingml/2006/main">
        <a:bodyPr vert="horz" wrap="square" lIns="45720" tIns="45720" rIns="45720" bIns="45720" rtlCol="0" anchor="t" anchorCtr="0">
          <a:noAutofit/>
        </a:bodyPr>
        <a:lstStyle>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a:pPr algn="l"/>
          <a:endParaRPr lang="zh-CN" altLang="en-US" sz="1100"/>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自定义 228">
    <a:dk1>
      <a:srgbClr val="000000"/>
    </a:dk1>
    <a:lt1>
      <a:srgbClr val="FFFFFF"/>
    </a:lt1>
    <a:dk2>
      <a:srgbClr val="44546A"/>
    </a:dk2>
    <a:lt2>
      <a:srgbClr val="E7E6E6"/>
    </a:lt2>
    <a:accent1>
      <a:srgbClr val="385DD4"/>
    </a:accent1>
    <a:accent2>
      <a:srgbClr val="F7D626"/>
    </a:accent2>
    <a:accent3>
      <a:srgbClr val="9CCF21"/>
    </a:accent3>
    <a:accent4>
      <a:srgbClr val="00B0F0"/>
    </a:accent4>
    <a:accent5>
      <a:srgbClr val="4F9793"/>
    </a:accent5>
    <a:accent6>
      <a:srgbClr val="7030A0"/>
    </a:accent6>
    <a:hlink>
      <a:srgbClr val="0026E5"/>
    </a:hlink>
    <a:folHlink>
      <a:srgbClr val="7E1FAD"/>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6478388a-4b0b-4ee4-8be6-cf6c67f5c676</errorID>
      <errorWord>水质水质</errorWord>
      <group>L1_Word</group>
      <groupName>字词问题</groupName>
      <ability>L2_Typo</ability>
      <abilityName>字词错误</abilityName>
      <candidateList>
        <item>水质</item>
      </candidateList>
      <explain/>
      <paraID> 88EB35A</paraID>
      <start>33</start>
      <end>35</end>
      <status>modified</status>
      <modifiedWord>水质</modifiedWord>
      <trackRevisions>false</trackRevisions>
    </reviewItem>
    <reviewItem>
      <errorID>15f2aec0-1c90-4b79-856a-bb15ab48e868</errorID>
      <errorWord>支出决</errorWord>
      <group>L1_Word</group>
      <groupName>字词问题</groupName>
      <ability>L2_Typo</ability>
      <abilityName>字词错误</abilityName>
      <candidateList>
        <item>支出</item>
      </candidateList>
      <explain/>
      <paraID>6BEFAA55</paraID>
      <start>14</start>
      <end>16</end>
      <status>modified</status>
      <modifiedWord>支出</modifiedWord>
      <trackRevisions>false</trackRevisions>
    </reviewItem>
    <reviewItem>
      <errorID>1a0bc673-1836-48ec-9e48-1a4f861769fe</errorID>
      <errorWord>:</errorWord>
      <group>L1_Format</group>
      <groupName>格式问题</groupName>
      <ability>L2_HalfPunc_CN</ability>
      <abilityName>全半角问题</abilityName>
      <candidateList>
        <item>：</item>
      </candidateList>
      <explain>文本全半角错误。</explain>
      <paraID>33FC9018</paraID>
      <start>35</start>
      <end>36</end>
      <status>modified</status>
      <modifiedWord>：</modifiedWord>
      <trackRevisions>false</trackRevisions>
    </reviewItem>
    <reviewItem>
      <errorID>3540c8c8-4d86-42d8-8ea5-e507bc44219a</errorID>
      <errorWord>:</errorWord>
      <group>L1_Format</group>
      <groupName>格式问题</groupName>
      <ability>L2_HalfPunc_CN</ability>
      <abilityName>全半角问题</abilityName>
      <candidateList>
        <item>：</item>
      </candidateList>
      <explain>文本全半角错误。</explain>
      <paraID>2A240B94</paraID>
      <start>58</start>
      <end>59</end>
      <status>modified</status>
      <modifiedWord>：</modifiedWord>
      <trackRevisions>false</trackRevisions>
    </reviewItem>
    <reviewItem>
      <errorID>ebd33875-41d0-42aa-b0eb-55172fc9f934</errorID>
      <errorWord>:</errorWord>
      <group>L1_Format</group>
      <groupName>格式问题</groupName>
      <ability>L2_HalfPunc_CN</ability>
      <abilityName>全半角问题</abilityName>
      <candidateList>
        <item>：</item>
      </candidateList>
      <explain>文本全半角错误。</explain>
      <paraID>43DCF48C</paraID>
      <start>56</start>
      <end>57</end>
      <status>modified</status>
      <modifiedWord>：</modifiedWord>
      <trackRevisions>false</trackRevisions>
    </reviewItem>
    <reviewItem>
      <errorID>3e0e82cd-6f00-4f8d-9862-a4a2416a5513</errorID>
      <errorWord>:</errorWord>
      <group>L1_Format</group>
      <groupName>格式问题</groupName>
      <ability>L2_HalfPunc_CN</ability>
      <abilityName>全半角问题</abilityName>
      <candidateList>
        <item>：</item>
      </candidateList>
      <explain>文本全半角错误。</explain>
      <paraID> E9E7927</paraID>
      <start>43</start>
      <end>44</end>
      <status>modified</status>
      <modifiedWord>：</modifiedWord>
      <trackRevisions>false</trackRevisions>
    </reviewItem>
    <reviewItem>
      <errorID>0c35a633-2347-450b-bc6f-3b0d9358aed1</errorID>
      <errorWord>:</errorWord>
      <group>L1_Format</group>
      <groupName>格式问题</groupName>
      <ability>L2_HalfPunc_CN</ability>
      <abilityName>全半角问题</abilityName>
      <candidateList>
        <item>：</item>
      </candidateList>
      <explain>文本全半角错误。</explain>
      <paraID>709A7BEC</paraID>
      <start>49</start>
      <end>50</end>
      <status>modified</status>
      <modifiedWord>：</modifiedWord>
      <trackRevisions>false</trackRevisions>
    </reviewItem>
    <reviewItem>
      <errorID>b48f1db9-03aa-44c2-9701-72eceaca53c0</errorID>
      <errorWord>:</errorWord>
      <group>L1_Format</group>
      <groupName>格式问题</groupName>
      <ability>L2_HalfPunc_CN</ability>
      <abilityName>全半角问题</abilityName>
      <candidateList>
        <item>：</item>
      </candidateList>
      <explain>文本全半角错误。</explain>
      <paraID>7190F3C2</paraID>
      <start>47</start>
      <end>48</end>
      <status>modified</status>
      <modifiedWord>：</modifiedWord>
      <trackRevisions>false</trackRevisions>
    </reviewItem>
    <reviewItem>
      <errorID>863cb5cb-d03b-4e72-b8c3-e70ead470130</errorID>
      <errorWord>:</errorWord>
      <group>L1_Format</group>
      <groupName>格式问题</groupName>
      <ability>L2_HalfPunc_CN</ability>
      <abilityName>全半角问题</abilityName>
      <candidateList>
        <item>：</item>
      </candidateList>
      <explain>文本全半角错误。</explain>
      <paraID>60E45063</paraID>
      <start>40</start>
      <end>41</end>
      <status>modified</status>
      <modifiedWord>：</modifiedWord>
      <trackRevisions>false</trackRevisions>
    </reviewItem>
    <reviewItem>
      <errorID>fc2e5201-294d-486d-ae18-e90961c81a81</errorID>
      <errorWord>&lt;</errorWord>
      <group>L1_Format</group>
      <groupName>格式问题</groupName>
      <ability>L2_HalfPunc_CN</ability>
      <abilityName>全半角问题</abilityName>
      <candidateList>
        <item>〈</item>
      </candidateList>
      <explain>文本全半角错误。</explain>
      <paraID>31ECC9FF</paraID>
      <start>50</start>
      <end>51</end>
      <status>modified</status>
      <modifiedWord>〈</modifiedWord>
      <trackRevisions>false</trackRevisions>
    </reviewItem>
    <reviewItem>
      <errorID>c5e19b4b-25a4-4452-97e9-fd29f24db0fe</errorID>
      <errorWord>&gt;</errorWord>
      <group>L1_Format</group>
      <groupName>格式问题</groupName>
      <ability>L2_HalfPunc_CN</ability>
      <abilityName>全半角问题</abilityName>
      <candidateList>
        <item>〉</item>
      </candidateList>
      <explain>文本全半角错误。</explain>
      <paraID>31ECC9FF</paraID>
      <start>53</start>
      <end>54</end>
      <status>modified</status>
      <modifiedWord>〉</modifiedWord>
      <trackRevisions>false</trackRevisions>
    </reviewItem>
    <reviewItem>
      <errorID>94adf367-a7ec-45b4-82a5-df1e9d9d954b</errorID>
      <errorWord>&lt;</errorWord>
      <group>L1_Format</group>
      <groupName>格式问题</groupName>
      <ability>L2_HalfPunc_CN</ability>
      <abilityName>全半角问题</abilityName>
      <candidateList>
        <item>〈</item>
      </candidateList>
      <explain>文本全半角错误。</explain>
      <paraID>31ECC9FF</paraID>
      <start>60</start>
      <end>61</end>
      <status>modified</status>
      <modifiedWord>〈</modifiedWord>
      <trackRevisions>false</trackRevisions>
    </reviewItem>
    <reviewItem>
      <errorID>f0a64733-4ecb-42bf-9bc4-18ce7b0bf08a</errorID>
      <errorWord>&gt;</errorWord>
      <group>L1_Format</group>
      <groupName>格式问题</groupName>
      <ability>L2_HalfPunc_CN</ability>
      <abilityName>全半角问题</abilityName>
      <candidateList>
        <item>〉</item>
      </candidateList>
      <explain>文本全半角错误。</explain>
      <paraID>31ECC9FF</paraID>
      <start>63</start>
      <end>64</end>
      <status>modified</status>
      <modifiedWord>〉</modifiedWord>
      <trackRevisions>false</trackRevisions>
    </reviewItem>
    <reviewItem>
      <errorID>43cd55b2-5ed3-49f9-935e-f5a806b5f0b3</errorID>
      <errorWord>,</errorWord>
      <group>L1_Format</group>
      <groupName>格式问题</groupName>
      <ability>L2_HalfPunc_CN</ability>
      <abilityName>全半角问题</abilityName>
      <candidateList>
        <item>，</item>
      </candidateList>
      <explain>文本全半角错误。</explain>
      <paraID> 1E582B6</paraID>
      <start>19</start>
      <end>20</end>
      <status>modified</status>
      <modifiedWord>，</modifiedWord>
      <trackRevisions>false</trackRevisions>
    </reviewItem>
    <reviewItem>
      <errorID>3974485b-3d40-4493-8210-e1f34444be4a</errorID>
      <errorWord>上年度上年度</errorWord>
      <group>L1_Word</group>
      <groupName>字词问题</groupName>
      <ability>L2_Typo</ability>
      <abilityName>字词错误</abilityName>
      <candidateList>
        <item>上年度</item>
      </candidateList>
      <explain/>
      <paraID>3F8E1390</paraID>
      <start>30</start>
      <end>33</end>
      <status>modified</status>
      <modifiedWord>上年度</modifiedWord>
      <trackRevisions>false</trackRevisions>
    </reviewItem>
    <reviewItem>
      <errorID>bb4d820e-4d2d-477c-9a7e-6bdfb8b4a7ef</errorID>
      <errorWord>。。</errorWord>
      <group>L1_Punc</group>
      <groupName>标点问题</groupName>
      <ability>L2_Punc_CN</ability>
      <abilityName>标点符号问题</abilityName>
      <candidateList>
        <item>。</item>
      </candidateList>
      <explain/>
      <paraID>4F870FD0</paraID>
      <start>67</start>
      <end>68</end>
      <status>modified</status>
      <modifiedWord>。</modifiedWord>
      <trackRevisions>false</trackRevisions>
    </reviewItem>
    <reviewItem>
      <errorID>d01a4faf-a7c7-445b-ba18-28c2433fb251</errorID>
      <errorWord>于</errorWord>
      <group>L1_Word</group>
      <groupName>字词问题</groupName>
      <ability>L2_Typo</ability>
      <abilityName>字词错误</abilityName>
      <candidateList>
        <item>于日</item>
      </candidateList>
      <explain/>
      <paraID> 8A2D408</paraID>
      <start>125</start>
      <end>127</end>
      <status>modified</status>
      <modifiedWord>于日</modifiedWord>
      <trackRevisions>false</trackRevisions>
    </reviewItem>
    <reviewItem>
      <errorID>cd266386-947c-44e8-8caa-4c52215507d1</errorID>
      <errorWord>件</errorWord>
      <group>L1_Word</group>
      <groupName>字词问题</groupName>
      <ability>L2_Typo</ability>
      <abilityName>字词错误</abilityName>
      <candidateList>
        <item>件和</item>
      </candidateList>
      <explain/>
      <paraID> 8A2D408</paraID>
      <start>140</start>
      <end>142</end>
      <status>modified</status>
      <modifiedWord>件和</modifiedWord>
      <trackRevisions>false</trackRevisions>
    </reviewItem>
    <reviewItem>
      <errorID>04e3293b-0fe2-4a2c-8bb7-94d53f46413d</errorID>
      <errorWord>，</errorWord>
      <group>L1_Word</group>
      <groupName>字词问题</groupName>
      <ability>L2_Typo</ability>
      <abilityName>字词错误</abilityName>
      <candidateList>
        <item>，在</item>
      </candidateList>
      <explain/>
      <paraID>64136EA4</paraID>
      <start>75</start>
      <end>77</end>
      <status>modified</status>
      <modifiedWord>，在</modifiedWord>
      <trackRevisions>false</trackRevisions>
    </reviewItem>
    <reviewItem>
      <errorID>14f353b6-510f-406a-8f19-5a022686fb3c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70B847CE</paraID>
      <start>19</start>
      <end>20</end>
      <status>modified</status>
      <modifiedWord>—</modifiedWord>
      <trackRevisions>false</trackRevisions>
    </reviewItem>
    <reviewItem>
      <errorID>d7679f95-6941-4d82-a8f6-6043d5df589d</errorID>
      <errorWord>（</errorWord>
      <group>L1_Punc</group>
      <groupName>标点问题</groupName>
      <ability>L2_Punc_CN</ability>
      <abilityName>标点符号问题</abilityName>
      <candidateList/>
      <explain>同一形式括号套用。</explain>
      <paraID>49A25CEE</paraID>
      <start>32</start>
      <end>33</end>
      <status>unmodified</status>
      <modifiedWord/>
      <trackRevisions>false</trackRevisions>
    </reviewItem>
    <reviewItem>
      <errorID>dac23ba7-2dfb-45f0-9877-beaa757d4f2c</errorID>
      <errorWord>）</errorWord>
      <group>L1_Punc</group>
      <groupName>标点问题</groupName>
      <ability>L2_Punc_CN</ability>
      <abilityName>标点符号问题</abilityName>
      <candidateList/>
      <explain>同一形式括号套用。</explain>
      <paraID>49A25CEE</paraID>
      <start>39</start>
      <end>40</end>
      <status>unmodified</status>
      <modifiedWord/>
      <trackRevisions>false</trackRevisions>
    </reviewItem>
    <reviewItem>
      <errorID>781f5e3b-097a-4233-8580-78928ada64b7</errorID>
      <errorWord>（</errorWord>
      <group>L1_Punc</group>
      <groupName>标点问题</groupName>
      <ability>L2_Punc_CN</ability>
      <abilityName>标点符号问题</abilityName>
      <candidateList/>
      <explain>同一形式括号套用。</explain>
      <paraID>49A25CEE</paraID>
      <start>125</start>
      <end>126</end>
      <status>unmodified</status>
      <modifiedWord/>
      <trackRevisions>false</trackRevisions>
    </reviewItem>
    <reviewItem>
      <errorID>05cf277d-bddf-49c0-a70a-ebb24774d000</errorID>
      <errorWord>）</errorWord>
      <group>L1_Punc</group>
      <groupName>标点问题</groupName>
      <ability>L2_Punc_CN</ability>
      <abilityName>标点符号问题</abilityName>
      <candidateList/>
      <explain>同一形式括号套用。</explain>
      <paraID>49A25CEE</paraID>
      <start>132</start>
      <end>133</end>
      <status>unmodified</status>
      <modifiedWord/>
      <trackRevisions>false</trackRevisions>
    </reviewItem>
    <reviewItem>
      <errorID>4593de1d-198e-46fc-9ae7-2bd7a107b749</errorID>
      <errorWord>（</errorWord>
      <group>L1_Punc</group>
      <groupName>标点问题</groupName>
      <ability>L2_Punc_CN</ability>
      <abilityName>标点符号问题</abilityName>
      <candidateList/>
      <explain>同一形式括号套用。</explain>
      <paraID> C7510D6</paraID>
      <start>13</start>
      <end>14</end>
      <status>unmodified</status>
      <modifiedWord/>
      <trackRevisions>false</trackRevisions>
    </reviewItem>
    <reviewItem>
      <errorID>02cc7f6b-d8e6-4645-88e4-2fe6f649a6ab</errorID>
      <errorWord>）</errorWord>
      <group>L1_Punc</group>
      <groupName>标点问题</groupName>
      <ability>L2_Punc_CN</ability>
      <abilityName>标点符号问题</abilityName>
      <candidateList/>
      <explain>同一形式括号套用。</explain>
      <paraID> C7510D6</paraID>
      <start>20</start>
      <end>21</end>
      <status>unmodified</status>
      <modifiedWord/>
      <trackRevisions>false</trackRevisions>
    </reviewItem>
    <reviewItem>
      <errorID>04c35c1e-0afe-4871-9023-414eb7b679eb</errorID>
      <errorWord>用来</errorWord>
      <group>L1_Grammar</group>
      <groupName>语法问题</groupName>
      <ability>L2_Grammar</ability>
      <abilityName>语法错误</abilityName>
      <candidateList>
        <item>用于</item>
      </candidateList>
      <explain>“用来～开展”搭配不当，建议修改为“用于～开展”。</explain>
      <paraID>59181316</paraID>
      <start>20</start>
      <end>22</end>
      <status>modified</status>
      <modifiedWord>用于</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de249c-ebf0-4da1-b7fc-3de9625d720b}">
  <ds:schemaRefs/>
</ds:datastoreItem>
</file>

<file path=docProps/app.xml><?xml version="1.0" encoding="utf-8"?>
<Properties xmlns="http://schemas.openxmlformats.org/officeDocument/2006/extended-properties" xmlns:vt="http://schemas.openxmlformats.org/officeDocument/2006/docPropsVTypes">
  <Template>Normal</Template>
  <Pages>26</Pages>
  <Words>7920</Words>
  <Characters>8584</Characters>
  <Lines>260</Lines>
  <Paragraphs>501</Paragraphs>
  <TotalTime>5</TotalTime>
  <ScaleCrop>false</ScaleCrop>
  <LinksUpToDate>false</LinksUpToDate>
  <CharactersWithSpaces>8690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2025-08-28T02:03:00Z</dcterms:created>
  <dc:creator>ASUS</dc:creator>
  <cp:lastModifiedBy>燕子</cp:lastModifiedBy>
  <dcterms:modified xsi:type="dcterms:W3CDTF">2026-09-09T07:39:38Z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7A55045EE49242D381F71536DAE5F613_13</vt:lpwstr>
  </property>
  <property fmtid="{D5CDD505-2E9C-101B-9397-08002B2CF9AE}" pid="4" name="KSOTemplateDocerSaveRecord">
    <vt:lpwstr>eyJoZGlkIjoiZDRkZWIxMzk1M2Q4MjkwNDI5NWViOTI4Y2IwYWI4MGEiLCJ1c2VySWQiOiIzODkxMTM4NTAifQ==</vt:lpwstr>
  </property>
</Properties>
</file>