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eastAsia="方正小标宋简体" w:cs="Times New Roman"/>
          <w:color w:val="auto"/>
          <w:kern w:val="2"/>
          <w:sz w:val="44"/>
          <w:szCs w:val="44"/>
          <w:highlight w:val="none"/>
          <w:lang w:val="en-US" w:eastAsia="zh-CN" w:bidi="ar-SA"/>
        </w:rPr>
      </w:pPr>
      <w:bookmarkStart w:id="0" w:name="_Toc15306267"/>
      <w:bookmarkStart w:id="1" w:name="_Toc15377426"/>
      <w:bookmarkStart w:id="2" w:name="_Toc15396476"/>
      <w:bookmarkStart w:id="3" w:name="_Toc15378442"/>
      <w:bookmarkStart w:id="4" w:name="_Toc15377194"/>
      <w:bookmarkStart w:id="5" w:name="_Toc1539659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eastAsia="方正小标宋简体" w:cs="Times New Roman"/>
          <w:color w:val="auto"/>
          <w:kern w:val="2"/>
          <w:sz w:val="44"/>
          <w:szCs w:val="44"/>
          <w:highlight w:val="none"/>
          <w:lang w:val="en-US" w:eastAsia="zh-CN" w:bidi="ar-SA"/>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eastAsia="方正小标宋简体" w:cs="Times New Roman"/>
          <w:color w:val="auto"/>
          <w:kern w:val="2"/>
          <w:sz w:val="44"/>
          <w:szCs w:val="44"/>
          <w:highlight w:val="none"/>
          <w:lang w:val="en-US" w:eastAsia="zh-CN" w:bidi="ar-SA"/>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eastAsia="方正小标宋简体" w:cs="Times New Roman"/>
          <w:color w:val="auto"/>
          <w:kern w:val="2"/>
          <w:sz w:val="44"/>
          <w:szCs w:val="44"/>
          <w:highlight w:val="none"/>
          <w:lang w:val="en-US" w:eastAsia="zh-CN" w:bidi="ar-SA"/>
        </w:rPr>
      </w:pPr>
    </w:p>
    <w:p>
      <w:pPr>
        <w:pStyle w:val="15"/>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End w:id="0"/>
      <w:bookmarkEnd w:id="1"/>
      <w:bookmarkEnd w:id="2"/>
      <w:bookmarkEnd w:id="3"/>
      <w:bookmarkEnd w:id="4"/>
      <w:bookmarkEnd w:id="5"/>
    </w:p>
    <w:p>
      <w:pPr>
        <w:pStyle w:val="15"/>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eastAsia="方正小标宋简体" w:cs="Times New Roman"/>
          <w:color w:val="auto"/>
          <w:kern w:val="2"/>
          <w:sz w:val="44"/>
          <w:szCs w:val="44"/>
          <w:highlight w:val="none"/>
          <w:lang w:val="en-US" w:eastAsia="zh-CN" w:bidi="ar-SA"/>
        </w:rPr>
        <w:t>九寨沟环境监测站</w:t>
      </w:r>
      <w:r>
        <w:rPr>
          <w:rFonts w:hint="eastAsia" w:eastAsia="方正小标宋简体" w:cs="Times New Roman"/>
          <w:color w:val="auto"/>
          <w:kern w:val="2"/>
          <w:sz w:val="44"/>
          <w:szCs w:val="44"/>
          <w:highlight w:val="none"/>
          <w:lang w:val="en-US" w:eastAsia="zh-CN" w:bidi="ar-SA"/>
        </w:rPr>
        <w:t>决算报告</w:t>
      </w:r>
    </w:p>
    <w:p>
      <w:pPr>
        <w:widowControl/>
        <w:jc w:val="center"/>
        <w:rPr>
          <w:rFonts w:hint="eastAsia" w:ascii="Times New Roman" w:hAnsi="Times New Roman" w:eastAsia="黑体"/>
          <w:color w:val="auto"/>
          <w:sz w:val="48"/>
          <w:szCs w:val="48"/>
          <w:highlight w:val="none"/>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tabs>
          <w:tab w:val="left" w:pos="3600"/>
        </w:tabs>
      </w:pPr>
      <w:r>
        <w:tab/>
      </w:r>
    </w:p>
    <w:p>
      <w:pPr>
        <w:pStyle w:val="2"/>
      </w:pPr>
    </w:p>
    <w:p>
      <w:pPr>
        <w:pStyle w:val="2"/>
      </w:pPr>
    </w:p>
    <w:p>
      <w:pPr>
        <w:pStyle w:val="2"/>
      </w:pPr>
    </w:p>
    <w:p>
      <w:pPr>
        <w:pStyle w:val="2"/>
      </w:pPr>
    </w:p>
    <w:p>
      <w:pPr>
        <w:pStyle w:val="2"/>
        <w:ind w:left="0" w:leftChars="0" w:firstLine="0" w:firstLineChars="0"/>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pPr>
        <w:pStyle w:val="14"/>
        <w:rPr>
          <w:rFonts w:hint="eastAsia"/>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18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ascii="仿宋" w:hAnsi="仿宋" w:eastAsia="仿宋"/>
          <w:color w:val="000000"/>
          <w:sz w:val="32"/>
          <w:szCs w:val="32"/>
        </w:rPr>
        <w:t>开展环境质量监测、污染源监督性监测和突发环境污染事件应急监测；承担环境监测网建设和运行，收集、管理环境监测数据，开展环境状况调查和评价，编制环境监测报告；负责环境监测人员的技术培训；开展环境监测领域科学研究，承担环境监测技术规范、方法研究以及国际合作和交流；承担环境保护部门委托的其他环境监测技术支持工作。</w:t>
      </w:r>
    </w:p>
    <w:p>
      <w:pPr>
        <w:numPr>
          <w:numId w:val="0"/>
        </w:numPr>
        <w:rPr>
          <w:rFonts w:hint="eastAsia"/>
          <w:lang w:eastAsia="zh-CN"/>
        </w:rPr>
      </w:pPr>
    </w:p>
    <w:p>
      <w:pPr>
        <w:pStyle w:val="4"/>
        <w:rPr>
          <w:rStyle w:val="30"/>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000000"/>
          <w:sz w:val="32"/>
          <w:szCs w:val="32"/>
        </w:rPr>
      </w:pPr>
      <w:r>
        <w:rPr>
          <w:rFonts w:ascii="仿宋" w:hAnsi="仿宋" w:eastAsia="仿宋"/>
          <w:color w:val="000000"/>
          <w:sz w:val="32"/>
          <w:szCs w:val="32"/>
        </w:rPr>
        <w:t>阿坝州九寨沟县环境监测站无下设机构，事业编制数</w:t>
      </w:r>
      <w:r>
        <w:rPr>
          <w:rFonts w:hint="eastAsia" w:ascii="仿宋" w:hAnsi="仿宋" w:eastAsia="仿宋"/>
          <w:color w:val="000000"/>
          <w:sz w:val="32"/>
          <w:szCs w:val="32"/>
          <w:lang w:val="en-US" w:eastAsia="zh-CN"/>
        </w:rPr>
        <w:t>12</w:t>
      </w:r>
      <w:r>
        <w:rPr>
          <w:rFonts w:ascii="仿宋" w:hAnsi="仿宋" w:eastAsia="仿宋"/>
          <w:color w:val="000000"/>
          <w:sz w:val="32"/>
          <w:szCs w:val="32"/>
        </w:rPr>
        <w:t>人，目前专业技术人员</w:t>
      </w:r>
      <w:r>
        <w:rPr>
          <w:rFonts w:hint="eastAsia" w:ascii="仿宋" w:hAnsi="仿宋" w:eastAsia="仿宋"/>
          <w:color w:val="000000"/>
          <w:sz w:val="32"/>
          <w:szCs w:val="32"/>
          <w:lang w:val="en-US" w:eastAsia="zh-CN"/>
        </w:rPr>
        <w:t>12</w:t>
      </w:r>
      <w:r>
        <w:rPr>
          <w:rFonts w:ascii="仿宋" w:hAnsi="仿宋" w:eastAsia="仿宋"/>
          <w:color w:val="000000"/>
          <w:sz w:val="32"/>
          <w:szCs w:val="32"/>
        </w:rPr>
        <w:t>人，无空编。</w:t>
      </w:r>
    </w:p>
    <w:p>
      <w:pPr>
        <w:pStyle w:val="2"/>
        <w:rPr>
          <w:rFonts w:ascii="仿宋" w:hAnsi="仿宋" w:eastAsia="仿宋"/>
          <w:color w:val="000000"/>
          <w:sz w:val="32"/>
          <w:szCs w:val="32"/>
        </w:rPr>
      </w:pPr>
    </w:p>
    <w:p>
      <w:pPr>
        <w:pStyle w:val="2"/>
        <w:rPr>
          <w:rFonts w:ascii="仿宋" w:hAnsi="仿宋" w:eastAsia="仿宋"/>
          <w:color w:val="000000"/>
          <w:sz w:val="32"/>
          <w:szCs w:val="32"/>
        </w:rPr>
      </w:pPr>
    </w:p>
    <w:p>
      <w:pPr>
        <w:pStyle w:val="2"/>
        <w:rPr>
          <w:rFonts w:ascii="仿宋" w:hAnsi="仿宋" w:eastAsia="仿宋"/>
          <w:color w:val="000000"/>
          <w:sz w:val="32"/>
          <w:szCs w:val="32"/>
        </w:rPr>
      </w:pPr>
    </w:p>
    <w:p>
      <w:pPr>
        <w:pStyle w:val="2"/>
        <w:rPr>
          <w:rFonts w:ascii="仿宋" w:hAnsi="仿宋" w:eastAsia="仿宋"/>
          <w:color w:val="000000"/>
          <w:sz w:val="32"/>
          <w:szCs w:val="32"/>
        </w:rPr>
      </w:pPr>
    </w:p>
    <w:p>
      <w:pPr>
        <w:pStyle w:val="2"/>
        <w:rPr>
          <w:rFonts w:ascii="仿宋" w:hAnsi="仿宋" w:eastAsia="仿宋"/>
          <w:color w:val="000000"/>
          <w:sz w:val="32"/>
          <w:szCs w:val="32"/>
        </w:rPr>
      </w:pPr>
    </w:p>
    <w:p>
      <w:pPr>
        <w:pStyle w:val="2"/>
        <w:rPr>
          <w:rFonts w:ascii="仿宋" w:hAnsi="仿宋" w:eastAsia="仿宋"/>
          <w:color w:val="000000"/>
          <w:sz w:val="32"/>
          <w:szCs w:val="32"/>
        </w:rPr>
      </w:pPr>
    </w:p>
    <w:p>
      <w:pPr>
        <w:pStyle w:val="2"/>
        <w:rPr>
          <w:rFonts w:ascii="仿宋" w:hAnsi="仿宋" w:eastAsia="仿宋"/>
          <w:color w:val="000000"/>
          <w:sz w:val="32"/>
          <w:szCs w:val="32"/>
        </w:rPr>
      </w:pPr>
    </w:p>
    <w:p>
      <w:pPr>
        <w:pStyle w:val="2"/>
        <w:rPr>
          <w:rFonts w:ascii="仿宋" w:hAnsi="仿宋" w:eastAsia="仿宋"/>
          <w:color w:val="000000"/>
          <w:sz w:val="32"/>
          <w:szCs w:val="32"/>
        </w:rPr>
      </w:pPr>
    </w:p>
    <w:p>
      <w:pPr>
        <w:pStyle w:val="3"/>
        <w:spacing w:before="0" w:after="0" w:line="240" w:lineRule="auto"/>
        <w:jc w:val="both"/>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243.29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16.15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7.11</w:t>
      </w:r>
      <w:r>
        <w:rPr>
          <w:rFonts w:hint="eastAsia" w:ascii="Times New Roman" w:hAnsi="Times New Roman" w:eastAsia="仿宋_GB2312" w:cs="仿宋_GB2312"/>
          <w:color w:val="auto"/>
          <w:sz w:val="32"/>
          <w:szCs w:val="32"/>
          <w:highlight w:val="none"/>
        </w:rPr>
        <w:t>%。主要变动原因</w:t>
      </w:r>
      <w:r>
        <w:rPr>
          <w:rFonts w:hint="eastAsia" w:ascii="Times New Roman" w:hAnsi="Times New Roman" w:eastAsia="仿宋_GB2312" w:cs="仿宋_GB2312"/>
          <w:color w:val="auto"/>
          <w:sz w:val="32"/>
          <w:szCs w:val="32"/>
          <w:highlight w:val="none"/>
        </w:rPr>
        <w:t>是</w:t>
      </w:r>
      <w:r>
        <w:rPr>
          <w:rFonts w:hint="eastAsia" w:ascii="Times New Roman" w:hAnsi="Times New Roman" w:eastAsia="仿宋_GB2312" w:cs="仿宋_GB2312"/>
          <w:color w:val="auto"/>
          <w:sz w:val="32"/>
          <w:szCs w:val="32"/>
          <w:highlight w:val="none"/>
          <w:lang w:eastAsia="zh-CN"/>
        </w:rPr>
        <w:t>职工</w:t>
      </w:r>
      <w:r>
        <w:rPr>
          <w:rFonts w:hint="eastAsia" w:ascii="仿宋" w:hAnsi="仿宋" w:eastAsia="仿宋"/>
          <w:color w:val="000000"/>
          <w:sz w:val="32"/>
          <w:szCs w:val="32"/>
          <w:lang w:val="en-US" w:eastAsia="zh-CN"/>
        </w:rPr>
        <w:t>岗位变动、工资基数调整等增加，保险略有增长。</w:t>
      </w:r>
    </w:p>
    <w:p>
      <w:pPr>
        <w:keepNext w:val="0"/>
        <w:keepLines w:val="0"/>
        <w:pageBreakBefore w:val="0"/>
        <w:widowControl w:val="0"/>
        <w:kinsoku/>
        <w:wordWrap/>
        <w:overflowPunct/>
        <w:topLinePunct w:val="0"/>
        <w:autoSpaceDE/>
        <w:autoSpaceDN/>
        <w:bidi w:val="0"/>
        <w:adjustRightInd/>
        <w:snapToGrid/>
        <w:ind w:firstLine="420" w:firstLineChars="200"/>
        <w:textAlignment w:val="auto"/>
      </w:pPr>
      <w:r>
        <w:drawing>
          <wp:inline distT="0" distB="0" distL="114300" distR="114300">
            <wp:extent cx="4572000" cy="2743200"/>
            <wp:effectExtent l="4445" t="4445" r="14605" b="14605"/>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
        <w:rPr>
          <w:rFonts w:hint="eastAsia"/>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243.29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243.29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243.29</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243.29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0"/>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243.29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16.15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7.11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ascii="Times New Roman" w:hAnsi="Times New Roman" w:eastAsia="仿宋_GB2312" w:cs="仿宋_GB2312"/>
          <w:color w:val="auto"/>
          <w:sz w:val="32"/>
          <w:szCs w:val="32"/>
          <w:highlight w:val="none"/>
          <w:lang w:eastAsia="zh-CN"/>
        </w:rPr>
        <w:t>职工</w:t>
      </w:r>
      <w:r>
        <w:rPr>
          <w:rFonts w:hint="eastAsia" w:ascii="仿宋" w:hAnsi="仿宋" w:eastAsia="仿宋"/>
          <w:color w:val="000000"/>
          <w:sz w:val="32"/>
          <w:szCs w:val="32"/>
          <w:lang w:val="en-US" w:eastAsia="zh-CN"/>
        </w:rPr>
        <w:t>岗位变动、工资基数调整等增加，保险略有增长。</w:t>
      </w:r>
    </w:p>
    <w:p>
      <w:pPr>
        <w:spacing w:line="600" w:lineRule="exact"/>
        <w:ind w:firstLine="640" w:firstLineChars="200"/>
        <w:outlineLvl w:val="1"/>
        <w:rPr>
          <w:rStyle w:val="30"/>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firstLineChars="200"/>
        <w:outlineLvl w:val="2"/>
        <w:rPr>
          <w:rFonts w:hint="eastAsia" w:ascii="仿宋" w:hAnsi="仿宋" w:eastAsia="仿宋"/>
          <w:color w:val="000000"/>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243.29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16.15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7.11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ascii="Times New Roman" w:hAnsi="Times New Roman" w:eastAsia="仿宋_GB2312" w:cs="仿宋_GB2312"/>
          <w:color w:val="auto"/>
          <w:sz w:val="32"/>
          <w:szCs w:val="32"/>
          <w:highlight w:val="none"/>
          <w:lang w:eastAsia="zh-CN"/>
        </w:rPr>
        <w:t>职工</w:t>
      </w:r>
      <w:r>
        <w:rPr>
          <w:rFonts w:hint="eastAsia" w:ascii="仿宋" w:hAnsi="仿宋" w:eastAsia="仿宋"/>
          <w:color w:val="000000"/>
          <w:sz w:val="32"/>
          <w:szCs w:val="32"/>
          <w:lang w:val="en-US" w:eastAsia="zh-CN"/>
        </w:rPr>
        <w:t>岗位变动、工资基数调整等增加，保险略有增长。</w:t>
      </w:r>
      <w:bookmarkStart w:id="23" w:name="_Toc1537721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243.29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39.53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16.25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16.81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节能环保支出162.93万元，占比66.97%；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24.01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9.87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rPr>
          <w:rFonts w:hint="eastAsia"/>
          <w:lang w:val="en-US" w:eastAsia="zh-CN"/>
        </w:rPr>
      </w:pPr>
      <w:r>
        <w:drawing>
          <wp:anchor distT="0" distB="0" distL="114300" distR="114300" simplePos="0" relativeHeight="251658240" behindDoc="0" locked="0" layoutInCell="1" allowOverlap="1">
            <wp:simplePos x="0" y="0"/>
            <wp:positionH relativeFrom="column">
              <wp:posOffset>410845</wp:posOffset>
            </wp:positionH>
            <wp:positionV relativeFrom="paragraph">
              <wp:posOffset>-2224405</wp:posOffset>
            </wp:positionV>
            <wp:extent cx="4848225" cy="2505710"/>
            <wp:effectExtent l="4445" t="4445" r="5080" b="23495"/>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bookmarkStart w:id="61" w:name="_GoBack"/>
      <w:bookmarkEnd w:id="6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213"/>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243.29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26.52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机关事业单位职业年金缴费支出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卫生健康</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行政事业单位医疗（21011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其他行政事业单位医疗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2101199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卫生健康</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行政事业单位医疗（21011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要原因是……</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节能环保支出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环境监测与监察</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其他环境监测与监察支出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2110299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162.93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2210201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tabs>
          <w:tab w:val="right" w:pos="8306"/>
        </w:tabs>
        <w:spacing w:line="600" w:lineRule="exact"/>
        <w:ind w:firstLine="640"/>
        <w:outlineLvl w:val="1"/>
        <w:rPr>
          <w:rStyle w:val="30"/>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243.29</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215.29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w:t>
      </w:r>
      <w:r>
        <w:rPr>
          <w:rFonts w:hint="eastAsia" w:ascii="Times New Roman" w:hAnsi="Times New Roman" w:eastAsia="仿宋_GB2312" w:cs="仿宋_GB2312"/>
          <w:color w:val="auto"/>
          <w:kern w:val="2"/>
          <w:sz w:val="32"/>
          <w:szCs w:val="32"/>
          <w:highlight w:val="none"/>
          <w:lang w:val="en-US" w:eastAsia="zh-CN" w:bidi="ar-SA"/>
        </w:rPr>
        <w:t>其他社会保障缴费、奖励金、住房公积金、其他对个人和家庭的补助支出等。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27.99</w:t>
      </w:r>
      <w:r>
        <w:rPr>
          <w:rFonts w:hint="eastAsia" w:ascii="Times New Roman" w:hAnsi="Times New Roman" w:eastAsia="仿宋_GB2312" w:cs="仿宋_GB2312"/>
          <w:color w:val="auto"/>
          <w:kern w:val="2"/>
          <w:sz w:val="32"/>
          <w:szCs w:val="32"/>
          <w:highlight w:val="none"/>
          <w:lang w:val="en-US" w:eastAsia="zh-CN" w:bidi="ar-SA"/>
        </w:rPr>
        <w:t>万元，主要包括：办公费、水费、邮电费、差旅费、培训费、福利费、其他交通费、其他商品和服务支出等。</w:t>
      </w:r>
    </w:p>
    <w:p>
      <w:pPr>
        <w:spacing w:line="600" w:lineRule="exact"/>
        <w:ind w:firstLine="640"/>
        <w:outlineLvl w:val="1"/>
        <w:rPr>
          <w:rStyle w:val="30"/>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财政拨款“三公”经费支出</w:t>
      </w:r>
      <w:r>
        <w:rPr>
          <w:rFonts w:hint="eastAsia"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财政拨款“三公”经费支出</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8"/>
      <w:bookmarkStart w:id="35" w:name="_Toc15396610"/>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96611"/>
      <w:bookmarkStart w:id="3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77221"/>
      <w:bookmarkStart w:id="3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政府采购支出。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因我单位无车编，车辆与生态环境局共用，车辆使用情况在生态环境决算报告中说明。</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ascii="Times New Roman" w:hAnsi="Times New Roman"/>
          <w:b/>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机关事业单位实施养老保险制度由单位缴纳的基本养老保险费支出。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机关事业单位职业年金缴费支出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2080506</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机关事业单位实施养老保险制度由单位实际缴纳的职业年金支出。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.节能环保（</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环境监测与监察</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其他环境监测与监察支出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2110299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：反映除上述项目以外的其他用于环境监测与监察方面的支出。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2210201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7.基本支出：指为保障机构正常运转、完成日常工作任务而发生的人员支出和公用支出。</w:t>
      </w:r>
    </w:p>
    <w:p>
      <w:pPr>
        <w:spacing w:line="600" w:lineRule="exact"/>
        <w:jc w:val="center"/>
        <w:rPr>
          <w:rStyle w:val="29"/>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color w:val="auto"/>
          <w:kern w:val="2"/>
          <w:sz w:val="32"/>
          <w:szCs w:val="32"/>
          <w:lang w:val="en-US" w:eastAsia="zh-CN" w:bidi="ar-SA"/>
        </w:rPr>
        <w:t>承担生态环境监测网的建设和管理，统一规划生态环境质量监测站点设置，组织实施生态环境质量监测、污染源监督性监测、温室气体减排监测、应急监测和辐射环境监测，调查评价生态环境质量状况并进行预警预测，制定并实施生态环境质量公告制度。组织开展生态环境统计、重点生态功能区考核工作。参与核与辐射设施安全、污染防治监督管理。参与涉及站的生态环境领域固定资产投资和资金项目管理相关工作，承担涉及本股室的财政专项资金分配、项目包装谋划工作，负责环境科学技术研讨与运用。积极完成局领导交办的其他事项工作。对应驻州环境监测中心站和监测应急与核辐射安全管理科。</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ascii="仿宋" w:hAnsi="仿宋" w:eastAsia="仿宋"/>
          <w:color w:val="000000"/>
          <w:sz w:val="32"/>
          <w:szCs w:val="32"/>
        </w:rPr>
        <w:t>开展环境质量监测、污染源监督性监测和突发环境污染事件应急监测；承担环境监测网建设和运行，收集、管理环境监测数据，开展环境状况调查和评价，编制环境监测报告；负责环境监测人员的技术培训；开展环境监测领域科学研究，承担环境监测技术规范、方法研究以及国际合作和交流；承担环境保护部门委托的其他环境监测技术支持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年末，单位</w:t>
      </w:r>
      <w:r>
        <w:rPr>
          <w:rFonts w:hint="eastAsia" w:eastAsia="仿宋_GB2312" w:cs="Times New Roman"/>
          <w:sz w:val="32"/>
          <w:szCs w:val="32"/>
          <w:lang w:val="en-US" w:eastAsia="zh-CN"/>
        </w:rPr>
        <w:t>事业</w:t>
      </w:r>
      <w:r>
        <w:rPr>
          <w:rFonts w:hint="default" w:ascii="Times New Roman" w:hAnsi="Times New Roman" w:eastAsia="仿宋_GB2312" w:cs="Times New Roman"/>
          <w:sz w:val="32"/>
          <w:szCs w:val="32"/>
          <w:lang w:val="en-US" w:eastAsia="zh-CN"/>
        </w:rPr>
        <w:t>编制</w:t>
      </w:r>
      <w:r>
        <w:rPr>
          <w:rFonts w:hint="eastAsia" w:eastAsia="仿宋_GB2312" w:cs="Times New Roman"/>
          <w:sz w:val="32"/>
          <w:szCs w:val="32"/>
          <w:lang w:val="en-US" w:eastAsia="zh-CN"/>
        </w:rPr>
        <w:t>12名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年末实有人数</w:t>
      </w:r>
      <w:r>
        <w:rPr>
          <w:rFonts w:hint="eastAsia" w:eastAsia="仿宋_GB2312" w:cs="Times New Roman"/>
          <w:sz w:val="32"/>
          <w:szCs w:val="32"/>
          <w:lang w:val="en-US" w:eastAsia="zh-CN"/>
        </w:rPr>
        <w:t>12名</w:t>
      </w:r>
      <w:r>
        <w:rPr>
          <w:rFonts w:hint="eastAsia"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为238.96万元</w:t>
      </w:r>
      <w:r>
        <w:rPr>
          <w:rFonts w:hint="eastAsia" w:ascii="Times New Roman" w:hAnsi="Times New Roman" w:eastAsia="仿宋_GB2312" w:cs="Times New Roman"/>
          <w:sz w:val="32"/>
          <w:szCs w:val="32"/>
          <w:lang w:val="en-US" w:eastAsia="zh-CN"/>
        </w:rPr>
        <w:t>、决算报表收入</w:t>
      </w:r>
      <w:r>
        <w:rPr>
          <w:rFonts w:hint="eastAsia" w:eastAsia="仿宋_GB2312" w:cs="Times New Roman"/>
          <w:sz w:val="32"/>
          <w:szCs w:val="32"/>
          <w:lang w:val="en-US" w:eastAsia="zh-CN"/>
        </w:rPr>
        <w:t>为243.29万元，年末追加人员工资性调整支出4.33万元，预算精准率达98.19%。</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为238.96万元</w:t>
      </w:r>
      <w:r>
        <w:rPr>
          <w:rFonts w:hint="eastAsia" w:ascii="Times New Roman" w:hAnsi="Times New Roman" w:eastAsia="仿宋_GB2312" w:cs="Times New Roman"/>
          <w:sz w:val="32"/>
          <w:szCs w:val="32"/>
          <w:lang w:val="en-US" w:eastAsia="zh-CN"/>
        </w:rPr>
        <w:t>、决算报表支出</w:t>
      </w:r>
      <w:r>
        <w:rPr>
          <w:rFonts w:hint="eastAsia" w:eastAsia="仿宋_GB2312" w:cs="Times New Roman"/>
          <w:sz w:val="32"/>
          <w:szCs w:val="32"/>
          <w:lang w:val="en-US" w:eastAsia="zh-CN"/>
        </w:rPr>
        <w:t>为243.29万元，</w:t>
      </w:r>
      <w:r>
        <w:rPr>
          <w:rFonts w:hint="eastAsia" w:eastAsia="仿宋_GB2312" w:cs="Times New Roman"/>
          <w:sz w:val="32"/>
          <w:szCs w:val="32"/>
          <w:lang w:val="en-US" w:eastAsia="zh-CN"/>
        </w:rPr>
        <w:t>年末追加人员工资性调整支出4.33万元，预算精准率达98.19%。</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eastAsia" w:eastAsia="仿宋_GB2312" w:cs="Times New Roman"/>
          <w:sz w:val="32"/>
          <w:szCs w:val="32"/>
          <w:lang w:val="en-US" w:eastAsia="zh-CN"/>
        </w:rPr>
        <w:t>无</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pPr>
        <w:widowControl/>
        <w:jc w:val="center"/>
        <w:rPr>
          <w:rFonts w:hint="eastAsia" w:ascii="Times New Roman" w:hAnsi="Times New Roman" w:eastAsia="黑体"/>
          <w:color w:val="auto"/>
          <w:sz w:val="44"/>
          <w:szCs w:val="44"/>
          <w:highlight w:val="none"/>
        </w:rPr>
      </w:pPr>
      <w:bookmarkStart w:id="47" w:name="_Toc15396618"/>
    </w:p>
    <w:p>
      <w:pPr>
        <w:pStyle w:val="2"/>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7"/>
      <w:bookmarkStart w:id="48"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rPr>
        <w:rFonts w:hint="eastAsia"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81A00F"/>
    <w:multiLevelType w:val="singleLevel"/>
    <w:tmpl w:val="2881A00F"/>
    <w:lvl w:ilvl="0" w:tentative="0">
      <w:start w:val="1"/>
      <w:numFmt w:val="decimal"/>
      <w:lvlText w:val="%1."/>
      <w:lvlJc w:val="left"/>
      <w:pPr>
        <w:tabs>
          <w:tab w:val="left" w:pos="312"/>
        </w:tabs>
      </w:pPr>
    </w:lvl>
  </w:abstractNum>
  <w:abstractNum w:abstractNumId="1">
    <w:nsid w:val="67EAA11D"/>
    <w:multiLevelType w:val="singleLevel"/>
    <w:tmpl w:val="67EAA11D"/>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53F6B5C"/>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4B80366"/>
    <w:rsid w:val="260F557C"/>
    <w:rsid w:val="281408E2"/>
    <w:rsid w:val="29FD04D3"/>
    <w:rsid w:val="2BFF7BC6"/>
    <w:rsid w:val="2C8A61B5"/>
    <w:rsid w:val="2D2E01CF"/>
    <w:rsid w:val="2DF04E50"/>
    <w:rsid w:val="2E9545B0"/>
    <w:rsid w:val="2F040D46"/>
    <w:rsid w:val="2FAE5751"/>
    <w:rsid w:val="2FB1A395"/>
    <w:rsid w:val="2FD9A7D8"/>
    <w:rsid w:val="319F7F4E"/>
    <w:rsid w:val="321B2544"/>
    <w:rsid w:val="32DB585B"/>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9C236BB"/>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semiHidden/>
    <w:unhideWhenUsed/>
    <w:uiPriority w:val="99"/>
    <w:pPr>
      <w:ind w:firstLine="68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6"/>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6"/>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6"/>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6"/>
    <w:link w:val="3"/>
    <w:qFormat/>
    <w:uiPriority w:val="9"/>
    <w:rPr>
      <w:rFonts w:ascii="Times New Roman" w:hAnsi="Times New Roman"/>
      <w:b/>
      <w:bCs/>
      <w:kern w:val="44"/>
      <w:sz w:val="44"/>
      <w:szCs w:val="44"/>
    </w:rPr>
  </w:style>
  <w:style w:type="character" w:customStyle="1" w:styleId="30">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6"/>
    <w:link w:val="10"/>
    <w:semiHidden/>
    <w:qFormat/>
    <w:uiPriority w:val="99"/>
    <w:rPr>
      <w:rFonts w:ascii="Times New Roman" w:hAnsi="Times New Roman"/>
      <w:kern w:val="2"/>
      <w:sz w:val="18"/>
      <w:szCs w:val="18"/>
    </w:rPr>
  </w:style>
  <w:style w:type="character" w:customStyle="1" w:styleId="33">
    <w:name w:val="标题 3 Char"/>
    <w:basedOn w:val="16"/>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4180;&#24230;&#37096;&#38376;&#20915;&#31639;&#20844;&#24320;\&#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5&#24180;&#24230;&#37096;&#38376;&#20915;&#31639;&#20844;&#24320;\&#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收支对比图</a:t>
            </a:r>
            <a:endParaRPr altLang="en-US"/>
          </a:p>
        </c:rich>
      </c:tx>
      <c:layout>
        <c:manualLayout>
          <c:xMode val="edge"/>
          <c:yMode val="edge"/>
          <c:x val="0.431111111111111"/>
          <c:y val="0.0555555555555556"/>
        </c:manualLayout>
      </c:layout>
      <c:overlay val="0"/>
      <c:spPr>
        <a:noFill/>
        <a:ln>
          <a:noFill/>
        </a:ln>
        <a:effectLst/>
      </c:spPr>
    </c:title>
    <c:autoTitleDeleted val="0"/>
    <c:plotArea>
      <c:layout/>
      <c:barChart>
        <c:barDir val="col"/>
        <c:grouping val="clustered"/>
        <c:varyColors val="0"/>
        <c:ser>
          <c:idx val="0"/>
          <c:order val="0"/>
          <c:tx>
            <c:strRef>
              <c:f>[图表.xlsx]Sheet1!$I$24</c:f>
              <c:strCache>
                <c:ptCount val="1"/>
                <c:pt idx="0">
                  <c:v>2024年</c:v>
                </c:pt>
              </c:strCache>
            </c:strRef>
          </c:tx>
          <c:spPr>
            <a:solidFill>
              <a:schemeClr val="accent1"/>
            </a:solidFill>
            <a:ln>
              <a:noFill/>
            </a:ln>
            <a:effectLst/>
          </c:spPr>
          <c:invertIfNegative val="0"/>
          <c:dLbls>
            <c:delete val="1"/>
          </c:dLbls>
          <c:cat>
            <c:strRef>
              <c:f>[图表.xlsx]Sheet1!$J$23:$K$23</c:f>
              <c:strCache>
                <c:ptCount val="2"/>
                <c:pt idx="0">
                  <c:v>收入</c:v>
                </c:pt>
                <c:pt idx="1">
                  <c:v>支出</c:v>
                </c:pt>
              </c:strCache>
            </c:strRef>
          </c:cat>
          <c:val>
            <c:numRef>
              <c:f>[图表.xlsx]Sheet1!$J$24:$K$24</c:f>
              <c:numCache>
                <c:formatCode>General</c:formatCode>
                <c:ptCount val="2"/>
                <c:pt idx="0">
                  <c:v>227.14</c:v>
                </c:pt>
                <c:pt idx="1">
                  <c:v>227.14</c:v>
                </c:pt>
              </c:numCache>
            </c:numRef>
          </c:val>
        </c:ser>
        <c:ser>
          <c:idx val="1"/>
          <c:order val="1"/>
          <c:tx>
            <c:strRef>
              <c:f>[图表.xlsx]Sheet1!$I$25</c:f>
              <c:strCache>
                <c:ptCount val="1"/>
                <c:pt idx="0">
                  <c:v>2025年</c:v>
                </c:pt>
              </c:strCache>
            </c:strRef>
          </c:tx>
          <c:spPr>
            <a:solidFill>
              <a:schemeClr val="accent2"/>
            </a:solidFill>
            <a:ln>
              <a:noFill/>
            </a:ln>
            <a:effectLst/>
          </c:spPr>
          <c:invertIfNegative val="0"/>
          <c:dLbls>
            <c:delete val="1"/>
          </c:dLbls>
          <c:cat>
            <c:strRef>
              <c:f>[图表.xlsx]Sheet1!$J$23:$K$23</c:f>
              <c:strCache>
                <c:ptCount val="2"/>
                <c:pt idx="0">
                  <c:v>收入</c:v>
                </c:pt>
                <c:pt idx="1">
                  <c:v>支出</c:v>
                </c:pt>
              </c:strCache>
            </c:strRef>
          </c:cat>
          <c:val>
            <c:numRef>
              <c:f>[图表.xlsx]Sheet1!$J$25:$K$25</c:f>
              <c:numCache>
                <c:formatCode>General</c:formatCode>
                <c:ptCount val="2"/>
                <c:pt idx="0">
                  <c:v>243.29</c:v>
                </c:pt>
                <c:pt idx="1">
                  <c:v>243.29</c:v>
                </c:pt>
              </c:numCache>
            </c:numRef>
          </c:val>
        </c:ser>
        <c:dLbls>
          <c:showLegendKey val="0"/>
          <c:showVal val="0"/>
          <c:showCatName val="0"/>
          <c:showSerName val="0"/>
          <c:showPercent val="0"/>
          <c:showBubbleSize val="0"/>
        </c:dLbls>
        <c:gapWidth val="219"/>
        <c:overlap val="-27"/>
        <c:axId val="610984178"/>
        <c:axId val="134501323"/>
      </c:barChart>
      <c:catAx>
        <c:axId val="61098417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501323"/>
        <c:crosses val="autoZero"/>
        <c:auto val="1"/>
        <c:lblAlgn val="ctr"/>
        <c:lblOffset val="100"/>
        <c:noMultiLvlLbl val="0"/>
      </c:catAx>
      <c:valAx>
        <c:axId val="1345013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9841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支出结构占比图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dLbl>
              <c:idx val="0"/>
              <c:layout>
                <c:manualLayout>
                  <c:x val="0.145220588235294"/>
                  <c:y val="0.041791044776119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569852941176471"/>
                  <c:y val="0.12835820895522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41544117647059"/>
                  <c:y val="-0.12886346201290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113970588235294"/>
                  <c:y val="0.053731343283582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[图表.xlsx]Sheet1!$A$27:$A$30</c:f>
              <c:strCache>
                <c:ptCount val="4"/>
                <c:pt idx="0">
                  <c:v>社会保障和就业支出</c:v>
                </c:pt>
                <c:pt idx="1">
                  <c:v>卫生健康支出</c:v>
                </c:pt>
                <c:pt idx="2">
                  <c:v>节能环保支出</c:v>
                </c:pt>
                <c:pt idx="3">
                  <c:v>住房保障支出</c:v>
                </c:pt>
              </c:strCache>
            </c:strRef>
          </c:cat>
          <c:val>
            <c:numRef>
              <c:f>[图表.xlsx]Sheet1!$B$27:$B$30</c:f>
              <c:numCache>
                <c:formatCode>General</c:formatCode>
                <c:ptCount val="4"/>
                <c:pt idx="0">
                  <c:v>39.53</c:v>
                </c:pt>
                <c:pt idx="1">
                  <c:v>16.81</c:v>
                </c:pt>
                <c:pt idx="2">
                  <c:v>162.93</c:v>
                </c:pt>
                <c:pt idx="3">
                  <c:v>24.01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1299</Words>
  <Characters>7410</Characters>
  <Lines>61</Lines>
  <Paragraphs>17</Paragraphs>
  <ScaleCrop>false</ScaleCrop>
  <LinksUpToDate>false</LinksUpToDate>
  <CharactersWithSpaces>8692</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2026-08-03T09:27:00Z</cp:lastPrinted>
  <dcterms:modified xsi:type="dcterms:W3CDTF">2026-09-16T02:41:36Z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