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96597"/>
      <w:bookmarkStart w:id="1" w:name="_Toc15377425"/>
      <w:bookmarkStart w:id="2" w:name="_Toc15377193"/>
      <w:bookmarkStart w:id="3" w:name="_Toc15378441"/>
      <w:bookmarkStart w:id="4" w:name="_Toc15396475"/>
      <w:bookmarkStart w:id="5" w:name="_Toc15306267"/>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77194"/>
      <w:bookmarkStart w:id="8" w:name="_Toc15377426"/>
      <w:bookmarkStart w:id="9" w:name="_Toc15396598"/>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九寨沟生态环境局</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r>
        <w:rPr>
          <w:rFonts w:hint="eastAsia" w:ascii="Times New Roman" w:eastAsia="方正小标宋简体" w:cs="Times New Roman"/>
          <w:color w:val="auto"/>
          <w:kern w:val="2"/>
          <w:sz w:val="44"/>
          <w:szCs w:val="44"/>
          <w:highlight w:val="none"/>
          <w:lang w:val="en-US" w:eastAsia="zh-CN" w:bidi="ar-SA"/>
        </w:rPr>
        <w:t>报告</w:t>
      </w: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center"/>
        <w:rPr>
          <w:rFonts w:hint="eastAsia" w:eastAsia="仿宋_GB2312" w:cs="仿宋_GB2312"/>
          <w:color w:val="auto"/>
          <w:sz w:val="32"/>
          <w:szCs w:val="32"/>
          <w:highlight w:val="none"/>
          <w:lang w:val="en-US" w:eastAsia="zh-CN"/>
        </w:rPr>
      </w:pPr>
    </w:p>
    <w:p>
      <w:pPr>
        <w:widowControl/>
        <w:jc w:val="both"/>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保密审查情况：已审查，内容审定</w:t>
      </w:r>
    </w:p>
    <w:p>
      <w:pPr>
        <w:pStyle w:val="14"/>
        <w:rPr>
          <w:rFonts w:hint="eastAsia"/>
          <w:lang w:val="en-US" w:eastAsia="zh-CN"/>
        </w:rPr>
      </w:pPr>
      <w:r>
        <w:rPr>
          <w:rFonts w:hint="eastAsia" w:eastAsia="仿宋_GB2312" w:cs="仿宋_GB2312"/>
          <w:color w:val="auto"/>
          <w:sz w:val="32"/>
          <w:szCs w:val="32"/>
          <w:highlight w:val="none"/>
          <w:lang w:val="en-US" w:eastAsia="zh-CN"/>
        </w:rPr>
        <w:t>部门主要负责人审签情况：已审查，同意对外公开</w:t>
      </w:r>
    </w:p>
    <w:p>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bookmarkStart w:id="72" w:name="_GoBack"/>
      <w:bookmarkEnd w:id="72"/>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pPr>
        <w:pStyle w:val="4"/>
        <w:keepNext/>
        <w:keepLines/>
        <w:pageBreakBefore w:val="0"/>
        <w:widowControl w:val="0"/>
        <w:numPr>
          <w:ilvl w:val="0"/>
          <w:numId w:val="1"/>
        </w:numPr>
        <w:kinsoku/>
        <w:wordWrap/>
        <w:overflowPunct/>
        <w:topLinePunct w:val="0"/>
        <w:autoSpaceDE/>
        <w:autoSpaceDN/>
        <w:bidi w:val="0"/>
        <w:adjustRightInd/>
        <w:snapToGrid/>
        <w:spacing w:before="0" w:after="0" w:line="576" w:lineRule="exact"/>
        <w:ind w:left="0" w:leftChars="0" w:right="0" w:rightChars="0" w:firstLine="0" w:firstLineChars="0"/>
        <w:jc w:val="center"/>
        <w:textAlignment w:val="auto"/>
        <w:rPr>
          <w:rStyle w:val="29"/>
          <w:rFonts w:hint="eastAsia" w:ascii="Times New Roman" w:hAnsi="Times New Roman" w:eastAsia="方正小标宋简体" w:cs="方正小标宋简体"/>
          <w:b w:val="0"/>
          <w:bCs w:val="0"/>
          <w:color w:val="auto"/>
          <w:highlight w:val="none"/>
        </w:rPr>
      </w:pP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12"/>
      <w:bookmarkEnd w:id="13"/>
    </w:p>
    <w:p>
      <w:pPr>
        <w:rPr>
          <w:rFonts w:hint="eastAsia"/>
        </w:rPr>
      </w:pPr>
    </w:p>
    <w:p>
      <w:pPr>
        <w:pStyle w:val="5"/>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一、部门职责</w:t>
      </w:r>
      <w:bookmarkStart w:id="14" w:name="_Toc27321"/>
      <w:bookmarkStart w:id="15" w:name="_Toc25674"/>
    </w:p>
    <w:p>
      <w:pPr>
        <w:pStyle w:val="5"/>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left="0" w:leftChars="0" w:right="0" w:rightChars="0" w:firstLine="640" w:firstLineChars="200"/>
        <w:jc w:val="both"/>
        <w:textAlignment w:val="auto"/>
        <w:outlineLvl w:val="1"/>
        <w:rPr>
          <w:sz w:val="32"/>
          <w:szCs w:val="32"/>
        </w:rPr>
      </w:pPr>
      <w:r>
        <w:rPr>
          <w:rFonts w:hint="eastAsia" w:ascii="Times New Roman" w:hAnsi="Times New Roman" w:eastAsia="仿宋_GB2312" w:cs="Times New Roman"/>
          <w:b w:val="0"/>
          <w:bCs w:val="0"/>
          <w:color w:val="auto"/>
          <w:w w:val="100"/>
          <w:sz w:val="32"/>
          <w:szCs w:val="32"/>
          <w:lang w:val="en-US" w:eastAsia="zh-CN"/>
        </w:rPr>
        <w:t>承担全县生态环境保护综合监督管理责任，依法行使生态环境保护综合监督管理职责。包括：建立健全全县生态环境基本制度。负责全县生态环境的监督管理。实行生态环境保护目标责任制，落实全县减排目标。负责全县环境污染防治的监督管理。指导、监督全县生态保护修复工作。编制实施生态保护规划，加强对自然资源开发利用活动、重要生态环境建设和生态破坏恢复工作的监督。负责全县核与辐射安全的监督管理。负责全县生态环境准入的监督管理。负责全县生态环境监测、统计和信息发布工作。负责应对气候变化工作。督导全县生态环境保护督察问题整改，做好中央、省生态环境保护督察对接工作。负责全县生态环境监督执法工作。协助开展全县生态环境宣传教育工作。推广应用全县生态环境保护科技成果，开展全县生态环境科学研究，推动生态环境技术管理体系建设。开展生态环境对外合作交流。负责职责范围内的安全生产和职业健康、审批服务便民化等工作。行使全县生态和城乡各类污染排放监管与行政执法职责，负责全县生态环境质量监测、调查评价和考核，履行监管责任，加强事中事后监管，强化固体废物、化学品、重金属污染防治监督管理。负责国家生态文明建设示范区创建工作，完成县委、县政府交办的其他任务。</w:t>
      </w:r>
      <w:bookmarkEnd w:id="14"/>
      <w:bookmarkEnd w:id="15"/>
    </w:p>
    <w:p>
      <w:pPr>
        <w:rPr>
          <w:rFonts w:hint="eastAsia"/>
          <w:lang w:eastAsia="zh-CN"/>
        </w:rPr>
      </w:pPr>
    </w:p>
    <w:p>
      <w:pPr>
        <w:pStyle w:val="5"/>
        <w:rPr>
          <w:rStyle w:val="30"/>
          <w:rFonts w:ascii="Times New Roman" w:hAnsi="Times New Roman"/>
          <w:b w:val="0"/>
          <w:bCs w:val="0"/>
          <w:color w:val="auto"/>
          <w:highlight w:val="none"/>
        </w:rPr>
      </w:pPr>
      <w:bookmarkStart w:id="16" w:name="_Toc15396601"/>
      <w:bookmarkStart w:id="17"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6"/>
      <w:bookmarkEnd w:id="17"/>
    </w:p>
    <w:p>
      <w:pPr>
        <w:pageBreakBefore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sz w:val="32"/>
          <w:szCs w:val="32"/>
        </w:rPr>
        <w:t>阿坝州九寨沟生态环境局内设</w:t>
      </w:r>
      <w:r>
        <w:rPr>
          <w:rFonts w:hint="eastAsia" w:ascii="仿宋_GB2312" w:hAnsi="仿宋_GB2312" w:eastAsia="仿宋_GB2312" w:cs="仿宋_GB2312"/>
          <w:color w:val="000000"/>
          <w:sz w:val="32"/>
          <w:szCs w:val="32"/>
          <w:lang w:eastAsia="zh-CN"/>
        </w:rPr>
        <w:t>党政办</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生态环境保护和治理股、</w:t>
      </w:r>
      <w:r>
        <w:rPr>
          <w:rFonts w:hint="eastAsia" w:ascii="仿宋_GB2312" w:hAnsi="仿宋_GB2312" w:eastAsia="仿宋_GB2312" w:cs="仿宋_GB2312"/>
          <w:color w:val="000000"/>
          <w:sz w:val="32"/>
          <w:szCs w:val="32"/>
        </w:rPr>
        <w:t>行政审批</w:t>
      </w:r>
      <w:r>
        <w:rPr>
          <w:rFonts w:hint="eastAsia" w:ascii="仿宋_GB2312" w:hAnsi="仿宋_GB2312" w:eastAsia="仿宋_GB2312" w:cs="仿宋_GB2312"/>
          <w:color w:val="000000"/>
          <w:sz w:val="32"/>
          <w:szCs w:val="32"/>
          <w:lang w:eastAsia="zh-CN"/>
        </w:rPr>
        <w:t>和资金项目管理股</w:t>
      </w:r>
      <w:r>
        <w:rPr>
          <w:rFonts w:hint="eastAsia" w:ascii="仿宋_GB2312" w:hAnsi="仿宋_GB2312" w:eastAsia="仿宋_GB2312" w:cs="仿宋_GB2312"/>
          <w:color w:val="000000"/>
          <w:sz w:val="32"/>
          <w:szCs w:val="32"/>
        </w:rPr>
        <w:t>，下设九寨沟</w:t>
      </w:r>
      <w:r>
        <w:rPr>
          <w:rFonts w:hint="eastAsia" w:ascii="仿宋_GB2312" w:hAnsi="仿宋_GB2312" w:eastAsia="仿宋_GB2312" w:cs="仿宋_GB2312"/>
          <w:color w:val="000000"/>
          <w:sz w:val="32"/>
          <w:szCs w:val="32"/>
          <w:lang w:eastAsia="zh-CN"/>
        </w:rPr>
        <w:t>生态</w:t>
      </w:r>
      <w:r>
        <w:rPr>
          <w:rFonts w:hint="eastAsia" w:ascii="仿宋_GB2312" w:hAnsi="仿宋_GB2312" w:eastAsia="仿宋_GB2312" w:cs="仿宋_GB2312"/>
          <w:color w:val="000000"/>
          <w:sz w:val="32"/>
          <w:szCs w:val="32"/>
        </w:rPr>
        <w:t>环境保护中心、九寨沟生态环境保护综合行政执法大队和九寨沟环境监测站。</w:t>
      </w:r>
      <w:r>
        <w:rPr>
          <w:rFonts w:hint="eastAsia" w:ascii="仿宋_GB2312" w:hAnsi="仿宋_GB2312" w:eastAsia="仿宋_GB2312" w:cs="仿宋_GB2312"/>
          <w:color w:val="auto"/>
          <w:sz w:val="32"/>
          <w:szCs w:val="32"/>
        </w:rPr>
        <w:t>全局编制数为</w:t>
      </w:r>
      <w:r>
        <w:rPr>
          <w:rFonts w:hint="eastAsia" w:ascii="仿宋_GB2312" w:hAnsi="仿宋_GB2312" w:eastAsia="仿宋_GB2312" w:cs="仿宋_GB2312"/>
          <w:color w:val="auto"/>
          <w:sz w:val="32"/>
          <w:szCs w:val="32"/>
          <w:lang w:val="en-US" w:eastAsia="zh-CN"/>
        </w:rPr>
        <w:t>32</w:t>
      </w:r>
      <w:r>
        <w:rPr>
          <w:rFonts w:hint="eastAsia" w:ascii="仿宋_GB2312" w:hAnsi="仿宋_GB2312" w:eastAsia="仿宋_GB2312" w:cs="仿宋_GB2312"/>
          <w:color w:val="auto"/>
          <w:sz w:val="32"/>
          <w:szCs w:val="32"/>
        </w:rPr>
        <w:t>人，其中公务员编制数3人，参公编制数</w:t>
      </w: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rPr>
        <w:t>人，事业编制数</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人。截</w:t>
      </w:r>
      <w:r>
        <w:rPr>
          <w:rFonts w:hint="eastAsia" w:ascii="仿宋_GB2312" w:hAnsi="仿宋_GB2312" w:eastAsia="仿宋_GB2312" w:cs="仿宋_GB2312"/>
          <w:color w:val="auto"/>
          <w:sz w:val="32"/>
          <w:szCs w:val="32"/>
          <w:lang w:val="en-US" w:eastAsia="zh-CN"/>
        </w:rPr>
        <w:t>至2025年12月</w:t>
      </w:r>
      <w:r>
        <w:rPr>
          <w:rFonts w:hint="eastAsia" w:ascii="仿宋_GB2312" w:hAnsi="仿宋_GB2312" w:eastAsia="仿宋_GB2312" w:cs="仿宋_GB2312"/>
          <w:color w:val="auto"/>
          <w:sz w:val="32"/>
          <w:szCs w:val="32"/>
        </w:rPr>
        <w:t>，全局实有人员2</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名，其中行政</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名，参公</w:t>
      </w: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名、事业专业技术人员1</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名。</w:t>
      </w:r>
    </w:p>
    <w:p>
      <w:pPr>
        <w:widowControl/>
        <w:jc w:val="left"/>
        <w:rPr>
          <w:rFonts w:ascii="Times New Roman" w:hAnsi="Times New Roman" w:eastAsia="仿宋"/>
          <w:color w:val="auto"/>
          <w:kern w:val="0"/>
          <w:sz w:val="32"/>
          <w:szCs w:val="32"/>
          <w:highlight w:val="none"/>
        </w:rPr>
      </w:pPr>
    </w:p>
    <w:p>
      <w:pPr>
        <w:pStyle w:val="4"/>
        <w:jc w:val="center"/>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0" w:name="_Toc15396603"/>
      <w:bookmarkStart w:id="2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0"/>
      <w:bookmarkEnd w:id="21"/>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1091.79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1990.03</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64.57</w:t>
      </w:r>
      <w:r>
        <w:rPr>
          <w:rFonts w:hint="eastAsia" w:ascii="Times New Roman" w:hAnsi="Times New Roman" w:eastAsia="仿宋_GB2312" w:cs="仿宋_GB2312"/>
          <w:color w:val="auto"/>
          <w:sz w:val="32"/>
          <w:szCs w:val="32"/>
          <w:highlight w:val="none"/>
        </w:rPr>
        <w:t>%。主要变动原因是嘉陵江流域白水江九寨沟县县城上游段水生态保护修复项目</w:t>
      </w:r>
      <w:r>
        <w:rPr>
          <w:rFonts w:hint="eastAsia" w:eastAsia="仿宋_GB2312" w:cs="仿宋_GB2312"/>
          <w:color w:val="auto"/>
          <w:sz w:val="32"/>
          <w:szCs w:val="32"/>
          <w:highlight w:val="none"/>
          <w:lang w:eastAsia="zh-CN"/>
        </w:rPr>
        <w:t>支付进度缓慢同比昨年下降</w:t>
      </w:r>
      <w:r>
        <w:rPr>
          <w:rFonts w:hint="eastAsia" w:eastAsia="仿宋_GB2312" w:cs="仿宋_GB2312"/>
          <w:color w:val="auto"/>
          <w:sz w:val="32"/>
          <w:szCs w:val="32"/>
          <w:highlight w:val="none"/>
          <w:lang w:val="en-US" w:eastAsia="zh-CN"/>
        </w:rPr>
        <w:t>63.57%，嘉陵江流域白水江九寨沟县县城下游段水生态保护修复项目</w:t>
      </w:r>
      <w:r>
        <w:rPr>
          <w:rFonts w:hint="eastAsia" w:eastAsia="仿宋_GB2312" w:cs="仿宋_GB2312"/>
          <w:color w:val="auto"/>
          <w:sz w:val="32"/>
          <w:szCs w:val="32"/>
          <w:highlight w:val="none"/>
          <w:lang w:eastAsia="zh-CN"/>
        </w:rPr>
        <w:t>资金下达</w:t>
      </w:r>
      <w:r>
        <w:rPr>
          <w:rFonts w:hint="eastAsia" w:eastAsia="仿宋_GB2312" w:cs="仿宋_GB2312"/>
          <w:color w:val="auto"/>
          <w:sz w:val="32"/>
          <w:szCs w:val="32"/>
          <w:highlight w:val="none"/>
          <w:lang w:val="en-US" w:eastAsia="zh-CN"/>
        </w:rPr>
        <w:t>1408万元，支付19.13万元，剩余资金财政收回。</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58240" behindDoc="0" locked="0" layoutInCell="1" allowOverlap="1">
            <wp:simplePos x="0" y="0"/>
            <wp:positionH relativeFrom="column">
              <wp:posOffset>271145</wp:posOffset>
            </wp:positionH>
            <wp:positionV relativeFrom="paragraph">
              <wp:posOffset>-2453005</wp:posOffset>
            </wp:positionV>
            <wp:extent cx="4572000" cy="2743200"/>
            <wp:effectExtent l="4445" t="4445" r="14605" b="1460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2"/>
      <w:bookmarkEnd w:id="2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1091.79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959.09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87.85</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132.7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12.15</w:t>
      </w:r>
      <w:r>
        <w:rPr>
          <w:rFonts w:hint="eastAsia" w:ascii="Times New Roman" w:hAnsi="Times New Roman"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59264" behindDoc="0" locked="0" layoutInCell="1" allowOverlap="1">
            <wp:simplePos x="0" y="0"/>
            <wp:positionH relativeFrom="column">
              <wp:posOffset>271145</wp:posOffset>
            </wp:positionH>
            <wp:positionV relativeFrom="paragraph">
              <wp:posOffset>-2453005</wp:posOffset>
            </wp:positionV>
            <wp:extent cx="4572000" cy="2743200"/>
            <wp:effectExtent l="4445" t="4445" r="14605" b="1460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77207"/>
      <w:bookmarkStart w:id="2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1091.79</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371.72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34.05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717.82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65.75</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。年末结转</w:t>
      </w:r>
      <w:r>
        <w:rPr>
          <w:rFonts w:hint="eastAsia" w:eastAsia="仿宋_GB2312" w:cs="仿宋_GB2312"/>
          <w:color w:val="auto"/>
          <w:sz w:val="32"/>
          <w:szCs w:val="32"/>
          <w:highlight w:val="none"/>
          <w:lang w:val="en-US" w:eastAsia="zh-CN"/>
        </w:rPr>
        <w:t>2.25万元（单位代管资金结转），占0.2%。</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271145</wp:posOffset>
            </wp:positionH>
            <wp:positionV relativeFrom="paragraph">
              <wp:posOffset>-2453005</wp:posOffset>
            </wp:positionV>
            <wp:extent cx="4572000" cy="2743200"/>
            <wp:effectExtent l="4445" t="4445" r="14605" b="1460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0"/>
          <w:rFonts w:ascii="Times New Roman" w:hAnsi="Times New Roman" w:eastAsia="黑体"/>
          <w:b w:val="0"/>
          <w:color w:val="auto"/>
          <w:highlight w:val="none"/>
        </w:rPr>
      </w:pPr>
      <w:bookmarkStart w:id="26" w:name="_Toc15377208"/>
      <w:bookmarkStart w:id="27"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6"/>
      <w:bookmarkEnd w:id="2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1091.78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1990.03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64.57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rPr>
        <w:t>嘉陵江流域白水江九寨沟县县城上游段水生态保护修复项目</w:t>
      </w:r>
      <w:r>
        <w:rPr>
          <w:rFonts w:hint="eastAsia" w:eastAsia="仿宋_GB2312" w:cs="仿宋_GB2312"/>
          <w:color w:val="auto"/>
          <w:sz w:val="32"/>
          <w:szCs w:val="32"/>
          <w:highlight w:val="none"/>
          <w:lang w:eastAsia="zh-CN"/>
        </w:rPr>
        <w:t>支付进度缓慢同比昨年下降</w:t>
      </w:r>
      <w:r>
        <w:rPr>
          <w:rFonts w:hint="eastAsia" w:eastAsia="仿宋_GB2312" w:cs="仿宋_GB2312"/>
          <w:color w:val="auto"/>
          <w:sz w:val="32"/>
          <w:szCs w:val="32"/>
          <w:highlight w:val="none"/>
          <w:lang w:val="en-US" w:eastAsia="zh-CN"/>
        </w:rPr>
        <w:t>63.57%，嘉陵江流域白水江九寨沟县县城下游段水生态保护修复项目</w:t>
      </w:r>
      <w:r>
        <w:rPr>
          <w:rFonts w:hint="eastAsia" w:eastAsia="仿宋_GB2312" w:cs="仿宋_GB2312"/>
          <w:color w:val="auto"/>
          <w:sz w:val="32"/>
          <w:szCs w:val="32"/>
          <w:highlight w:val="none"/>
          <w:lang w:eastAsia="zh-CN"/>
        </w:rPr>
        <w:t>资金下达</w:t>
      </w:r>
      <w:r>
        <w:rPr>
          <w:rFonts w:hint="eastAsia" w:eastAsia="仿宋_GB2312" w:cs="仿宋_GB2312"/>
          <w:color w:val="auto"/>
          <w:sz w:val="32"/>
          <w:szCs w:val="32"/>
          <w:highlight w:val="none"/>
          <w:lang w:val="en-US" w:eastAsia="zh-CN"/>
        </w:rPr>
        <w:t>1408万元，支付19.13万元，剩余资金财政收回。</w:t>
      </w:r>
    </w:p>
    <w:p>
      <w:pPr>
        <w:spacing w:line="600" w:lineRule="exact"/>
        <w:ind w:firstLine="640" w:firstLineChars="200"/>
        <w:outlineLvl w:val="1"/>
        <w:rPr>
          <w:rStyle w:val="30"/>
          <w:rFonts w:ascii="Times New Roman" w:hAnsi="Times New Roman" w:eastAsia="黑体"/>
          <w:b w:val="0"/>
          <w:color w:val="auto"/>
          <w:highlight w:val="none"/>
        </w:rPr>
      </w:pPr>
      <w:bookmarkStart w:id="28" w:name="_Toc15396607"/>
      <w:bookmarkStart w:id="2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8"/>
      <w:bookmarkEnd w:id="2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1091.79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1990.03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64.57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嘉陵江流域白水江九寨沟县县城上、下游段水生态保护修复项目资金支付进度缓慢，同比昨年下降63.57%。</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1091.79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：社会保障和就业</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49.66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4.55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卫生健康支出15.9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节能环保支出1001.32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91.72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22.66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2.07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年末结转和结余2.25万元，占0.21%。</w:t>
      </w:r>
    </w:p>
    <w:p>
      <w:pPr>
        <w:spacing w:line="600" w:lineRule="exact"/>
        <w:ind w:firstLine="640"/>
        <w:rPr>
          <w:rFonts w:hint="eastAsia"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299085</wp:posOffset>
            </wp:positionH>
            <wp:positionV relativeFrom="paragraph">
              <wp:posOffset>212725</wp:posOffset>
            </wp:positionV>
            <wp:extent cx="4492625" cy="3163570"/>
            <wp:effectExtent l="4445" t="4445" r="17780" b="1333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213"/>
      <w:bookmarkStart w:id="34" w:name="_Toc15377444"/>
      <w:bookmarkStart w:id="3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959.09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pPr>
        <w:pStyle w:val="28"/>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社会保障和就业支出:（2080505）机关事业单位基本养老保险缴费支出决算为30.28万元，完成预算100%；（2080506）机关事业单位职业年金缴费支出决算为15.14万元，完成预算100%；（2080599）其他行政事业单位养老支出决算为4.24万元，完成预算100%。</w:t>
      </w:r>
    </w:p>
    <w:p>
      <w:pPr>
        <w:pStyle w:val="28"/>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卫生健康支出：（2101101）行政单位医疗支出决算为13.04万元，完成预算100%，（2101103）公务员医疗补助支出决算为2.85万元，完成预算100%。</w:t>
      </w:r>
    </w:p>
    <w:p>
      <w:pPr>
        <w:pStyle w:val="28"/>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t>节能环保支出：（2110101）环境保护事务-行政运行支出决算为283.51万元，完成预算100%；（2110104）生态环境保护宣传支出决算为3.95万元，完成预算100%；（2110107）生态环境保护许可支出决算为1.92万元，完成预算100%；（2110401）生态保护支出决算为96.61万元，完成预算100%；（2110402）农村环境保护支出决算为23.4万元，完成预算100%。</w:t>
      </w:r>
    </w:p>
    <w:p>
      <w:pPr>
        <w:pStyle w:val="28"/>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sz w:val="32"/>
          <w:szCs w:val="32"/>
          <w:highlight w:val="none"/>
          <w:lang w:val="en-US" w:eastAsia="zh-CN"/>
        </w:rPr>
        <w:t>住房保障支出：（2210201）住房公积金支出决算为22.66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30"/>
          <w:rFonts w:ascii="Times New Roman" w:hAnsi="Times New Roman"/>
          <w:color w:val="auto"/>
          <w:highlight w:val="none"/>
        </w:rPr>
      </w:pPr>
      <w:bookmarkStart w:id="36" w:name="_Toc15396608"/>
      <w:bookmarkStart w:id="3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6"/>
      <w:bookmarkEnd w:id="37"/>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371.72</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252.54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万元，主要包括：基本工资、津贴补贴、奖金、伙食补助费、机关事业单位基本养老保险缴费、职业年金缴费、</w:t>
      </w:r>
      <w:r>
        <w:rPr>
          <w:rFonts w:hint="eastAsia" w:eastAsia="仿宋_GB2312" w:cs="仿宋_GB2312"/>
          <w:color w:val="auto"/>
          <w:kern w:val="2"/>
          <w:sz w:val="32"/>
          <w:szCs w:val="32"/>
          <w:highlight w:val="none"/>
          <w:lang w:val="en-US" w:eastAsia="zh-CN" w:bidi="ar-SA"/>
        </w:rPr>
        <w:t>职工基本医疗保险、公务员医疗补助缴费、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其他工资福利支出、生活补助、奖励金等。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119.18</w:t>
      </w:r>
      <w:r>
        <w:rPr>
          <w:rFonts w:hint="eastAsia" w:ascii="Times New Roman" w:hAnsi="Times New Roman" w:eastAsia="仿宋_GB2312" w:cs="仿宋_GB2312"/>
          <w:color w:val="auto"/>
          <w:kern w:val="2"/>
          <w:sz w:val="32"/>
          <w:szCs w:val="32"/>
          <w:highlight w:val="none"/>
          <w:lang w:val="en-US" w:eastAsia="zh-CN" w:bidi="ar-SA"/>
        </w:rPr>
        <w:t>万元，主要包括：办公费、水费、邮电费、差旅费、维修（护）费、培训费、福利费、公务用车运行维护费、其他交通费、其他商品和服务支出等。</w:t>
      </w:r>
    </w:p>
    <w:p>
      <w:pPr>
        <w:spacing w:line="600" w:lineRule="exact"/>
        <w:ind w:firstLine="640"/>
        <w:outlineLvl w:val="1"/>
        <w:rPr>
          <w:rStyle w:val="30"/>
          <w:rFonts w:ascii="Times New Roman" w:hAnsi="Times New Roman" w:eastAsia="黑体"/>
          <w:b w:val="0"/>
          <w:color w:val="auto"/>
          <w:highlight w:val="none"/>
        </w:rPr>
      </w:pPr>
      <w:bookmarkStart w:id="38" w:name="_Toc15377215"/>
      <w:bookmarkStart w:id="39"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8"/>
      <w:bookmarkEnd w:id="3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18.37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1.25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6.37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厉行节约，压减三公经费。</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18.37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当年度我单位无因公出境经费支出。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18.37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0.35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厉行节约，压减三公经费。</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当年度我单位无</w:t>
      </w:r>
      <w:r>
        <w:rPr>
          <w:rFonts w:hint="eastAsia" w:ascii="Times New Roman" w:hAnsi="Times New Roman" w:eastAsia="仿宋_GB2312" w:cs="仿宋_GB2312"/>
          <w:color w:val="auto"/>
          <w:kern w:val="2"/>
          <w:sz w:val="32"/>
          <w:szCs w:val="32"/>
          <w:highlight w:val="none"/>
          <w:lang w:val="en-US" w:eastAsia="zh-CN" w:bidi="ar-SA"/>
        </w:rPr>
        <w:t>公务用车购置支出</w:t>
      </w:r>
      <w:r>
        <w:rPr>
          <w:rFonts w:hint="eastAsia" w:eastAsia="仿宋_GB2312" w:cs="仿宋_GB2312"/>
          <w:color w:val="auto"/>
          <w:kern w:val="2"/>
          <w:sz w:val="32"/>
          <w:szCs w:val="32"/>
          <w:highlight w:val="none"/>
          <w:lang w:val="en-US" w:eastAsia="zh-CN" w:bidi="ar-SA"/>
        </w:rPr>
        <w:t>，截至2025年12月31日我单位共有公务用车4辆（越野车）。</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18.37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生态环境执法、环境监测、环境监管、生态环境宣传教育等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当年度我单位无公务接待费支出。</w:t>
      </w:r>
      <w:bookmarkStart w:id="42" w:name="_Toc15396610"/>
      <w:bookmarkStart w:id="43" w:name="_Toc15377218"/>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2"/>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2025年度我单位无</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4" w:name="_Toc15377219"/>
      <w:bookmarkStart w:id="45"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4"/>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2025年度我单位无</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6" w:name="_Toc15396612"/>
      <w:bookmarkStart w:id="47"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6"/>
      <w:bookmarkEnd w:id="4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阿坝州九寨沟生态环境局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119.18</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65.77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123.14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上年度结转</w:t>
      </w:r>
      <w:r>
        <w:rPr>
          <w:rFonts w:hint="eastAsia" w:ascii="Times New Roman" w:hAnsi="Times New Roman" w:eastAsia="仿宋_GB2312" w:cs="仿宋_GB2312"/>
          <w:color w:val="auto"/>
          <w:kern w:val="2"/>
          <w:sz w:val="32"/>
          <w:szCs w:val="32"/>
          <w:highlight w:val="none"/>
          <w:lang w:val="en-US" w:eastAsia="zh-CN" w:bidi="ar-SA"/>
        </w:rPr>
        <w:t>嘉陵江流域白水江九寨沟县县城上游段水生态保护修复项目</w:t>
      </w:r>
      <w:r>
        <w:rPr>
          <w:rFonts w:hint="eastAsia" w:eastAsia="仿宋_GB2312" w:cs="仿宋_GB2312"/>
          <w:color w:val="auto"/>
          <w:kern w:val="2"/>
          <w:sz w:val="32"/>
          <w:szCs w:val="32"/>
          <w:highlight w:val="none"/>
          <w:lang w:val="en-US" w:eastAsia="zh-CN" w:bidi="ar-SA"/>
        </w:rPr>
        <w:t>资金支出66.49万元，该笔项目资金支出功能科目为2110101行政运行科目，因决算时已跨年度无法进行支付更正调整至项目支出科目，故将该笔资金调整至机关运行经费，导致我局机关运行经费增长较多。实际我局机关运行经费支出为52.69万元，同比上年下降0.72万元。</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万元。主要用于2025年九寨沟县生态环境质量监测服务采购项目。授予中小企业合同金额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FF0000"/>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生态环境宣传、生态环境执法检查、开展环境执法应急监测重点污染源监督性监测和公务出差等。我单位无</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2025年我局通过建立健全预算绩效管理制度，加强绩效目标设定、绩效监控和绩效评价等环节的管理，不断提高预算绩效管理水平。</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1、绩效目标设定情况</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明确绩效目标。在编制年度预算时，结合单位的工作任务和发展规划，对各个项目和部门设定了明确的绩效目标。这些目标涵盖了经济效益、社会效益、生态效益等多个方面，确保财政资金的使用能够实现预期的效果。量化绩效指标。为了便于绩效监控和评价，对绩效目标进行了量化分解，制定了具体的绩效指标。严格审核绩效目标。在预算编制过程中，对绩效目标进行审核，确保绩效目标的合理性和可行性。对于不符合要求的绩效目标，要求相关股室进行调整和完善。</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2、绩效监控执行情况</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建立绩效监控机制。制定了绩效监控管理制度，明确了绩效监控的职责分工、监控内容和监控方法。通过定期采集绩效数据，对项目和股室的绩效目标实现情况进行跟踪监控，及时发现问题并采取措施加以解决。</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加强绩效监控力度。在预算执行过程中，加大对重点项目和关键环节的绩效监控力度。对于重大项目，实行专人负责、定期汇报制度，确保项目按计划顺利推进。同时，加强对资金使用情况的监控，防止资金挪用和浪费。</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及时调整绩效目标。根据绩效监控情况，对绩效目标进行适时调整。对于因客观原因无法实现的绩效目标，及时进行调整或取消；对于需要增加投入才能实现的绩效目标，及时申请调整预算。</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3、绩效评价结果</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开展绩效评价工作。在年度决算后，组织开展了绩效评价工作。通过收集绩效数据、问卷调查、实地调研等方式，对各个项目和股室的绩效目标实现情况进行了全面评价。</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评价结果客观公正。绩效评价工作严格按照规定的程序和方法进行，确保评价结果的客观公正。评价结果分为优秀、良好、合格和不合格四个等级，对于评价结果为优秀和良好的项目和股室给予表彰和奖励，对于评价结果为不合格的项目和股室要求立行整改。</w:t>
      </w:r>
    </w:p>
    <w:p>
      <w:pPr>
        <w:keepNext w:val="0"/>
        <w:keepLines w:val="0"/>
        <w:pageBreakBefore w:val="0"/>
        <w:widowControl/>
        <w:kinsoku/>
        <w:wordWrap/>
        <w:overflowPunct/>
        <w:topLinePunct w:val="0"/>
        <w:autoSpaceDE/>
        <w:autoSpaceDN/>
        <w:bidi w:val="0"/>
        <w:adjustRightInd w:val="0"/>
        <w:snapToGrid w:val="0"/>
        <w:spacing w:line="576" w:lineRule="exact"/>
        <w:ind w:left="0" w:firstLine="640" w:firstLineChars="200"/>
        <w:contextualSpacing/>
        <w:jc w:val="left"/>
        <w:textAlignment w:val="auto"/>
        <w:rPr>
          <w:rFonts w:hint="eastAsia" w:ascii="仿宋_GB2312" w:hAnsi="仿宋_GB2312" w:eastAsia="仿宋_GB2312" w:cs="仿宋_GB2312"/>
          <w:b/>
          <w:color w:val="000000"/>
          <w:sz w:val="32"/>
          <w:szCs w:val="32"/>
        </w:rPr>
      </w:pPr>
      <w:r>
        <w:rPr>
          <w:rFonts w:hint="eastAsia" w:ascii="仿宋_GB2312" w:hAnsi="仿宋_GB2312" w:eastAsia="仿宋_GB2312" w:cs="仿宋_GB2312"/>
          <w:sz w:val="32"/>
          <w:szCs w:val="32"/>
          <w:lang w:val="en-US" w:eastAsia="zh-CN"/>
        </w:rPr>
        <w:t>应用评价结果。将绩效评价结果作为下一年度预算安排的重要依据，对于绩效评价结果优秀的项目和股室给予优先支持和保障，对于绩效评价结果不合格的项目和股室减少或取消预算安排。同时，将绩效评价结果向社会公开，接受社会监督。</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96613"/>
      <w:bookmarkStart w:id="52" w:name="_Toc15377225"/>
    </w:p>
    <w:p>
      <w:pPr>
        <w:pStyle w:val="2"/>
        <w:rPr>
          <w:rFonts w:hint="eastAsia" w:ascii="Times New Roman" w:hAnsi="Times New Roman" w:eastAsia="黑体"/>
          <w:color w:val="auto"/>
          <w:sz w:val="44"/>
          <w:szCs w:val="44"/>
          <w:highlight w:val="none"/>
        </w:rPr>
      </w:pPr>
    </w:p>
    <w:p>
      <w:pPr>
        <w:rPr>
          <w:rFonts w:hint="eastAsia" w:ascii="Times New Roman" w:hAnsi="Times New Roman" w:eastAsia="黑体"/>
          <w:color w:val="auto"/>
          <w:sz w:val="44"/>
          <w:szCs w:val="44"/>
          <w:highlight w:val="none"/>
        </w:rPr>
      </w:pPr>
    </w:p>
    <w:p>
      <w:pPr>
        <w:pStyle w:val="2"/>
        <w:rPr>
          <w:rFonts w:hint="eastAsia" w:ascii="Times New Roman" w:hAnsi="Times New Roman" w:eastAsia="黑体"/>
          <w:color w:val="auto"/>
          <w:sz w:val="44"/>
          <w:szCs w:val="44"/>
          <w:highlight w:val="none"/>
        </w:rPr>
      </w:pPr>
    </w:p>
    <w:p>
      <w:pPr>
        <w:rPr>
          <w:rFonts w:hint="eastAsi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机关事业单位实施养老保险制度由单位缴纳的基本养老保险费支出。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2080506</w:t>
      </w:r>
      <w:r>
        <w:rPr>
          <w:rFonts w:hint="eastAsia" w:ascii="Times New Roman" w:hAnsi="Times New Roman" w:eastAsia="仿宋_GB2312" w:cs="仿宋_GB2312"/>
          <w:color w:val="auto"/>
          <w:kern w:val="2"/>
          <w:sz w:val="32"/>
          <w:szCs w:val="32"/>
          <w:highlight w:val="none"/>
          <w:lang w:val="en-US" w:eastAsia="zh-CN" w:bidi="ar-SA"/>
        </w:rPr>
        <w:t>）：指</w:t>
      </w:r>
      <w:r>
        <w:rPr>
          <w:rFonts w:hint="eastAsia" w:eastAsia="仿宋_GB2312" w:cs="仿宋_GB2312"/>
          <w:color w:val="auto"/>
          <w:kern w:val="2"/>
          <w:sz w:val="32"/>
          <w:szCs w:val="32"/>
          <w:highlight w:val="none"/>
          <w:lang w:val="en-US" w:eastAsia="zh-CN" w:bidi="ar-SA"/>
        </w:rPr>
        <w:t>机关事业单位实施养老保险制度由单位实际缴纳的职业年金支出。</w:t>
      </w:r>
    </w:p>
    <w:p>
      <w:pPr>
        <w:pStyle w:val="14"/>
        <w:rPr>
          <w:rFonts w:hint="eastAsia"/>
          <w:lang w:val="en-US" w:eastAsia="zh-CN"/>
        </w:rPr>
      </w:pP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卫生健康（210）行政事业单位医疗（21011）行政单位医疗（2101101）：反映财政部门安排的行政单位基本医疗保险缴费经费，未参加医疗保险的行政单位的公费医疗经费，按国家规定享受离休人员、红军老战士待遇人员的医疗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12.节能环保（211）环境保护管理事务（21101）行政运行（2110101）：反映行政单位（包括实行公务员管理的事业单位）的基本支出。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.节能环保（211）环境保护管理事务（21101）生态环境保护宣传（2110104）：反映生态环境部门环境保护宣传教育方面支出。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节能环保（211）环境保护管理事务（21101）生态环境保护行政许可（2110107）：反映生态环境部门经法律法规设定和经国务院批准的行政许可管理支出，如建设项目环境影响评价审批、排污许可、危险废物经营许可等行政许可管理及相关技术支持等方面的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.节能环保（</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环境保护管理事务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其他环境保护管理事务支出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2110199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：反映除上述项目以外其他用于环境保护管理事务方面的支出。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.节能环保（</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环境保护管理事务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其他环境监测与监察支出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2110299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：反映除上述项目以外其他用于环境监测与监察方面的支出。</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.节能环保（</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环境保护管理事务</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农村环境保护</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2110402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反映用于农村环境保护方面的支出。有关事项包括：农村环境综合整治，如生活垃圾、污水处理，农村饮用水源地监测与保护等；小城镇环境保护，如小城镇环境保护能力建设及环境基础设施建设，环境优美乡镇级生态村创建等；农用化学品（化肥、农药、农膜等）污染防治、畜禽养殖污染防治、土壤污染防治；农产品产地环境监测与监管，有机食品基地建设与管理，秸秆等农业废弃物综合利用；农村环境保护能力建设、宣教、试点示范等。</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住房改革支出</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2210201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9"/>
          <w:rFonts w:hint="eastAsia" w:ascii="Times New Roman" w:hAnsi="Times New Roman" w:eastAsia="黑体"/>
          <w:b w:val="0"/>
          <w:color w:val="auto"/>
          <w:highlight w:val="none"/>
          <w:lang w:eastAsia="zh-CN"/>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6" w:lineRule="exact"/>
        <w:ind w:left="640" w:leftChars="0" w:hanging="640" w:hangingChars="200"/>
        <w:jc w:val="left"/>
        <w:textAlignment w:val="auto"/>
        <w:outlineLvl w:val="0"/>
        <w:rPr>
          <w:rFonts w:hint="default"/>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jc w:val="left"/>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color w:val="000000"/>
          <w:kern w:val="0"/>
          <w:sz w:val="32"/>
          <w:szCs w:val="32"/>
        </w:rPr>
        <w:t>阿坝州九寨沟生态环境局是阿坝州生态环境局派出部门，为正科级（下设事业编制阿坝州九寨沟环境监测站）。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楷体_GB2312" w:cs="楷体_GB2312"/>
          <w:b/>
          <w:color w:val="auto"/>
          <w:sz w:val="32"/>
          <w:szCs w:val="32"/>
          <w:highlight w:val="none"/>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一、党政办。</w:t>
      </w:r>
      <w:r>
        <w:rPr>
          <w:rFonts w:hint="eastAsia" w:ascii="仿宋_GB2312" w:hAnsi="仿宋_GB2312" w:eastAsia="仿宋_GB2312" w:cs="仿宋_GB2312"/>
          <w:color w:val="auto"/>
          <w:kern w:val="2"/>
          <w:sz w:val="32"/>
          <w:szCs w:val="32"/>
          <w:lang w:val="en-US" w:eastAsia="zh-CN" w:bidi="ar-SA"/>
        </w:rPr>
        <w:t>负责机关文电、会务、档案、机要、机关党建等日常运转工作。负责起草综合性文稿。承担保密、绩效管理、信息、政务公开、爱国卫生、安全保卫、机关信访、内控、财务工资、资产管理和后勤保障等工作。承担局行政执法监督、机关规范性文件的合法性审查、机关信息网络建设、管理和安全工作。拟订机关工作制度并监督执行。组织协调政务督查、内部目标考核、政务信息专报。组织办理人大代表建议、政协委员提案、综合性会议、公务接待等工作。承担行政处罚法制审查、机关财务、国有资产管理、政府采购、食堂日常管理工作。承担局党组的日常工作。参与和推动绿色采购，承担机关干部人事、机构编制、人事档案、退休人员管理、人才队伍建设等工作。承担机关班子建设、领导干部选任、干部培训教育、考核和监督管理工作。承担干部兼职出国（境）、个人事项查核等干部监督日常工作。归口管理生态环境保护行政奖励工作，承担生态环境保护社会表彰。负责本单位专业技术资格与职务评聘、双拥工作。承担机关党建、脱贫攻坚。群团、妇儿工委、统一战线、民族团结工作。负责局意识形态、党风廉政建设和纪检监察工作。对口政治巡视巡察工作。负责党的建设和精神文明建设（文明城市创建）、作风建设工作、组织开展本单位行政效能监督检查，负责审计相关工作。组织开展重大专题调研，负责重大政策建议。承担宣传教育工作，负责新闻审核和发布，组织开展生态文明建设和环境友好型社会建设宣传教育。承担涉及本股室的资金分配、项目管理相关工作，承担涉及本股室的财政专项资金项目监督检查工作。积极完成局领导交办的其他事项工作。对应州局办公室、科技人事和项目管理科（人事方面）、党的建设与宣传教育科。</w:t>
      </w:r>
    </w:p>
    <w:p>
      <w:pPr>
        <w:pStyle w:val="7"/>
        <w:numPr>
          <w:ilvl w:val="0"/>
          <w:numId w:val="0"/>
        </w:numPr>
        <w:ind w:firstLine="630" w:firstLineChars="196"/>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二、执法中队。</w:t>
      </w:r>
      <w:r>
        <w:rPr>
          <w:rFonts w:hint="eastAsia" w:ascii="仿宋_GB2312" w:hAnsi="仿宋_GB2312" w:eastAsia="仿宋_GB2312" w:cs="仿宋_GB2312"/>
          <w:color w:val="auto"/>
          <w:kern w:val="2"/>
          <w:sz w:val="32"/>
          <w:szCs w:val="32"/>
          <w:lang w:val="en-US" w:eastAsia="zh-CN" w:bidi="ar-SA"/>
        </w:rPr>
        <w:t>承担行政权力运行、行政处罚内部审查、行政复议应诉调解应对准备、督察、辐测管理监督检查等工作。拟订并组织实施生态环境损害赔偿、环境信用体系建设等制度。承担本单位权责清单制度建设、动态调整等工作。拟定生态环境保护综合行政执法工作标准和规范并监督实施。组织开展区域生态环境综合行政执法工作。负责生态领域案件查处和跨区域执法的组织协调。承担重点环境监管重点单位名录管理工作。承担环境信息依法披露的组织实施和监督管理。组织拟订并监督实施突发生态环境事件和生态破坏事件应急预案，监督指导企业的环境应急工作，组织协调突发生态环境事件应急处置及后续有关工作。负责信访、维稳、综治、禁毒、法治政府、依法治县、安全生产（生态环境安全、食品安全、扫黑除恶、森林草原防灭火等全部安全工作）等工作，牵头协调环境社会风险防范化解工作。承担辐射环境事故应急准备和响应，参与核事故应急处理和核与辐射恐怖事件的防范和处置。负责组织协调迎接中央、省生态环境保护督察，组织拟定贯彻落实中央、省生态环境保护督察反馈意见整改方案并监督实施。贯彻落实中央、省、州生态环境保护决策部署情况。承担涉及本股室的生态环境领域固定资产投资和资金项目管理相关工作，承担涉及本股室的财政专项资金分配、项目监督检查工作。积极完成局领导交办的其他事项工作。对应州局法规与执法监督科、监测应急与核辐射安全管理科、综合规划与督察整改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三、环境监测站。</w:t>
      </w:r>
      <w:r>
        <w:rPr>
          <w:rFonts w:hint="eastAsia" w:ascii="仿宋_GB2312" w:hAnsi="仿宋_GB2312" w:eastAsia="仿宋_GB2312" w:cs="仿宋_GB2312"/>
          <w:color w:val="auto"/>
          <w:kern w:val="2"/>
          <w:sz w:val="32"/>
          <w:szCs w:val="32"/>
          <w:lang w:val="en-US" w:eastAsia="zh-CN" w:bidi="ar-SA"/>
        </w:rPr>
        <w:t>承担生态环境监测网的建设和管理，统一规划生态环境质量监测站点设置，组织实施生态环境质量监测、污染源监督性监测、温室气体减排监测、应急监测和辐射环境监测，调查评价生态环境质量状况并进行预警预测，制定并实施生态环境质量公告制度。组织开展生态环境统计、重点生态功能区考核工作。参与核与辐射设施安全、污染防治监督管理。参与涉及站的生态环境领域固定资产投资和资金项目管理相关工作，承担涉及本股室的财政专项资金分配、项目包装谋划工作，负责环境科学技术研讨与运用。积极完成局领导交办的其他事项工作。对应驻州环境监测中心站和监测应急与核辐射安全管理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四、生态环境保护和治理股</w:t>
      </w:r>
      <w:r>
        <w:rPr>
          <w:rFonts w:hint="eastAsia" w:ascii="仿宋_GB2312" w:hAnsi="仿宋_GB2312" w:eastAsia="仿宋_GB2312" w:cs="仿宋_GB2312"/>
          <w:color w:val="auto"/>
          <w:kern w:val="2"/>
          <w:sz w:val="32"/>
          <w:szCs w:val="32"/>
          <w:lang w:val="en-US" w:eastAsia="zh-CN" w:bidi="ar-SA"/>
        </w:rPr>
        <w:t>。承担自然保护地、生态保护红线相关监管工作、水与土壤生态环境、生态环境规划工作。开展生态环境保护成效评估，组织、负责各类生态示范创建。组织监督实施各类自然保护地监管制度的执行，监督野生动植物保护、湿地生态环境保护、荒漠化防治等工作。负责农村生态环境综合整治，承担农村生态环境保护。负责生态环境安全工作，监督生物技术环境安全，牵头生物物种（含遗传资源）管理工作，生物多样性保护工作。生态环保产业发展和生态保护补偿。监督协调有机食品发展。负责统筹“美丽阿坝”建设。编制并实施饮用水水源地生态环境规划，负责饮用水水源地生态环境保护、地下水监管工作。参与实施乡村振兴战略和脱贫攻坚，承担生态扶贫、川西北生态示范区考核、林长制相关工作。负责地表水生态环境监管工作。拟订并监督实施重点流域生态环境规划。组织编制水功能区划，确定水体纳污能力。组织实施跨县（市）界水体断面水质考核制度。承担排污口设置管理工作。组织实施水污染防治行动计划。负责水环境质量和水污染防治工作，定期通报水资源保护与水污染防治有关情况，发布水环境质量信息，监督防止地下水污染。承担河（湖）长制相关工作。负责土壤污染防治和生态保护的监督管理。组织实施土壤污染防治行动计划。承担污染地块的污染防治监督管理、土壤污染防治综合性工作。承担农用地土壤污染防治和生态保护监督管理等工作。承担农业面源污染治理，田长制、质量强县相关工作。组织开展强制性清洁生产审核、循环经济。负责大气生态环境与固体废物管理工作。承担气候变化相关工作。组织实施清洁发展机制相关工作。负责大气、噪声、光、化石能源等污染防治的监督管理。拟订并组织实施大气环境质量保持和改善目标落实情况考核制度。组织实施大气污染防治行动计划。组织拟订重污染天气应对政策措施，组织协调大气面源污染防治工作，监督实施区域大气污染联防联控。负责固体废物、化学品、重金属等污染防治的监督管理。组织实施危险废物经营许可环境管理制度，监督管理危险废物的处置。承担新化学物质生产、加工使用活动的环境监督管理工作。承担我县负责的相关国际公约国内履约工作。负责污染源普查，承担污染物排放总量控制、排污权交易综合协调和管理，承担总量减排目标分解及监督考核。负责生态环境保护规划，协调和审核生态环境专项规划。实施生态环境保护目标责任制。参与推进长江经济带发展有关工作，参与涉及本股室的财政专项资金项目监督检查工作。积极完成局领导交办的其他事项工作。对应州局生态保护与农村环境科、水与土壤生态环境科、大气生态环境与固体废物管理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五、行政审批和资金项目管理股。</w:t>
      </w:r>
      <w:r>
        <w:rPr>
          <w:rFonts w:hint="eastAsia" w:ascii="仿宋_GB2312" w:hAnsi="仿宋_GB2312" w:eastAsia="仿宋_GB2312" w:cs="仿宋_GB2312"/>
          <w:color w:val="auto"/>
          <w:kern w:val="2"/>
          <w:sz w:val="32"/>
          <w:szCs w:val="32"/>
          <w:lang w:val="en-US" w:eastAsia="zh-CN" w:bidi="ar-SA"/>
        </w:rPr>
        <w:t>负责全局项目资金管理及项目跟进实施工作，牵头负责县域内生态环境治理项目的谋划和包装，推进本单位政府职能转变、优化政府服务提升行政效能、行政审批制度改革工作。优化营商环境，承担审批服务便民化有关工作，推进审批服务事项纳入一体化政务服务平台。拟订并组织实施生态环境准入审查、审批工作。组织开展区域空间生态环境影响评价和建设项目环境影响后评价。监督实施建设项目生态环境保护设施“三同时”制度。承担排污许可综合协调和管理工作。承担涉及本股室的生态环境领域固定资产投资和资金项目管理相关工作，承担涉及本股室的生态环境保护局参与分配的财政专项资金项目监督检查工作。积极完成局领导交办的其他事项工作。对应州局行政审批与环境影响评价科、科技人事和项目管理科。</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spacing w:line="576" w:lineRule="exact"/>
        <w:ind w:firstLine="643" w:firstLineChars="200"/>
        <w:textAlignment w:val="auto"/>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color w:val="auto"/>
          <w:sz w:val="32"/>
          <w:szCs w:val="32"/>
        </w:rPr>
        <w:t>全局编制数为</w:t>
      </w:r>
      <w:r>
        <w:rPr>
          <w:rFonts w:hint="eastAsia" w:ascii="仿宋_GB2312" w:hAnsi="仿宋_GB2312" w:eastAsia="仿宋_GB2312" w:cs="仿宋_GB2312"/>
          <w:color w:val="auto"/>
          <w:sz w:val="32"/>
          <w:szCs w:val="32"/>
          <w:lang w:val="en-US" w:eastAsia="zh-CN"/>
        </w:rPr>
        <w:t>32</w:t>
      </w:r>
      <w:r>
        <w:rPr>
          <w:rFonts w:hint="eastAsia" w:ascii="仿宋_GB2312" w:hAnsi="仿宋_GB2312" w:eastAsia="仿宋_GB2312" w:cs="仿宋_GB2312"/>
          <w:color w:val="auto"/>
          <w:sz w:val="32"/>
          <w:szCs w:val="32"/>
        </w:rPr>
        <w:t>人，其中公务员编制数3人，参公编制数</w:t>
      </w:r>
      <w:r>
        <w:rPr>
          <w:rFonts w:hint="eastAsia" w:ascii="仿宋_GB2312" w:hAnsi="仿宋_GB2312" w:eastAsia="仿宋_GB2312" w:cs="仿宋_GB2312"/>
          <w:color w:val="auto"/>
          <w:sz w:val="32"/>
          <w:szCs w:val="32"/>
          <w:lang w:val="en-US" w:eastAsia="zh-CN"/>
        </w:rPr>
        <w:t>17</w:t>
      </w:r>
      <w:r>
        <w:rPr>
          <w:rFonts w:hint="eastAsia" w:ascii="仿宋_GB2312" w:hAnsi="仿宋_GB2312" w:eastAsia="仿宋_GB2312" w:cs="仿宋_GB2312"/>
          <w:color w:val="auto"/>
          <w:sz w:val="32"/>
          <w:szCs w:val="32"/>
        </w:rPr>
        <w:t>人，事业编制数</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人。截</w:t>
      </w:r>
      <w:r>
        <w:rPr>
          <w:rFonts w:hint="eastAsia" w:ascii="仿宋_GB2312" w:hAnsi="仿宋_GB2312" w:eastAsia="仿宋_GB2312" w:cs="仿宋_GB2312"/>
          <w:color w:val="auto"/>
          <w:sz w:val="32"/>
          <w:szCs w:val="32"/>
          <w:lang w:val="en-US" w:eastAsia="zh-CN"/>
        </w:rPr>
        <w:t>至2025年12月</w:t>
      </w:r>
      <w:r>
        <w:rPr>
          <w:rFonts w:hint="eastAsia" w:ascii="仿宋_GB2312" w:hAnsi="仿宋_GB2312" w:eastAsia="仿宋_GB2312" w:cs="仿宋_GB2312"/>
          <w:color w:val="auto"/>
          <w:sz w:val="32"/>
          <w:szCs w:val="32"/>
        </w:rPr>
        <w:t>，全局实有人员2</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名，其中行政</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名，参公</w:t>
      </w:r>
      <w:r>
        <w:rPr>
          <w:rFonts w:hint="eastAsia" w:ascii="仿宋_GB2312" w:hAnsi="仿宋_GB2312" w:eastAsia="仿宋_GB2312" w:cs="仿宋_GB2312"/>
          <w:color w:val="auto"/>
          <w:sz w:val="32"/>
          <w:szCs w:val="32"/>
          <w:lang w:val="en-US" w:eastAsia="zh-CN"/>
        </w:rPr>
        <w:t>13</w:t>
      </w:r>
      <w:r>
        <w:rPr>
          <w:rFonts w:hint="eastAsia" w:ascii="仿宋_GB2312" w:hAnsi="仿宋_GB2312" w:eastAsia="仿宋_GB2312" w:cs="仿宋_GB2312"/>
          <w:color w:val="auto"/>
          <w:sz w:val="32"/>
          <w:szCs w:val="32"/>
        </w:rPr>
        <w:t>名、事业专业技术人员1</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名。</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sz w:val="32"/>
          <w:szCs w:val="32"/>
          <w:lang w:eastAsia="zh-CN"/>
        </w:rPr>
        <w:t>（一）收入情况：</w:t>
      </w:r>
      <w:r>
        <w:rPr>
          <w:rFonts w:hint="eastAsia" w:ascii="仿宋_GB2312" w:hAnsi="仿宋_GB2312" w:eastAsia="仿宋_GB2312" w:cs="仿宋_GB2312"/>
          <w:sz w:val="32"/>
          <w:szCs w:val="32"/>
        </w:rPr>
        <w:t>我单位</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年总收入</w:t>
      </w:r>
      <w:r>
        <w:rPr>
          <w:rFonts w:hint="eastAsia" w:eastAsia="仿宋_GB2312" w:cs="仿宋_GB2312"/>
          <w:color w:val="auto"/>
          <w:sz w:val="32"/>
          <w:szCs w:val="32"/>
          <w:highlight w:val="none"/>
          <w:lang w:val="en-US" w:eastAsia="zh-CN"/>
        </w:rPr>
        <w:t>1091.79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1990.03</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64.57</w:t>
      </w:r>
      <w:r>
        <w:rPr>
          <w:rFonts w:hint="eastAsia" w:ascii="Times New Roman" w:hAnsi="Times New Roman" w:eastAsia="仿宋_GB2312" w:cs="仿宋_GB2312"/>
          <w:color w:val="auto"/>
          <w:sz w:val="32"/>
          <w:szCs w:val="32"/>
          <w:highlight w:val="none"/>
        </w:rPr>
        <w:t>%。主要变动原因是嘉陵江流域白水江九寨沟县县城上游段水生态保护修复项目</w:t>
      </w:r>
      <w:r>
        <w:rPr>
          <w:rFonts w:hint="eastAsia" w:eastAsia="仿宋_GB2312" w:cs="仿宋_GB2312"/>
          <w:color w:val="auto"/>
          <w:sz w:val="32"/>
          <w:szCs w:val="32"/>
          <w:highlight w:val="none"/>
          <w:lang w:eastAsia="zh-CN"/>
        </w:rPr>
        <w:t>支付进度缓慢同比昨年下降</w:t>
      </w:r>
      <w:r>
        <w:rPr>
          <w:rFonts w:hint="eastAsia" w:eastAsia="仿宋_GB2312" w:cs="仿宋_GB2312"/>
          <w:color w:val="auto"/>
          <w:sz w:val="32"/>
          <w:szCs w:val="32"/>
          <w:highlight w:val="none"/>
          <w:lang w:val="en-US" w:eastAsia="zh-CN"/>
        </w:rPr>
        <w:t>63.57%，嘉陵江流域白水江九寨沟县县城下游段水生态保护修复项目</w:t>
      </w:r>
      <w:r>
        <w:rPr>
          <w:rFonts w:hint="eastAsia" w:eastAsia="仿宋_GB2312" w:cs="仿宋_GB2312"/>
          <w:color w:val="auto"/>
          <w:sz w:val="32"/>
          <w:szCs w:val="32"/>
          <w:highlight w:val="none"/>
          <w:lang w:eastAsia="zh-CN"/>
        </w:rPr>
        <w:t>资金下达</w:t>
      </w:r>
      <w:r>
        <w:rPr>
          <w:rFonts w:hint="eastAsia" w:eastAsia="仿宋_GB2312" w:cs="仿宋_GB2312"/>
          <w:color w:val="auto"/>
          <w:sz w:val="32"/>
          <w:szCs w:val="32"/>
          <w:highlight w:val="none"/>
          <w:lang w:val="en-US" w:eastAsia="zh-CN"/>
        </w:rPr>
        <w:t>1408万元，支付19.13万元，剩余资金财政收回。</w:t>
      </w:r>
    </w:p>
    <w:p>
      <w:pPr>
        <w:keepNext w:val="0"/>
        <w:keepLines w:val="0"/>
        <w:pageBreakBefore w:val="0"/>
        <w:widowControl/>
        <w:numPr>
          <w:ilvl w:val="0"/>
          <w:numId w:val="3"/>
        </w:numPr>
        <w:kinsoku/>
        <w:wordWrap/>
        <w:overflowPunct/>
        <w:topLinePunct w:val="0"/>
        <w:autoSpaceDE/>
        <w:autoSpaceDN/>
        <w:bidi w:val="0"/>
        <w:adjustRightInd w:val="0"/>
        <w:snapToGrid w:val="0"/>
        <w:spacing w:line="576" w:lineRule="exact"/>
        <w:ind w:left="0" w:leftChars="0" w:firstLine="643" w:firstLineChars="200"/>
        <w:jc w:val="left"/>
        <w:textAlignment w:val="auto"/>
        <w:outlineLvl w:val="2"/>
        <w:rPr>
          <w:rFonts w:hint="default" w:ascii="仿宋_GB2312" w:hAnsi="仿宋_GB2312" w:eastAsia="仿宋_GB2312" w:cs="仿宋_GB2312"/>
          <w:color w:val="000000"/>
          <w:kern w:val="0"/>
          <w:sz w:val="32"/>
          <w:szCs w:val="32"/>
          <w:lang w:val="en-US" w:eastAsia="zh-CN"/>
        </w:rPr>
      </w:pPr>
      <w:bookmarkStart w:id="55" w:name="_Toc7421"/>
      <w:r>
        <w:rPr>
          <w:rFonts w:hint="eastAsia" w:ascii="仿宋_GB2312" w:hAnsi="仿宋_GB2312" w:eastAsia="仿宋_GB2312" w:cs="仿宋_GB2312"/>
          <w:b/>
          <w:bCs/>
          <w:color w:val="000000"/>
          <w:kern w:val="0"/>
          <w:sz w:val="32"/>
          <w:szCs w:val="32"/>
          <w:shd w:val="clear" w:color="auto" w:fill="FFFFFF"/>
          <w:lang w:val="zh-CN"/>
        </w:rPr>
        <w:t>支出情况</w:t>
      </w:r>
      <w:bookmarkEnd w:id="55"/>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rPr>
        <w:t>我单位202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w:t>
      </w:r>
      <w:bookmarkStart w:id="56" w:name="_Hlk173248441"/>
      <w:r>
        <w:rPr>
          <w:rFonts w:hint="eastAsia" w:ascii="仿宋_GB2312" w:hAnsi="仿宋_GB2312" w:eastAsia="仿宋_GB2312" w:cs="仿宋_GB2312"/>
          <w:color w:val="000000"/>
          <w:kern w:val="0"/>
          <w:sz w:val="32"/>
          <w:szCs w:val="32"/>
          <w:lang w:eastAsia="zh-CN"/>
        </w:rPr>
        <w:t>总支出</w:t>
      </w:r>
      <w:r>
        <w:rPr>
          <w:rFonts w:hint="eastAsia" w:eastAsia="仿宋_GB2312" w:cs="仿宋_GB2312"/>
          <w:color w:val="auto"/>
          <w:sz w:val="32"/>
          <w:szCs w:val="32"/>
          <w:highlight w:val="none"/>
          <w:lang w:val="en-US" w:eastAsia="zh-CN"/>
        </w:rPr>
        <w:t>1091.79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减少</w:t>
      </w:r>
      <w:r>
        <w:rPr>
          <w:rFonts w:hint="eastAsia" w:eastAsia="仿宋_GB2312" w:cs="仿宋_GB2312"/>
          <w:color w:val="auto"/>
          <w:sz w:val="32"/>
          <w:szCs w:val="32"/>
          <w:highlight w:val="none"/>
          <w:lang w:val="en-US" w:eastAsia="zh-CN"/>
        </w:rPr>
        <w:t>1990.03</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64.57</w:t>
      </w:r>
      <w:r>
        <w:rPr>
          <w:rFonts w:hint="eastAsia" w:ascii="Times New Roman" w:hAnsi="Times New Roman" w:eastAsia="仿宋_GB2312" w:cs="仿宋_GB2312"/>
          <w:color w:val="auto"/>
          <w:sz w:val="32"/>
          <w:szCs w:val="32"/>
          <w:highlight w:val="none"/>
        </w:rPr>
        <w:t>%。主要变动原因是嘉陵江流域白水江九寨沟县县城上游段水生态保护修复项目</w:t>
      </w:r>
      <w:r>
        <w:rPr>
          <w:rFonts w:hint="eastAsia" w:eastAsia="仿宋_GB2312" w:cs="仿宋_GB2312"/>
          <w:color w:val="auto"/>
          <w:sz w:val="32"/>
          <w:szCs w:val="32"/>
          <w:highlight w:val="none"/>
          <w:lang w:eastAsia="zh-CN"/>
        </w:rPr>
        <w:t>支付进度缓慢同比昨年下降</w:t>
      </w:r>
      <w:r>
        <w:rPr>
          <w:rFonts w:hint="eastAsia" w:eastAsia="仿宋_GB2312" w:cs="仿宋_GB2312"/>
          <w:color w:val="auto"/>
          <w:sz w:val="32"/>
          <w:szCs w:val="32"/>
          <w:highlight w:val="none"/>
          <w:lang w:val="en-US" w:eastAsia="zh-CN"/>
        </w:rPr>
        <w:t>63.57%，嘉陵江流域白水江九寨沟县县城下游段水生态保护修复项目</w:t>
      </w:r>
      <w:r>
        <w:rPr>
          <w:rFonts w:hint="eastAsia" w:eastAsia="仿宋_GB2312" w:cs="仿宋_GB2312"/>
          <w:color w:val="auto"/>
          <w:sz w:val="32"/>
          <w:szCs w:val="32"/>
          <w:highlight w:val="none"/>
          <w:lang w:eastAsia="zh-CN"/>
        </w:rPr>
        <w:t>资金下达</w:t>
      </w:r>
      <w:r>
        <w:rPr>
          <w:rFonts w:hint="eastAsia" w:eastAsia="仿宋_GB2312" w:cs="仿宋_GB2312"/>
          <w:color w:val="auto"/>
          <w:sz w:val="32"/>
          <w:szCs w:val="32"/>
          <w:highlight w:val="none"/>
          <w:lang w:val="en-US" w:eastAsia="zh-CN"/>
        </w:rPr>
        <w:t>1408万元，支付19.13万元，剩余资金财政收回。</w:t>
      </w:r>
    </w:p>
    <w:bookmarkEnd w:id="56"/>
    <w:p>
      <w:pPr>
        <w:keepNext w:val="0"/>
        <w:keepLines w:val="0"/>
        <w:pageBreakBefore w:val="0"/>
        <w:widowControl/>
        <w:numPr>
          <w:ilvl w:val="0"/>
          <w:numId w:val="3"/>
        </w:numPr>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outlineLvl w:val="2"/>
        <w:rPr>
          <w:rFonts w:hint="eastAsia" w:ascii="仿宋_GB2312" w:hAnsi="仿宋_GB2312" w:eastAsia="仿宋_GB2312" w:cs="仿宋_GB2312"/>
          <w:color w:val="000000"/>
          <w:kern w:val="0"/>
          <w:sz w:val="32"/>
          <w:szCs w:val="32"/>
          <w:shd w:val="clear" w:color="auto" w:fill="FFFFFF"/>
          <w:lang w:val="zh-CN"/>
        </w:rPr>
      </w:pPr>
      <w:bookmarkStart w:id="57" w:name="_Toc32335"/>
      <w:r>
        <w:rPr>
          <w:rFonts w:hint="eastAsia" w:ascii="仿宋_GB2312" w:hAnsi="仿宋_GB2312" w:eastAsia="仿宋_GB2312" w:cs="仿宋_GB2312"/>
          <w:b/>
          <w:sz w:val="32"/>
          <w:szCs w:val="32"/>
        </w:rPr>
        <w:t>结余分配和结转结余情况。</w:t>
      </w:r>
      <w:bookmarkEnd w:id="57"/>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年我单位结转</w:t>
      </w:r>
      <w:r>
        <w:rPr>
          <w:rFonts w:hint="eastAsia" w:ascii="仿宋_GB2312" w:hAnsi="仿宋_GB2312" w:eastAsia="仿宋_GB2312" w:cs="仿宋_GB2312"/>
          <w:sz w:val="32"/>
          <w:szCs w:val="32"/>
          <w:lang w:val="en-US" w:eastAsia="zh-CN"/>
        </w:rPr>
        <w:t>2.25万元，为以前年度项目资金转财政代管，待项目完工后完成资金支付</w:t>
      </w:r>
      <w:r>
        <w:rPr>
          <w:rFonts w:hint="eastAsia" w:ascii="仿宋_GB2312" w:hAnsi="仿宋_GB2312" w:eastAsia="仿宋_GB2312" w:cs="仿宋_GB2312"/>
          <w:sz w:val="32"/>
          <w:szCs w:val="32"/>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firstLine="600" w:firstLineChars="200"/>
        <w:contextualSpacing/>
        <w:jc w:val="left"/>
        <w:textAlignment w:val="auto"/>
        <w:outlineLvl w:val="9"/>
        <w:rPr>
          <w:rFonts w:hint="default" w:ascii="Times New Roman" w:hAnsi="Times New Roman" w:eastAsia="黑体" w:cs="Times New Roman"/>
          <w:color w:val="000000"/>
          <w:kern w:val="0"/>
          <w:sz w:val="30"/>
          <w:szCs w:val="30"/>
          <w:highlight w:val="none"/>
          <w:shd w:val="clear" w:color="auto" w:fill="FFFFFF"/>
          <w:lang w:val="zh-CN" w:eastAsia="zh-CN"/>
        </w:rPr>
      </w:pPr>
      <w:r>
        <w:rPr>
          <w:rFonts w:hint="default" w:ascii="Times New Roman" w:hAnsi="Times New Roman" w:eastAsia="黑体" w:cs="Times New Roman"/>
          <w:color w:val="000000"/>
          <w:kern w:val="0"/>
          <w:sz w:val="30"/>
          <w:szCs w:val="30"/>
          <w:highlight w:val="none"/>
          <w:shd w:val="clear" w:color="auto" w:fill="FFFFFF"/>
          <w:lang w:val="zh-CN" w:eastAsia="zh-CN"/>
        </w:rPr>
        <w:t>三、部门预算绩效分析</w:t>
      </w:r>
    </w:p>
    <w:p>
      <w:pPr>
        <w:keepNext w:val="0"/>
        <w:keepLines w:val="0"/>
        <w:pageBreakBefore w:val="0"/>
        <w:kinsoku/>
        <w:wordWrap/>
        <w:overflowPunct/>
        <w:topLinePunct w:val="0"/>
        <w:autoSpaceDE/>
        <w:autoSpaceDN/>
        <w:bidi w:val="0"/>
        <w:adjustRightInd w:val="0"/>
        <w:snapToGrid w:val="0"/>
        <w:spacing w:line="560" w:lineRule="exact"/>
        <w:ind w:leftChars="0" w:firstLine="602" w:firstLineChars="200"/>
        <w:contextualSpacing/>
        <w:jc w:val="left"/>
        <w:textAlignment w:val="auto"/>
        <w:rPr>
          <w:rFonts w:hint="default" w:ascii="Times New Roman" w:hAnsi="Times New Roman" w:eastAsia="楷体_GB2312" w:cs="Times New Roman"/>
          <w:b/>
          <w:bCs/>
          <w:color w:val="000000"/>
          <w:kern w:val="0"/>
          <w:sz w:val="30"/>
          <w:szCs w:val="30"/>
          <w:highlight w:val="none"/>
          <w:shd w:val="clear" w:color="auto" w:fill="FFFFFF"/>
          <w:lang w:val="zh-CN"/>
        </w:rPr>
      </w:pPr>
      <w:r>
        <w:rPr>
          <w:rFonts w:hint="default" w:ascii="Times New Roman" w:hAnsi="Times New Roman" w:eastAsia="楷体_GB2312" w:cs="Times New Roman"/>
          <w:b/>
          <w:bCs/>
          <w:color w:val="000000"/>
          <w:kern w:val="0"/>
          <w:sz w:val="30"/>
          <w:szCs w:val="30"/>
          <w:highlight w:val="none"/>
          <w:shd w:val="clear" w:color="auto" w:fill="FFFFFF"/>
          <w:lang w:val="zh-CN"/>
        </w:rPr>
        <w:t>（一）</w:t>
      </w:r>
      <w:r>
        <w:rPr>
          <w:rFonts w:hint="eastAsia" w:ascii="Times New Roman" w:hAnsi="Times New Roman" w:eastAsia="楷体_GB2312" w:cs="Times New Roman"/>
          <w:b/>
          <w:bCs/>
          <w:color w:val="000000"/>
          <w:kern w:val="0"/>
          <w:sz w:val="30"/>
          <w:szCs w:val="30"/>
          <w:highlight w:val="none"/>
          <w:shd w:val="clear" w:color="auto" w:fill="FFFFFF"/>
          <w:lang w:val="zh-CN"/>
        </w:rPr>
        <w:t>部门预算</w:t>
      </w:r>
      <w:r>
        <w:rPr>
          <w:rFonts w:hint="default" w:ascii="Times New Roman" w:hAnsi="Times New Roman" w:eastAsia="楷体_GB2312" w:cs="Times New Roman"/>
          <w:b/>
          <w:bCs/>
          <w:color w:val="000000"/>
          <w:kern w:val="0"/>
          <w:sz w:val="30"/>
          <w:szCs w:val="30"/>
          <w:highlight w:val="none"/>
          <w:shd w:val="clear" w:color="auto" w:fill="FFFFFF"/>
          <w:lang w:val="zh-CN"/>
        </w:rPr>
        <w:t>总体绩效分析。</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zh-CN"/>
        </w:rPr>
        <w:t>履职效能。</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zh-CN"/>
        </w:rPr>
        <w:t>履行职能基本支出：九寨沟生态环境局、九寨沟生态环境保护中心、九寨沟生态环境保护综合行政执法大队人员工资、保险、工作经费等基本支出，</w:t>
      </w:r>
      <w:r>
        <w:rPr>
          <w:rFonts w:hint="eastAsia" w:ascii="仿宋_GB2312" w:hAnsi="仿宋_GB2312" w:eastAsia="仿宋_GB2312" w:cs="仿宋_GB2312"/>
          <w:color w:val="000000"/>
          <w:kern w:val="0"/>
          <w:sz w:val="32"/>
          <w:szCs w:val="32"/>
          <w:shd w:val="clear" w:color="auto" w:fill="FFFFFF"/>
        </w:rPr>
        <w:t>截止202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年底，按照相关部门要求开展工作，全面完成年度工作目标任务，资金支付率100%，完成效果优。</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color w:val="000000"/>
          <w:spacing w:val="-6"/>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zh-CN"/>
        </w:rPr>
        <w:t>履行职能</w:t>
      </w:r>
      <w:r>
        <w:rPr>
          <w:rFonts w:hint="eastAsia" w:ascii="仿宋_GB2312" w:hAnsi="仿宋_GB2312" w:eastAsia="仿宋_GB2312" w:cs="仿宋_GB2312"/>
          <w:color w:val="000000"/>
          <w:kern w:val="0"/>
          <w:sz w:val="32"/>
          <w:szCs w:val="32"/>
          <w:shd w:val="clear" w:color="auto" w:fill="FFFFFF"/>
        </w:rPr>
        <w:t>项目</w:t>
      </w:r>
      <w:r>
        <w:rPr>
          <w:rFonts w:hint="eastAsia" w:ascii="仿宋_GB2312" w:hAnsi="仿宋_GB2312" w:eastAsia="仿宋_GB2312" w:cs="仿宋_GB2312"/>
          <w:color w:val="000000"/>
          <w:kern w:val="0"/>
          <w:sz w:val="32"/>
          <w:szCs w:val="32"/>
          <w:shd w:val="clear" w:color="auto" w:fill="FFFFFF"/>
          <w:lang w:val="zh-CN"/>
        </w:rPr>
        <w:t>支出：九寨沟县202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lang w:val="zh-CN"/>
        </w:rPr>
        <w:t>年生态环境宣传、生态环境执法检查、开展环境执法应急监测重点污染源监督性监测及监测运维费等专项工作经费</w:t>
      </w:r>
      <w:r>
        <w:rPr>
          <w:rFonts w:hint="eastAsia" w:ascii="仿宋_GB2312" w:hAnsi="仿宋_GB2312" w:eastAsia="仿宋_GB2312" w:cs="仿宋_GB2312"/>
          <w:color w:val="000000"/>
          <w:kern w:val="0"/>
          <w:sz w:val="32"/>
          <w:szCs w:val="32"/>
          <w:shd w:val="clear" w:color="auto" w:fill="FFFFFF"/>
        </w:rPr>
        <w:t>支出，截止202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年底，按照相关要</w:t>
      </w:r>
      <w:r>
        <w:rPr>
          <w:rFonts w:hint="eastAsia" w:ascii="仿宋_GB2312" w:hAnsi="仿宋_GB2312" w:eastAsia="仿宋_GB2312" w:cs="仿宋_GB2312"/>
          <w:color w:val="000000"/>
          <w:spacing w:val="-6"/>
          <w:kern w:val="0"/>
          <w:sz w:val="32"/>
          <w:szCs w:val="32"/>
          <w:shd w:val="clear" w:color="auto" w:fill="FFFFFF"/>
        </w:rPr>
        <w:t>求，全面完成年度工作目标任务，资金支付率100%，完成效果优。</w:t>
      </w:r>
    </w:p>
    <w:p>
      <w:pPr>
        <w:pStyle w:val="2"/>
        <w:keepNext w:val="0"/>
        <w:keepLines w:val="0"/>
        <w:pageBreakBefore w:val="0"/>
        <w:kinsoku/>
        <w:wordWrap/>
        <w:overflowPunct/>
        <w:topLinePunct w:val="0"/>
        <w:autoSpaceDE/>
        <w:autoSpaceDN/>
        <w:bidi w:val="0"/>
        <w:spacing w:after="0"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履行职能项目支出：嘉陵江流域白水江九寨沟县县城上游段水生态保护修复项目上游项目。根据资金到位情况项目（一期）已完工，项目（二期）一标段已完工，项目（二期）二标段已完工，项目（二期）三标段正在建设中</w:t>
      </w:r>
      <w:r>
        <w:rPr>
          <w:rFonts w:hint="eastAsia" w:hAnsi="仿宋_GB2312" w:eastAsia="仿宋_GB2312" w:cs="仿宋_GB2312"/>
          <w:sz w:val="32"/>
          <w:szCs w:val="32"/>
          <w:lang w:eastAsia="zh-CN"/>
        </w:rPr>
        <w:t>。</w:t>
      </w:r>
      <w:r>
        <w:rPr>
          <w:rFonts w:hint="eastAsia" w:ascii="仿宋_GB2312" w:hAnsi="仿宋_GB2312" w:eastAsia="仿宋_GB2312" w:cs="仿宋_GB2312"/>
          <w:sz w:val="32"/>
          <w:szCs w:val="32"/>
        </w:rPr>
        <w:t>资金支付严格按照项目进度进行支付。</w:t>
      </w:r>
    </w:p>
    <w:p>
      <w:pPr>
        <w:pStyle w:val="2"/>
        <w:keepNext w:val="0"/>
        <w:keepLines w:val="0"/>
        <w:pageBreakBefore w:val="0"/>
        <w:kinsoku/>
        <w:wordWrap/>
        <w:overflowPunct/>
        <w:topLinePunct w:val="0"/>
        <w:autoSpaceDE/>
        <w:autoSpaceDN/>
        <w:bidi w:val="0"/>
        <w:spacing w:after="0"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其他收入项目支出：202</w:t>
      </w:r>
      <w:r>
        <w:rPr>
          <w:rFonts w:hint="eastAsia" w:hAnsi="仿宋_GB2312" w:eastAsia="仿宋_GB2312" w:cs="仿宋_GB2312"/>
          <w:sz w:val="32"/>
          <w:szCs w:val="32"/>
          <w:lang w:val="en-US" w:eastAsia="zh-CN"/>
        </w:rPr>
        <w:t>4</w:t>
      </w:r>
      <w:r>
        <w:rPr>
          <w:rFonts w:hint="eastAsia" w:ascii="仿宋_GB2312" w:hAnsi="仿宋_GB2312" w:eastAsia="仿宋_GB2312" w:cs="仿宋_GB2312"/>
          <w:sz w:val="32"/>
          <w:szCs w:val="32"/>
        </w:rPr>
        <w:t>年州财政代管采购项目</w:t>
      </w:r>
      <w:r>
        <w:rPr>
          <w:rFonts w:hint="eastAsia" w:hAnsi="仿宋_GB2312" w:eastAsia="仿宋_GB2312" w:cs="仿宋_GB2312"/>
          <w:sz w:val="32"/>
          <w:szCs w:val="32"/>
          <w:lang w:eastAsia="zh-CN"/>
        </w:rPr>
        <w:t>为</w:t>
      </w:r>
      <w:r>
        <w:rPr>
          <w:rFonts w:hint="eastAsia" w:ascii="仿宋_GB2312" w:hAnsi="仿宋_GB2312" w:eastAsia="仿宋_GB2312" w:cs="仿宋_GB2312"/>
          <w:sz w:val="32"/>
          <w:szCs w:val="32"/>
        </w:rPr>
        <w:t>跨年项目支付项目尾款，截止202</w:t>
      </w:r>
      <w:r>
        <w:rPr>
          <w:rFonts w:hint="eastAsia" w:hAnsi="仿宋_GB2312" w:eastAsia="仿宋_GB2312" w:cs="仿宋_GB2312"/>
          <w:sz w:val="32"/>
          <w:szCs w:val="32"/>
          <w:lang w:val="en-US" w:eastAsia="zh-CN"/>
        </w:rPr>
        <w:t>5</w:t>
      </w:r>
      <w:r>
        <w:rPr>
          <w:rFonts w:hint="eastAsia" w:ascii="仿宋_GB2312" w:hAnsi="仿宋_GB2312" w:eastAsia="仿宋_GB2312" w:cs="仿宋_GB2312"/>
          <w:sz w:val="32"/>
          <w:szCs w:val="32"/>
        </w:rPr>
        <w:t>年底，按照相关要求，全面完成年度工作目标任务，资金支付率</w:t>
      </w:r>
      <w:r>
        <w:rPr>
          <w:rFonts w:hint="eastAsia" w:hAnsi="仿宋_GB2312" w:eastAsia="仿宋_GB2312" w:cs="仿宋_GB2312"/>
          <w:sz w:val="32"/>
          <w:szCs w:val="32"/>
          <w:lang w:val="en-US" w:eastAsia="zh-CN"/>
        </w:rPr>
        <w:t>98.3</w:t>
      </w:r>
      <w:r>
        <w:rPr>
          <w:rFonts w:hint="eastAsia" w:ascii="仿宋_GB2312" w:hAnsi="仿宋_GB2312" w:eastAsia="仿宋_GB2312" w:cs="仿宋_GB2312"/>
          <w:sz w:val="32"/>
          <w:szCs w:val="32"/>
        </w:rPr>
        <w:t>%，</w:t>
      </w:r>
      <w:r>
        <w:rPr>
          <w:rFonts w:hint="eastAsia" w:hAnsi="仿宋_GB2312" w:eastAsia="仿宋_GB2312" w:cs="仿宋_GB2312"/>
          <w:sz w:val="32"/>
          <w:szCs w:val="32"/>
          <w:lang w:eastAsia="zh-CN"/>
        </w:rPr>
        <w:t>结转</w:t>
      </w:r>
      <w:r>
        <w:rPr>
          <w:rFonts w:hint="eastAsia" w:hAnsi="仿宋_GB2312" w:eastAsia="仿宋_GB2312" w:cs="仿宋_GB2312"/>
          <w:sz w:val="32"/>
          <w:szCs w:val="32"/>
          <w:lang w:val="en-US" w:eastAsia="zh-CN"/>
        </w:rPr>
        <w:t>1.7%，</w:t>
      </w:r>
      <w:r>
        <w:rPr>
          <w:rFonts w:hint="eastAsia" w:ascii="仿宋_GB2312" w:hAnsi="仿宋_GB2312" w:eastAsia="仿宋_GB2312" w:cs="仿宋_GB2312"/>
          <w:sz w:val="32"/>
          <w:szCs w:val="32"/>
        </w:rPr>
        <w:t>效果完成</w:t>
      </w:r>
      <w:r>
        <w:rPr>
          <w:rFonts w:hint="eastAsia" w:hAnsi="仿宋_GB2312" w:eastAsia="仿宋_GB2312" w:cs="仿宋_GB2312"/>
          <w:sz w:val="32"/>
          <w:szCs w:val="32"/>
          <w:lang w:eastAsia="zh-CN"/>
        </w:rPr>
        <w:t>优</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预算管理。</w:t>
      </w:r>
    </w:p>
    <w:p>
      <w:pPr>
        <w:keepNext w:val="0"/>
        <w:keepLines w:val="0"/>
        <w:pageBreakBefore w:val="0"/>
        <w:widowControl/>
        <w:kinsoku/>
        <w:wordWrap/>
        <w:overflowPunct/>
        <w:topLinePunct w:val="0"/>
        <w:autoSpaceDE/>
        <w:autoSpaceDN/>
        <w:bidi w:val="0"/>
        <w:adjustRightInd w:val="0"/>
        <w:snapToGrid w:val="0"/>
        <w:spacing w:line="560" w:lineRule="exact"/>
        <w:ind w:leftChars="0" w:firstLine="643" w:firstLineChars="200"/>
        <w:contextualSpacing/>
        <w:jc w:val="left"/>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rPr>
        <w:t>科学、精准预算编制。</w:t>
      </w:r>
      <w:r>
        <w:rPr>
          <w:rFonts w:hint="eastAsia" w:ascii="仿宋_GB2312" w:hAnsi="仿宋_GB2312" w:eastAsia="仿宋_GB2312" w:cs="仿宋_GB2312"/>
          <w:sz w:val="32"/>
          <w:szCs w:val="32"/>
        </w:rPr>
        <w:t>按照州财政预算编制工作要求，结合本单位实际，通过科学合理地编制预算，能够清晰明确各项环保任务所需的资金支持，确保资源精准投入到关键领域。充分考虑环境状况、政策要求以及社会需求。深入调研环境问题的突出领域，评估各项治理措施的成本效益，从而制定出既符合实际又具有前瞻性的预算方案，并提交预算草案经主管部门及州财政审批后予以下达。根据年初下达的预算数，严控资金使用制度，确保每一笔资金都按照预算安排和规定用途使用。</w:t>
      </w:r>
    </w:p>
    <w:p>
      <w:pPr>
        <w:keepNext w:val="0"/>
        <w:keepLines w:val="0"/>
        <w:pageBreakBefore w:val="0"/>
        <w:widowControl/>
        <w:kinsoku/>
        <w:wordWrap/>
        <w:overflowPunct/>
        <w:topLinePunct w:val="0"/>
        <w:autoSpaceDE/>
        <w:autoSpaceDN/>
        <w:bidi w:val="0"/>
        <w:adjustRightInd w:val="0"/>
        <w:snapToGrid w:val="0"/>
        <w:spacing w:line="560" w:lineRule="exact"/>
        <w:ind w:leftChars="0" w:firstLine="643" w:firstLineChars="2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预算动态调整、执行进度。</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完成预算的100%，基本支出和项目支出执行力度和完成情况较好。在预算执行中，严格按工作开展进度、预算资金计划等执行，加强对项目实施过程的监督和评估，对于重大项目，要进行绩效跟踪，保证资金的使用效率和项目的顺利推进。按照预算绩效管理制度加强项目的事前、事中、事后监管，不存在超进度、超预算、超范围拨付资金。</w:t>
      </w:r>
      <w:r>
        <w:rPr>
          <w:rFonts w:hint="eastAsia"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lang w:val="zh-CN"/>
        </w:rPr>
        <w:t>年我</w:t>
      </w:r>
      <w:r>
        <w:rPr>
          <w:rFonts w:hint="eastAsia" w:ascii="仿宋_GB2312" w:hAnsi="仿宋_GB2312" w:eastAsia="仿宋_GB2312" w:cs="仿宋_GB2312"/>
          <w:color w:val="000000"/>
          <w:kern w:val="0"/>
          <w:sz w:val="32"/>
          <w:szCs w:val="32"/>
          <w:shd w:val="clear" w:color="auto" w:fill="FFFFFF"/>
        </w:rPr>
        <w:t>单位</w:t>
      </w:r>
      <w:r>
        <w:rPr>
          <w:rFonts w:hint="eastAsia" w:ascii="仿宋_GB2312" w:hAnsi="仿宋_GB2312" w:eastAsia="仿宋_GB2312" w:cs="仿宋_GB2312"/>
          <w:color w:val="000000"/>
          <w:kern w:val="0"/>
          <w:sz w:val="32"/>
          <w:szCs w:val="32"/>
          <w:shd w:val="clear" w:color="auto" w:fill="FFFFFF"/>
          <w:lang w:val="zh-CN"/>
        </w:rPr>
        <w:t>基本支出和项目支出均按照</w:t>
      </w:r>
      <w:r>
        <w:rPr>
          <w:rFonts w:hint="eastAsia" w:ascii="仿宋_GB2312" w:hAnsi="仿宋_GB2312" w:eastAsia="仿宋_GB2312" w:cs="仿宋_GB2312"/>
          <w:kern w:val="0"/>
          <w:sz w:val="32"/>
          <w:szCs w:val="32"/>
          <w:shd w:val="clear" w:color="auto" w:fill="FFFFFF"/>
          <w:lang w:val="zh-CN"/>
        </w:rPr>
        <w:t>实际进度进行列支。</w:t>
      </w:r>
      <w:r>
        <w:rPr>
          <w:rFonts w:hint="eastAsia" w:ascii="仿宋_GB2312" w:hAnsi="仿宋_GB2312" w:eastAsia="仿宋_GB2312" w:cs="仿宋_GB2312"/>
          <w:sz w:val="32"/>
          <w:szCs w:val="32"/>
        </w:rPr>
        <w:t xml:space="preserve"> </w:t>
      </w:r>
    </w:p>
    <w:p>
      <w:pPr>
        <w:pStyle w:val="2"/>
        <w:keepNext w:val="0"/>
        <w:keepLines w:val="0"/>
        <w:pageBreakBefore w:val="0"/>
        <w:kinsoku/>
        <w:wordWrap/>
        <w:overflowPunct/>
        <w:topLinePunct w:val="0"/>
        <w:autoSpaceDE/>
        <w:autoSpaceDN/>
        <w:bidi w:val="0"/>
        <w:spacing w:after="0"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lang w:val="zh-CN"/>
        </w:rPr>
        <w:t>单位收入统筹、预算年终结余。</w:t>
      </w:r>
      <w:r>
        <w:rPr>
          <w:rFonts w:hint="eastAsia" w:ascii="仿宋_GB2312" w:hAnsi="仿宋_GB2312" w:eastAsia="仿宋_GB2312" w:cs="仿宋_GB2312"/>
          <w:color w:val="000000"/>
          <w:kern w:val="0"/>
          <w:sz w:val="32"/>
          <w:szCs w:val="32"/>
          <w:shd w:val="clear" w:color="auto" w:fill="FFFFFF"/>
        </w:rPr>
        <w:t>202</w:t>
      </w:r>
      <w:r>
        <w:rPr>
          <w:rFonts w:hint="eastAsia"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年我单位收入包括财政拨款收入和其他收入，均按照财政要求在预算一体化中体现，及时做好收入追加，202</w:t>
      </w:r>
      <w:r>
        <w:rPr>
          <w:rFonts w:hint="eastAsia"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年底我单位年终结余全部收回财政。</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财务管理。</w:t>
      </w:r>
    </w:p>
    <w:p>
      <w:pPr>
        <w:pStyle w:val="9"/>
        <w:keepNext w:val="0"/>
        <w:keepLines w:val="0"/>
        <w:pageBreakBefore w:val="0"/>
        <w:kinsoku/>
        <w:wordWrap/>
        <w:overflowPunct/>
        <w:topLinePunct w:val="0"/>
        <w:autoSpaceDE/>
        <w:autoSpaceDN/>
        <w:bidi w:val="0"/>
        <w:spacing w:line="560" w:lineRule="exact"/>
        <w:ind w:leftChars="0"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我单位分别设会计、出纳人员各一名，实际工作中，会计、出纳各负其责、各司其职，相互制约。在经费管理中，建立规章制度，严格按照“逐级”审批原则，从严控制，紧缩支出。加强票据管理，严格审批权限，避免财务风险，加强和规范内部控制制度建设，提高会计核算和管理水平，持续推进和完善“小金库”治理工作的制度化、规范化和常态化，督促会计人员对各项财务、款项的增减变动和结存情况及时进行记录、计算、反映、核对，保证账证相符、帐表相符。加强完善内部财务管理制度，严格按照</w:t>
      </w:r>
      <w:r>
        <w:rPr>
          <w:rFonts w:hint="eastAsia" w:ascii="仿宋_GB2312" w:hAnsi="仿宋_GB2312" w:eastAsia="仿宋_GB2312" w:cs="仿宋_GB2312"/>
          <w:sz w:val="32"/>
          <w:szCs w:val="32"/>
        </w:rPr>
        <w:t>财务</w:t>
      </w:r>
      <w:r>
        <w:rPr>
          <w:rFonts w:hint="eastAsia" w:ascii="仿宋_GB2312" w:hAnsi="仿宋_GB2312" w:eastAsia="仿宋_GB2312" w:cs="仿宋_GB2312"/>
          <w:sz w:val="32"/>
          <w:szCs w:val="32"/>
          <w:lang w:val="zh-CN"/>
        </w:rPr>
        <w:t>管理办法</w:t>
      </w:r>
      <w:r>
        <w:rPr>
          <w:rFonts w:hint="eastAsia" w:ascii="仿宋_GB2312" w:hAnsi="仿宋_GB2312" w:eastAsia="仿宋_GB2312" w:cs="仿宋_GB2312"/>
          <w:sz w:val="32"/>
          <w:szCs w:val="32"/>
        </w:rPr>
        <w:t>支出相关经费</w:t>
      </w:r>
      <w:r>
        <w:rPr>
          <w:rFonts w:hint="eastAsia" w:ascii="仿宋_GB2312" w:hAnsi="仿宋_GB2312" w:eastAsia="仿宋_GB2312" w:cs="仿宋_GB2312"/>
          <w:sz w:val="32"/>
          <w:szCs w:val="32"/>
          <w:lang w:val="zh-CN"/>
        </w:rPr>
        <w:t>。</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4.</w:t>
      </w:r>
      <w:r>
        <w:rPr>
          <w:rFonts w:hint="eastAsia" w:ascii="仿宋_GB2312" w:hAnsi="仿宋_GB2312" w:eastAsia="仿宋_GB2312" w:cs="仿宋_GB2312"/>
          <w:color w:val="000000"/>
          <w:kern w:val="0"/>
          <w:sz w:val="32"/>
          <w:szCs w:val="32"/>
          <w:shd w:val="clear" w:color="auto" w:fill="FFFFFF"/>
          <w:lang w:val="zh-CN"/>
        </w:rPr>
        <w:t>资产管理。</w:t>
      </w:r>
    </w:p>
    <w:p>
      <w:pPr>
        <w:keepNext w:val="0"/>
        <w:keepLines w:val="0"/>
        <w:pageBreakBefore w:val="0"/>
        <w:kinsoku/>
        <w:wordWrap/>
        <w:overflowPunct/>
        <w:topLinePunct w:val="0"/>
        <w:autoSpaceDE/>
        <w:autoSpaceDN/>
        <w:bidi w:val="0"/>
        <w:spacing w:line="560" w:lineRule="exact"/>
        <w:ind w:leftChars="0" w:firstLine="640" w:firstLineChars="200"/>
        <w:textAlignment w:val="auto"/>
        <w:rPr>
          <w:rFonts w:hint="eastAsia" w:ascii="仿宋_GB2312" w:hAnsi="仿宋_GB2312" w:eastAsia="仿宋_GB2312" w:cs="仿宋_GB2312"/>
          <w:color w:val="FF0000"/>
          <w:kern w:val="0"/>
          <w:sz w:val="32"/>
          <w:szCs w:val="32"/>
          <w:shd w:val="clear" w:color="auto" w:fill="FFFFFF"/>
          <w:lang w:val="en-US" w:eastAsia="zh-CN"/>
        </w:rPr>
      </w:pPr>
      <w:r>
        <w:rPr>
          <w:rFonts w:hint="eastAsia" w:ascii="仿宋_GB2312" w:hAnsi="仿宋_GB2312" w:eastAsia="仿宋_GB2312" w:cs="仿宋_GB2312"/>
          <w:color w:val="000000"/>
          <w:kern w:val="0"/>
          <w:sz w:val="32"/>
          <w:szCs w:val="32"/>
          <w:shd w:val="clear" w:color="auto" w:fill="FFFFFF"/>
          <w:lang w:val="zh-CN"/>
        </w:rPr>
        <w:t>我单位部门预算编制同步编制新增资产配置预算；国有资产交付使用后及时准确入账；明确资产使用和保管责任人、落实资产使用人在资产管理中的责任；国有资产折旧的计提符合相关会计规范；定期清理盘点资产、确保账实相符；行政事业性国有资产纳入四川省行政事业单位资产管理信息系统动态管理</w:t>
      </w:r>
      <w:r>
        <w:rPr>
          <w:rFonts w:hint="eastAsia" w:ascii="仿宋_GB2312" w:hAnsi="仿宋_GB2312" w:eastAsia="仿宋_GB2312" w:cs="仿宋_GB2312"/>
          <w:color w:val="C00000"/>
          <w:kern w:val="0"/>
          <w:sz w:val="32"/>
          <w:szCs w:val="32"/>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5.</w:t>
      </w:r>
      <w:r>
        <w:rPr>
          <w:rFonts w:hint="eastAsia" w:ascii="仿宋_GB2312" w:hAnsi="仿宋_GB2312" w:eastAsia="仿宋_GB2312" w:cs="仿宋_GB2312"/>
          <w:color w:val="000000"/>
          <w:kern w:val="0"/>
          <w:sz w:val="32"/>
          <w:szCs w:val="32"/>
          <w:shd w:val="clear" w:color="auto" w:fill="FFFFFF"/>
          <w:lang w:val="zh-CN"/>
        </w:rPr>
        <w:t>采购管理。</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000000"/>
          <w:kern w:val="0"/>
          <w:sz w:val="32"/>
          <w:szCs w:val="32"/>
          <w:shd w:val="clear" w:color="auto" w:fill="FFFFFF"/>
          <w:lang w:val="zh-CN"/>
        </w:rPr>
        <w:t>我单位严格遵循相关法律法规和采购程序，确保采购过程的公平、公正、公开。按法定采购方式和程序实施采购，不存在无预算采购、超预算采购情况，按规定进行政府采购计划备案，不存在拆分项目预算规避政府采购或公开招标情况，按采购文件确定事项签订政府采购合同，按规定公告、备案政府采购合同，按照合同约定及时支付资金。</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43" w:firstLineChars="200"/>
        <w:contextualSpacing/>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0"/>
          <w:sz w:val="32"/>
          <w:szCs w:val="32"/>
          <w:highlight w:val="none"/>
          <w:shd w:val="clear" w:color="auto" w:fill="FFFFFF"/>
          <w:lang w:val="zh-CN"/>
        </w:rPr>
        <w:t>（二）部门预算项目绩效分析。</w:t>
      </w:r>
      <w:r>
        <w:rPr>
          <w:rFonts w:hint="eastAsia" w:ascii="仿宋_GB2312" w:hAnsi="仿宋_GB2312" w:eastAsia="仿宋_GB2312" w:cs="仿宋_GB2312"/>
          <w:color w:val="auto"/>
          <w:kern w:val="2"/>
          <w:sz w:val="32"/>
          <w:szCs w:val="32"/>
          <w:highlight w:val="none"/>
          <w:lang w:val="zh-CN" w:eastAsia="zh-CN" w:bidi="ar-SA"/>
        </w:rPr>
        <w:t>填报以下数据，并根据部门预算绩效评价指标体系“项目绩效”涉及二、三级指标进行逐项绩效分析并评分，依次包括项目</w:t>
      </w:r>
      <w:r>
        <w:rPr>
          <w:rFonts w:hint="eastAsia" w:ascii="仿宋_GB2312" w:hAnsi="仿宋_GB2312" w:eastAsia="仿宋_GB2312" w:cs="仿宋_GB2312"/>
          <w:color w:val="auto"/>
          <w:kern w:val="2"/>
          <w:sz w:val="32"/>
          <w:szCs w:val="32"/>
          <w:highlight w:val="none"/>
          <w:lang w:val="en-US" w:eastAsia="zh-CN" w:bidi="ar-SA"/>
        </w:rPr>
        <w:t>决策、项目执行、目标实现等情况。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40" w:firstLineChars="200"/>
        <w:contextualSpacing/>
        <w:jc w:val="both"/>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auto"/>
          <w:kern w:val="2"/>
          <w:sz w:val="32"/>
          <w:szCs w:val="32"/>
          <w:highlight w:val="none"/>
          <w:lang w:val="en-US" w:eastAsia="zh-CN" w:bidi="ar-SA"/>
        </w:rPr>
        <w:t>常年项目绩效分析。</w:t>
      </w:r>
      <w:r>
        <w:rPr>
          <w:rFonts w:hint="eastAsia" w:ascii="仿宋_GB2312" w:hAnsi="仿宋_GB2312" w:eastAsia="仿宋_GB2312" w:cs="仿宋_GB2312"/>
          <w:color w:val="auto"/>
          <w:kern w:val="2"/>
          <w:sz w:val="32"/>
          <w:szCs w:val="32"/>
          <w:highlight w:val="none"/>
          <w:lang w:val="zh-CN" w:eastAsia="zh-CN" w:bidi="ar-SA"/>
        </w:rPr>
        <w:t>该类项目总数</w:t>
      </w:r>
      <w:r>
        <w:rPr>
          <w:rFonts w:hint="eastAsia" w:ascii="仿宋_GB2312" w:hAnsi="仿宋_GB2312" w:eastAsia="仿宋_GB2312" w:cs="仿宋_GB2312"/>
          <w:color w:val="auto"/>
          <w:kern w:val="2"/>
          <w:sz w:val="32"/>
          <w:szCs w:val="32"/>
          <w:highlight w:val="none"/>
          <w:lang w:val="en-US" w:eastAsia="zh-CN" w:bidi="ar-SA"/>
        </w:rPr>
        <w:t>4</w:t>
      </w:r>
      <w:r>
        <w:rPr>
          <w:rFonts w:hint="eastAsia" w:ascii="仿宋_GB2312" w:hAnsi="仿宋_GB2312" w:eastAsia="仿宋_GB2312" w:cs="仿宋_GB2312"/>
          <w:color w:val="auto"/>
          <w:kern w:val="2"/>
          <w:sz w:val="32"/>
          <w:szCs w:val="32"/>
          <w:highlight w:val="none"/>
          <w:lang w:val="zh-CN" w:eastAsia="zh-CN" w:bidi="ar-SA"/>
        </w:rPr>
        <w:t>个，涉及预算总金额</w:t>
      </w:r>
      <w:r>
        <w:rPr>
          <w:rFonts w:hint="eastAsia" w:ascii="仿宋_GB2312" w:hAnsi="仿宋_GB2312" w:eastAsia="仿宋_GB2312" w:cs="仿宋_GB2312"/>
          <w:color w:val="auto"/>
          <w:kern w:val="2"/>
          <w:sz w:val="32"/>
          <w:szCs w:val="32"/>
          <w:highlight w:val="none"/>
          <w:lang w:val="en-US" w:eastAsia="zh-CN" w:bidi="ar-SA"/>
        </w:rPr>
        <w:t>17.91</w:t>
      </w:r>
      <w:r>
        <w:rPr>
          <w:rFonts w:hint="eastAsia" w:ascii="仿宋_GB2312" w:hAnsi="仿宋_GB2312" w:eastAsia="仿宋_GB2312" w:cs="仿宋_GB2312"/>
          <w:color w:val="auto"/>
          <w:kern w:val="2"/>
          <w:sz w:val="32"/>
          <w:szCs w:val="32"/>
          <w:highlight w:val="none"/>
          <w:lang w:val="zh-CN" w:eastAsia="zh-CN" w:bidi="ar-SA"/>
        </w:rPr>
        <w:t>万元，1—1</w:t>
      </w: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zh-CN" w:eastAsia="zh-CN" w:bidi="ar-SA"/>
        </w:rPr>
        <w:t>月预算执行总体进度为</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zh-CN" w:eastAsia="zh-CN" w:bidi="ar-SA"/>
        </w:rPr>
        <w:t>%，其中：预算结余率大于</w:t>
      </w:r>
      <w:r>
        <w:rPr>
          <w:rFonts w:hint="eastAsia" w:ascii="仿宋_GB2312" w:hAnsi="仿宋_GB2312" w:eastAsia="仿宋_GB2312" w:cs="仿宋_GB2312"/>
          <w:color w:val="auto"/>
          <w:kern w:val="2"/>
          <w:sz w:val="32"/>
          <w:szCs w:val="32"/>
          <w:highlight w:val="none"/>
          <w:lang w:val="en-US" w:eastAsia="zh-CN" w:bidi="ar-SA"/>
        </w:rPr>
        <w:t>10%</w:t>
      </w:r>
      <w:r>
        <w:rPr>
          <w:rFonts w:hint="eastAsia" w:ascii="仿宋_GB2312" w:hAnsi="仿宋_GB2312" w:eastAsia="仿宋_GB2312" w:cs="仿宋_GB2312"/>
          <w:color w:val="auto"/>
          <w:kern w:val="2"/>
          <w:sz w:val="32"/>
          <w:szCs w:val="32"/>
          <w:highlight w:val="none"/>
          <w:lang w:val="zh-CN" w:eastAsia="zh-CN" w:bidi="ar-SA"/>
        </w:rPr>
        <w:t>的项目共计</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40" w:firstLineChars="200"/>
        <w:contextualSpacing/>
        <w:jc w:val="both"/>
        <w:textAlignment w:val="auto"/>
        <w:outlineLvl w:val="9"/>
        <w:rPr>
          <w:rFonts w:hint="eastAsia" w:ascii="仿宋_GB2312" w:hAnsi="仿宋_GB2312"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auto"/>
          <w:kern w:val="2"/>
          <w:sz w:val="32"/>
          <w:szCs w:val="32"/>
          <w:highlight w:val="none"/>
          <w:lang w:val="en-US" w:eastAsia="zh-CN" w:bidi="ar-SA"/>
        </w:rPr>
        <w:t>阶段（一次性）项目绩效分析。</w:t>
      </w:r>
      <w:r>
        <w:rPr>
          <w:rFonts w:hint="eastAsia" w:ascii="仿宋_GB2312" w:hAnsi="仿宋_GB2312" w:eastAsia="仿宋_GB2312" w:cs="仿宋_GB2312"/>
          <w:color w:val="auto"/>
          <w:kern w:val="2"/>
          <w:sz w:val="32"/>
          <w:szCs w:val="32"/>
          <w:highlight w:val="none"/>
          <w:lang w:val="zh-CN" w:eastAsia="zh-CN" w:bidi="ar-SA"/>
        </w:rPr>
        <w:t>该类项目总数</w:t>
      </w:r>
      <w:r>
        <w:rPr>
          <w:rFonts w:hint="eastAsia" w:ascii="仿宋_GB2312" w:hAnsi="仿宋_GB2312"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zh-CN" w:eastAsia="zh-CN" w:bidi="ar-SA"/>
        </w:rPr>
        <w:t>个，涉及预算总金额</w:t>
      </w:r>
      <w:r>
        <w:rPr>
          <w:rFonts w:hint="eastAsia" w:ascii="仿宋_GB2312" w:hAnsi="仿宋_GB2312" w:eastAsia="仿宋_GB2312" w:cs="仿宋_GB2312"/>
          <w:color w:val="auto"/>
          <w:kern w:val="2"/>
          <w:sz w:val="32"/>
          <w:szCs w:val="32"/>
          <w:highlight w:val="none"/>
          <w:lang w:val="en-US" w:eastAsia="zh-CN" w:bidi="ar-SA"/>
        </w:rPr>
        <w:t>766.39</w:t>
      </w:r>
      <w:r>
        <w:rPr>
          <w:rFonts w:hint="eastAsia" w:ascii="仿宋_GB2312" w:hAnsi="仿宋_GB2312" w:eastAsia="仿宋_GB2312" w:cs="仿宋_GB2312"/>
          <w:color w:val="auto"/>
          <w:kern w:val="2"/>
          <w:sz w:val="32"/>
          <w:szCs w:val="32"/>
          <w:highlight w:val="none"/>
          <w:lang w:val="zh-CN" w:eastAsia="zh-CN" w:bidi="ar-SA"/>
        </w:rPr>
        <w:t>万元，1—1</w:t>
      </w:r>
      <w:r>
        <w:rPr>
          <w:rFonts w:hint="eastAsia" w:ascii="仿宋_GB2312"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zh-CN" w:eastAsia="zh-CN" w:bidi="ar-SA"/>
        </w:rPr>
        <w:t>月预算执行总体进度为</w:t>
      </w:r>
      <w:r>
        <w:rPr>
          <w:rFonts w:hint="eastAsia" w:ascii="仿宋_GB2312" w:hAnsi="仿宋_GB2312" w:eastAsia="仿宋_GB2312" w:cs="仿宋_GB2312"/>
          <w:color w:val="auto"/>
          <w:kern w:val="2"/>
          <w:sz w:val="32"/>
          <w:szCs w:val="32"/>
          <w:highlight w:val="none"/>
          <w:lang w:val="en-US" w:eastAsia="zh-CN" w:bidi="ar-SA"/>
        </w:rPr>
        <w:t>100</w:t>
      </w:r>
      <w:r>
        <w:rPr>
          <w:rFonts w:hint="eastAsia" w:ascii="仿宋_GB2312" w:hAnsi="仿宋_GB2312" w:eastAsia="仿宋_GB2312" w:cs="仿宋_GB2312"/>
          <w:color w:val="auto"/>
          <w:kern w:val="2"/>
          <w:sz w:val="32"/>
          <w:szCs w:val="32"/>
          <w:highlight w:val="none"/>
          <w:lang w:val="zh-CN" w:eastAsia="zh-CN" w:bidi="ar-SA"/>
        </w:rPr>
        <w:t>%，其中：预算结余率大于</w:t>
      </w:r>
      <w:r>
        <w:rPr>
          <w:rFonts w:hint="eastAsia" w:ascii="仿宋_GB2312" w:hAnsi="仿宋_GB2312" w:eastAsia="仿宋_GB2312" w:cs="仿宋_GB2312"/>
          <w:color w:val="auto"/>
          <w:kern w:val="2"/>
          <w:sz w:val="32"/>
          <w:szCs w:val="32"/>
          <w:highlight w:val="none"/>
          <w:lang w:val="en-US" w:eastAsia="zh-CN" w:bidi="ar-SA"/>
        </w:rPr>
        <w:t>10%</w:t>
      </w:r>
      <w:r>
        <w:rPr>
          <w:rFonts w:hint="eastAsia" w:ascii="仿宋_GB2312" w:hAnsi="仿宋_GB2312" w:eastAsia="仿宋_GB2312" w:cs="仿宋_GB2312"/>
          <w:color w:val="auto"/>
          <w:kern w:val="2"/>
          <w:sz w:val="32"/>
          <w:szCs w:val="32"/>
          <w:highlight w:val="none"/>
          <w:lang w:val="zh-CN" w:eastAsia="zh-CN" w:bidi="ar-SA"/>
        </w:rPr>
        <w:t>的项目共计</w:t>
      </w:r>
      <w:r>
        <w:rPr>
          <w:rFonts w:hint="eastAsia" w:ascii="仿宋_GB2312" w:hAnsi="仿宋_GB2312" w:eastAsia="仿宋_GB2312" w:cs="仿宋_GB2312"/>
          <w:color w:val="auto"/>
          <w:kern w:val="2"/>
          <w:sz w:val="32"/>
          <w:szCs w:val="32"/>
          <w:highlight w:val="none"/>
          <w:lang w:val="en-US" w:eastAsia="zh-CN" w:bidi="ar-SA"/>
        </w:rPr>
        <w:t>0</w:t>
      </w:r>
      <w:r>
        <w:rPr>
          <w:rFonts w:hint="eastAsia" w:ascii="仿宋_GB2312" w:hAnsi="仿宋_GB2312" w:eastAsia="仿宋_GB2312" w:cs="仿宋_GB2312"/>
          <w:color w:val="auto"/>
          <w:kern w:val="2"/>
          <w:sz w:val="32"/>
          <w:szCs w:val="32"/>
          <w:highlight w:val="none"/>
          <w:lang w:val="zh-CN" w:eastAsia="zh-CN" w:bidi="ar-SA"/>
        </w:rPr>
        <w:t>个。</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1.</w:t>
      </w:r>
      <w:r>
        <w:rPr>
          <w:rFonts w:hint="eastAsia" w:ascii="仿宋_GB2312" w:hAnsi="仿宋_GB2312" w:eastAsia="仿宋_GB2312" w:cs="仿宋_GB2312"/>
          <w:kern w:val="0"/>
          <w:sz w:val="32"/>
          <w:szCs w:val="32"/>
          <w:shd w:val="clear" w:color="auto" w:fill="FFFFFF"/>
          <w:lang w:val="zh-CN"/>
        </w:rPr>
        <w:t>项目决策。</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我单位所有项目均按照上级要求级单位内控制度，开展项目决算，在项目入库时设置项目绩效目标，确保能定期、按照目标要求完成项目。</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2.项目执行</w:t>
      </w:r>
      <w:r>
        <w:rPr>
          <w:rFonts w:hint="eastAsia" w:ascii="仿宋_GB2312" w:hAnsi="仿宋_GB2312" w:eastAsia="仿宋_GB2312" w:cs="仿宋_GB2312"/>
          <w:kern w:val="0"/>
          <w:sz w:val="32"/>
          <w:szCs w:val="32"/>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我单位项目分为年初预算项目、上级专项项目、其他收入项目（县财政保障州财政代管资金采购项目）三类，我单位年初预算项目完全能按照年初目标设置完成并及时支付；上级专项项目完全按照资金投向使用，及时调整项目目标绩效，按照项目进度支付项目资金；其他收入项目为县财政保障采购项目资金，按照采购要求，及时签订采购合同，并按照项目进度支付资金。</w:t>
      </w:r>
    </w:p>
    <w:p>
      <w:pPr>
        <w:keepNext w:val="0"/>
        <w:keepLines w:val="0"/>
        <w:pageBreakBefore w:val="0"/>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3.</w:t>
      </w:r>
      <w:r>
        <w:rPr>
          <w:rFonts w:hint="eastAsia" w:ascii="仿宋_GB2312" w:hAnsi="仿宋_GB2312" w:eastAsia="仿宋_GB2312" w:cs="仿宋_GB2312"/>
          <w:kern w:val="0"/>
          <w:sz w:val="32"/>
          <w:szCs w:val="32"/>
          <w:shd w:val="clear" w:color="auto" w:fill="FFFFFF"/>
          <w:lang w:val="zh-CN"/>
        </w:rPr>
        <w:t>目标实现。</w:t>
      </w:r>
    </w:p>
    <w:p>
      <w:pPr>
        <w:keepNext w:val="0"/>
        <w:keepLines w:val="0"/>
        <w:pageBreakBefore w:val="0"/>
        <w:widowControl w:val="0"/>
        <w:kinsoku/>
        <w:wordWrap/>
        <w:overflowPunct/>
        <w:topLinePunct w:val="0"/>
        <w:autoSpaceDE/>
        <w:autoSpaceDN/>
        <w:bidi w:val="0"/>
        <w:snapToGrid w:val="0"/>
        <w:spacing w:line="560" w:lineRule="exact"/>
        <w:ind w:leftChars="0" w:firstLine="640" w:firstLineChars="200"/>
        <w:textAlignment w:val="auto"/>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我单位对照基本支出和项目支出，基本能完成项目目标，并及时设置年度绩效目标，如出现预警等情况，我单位及时调整目标，确保项目目标的实现。</w:t>
      </w:r>
    </w:p>
    <w:p>
      <w:pPr>
        <w:keepNext w:val="0"/>
        <w:keepLines w:val="0"/>
        <w:pageBreakBefore w:val="0"/>
        <w:widowControl w:val="0"/>
        <w:kinsoku/>
        <w:wordWrap/>
        <w:overflowPunct/>
        <w:topLinePunct w:val="0"/>
        <w:autoSpaceDE/>
        <w:autoSpaceDN/>
        <w:bidi w:val="0"/>
        <w:adjustRightInd w:val="0"/>
        <w:snapToGrid w:val="0"/>
        <w:spacing w:line="560" w:lineRule="exact"/>
        <w:ind w:leftChars="0" w:firstLine="643" w:firstLineChars="200"/>
        <w:contextualSpacing/>
        <w:jc w:val="left"/>
        <w:textAlignment w:val="auto"/>
        <w:rPr>
          <w:rFonts w:hint="eastAsia" w:ascii="仿宋_GB2312" w:hAnsi="仿宋_GB2312" w:eastAsia="仿宋_GB2312" w:cs="仿宋_GB2312"/>
          <w:sz w:val="32"/>
          <w:szCs w:val="32"/>
          <w:highlight w:val="none"/>
          <w:u w:val="none"/>
          <w:lang w:bidi="ar"/>
        </w:rPr>
      </w:pPr>
      <w:r>
        <w:rPr>
          <w:rFonts w:hint="eastAsia" w:ascii="仿宋_GB2312" w:hAnsi="仿宋_GB2312" w:eastAsia="仿宋_GB2312" w:cs="仿宋_GB2312"/>
          <w:b/>
          <w:bCs/>
          <w:color w:val="000000"/>
          <w:kern w:val="0"/>
          <w:sz w:val="32"/>
          <w:szCs w:val="32"/>
          <w:highlight w:val="none"/>
          <w:shd w:val="clear" w:color="auto" w:fill="FFFFFF"/>
          <w:lang w:val="zh-CN" w:eastAsia="zh-CN"/>
        </w:rPr>
        <w:t>（</w:t>
      </w:r>
      <w:r>
        <w:rPr>
          <w:rFonts w:hint="eastAsia" w:ascii="仿宋_GB2312" w:hAnsi="仿宋_GB2312" w:eastAsia="仿宋_GB2312" w:cs="仿宋_GB2312"/>
          <w:b/>
          <w:bCs/>
          <w:color w:val="000000"/>
          <w:kern w:val="0"/>
          <w:sz w:val="32"/>
          <w:szCs w:val="32"/>
          <w:highlight w:val="none"/>
          <w:shd w:val="clear" w:color="auto" w:fill="FFFFFF"/>
          <w:lang w:val="en-US" w:eastAsia="zh-CN"/>
        </w:rPr>
        <w:t>三</w:t>
      </w:r>
      <w:r>
        <w:rPr>
          <w:rFonts w:hint="eastAsia" w:ascii="仿宋_GB2312" w:hAnsi="仿宋_GB2312" w:eastAsia="仿宋_GB2312" w:cs="仿宋_GB2312"/>
          <w:b/>
          <w:bCs/>
          <w:color w:val="000000"/>
          <w:kern w:val="0"/>
          <w:sz w:val="32"/>
          <w:szCs w:val="32"/>
          <w:highlight w:val="none"/>
          <w:shd w:val="clear" w:color="auto" w:fill="FFFFFF"/>
          <w:lang w:val="zh-CN" w:eastAsia="zh-CN"/>
        </w:rPr>
        <w:t>）绩效结果应用情况。</w:t>
      </w:r>
      <w:r>
        <w:rPr>
          <w:rFonts w:hint="eastAsia" w:ascii="仿宋_GB2312" w:hAnsi="仿宋_GB2312" w:eastAsia="仿宋_GB2312" w:cs="仿宋_GB2312"/>
          <w:color w:val="000000"/>
          <w:kern w:val="0"/>
          <w:sz w:val="32"/>
          <w:szCs w:val="32"/>
          <w:shd w:val="clear" w:color="auto" w:fill="FFFFFF"/>
        </w:rPr>
        <w:t>我单位</w:t>
      </w:r>
      <w:r>
        <w:rPr>
          <w:rFonts w:hint="eastAsia" w:ascii="仿宋_GB2312" w:hAnsi="仿宋_GB2312" w:eastAsia="仿宋_GB2312" w:cs="仿宋_GB2312"/>
          <w:sz w:val="32"/>
          <w:szCs w:val="32"/>
        </w:rPr>
        <w:t>按照规定编制年度预算，取得的各项收入据实入账，无隐瞒，更无另设账户或者私设小金库。单位编制的支出预算，保证本单位履行基本职能所需人员经费和公用经费。对其他专项支出严格控制。项目资金严格管理，坚持专款专用，资金拨付采取先检查申请，后拨付。做到内容真实、数据准确、资料可靠。做到账务处理及时、会计核算规范、账账相符、账实相符。及时公开单位预决算和项目绩效评价信息。</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Chars="0" w:firstLine="600" w:firstLineChars="200"/>
        <w:contextualSpacing/>
        <w:jc w:val="left"/>
        <w:textAlignment w:val="auto"/>
        <w:outlineLvl w:val="9"/>
        <w:rPr>
          <w:rFonts w:hint="default" w:ascii="Times New Roman" w:hAnsi="Times New Roman" w:eastAsia="黑体" w:cs="Times New Roman"/>
          <w:color w:val="000000"/>
          <w:kern w:val="0"/>
          <w:sz w:val="30"/>
          <w:szCs w:val="30"/>
          <w:highlight w:val="none"/>
          <w:shd w:val="clear" w:color="auto" w:fill="FFFFFF"/>
          <w:lang w:val="zh-CN"/>
        </w:rPr>
      </w:pPr>
      <w:r>
        <w:rPr>
          <w:rFonts w:hint="default" w:ascii="Times New Roman" w:hAnsi="Times New Roman" w:eastAsia="黑体" w:cs="Times New Roman"/>
          <w:color w:val="000000"/>
          <w:kern w:val="0"/>
          <w:sz w:val="30"/>
          <w:szCs w:val="30"/>
          <w:highlight w:val="none"/>
          <w:shd w:val="clear" w:color="auto" w:fill="FFFFFF"/>
          <w:lang w:val="zh-CN" w:eastAsia="zh-CN"/>
        </w:rPr>
        <w:t>四、</w:t>
      </w:r>
      <w:r>
        <w:rPr>
          <w:rFonts w:hint="default" w:ascii="Times New Roman" w:hAnsi="Times New Roman" w:eastAsia="黑体" w:cs="Times New Roman"/>
          <w:color w:val="000000"/>
          <w:kern w:val="0"/>
          <w:sz w:val="30"/>
          <w:szCs w:val="30"/>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60" w:lineRule="exact"/>
        <w:ind w:leftChars="0" w:firstLine="643" w:firstLineChars="200"/>
        <w:jc w:val="left"/>
        <w:textAlignment w:val="auto"/>
        <w:rPr>
          <w:rFonts w:hint="eastAsia" w:ascii="楷体_GB2312" w:hAnsi="楷体_GB2312" w:eastAsia="楷体_GB2312" w:cs="楷体_GB2312"/>
          <w:b/>
          <w:bCs/>
          <w:color w:val="000000"/>
          <w:kern w:val="0"/>
          <w:sz w:val="32"/>
          <w:szCs w:val="32"/>
          <w:highlight w:val="none"/>
          <w:shd w:val="clear" w:color="auto" w:fill="FFFFFF"/>
          <w:lang w:val="en-US" w:eastAsia="zh-CN"/>
        </w:rPr>
      </w:pPr>
      <w:r>
        <w:rPr>
          <w:rFonts w:hint="eastAsia" w:ascii="楷体_GB2312" w:hAnsi="楷体_GB2312" w:eastAsia="楷体_GB2312" w:cs="楷体_GB2312"/>
          <w:b/>
          <w:bCs/>
          <w:color w:val="000000"/>
          <w:kern w:val="0"/>
          <w:sz w:val="32"/>
          <w:szCs w:val="32"/>
          <w:highlight w:val="none"/>
          <w:shd w:val="clear" w:color="auto" w:fill="FFFFFF"/>
          <w:lang w:val="zh-CN"/>
        </w:rPr>
        <w:t>（一）评价结</w:t>
      </w:r>
      <w:r>
        <w:rPr>
          <w:rFonts w:hint="eastAsia" w:ascii="楷体_GB2312" w:hAnsi="楷体_GB2312" w:eastAsia="楷体_GB2312" w:cs="楷体_GB2312"/>
          <w:b/>
          <w:bCs/>
          <w:color w:val="000000"/>
          <w:kern w:val="0"/>
          <w:sz w:val="32"/>
          <w:szCs w:val="32"/>
          <w:highlight w:val="none"/>
          <w:shd w:val="clear" w:color="auto" w:fill="FFFFFF"/>
          <w:lang w:val="en-US" w:eastAsia="zh-CN"/>
        </w:rPr>
        <w:t>论。</w:t>
      </w:r>
    </w:p>
    <w:p>
      <w:pPr>
        <w:keepNext w:val="0"/>
        <w:keepLines w:val="0"/>
        <w:pageBreakBefore w:val="0"/>
        <w:widowControl/>
        <w:kinsoku/>
        <w:wordWrap/>
        <w:overflowPunct/>
        <w:topLinePunct w:val="0"/>
        <w:autoSpaceDE/>
        <w:autoSpaceDN/>
        <w:bidi w:val="0"/>
        <w:adjustRightInd w:val="0"/>
        <w:snapToGrid w:val="0"/>
        <w:spacing w:line="560" w:lineRule="exact"/>
        <w:ind w:leftChars="0" w:firstLine="640" w:firstLineChars="200"/>
        <w:jc w:val="left"/>
        <w:textAlignment w:val="auto"/>
        <w:rPr>
          <w:rFonts w:hint="eastAsia"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kern w:val="0"/>
          <w:sz w:val="32"/>
          <w:szCs w:val="32"/>
          <w:shd w:val="clear" w:color="auto" w:fill="FFFFFF"/>
        </w:rPr>
        <w:t>根据考核评分细则，我单位整体支出，严格按照国家的相关财务管理制度规定，财务制度健全，会计核算规范，依照计划管理使用，整体支出对保障部门工作的正常运行，依法履行法定工作职能，强化部门责任，在生态环境保护工作中取得了较好的成绩，自评</w:t>
      </w:r>
      <w:r>
        <w:rPr>
          <w:rFonts w:hint="eastAsia" w:ascii="仿宋_GB2312" w:hAnsi="仿宋_GB2312" w:eastAsia="仿宋_GB2312" w:cs="仿宋_GB2312"/>
          <w:sz w:val="32"/>
          <w:szCs w:val="32"/>
        </w:rPr>
        <w:t>分为</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sz w:val="32"/>
          <w:szCs w:val="32"/>
        </w:rPr>
        <w:t>。</w:t>
      </w:r>
    </w:p>
    <w:p>
      <w:pPr>
        <w:keepNext w:val="0"/>
        <w:keepLines w:val="0"/>
        <w:pageBreakBefore w:val="0"/>
        <w:widowControl/>
        <w:kinsoku/>
        <w:wordWrap/>
        <w:overflowPunct/>
        <w:topLinePunct w:val="0"/>
        <w:autoSpaceDE/>
        <w:autoSpaceDN/>
        <w:bidi w:val="0"/>
        <w:adjustRightInd w:val="0"/>
        <w:snapToGrid w:val="0"/>
        <w:spacing w:line="560" w:lineRule="exact"/>
        <w:ind w:leftChars="0" w:firstLine="640" w:firstLineChars="200"/>
        <w:contextualSpacing/>
        <w:jc w:val="left"/>
        <w:textAlignment w:val="auto"/>
        <w:outlineLvl w:val="9"/>
        <w:rPr>
          <w:rFonts w:hint="eastAsia" w:ascii="仿宋_GB2312" w:hAnsi="仿宋_GB2312" w:eastAsia="仿宋_GB2312" w:cs="仿宋_GB2312"/>
          <w:sz w:val="32"/>
          <w:szCs w:val="32"/>
          <w:u w:val="none"/>
          <w:lang w:val="en-US" w:eastAsia="zh-CN" w:bidi="ar"/>
        </w:rPr>
      </w:pPr>
      <w:r>
        <w:rPr>
          <w:rFonts w:hint="eastAsia" w:ascii="仿宋_GB2312" w:hAnsi="仿宋_GB2312" w:eastAsia="仿宋_GB2312" w:cs="仿宋_GB2312"/>
          <w:sz w:val="32"/>
          <w:szCs w:val="32"/>
          <w:u w:val="none"/>
          <w:lang w:val="en-US" w:eastAsia="zh-CN" w:bidi="ar"/>
        </w:rPr>
        <w:t>简要阐述部门预算绩效自评总体结论，其中必须包含自评得分。</w:t>
      </w:r>
    </w:p>
    <w:p>
      <w:pPr>
        <w:pStyle w:val="9"/>
        <w:keepNext w:val="0"/>
        <w:keepLines w:val="0"/>
        <w:pageBreakBefore w:val="0"/>
        <w:numPr>
          <w:ilvl w:val="0"/>
          <w:numId w:val="4"/>
        </w:numPr>
        <w:kinsoku/>
        <w:wordWrap/>
        <w:overflowPunct/>
        <w:topLinePunct w:val="0"/>
        <w:autoSpaceDE/>
        <w:autoSpaceDN/>
        <w:bidi w:val="0"/>
        <w:spacing w:line="560" w:lineRule="exact"/>
        <w:ind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pPr>
        <w:pStyle w:val="9"/>
        <w:keepNext w:val="0"/>
        <w:keepLines w:val="0"/>
        <w:pageBreakBefore w:val="0"/>
        <w:numPr>
          <w:ilvl w:val="0"/>
          <w:numId w:val="0"/>
        </w:numPr>
        <w:kinsoku/>
        <w:wordWrap/>
        <w:overflowPunct/>
        <w:topLinePunct w:val="0"/>
        <w:autoSpaceDE/>
        <w:autoSpaceDN/>
        <w:bidi w:val="0"/>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1.对于绩效评价的认识不够深入，把预算绩效简单等同于工作目标、工作考核和业务管理。</w:t>
      </w:r>
    </w:p>
    <w:p>
      <w:pPr>
        <w:pStyle w:val="9"/>
        <w:keepNext w:val="0"/>
        <w:keepLines w:val="0"/>
        <w:pageBreakBefore w:val="0"/>
        <w:kinsoku/>
        <w:wordWrap/>
        <w:overflowPunct/>
        <w:topLinePunct w:val="0"/>
        <w:autoSpaceDE/>
        <w:autoSpaceDN/>
        <w:bidi w:val="0"/>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2.绩效目标和指标往往根据项实际完成情况制定，对执行过程有效约束不够，存在一定的偏差。</w:t>
      </w:r>
    </w:p>
    <w:p>
      <w:pPr>
        <w:pStyle w:val="9"/>
        <w:keepNext w:val="0"/>
        <w:keepLines w:val="0"/>
        <w:pageBreakBefore w:val="0"/>
        <w:kinsoku/>
        <w:wordWrap/>
        <w:overflowPunct/>
        <w:topLinePunct w:val="0"/>
        <w:autoSpaceDE/>
        <w:autoSpaceDN/>
        <w:bidi w:val="0"/>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3.部分项目执行进度较慢影响了整体项目支出绩效。</w:t>
      </w:r>
    </w:p>
    <w:p>
      <w:pPr>
        <w:keepNext w:val="0"/>
        <w:keepLines w:val="0"/>
        <w:pageBreakBefore w:val="0"/>
        <w:widowControl/>
        <w:kinsoku/>
        <w:wordWrap/>
        <w:overflowPunct/>
        <w:topLinePunct w:val="0"/>
        <w:autoSpaceDE/>
        <w:autoSpaceDN/>
        <w:bidi w:val="0"/>
        <w:adjustRightInd w:val="0"/>
        <w:snapToGrid w:val="0"/>
        <w:spacing w:line="560" w:lineRule="exact"/>
        <w:ind w:leftChars="0" w:firstLine="640"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简要阐述部门预算绩效自评发现的主要问题。</w:t>
      </w:r>
    </w:p>
    <w:p>
      <w:pPr>
        <w:keepNext w:val="0"/>
        <w:keepLines w:val="0"/>
        <w:pageBreakBefore w:val="0"/>
        <w:numPr>
          <w:ilvl w:val="0"/>
          <w:numId w:val="4"/>
        </w:numPr>
        <w:kinsoku/>
        <w:wordWrap/>
        <w:overflowPunct/>
        <w:topLinePunct w:val="0"/>
        <w:autoSpaceDE/>
        <w:autoSpaceDN/>
        <w:bidi w:val="0"/>
        <w:spacing w:line="560" w:lineRule="exact"/>
        <w:ind w:left="0"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pPr>
        <w:keepNext w:val="0"/>
        <w:keepLines w:val="0"/>
        <w:pageBreakBefore w:val="0"/>
        <w:numPr>
          <w:ilvl w:val="0"/>
          <w:numId w:val="0"/>
        </w:numPr>
        <w:kinsoku/>
        <w:wordWrap/>
        <w:overflowPunct/>
        <w:topLinePunct w:val="0"/>
        <w:autoSpaceDE/>
        <w:autoSpaceDN/>
        <w:bidi w:val="0"/>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shd w:val="clear" w:color="auto" w:fill="FFFFFF"/>
          <w:lang w:val="en-US" w:eastAsia="zh-CN" w:bidi="ar-SA"/>
        </w:rPr>
        <w:t>1.</w:t>
      </w:r>
      <w:r>
        <w:rPr>
          <w:rFonts w:hint="eastAsia" w:ascii="仿宋_GB2312" w:hAnsi="仿宋_GB2312" w:eastAsia="仿宋_GB2312" w:cs="仿宋_GB2312"/>
          <w:sz w:val="32"/>
          <w:szCs w:val="32"/>
        </w:rPr>
        <w:t>建议财政部门多开展部门预算绩效评价工作的业务工作培训，组织开展部门之间、单位之间的经验交流，特别是要组织非财务部门的人员参与评价工作，切实推进绩效评价工作的开展。</w:t>
      </w:r>
    </w:p>
    <w:p>
      <w:pPr>
        <w:keepNext w:val="0"/>
        <w:keepLines w:val="0"/>
        <w:pageBreakBefore w:val="0"/>
        <w:widowControl/>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2"/>
          <w:sz w:val="32"/>
          <w:szCs w:val="32"/>
          <w:shd w:val="clear" w:color="auto" w:fill="FFFFFF"/>
          <w:lang w:val="en-US" w:eastAsia="zh-CN" w:bidi="ar-SA"/>
        </w:rPr>
        <w:t>2.</w:t>
      </w:r>
      <w:r>
        <w:rPr>
          <w:rFonts w:hint="eastAsia" w:ascii="仿宋_GB2312" w:hAnsi="仿宋_GB2312" w:eastAsia="仿宋_GB2312" w:cs="仿宋_GB2312"/>
          <w:sz w:val="32"/>
          <w:szCs w:val="32"/>
        </w:rPr>
        <w:t>进一步加强内控管理,提高认知程度,加强思想灌输,从思想上强化内部控制管理制度。强化单位纪检监督作用。</w:t>
      </w:r>
      <w:r>
        <w:rPr>
          <w:rFonts w:hint="eastAsia" w:ascii="仿宋_GB2312" w:hAnsi="仿宋_GB2312" w:eastAsia="仿宋_GB2312" w:cs="仿宋_GB2312"/>
          <w:sz w:val="32"/>
          <w:szCs w:val="32"/>
          <w:shd w:val="clear" w:color="auto" w:fill="FFFFFF"/>
        </w:rPr>
        <w:t>提高预算执行的科学化、规范化、精细化水平。</w:t>
      </w:r>
    </w:p>
    <w:p>
      <w:pPr>
        <w:keepNext w:val="0"/>
        <w:keepLines w:val="0"/>
        <w:pageBreakBefore w:val="0"/>
        <w:widowControl/>
        <w:kinsoku/>
        <w:wordWrap/>
        <w:overflowPunct/>
        <w:topLinePunct w:val="0"/>
        <w:autoSpaceDE/>
        <w:autoSpaceDN/>
        <w:bidi w:val="0"/>
        <w:adjustRightInd w:val="0"/>
        <w:snapToGrid w:val="0"/>
        <w:spacing w:line="560" w:lineRule="exact"/>
        <w:ind w:leftChars="0" w:firstLine="640" w:firstLineChars="200"/>
        <w:contextualSpacing/>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rPr>
        <w:t>3</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加强项目管理，提高项目执行进度，提高项目支出效率，确保项目按时完成。</w:t>
      </w:r>
    </w:p>
    <w:bookmarkEnd w:id="54"/>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Style w:val="19"/>
        <w:tblW w:w="90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14"/>
        <w:gridCol w:w="1184"/>
        <w:gridCol w:w="1032"/>
        <w:gridCol w:w="1311"/>
        <w:gridCol w:w="306"/>
        <w:gridCol w:w="957"/>
        <w:gridCol w:w="1016"/>
        <w:gridCol w:w="666"/>
        <w:gridCol w:w="304"/>
        <w:gridCol w:w="272"/>
        <w:gridCol w:w="16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893" w:hRule="atLeast"/>
        </w:trPr>
        <w:tc>
          <w:tcPr>
            <w:tcW w:w="90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5" w:hRule="atLeast"/>
        </w:trPr>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48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51320022T000000344302-嘉陵江流域白水江九寨沟县城上游段水生态保护修复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1" w:hRule="atLeast"/>
        </w:trPr>
        <w:tc>
          <w:tcPr>
            <w:tcW w:w="15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6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州生态环境局部门</w:t>
            </w:r>
          </w:p>
        </w:tc>
        <w:tc>
          <w:tcPr>
            <w:tcW w:w="666" w:type="dxa"/>
            <w:shd w:val="clear" w:color="auto" w:fill="auto"/>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1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九寨沟县生态环境局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5" w:hRule="atLeast"/>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6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8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08" w:hRule="atLeast"/>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462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86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94" w:hRule="atLeast"/>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48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80" w:hRule="atLeast"/>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2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6" w:hRule="atLeast"/>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43.23</w:t>
            </w:r>
          </w:p>
        </w:tc>
        <w:tc>
          <w:tcPr>
            <w:tcW w:w="22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43.23</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09" w:hRule="atLeast"/>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43.23</w:t>
            </w:r>
          </w:p>
        </w:tc>
        <w:tc>
          <w:tcPr>
            <w:tcW w:w="22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43.23</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3" w:hRule="atLeast"/>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80" w:hRule="atLeast"/>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2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17" w:hRule="atLeast"/>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22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1" w:hRule="atLeast"/>
        </w:trPr>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2" w:hRule="atLeast"/>
        </w:trPr>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0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35" w:hRule="atLeast"/>
        </w:trPr>
        <w:tc>
          <w:tcPr>
            <w:tcW w:w="688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7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6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1" w:hRule="atLeast"/>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866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1" w:hRule="atLeast"/>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866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37" w:hRule="atLeast"/>
        </w:trPr>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866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bl>
    <w:p>
      <w:pPr>
        <w:pStyle w:val="2"/>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p>
    <w:tbl>
      <w:tblPr>
        <w:tblStyle w:val="19"/>
        <w:tblW w:w="82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403"/>
        <w:gridCol w:w="1064"/>
        <w:gridCol w:w="928"/>
        <w:gridCol w:w="1189"/>
        <w:gridCol w:w="364"/>
        <w:gridCol w:w="912"/>
        <w:gridCol w:w="827"/>
        <w:gridCol w:w="680"/>
        <w:gridCol w:w="310"/>
        <w:gridCol w:w="251"/>
        <w:gridCol w:w="13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81" w:hRule="atLeast"/>
        </w:trPr>
        <w:tc>
          <w:tcPr>
            <w:tcW w:w="1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681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51320022T000007181871-嘉陵江流域白水江九寨沟县县城上游段水生态保护修复项目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61" w:hRule="atLeast"/>
        </w:trPr>
        <w:tc>
          <w:tcPr>
            <w:tcW w:w="1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2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州生态环境局部门</w:t>
            </w:r>
          </w:p>
        </w:tc>
        <w:tc>
          <w:tcPr>
            <w:tcW w:w="680" w:type="dxa"/>
            <w:shd w:val="clear" w:color="auto" w:fill="auto"/>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19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九寨沟县生态环境局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01" w:hRule="atLeast"/>
        </w:trPr>
        <w:tc>
          <w:tcPr>
            <w:tcW w:w="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0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2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5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212"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422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嘉陵江流域白水江九寨沟县县城上游段水生态保护修复项目为长江流域上游水生态保护修复体系的一部分，通过项目的实施，白水江九寨沟县县城上游段生态环境得到明显改善，生态保护基础设施建设安全稳定，河道采砂及人为活动对河道的影响显著下降，河道两侧生态结构基本合理，生物多样性显著增加，河道水质稳定在Ⅱ类水质及以上。</w:t>
            </w:r>
          </w:p>
        </w:tc>
        <w:tc>
          <w:tcPr>
            <w:tcW w:w="25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1"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681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1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97.06</w:t>
            </w:r>
          </w:p>
        </w:tc>
        <w:tc>
          <w:tcPr>
            <w:tcW w:w="21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97.06</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97.06</w:t>
            </w:r>
          </w:p>
        </w:tc>
        <w:tc>
          <w:tcPr>
            <w:tcW w:w="21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97.06</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1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1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812"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210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3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162" w:hRule="atLeast"/>
        </w:trPr>
        <w:tc>
          <w:tcPr>
            <w:tcW w:w="4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生态护岸（m）</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米</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水质达标率（%）</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建设周期（月）</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18</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月</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带动就业（人）</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服务对象满意度指标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沿线居民对项目实施满意度（%）</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9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11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项目总投资（万元）</w:t>
            </w:r>
          </w:p>
        </w:tc>
        <w:tc>
          <w:tcPr>
            <w:tcW w:w="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14976.78</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50" w:hRule="atLeast"/>
        </w:trPr>
        <w:tc>
          <w:tcPr>
            <w:tcW w:w="636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5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35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787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787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1" w:hRule="atLeast"/>
        </w:trPr>
        <w:tc>
          <w:tcPr>
            <w:tcW w:w="4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787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394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43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bl>
    <w:p>
      <w:pPr>
        <w:rPr>
          <w:rFonts w:hint="eastAsia" w:ascii="Times New Roman" w:hAnsi="Times New Roman" w:eastAsia="黑体" w:cs="黑体"/>
          <w:color w:val="auto"/>
          <w:kern w:val="0"/>
          <w:sz w:val="32"/>
          <w:szCs w:val="32"/>
          <w:highlight w:val="none"/>
          <w:shd w:val="clear" w:color="auto" w:fill="FFFFFF"/>
          <w:lang w:val="zh-CN"/>
        </w:rPr>
      </w:pPr>
    </w:p>
    <w:tbl>
      <w:tblPr>
        <w:tblStyle w:val="19"/>
        <w:tblW w:w="8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94"/>
        <w:gridCol w:w="1136"/>
        <w:gridCol w:w="988"/>
        <w:gridCol w:w="1256"/>
        <w:gridCol w:w="381"/>
        <w:gridCol w:w="919"/>
        <w:gridCol w:w="886"/>
        <w:gridCol w:w="662"/>
        <w:gridCol w:w="302"/>
        <w:gridCol w:w="261"/>
        <w:gridCol w:w="1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15" w:hRule="atLeast"/>
        </w:trPr>
        <w:tc>
          <w:tcPr>
            <w:tcW w:w="15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71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51320023T000007590964-嘉陵江流域白水江九寨沟县县城上游段水生态保护修复项目（520万元）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3" w:hRule="atLeast"/>
        </w:trPr>
        <w:tc>
          <w:tcPr>
            <w:tcW w:w="15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4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州生态环境局部门</w:t>
            </w:r>
          </w:p>
        </w:tc>
        <w:tc>
          <w:tcPr>
            <w:tcW w:w="662" w:type="dxa"/>
            <w:shd w:val="clear" w:color="auto" w:fill="auto"/>
            <w:vAlign w:val="center"/>
          </w:tcPr>
          <w:p>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0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九寨沟县生态环境局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15" w:hRule="atLeast"/>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1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4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2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78" w:hRule="atLeast"/>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44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268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对照年度目标，说明相关任务目标的完成情况（100字以内）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60" w:hRule="atLeast"/>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711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71" w:hRule="atLeast"/>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1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4" w:hRule="atLeast"/>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34.45</w:t>
            </w:r>
          </w:p>
        </w:tc>
        <w:tc>
          <w:tcPr>
            <w:tcW w:w="21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34.45</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07" w:hRule="atLeast"/>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1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24" w:hRule="atLeast"/>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21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71" w:hRule="atLeast"/>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34.45</w:t>
            </w:r>
          </w:p>
        </w:tc>
        <w:tc>
          <w:tcPr>
            <w:tcW w:w="21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34.45</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65" w:hRule="atLeast"/>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218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3" w:hRule="atLeast"/>
        </w:trPr>
        <w:tc>
          <w:tcPr>
            <w:tcW w:w="3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36" w:hRule="atLeast"/>
        </w:trPr>
        <w:tc>
          <w:tcPr>
            <w:tcW w:w="3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6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15" w:hRule="atLeast"/>
        </w:trPr>
        <w:tc>
          <w:tcPr>
            <w:tcW w:w="662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3" w:hRule="atLeast"/>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824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结合自评情况，说明项目自评总分，说明项目实施取得的成效或成果。（200字以内）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83" w:hRule="atLeast"/>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824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结合自评情况，分析存在的问题及原因。（200字以内）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90" w:hRule="atLeast"/>
        </w:trPr>
        <w:tc>
          <w:tcPr>
            <w:tcW w:w="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824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针对项目自评中发现的问题，提出下一步改进完善的意见及有关政策性建议。（200字以内）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6" w:hRule="atLeast"/>
        </w:trPr>
        <w:tc>
          <w:tcPr>
            <w:tcW w:w="41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项目负责人：</w:t>
            </w:r>
          </w:p>
        </w:tc>
        <w:tc>
          <w:tcPr>
            <w:tcW w:w="44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财务负责人：</w:t>
            </w:r>
          </w:p>
        </w:tc>
      </w:tr>
    </w:tbl>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8" w:name="_Toc15396618"/>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3"/>
      <w:bookmarkEnd w:id="58"/>
      <w:bookmarkStart w:id="59"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0"/>
      <w:r>
        <w:rPr>
          <w:rFonts w:hint="eastAsia" w:ascii="Times New Roman" w:hAnsi="Times New Roman" w:eastAsia="仿宋_GB2312" w:cs="仿宋_GB2312"/>
          <w:color w:val="auto"/>
          <w:sz w:val="32"/>
          <w:szCs w:val="32"/>
          <w:highlight w:val="none"/>
        </w:rPr>
        <w:t>二、收入决算表</w:t>
      </w:r>
      <w:bookmarkEnd w:id="6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1"/>
      <w:r>
        <w:rPr>
          <w:rFonts w:hint="eastAsia" w:ascii="Times New Roman" w:hAnsi="Times New Roman" w:eastAsia="仿宋_GB2312" w:cs="仿宋_GB2312"/>
          <w:color w:val="auto"/>
          <w:sz w:val="32"/>
          <w:szCs w:val="32"/>
          <w:highlight w:val="none"/>
        </w:rPr>
        <w:t>三、支出决算表</w:t>
      </w:r>
      <w:bookmarkEnd w:id="6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2"/>
      <w:r>
        <w:rPr>
          <w:rFonts w:hint="eastAsia" w:ascii="Times New Roman" w:hAnsi="Times New Roman" w:eastAsia="仿宋_GB2312" w:cs="仿宋_GB2312"/>
          <w:color w:val="auto"/>
          <w:sz w:val="32"/>
          <w:szCs w:val="32"/>
          <w:highlight w:val="none"/>
        </w:rPr>
        <w:t>四、财政拨款收入支出决算总表</w:t>
      </w:r>
      <w:bookmarkEnd w:id="6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3"/>
      <w:r>
        <w:rPr>
          <w:rFonts w:hint="eastAsia" w:ascii="Times New Roman" w:hAnsi="Times New Roman" w:eastAsia="仿宋_GB2312" w:cs="仿宋_GB2312"/>
          <w:color w:val="auto"/>
          <w:sz w:val="32"/>
          <w:szCs w:val="32"/>
          <w:highlight w:val="none"/>
        </w:rPr>
        <w:t>五、财政拨款支出决算明细表</w:t>
      </w:r>
      <w:bookmarkEnd w:id="63"/>
      <w:bookmarkStart w:id="64"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5"/>
      <w:r>
        <w:rPr>
          <w:rFonts w:hint="eastAsia" w:ascii="Times New Roman" w:hAnsi="Times New Roman" w:eastAsia="仿宋_GB2312" w:cs="仿宋_GB2312"/>
          <w:color w:val="auto"/>
          <w:sz w:val="32"/>
          <w:szCs w:val="32"/>
          <w:highlight w:val="none"/>
        </w:rPr>
        <w:t>七、一般公共预算财政拨款支出决算明细表</w:t>
      </w:r>
      <w:bookmarkEnd w:id="6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6"/>
      <w:r>
        <w:rPr>
          <w:rFonts w:hint="eastAsia" w:ascii="Times New Roman" w:hAnsi="Times New Roman" w:eastAsia="仿宋_GB2312" w:cs="仿宋_GB2312"/>
          <w:color w:val="auto"/>
          <w:sz w:val="32"/>
          <w:szCs w:val="32"/>
          <w:highlight w:val="none"/>
        </w:rPr>
        <w:t>八、一般公共预算财政拨款基本支出决算表</w:t>
      </w:r>
      <w:bookmarkEnd w:id="6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7"/>
      <w:r>
        <w:rPr>
          <w:rFonts w:hint="eastAsia" w:ascii="Times New Roman" w:hAnsi="Times New Roman" w:eastAsia="仿宋_GB2312" w:cs="仿宋_GB2312"/>
          <w:color w:val="auto"/>
          <w:sz w:val="32"/>
          <w:szCs w:val="32"/>
          <w:highlight w:val="none"/>
        </w:rPr>
        <w:t>九、一般公共预算财政拨款项目支出决算表</w:t>
      </w:r>
      <w:bookmarkEnd w:id="6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8"/>
      <w:r>
        <w:rPr>
          <w:rFonts w:hint="eastAsia" w:ascii="Times New Roman" w:hAnsi="Times New Roman" w:eastAsia="仿宋_GB2312" w:cs="仿宋_GB2312"/>
          <w:color w:val="auto"/>
          <w:sz w:val="32"/>
          <w:szCs w:val="32"/>
          <w:highlight w:val="none"/>
        </w:rPr>
        <w:t>十、</w:t>
      </w:r>
      <w:bookmarkEnd w:id="68"/>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9"/>
      <w:r>
        <w:rPr>
          <w:rFonts w:hint="eastAsia" w:ascii="Times New Roman" w:hAnsi="Times New Roman" w:eastAsia="仿宋_GB2312" w:cs="仿宋_GB2312"/>
          <w:color w:val="auto"/>
          <w:sz w:val="32"/>
          <w:szCs w:val="32"/>
          <w:highlight w:val="none"/>
        </w:rPr>
        <w:t>十一、</w:t>
      </w:r>
      <w:bookmarkEnd w:id="6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30"/>
      <w:r>
        <w:rPr>
          <w:rFonts w:hint="eastAsia" w:ascii="Times New Roman" w:hAnsi="Times New Roman" w:eastAsia="仿宋_GB2312" w:cs="仿宋_GB2312"/>
          <w:color w:val="auto"/>
          <w:sz w:val="32"/>
          <w:szCs w:val="32"/>
          <w:highlight w:val="none"/>
        </w:rPr>
        <w:t>十二、</w:t>
      </w:r>
      <w:bookmarkEnd w:id="70"/>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1" w:name="_Toc15396631"/>
      <w:r>
        <w:rPr>
          <w:rFonts w:hint="eastAsia" w:ascii="Times New Roman" w:hAnsi="Times New Roman" w:eastAsia="仿宋_GB2312" w:cs="仿宋_GB2312"/>
          <w:color w:val="auto"/>
          <w:sz w:val="32"/>
          <w:szCs w:val="32"/>
          <w:highlight w:val="none"/>
        </w:rPr>
        <w:t>十三、</w:t>
      </w:r>
      <w:bookmarkEnd w:id="71"/>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E89814"/>
    <w:multiLevelType w:val="singleLevel"/>
    <w:tmpl w:val="8EE89814"/>
    <w:lvl w:ilvl="0" w:tentative="0">
      <w:start w:val="1"/>
      <w:numFmt w:val="decimal"/>
      <w:suff w:val="nothing"/>
      <w:lvlText w:val="%1．"/>
      <w:lvlJc w:val="left"/>
      <w:pPr>
        <w:ind w:left="0" w:firstLine="400"/>
      </w:pPr>
      <w:rPr>
        <w:rFonts w:hint="default"/>
      </w:rPr>
    </w:lvl>
  </w:abstractNum>
  <w:abstractNum w:abstractNumId="1">
    <w:nsid w:val="DD6E07ED"/>
    <w:multiLevelType w:val="singleLevel"/>
    <w:tmpl w:val="DD6E07ED"/>
    <w:lvl w:ilvl="0" w:tentative="0">
      <w:start w:val="2"/>
      <w:numFmt w:val="chineseCounting"/>
      <w:suff w:val="nothing"/>
      <w:lvlText w:val="（%1）"/>
      <w:lvlJc w:val="left"/>
      <w:rPr>
        <w:rFonts w:hint="eastAsia"/>
      </w:rPr>
    </w:lvl>
  </w:abstractNum>
  <w:abstractNum w:abstractNumId="2">
    <w:nsid w:val="506BFC30"/>
    <w:multiLevelType w:val="singleLevel"/>
    <w:tmpl w:val="506BFC30"/>
    <w:lvl w:ilvl="0" w:tentative="0">
      <w:start w:val="1"/>
      <w:numFmt w:val="chineseCounting"/>
      <w:suff w:val="space"/>
      <w:lvlText w:val="第%1部分"/>
      <w:lvlJc w:val="left"/>
      <w:rPr>
        <w:rFonts w:hint="eastAsia"/>
      </w:rPr>
    </w:lvl>
  </w:abstractNum>
  <w:abstractNum w:abstractNumId="3">
    <w:nsid w:val="5F23ADF2"/>
    <w:multiLevelType w:val="singleLevel"/>
    <w:tmpl w:val="5F23ADF2"/>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53F6B5C"/>
    <w:rsid w:val="05510FCF"/>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1B3545C"/>
    <w:rsid w:val="13D50BC4"/>
    <w:rsid w:val="14022904"/>
    <w:rsid w:val="151137F8"/>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531D2B"/>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CA4686"/>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3F5D43"/>
    <w:rsid w:val="3D98207C"/>
    <w:rsid w:val="3D9B0D99"/>
    <w:rsid w:val="3DEE7CF3"/>
    <w:rsid w:val="3DF02244"/>
    <w:rsid w:val="3E78745D"/>
    <w:rsid w:val="3FF4CAE0"/>
    <w:rsid w:val="3FF7B227"/>
    <w:rsid w:val="40A2147E"/>
    <w:rsid w:val="40E54C45"/>
    <w:rsid w:val="43A407DF"/>
    <w:rsid w:val="44515BEA"/>
    <w:rsid w:val="44E268DA"/>
    <w:rsid w:val="453F7E5B"/>
    <w:rsid w:val="47395079"/>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AF0AE8"/>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55577DE"/>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semiHidden/>
    <w:unhideWhenUsed/>
    <w:qFormat/>
    <w:uiPriority w:val="99"/>
    <w:rPr>
      <w:rFonts w:ascii="宋体" w:hAnsi="Courier New"/>
    </w:r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6"/>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6"/>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6"/>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6"/>
    <w:link w:val="4"/>
    <w:qFormat/>
    <w:uiPriority w:val="9"/>
    <w:rPr>
      <w:rFonts w:ascii="Times New Roman" w:hAnsi="Times New Roman"/>
      <w:b/>
      <w:bCs/>
      <w:kern w:val="44"/>
      <w:sz w:val="44"/>
      <w:szCs w:val="44"/>
    </w:rPr>
  </w:style>
  <w:style w:type="character" w:customStyle="1" w:styleId="30">
    <w:name w:val="标题 2 Char"/>
    <w:basedOn w:val="16"/>
    <w:link w:val="5"/>
    <w:qFormat/>
    <w:uiPriority w:val="9"/>
    <w:rPr>
      <w:rFonts w:asciiTheme="majorHAnsi" w:hAnsiTheme="majorHAnsi" w:eastAsiaTheme="majorEastAsia" w:cstheme="majorBidi"/>
      <w:b/>
      <w:bCs/>
      <w:kern w:val="2"/>
      <w:sz w:val="32"/>
      <w:szCs w:val="32"/>
    </w:rPr>
  </w:style>
  <w:style w:type="paragraph" w:customStyle="1" w:styleId="31">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6"/>
    <w:link w:val="10"/>
    <w:semiHidden/>
    <w:qFormat/>
    <w:uiPriority w:val="99"/>
    <w:rPr>
      <w:rFonts w:ascii="Times New Roman" w:hAnsi="Times New Roman"/>
      <w:kern w:val="2"/>
      <w:sz w:val="18"/>
      <w:szCs w:val="18"/>
    </w:rPr>
  </w:style>
  <w:style w:type="character" w:customStyle="1" w:styleId="33">
    <w:name w:val="标题 3 Char"/>
    <w:basedOn w:val="16"/>
    <w:link w:val="6"/>
    <w:qFormat/>
    <w:uiPriority w:val="9"/>
    <w:rPr>
      <w:rFonts w:ascii="Times New Roman" w:hAnsi="Times New Roman"/>
      <w:b/>
      <w:bCs/>
      <w:kern w:val="2"/>
      <w:sz w:val="32"/>
      <w:szCs w:val="32"/>
    </w:rPr>
  </w:style>
  <w:style w:type="paragraph" w:customStyle="1" w:styleId="34">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5&#24180;&#24230;&#37096;&#38376;&#20915;&#31639;&#20844;&#24320;\&#22270;&#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4180;&#24230;&#37096;&#38376;&#20915;&#31639;&#20844;&#24320;\&#22270;&#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5&#24180;&#24230;&#37096;&#38376;&#20915;&#31639;&#20844;&#24320;\&#22270;&#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5&#24180;&#24230;&#37096;&#38376;&#20915;&#31639;&#20844;&#24320;\&#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baseline="0">
                <a:solidFill>
                  <a:schemeClr val="tx1">
                    <a:lumMod val="65000"/>
                    <a:lumOff val="35000"/>
                  </a:schemeClr>
                </a:solidFill>
                <a:latin typeface="+mn-lt"/>
                <a:ea typeface="+mn-ea"/>
                <a:cs typeface="+mn-cs"/>
              </a:defRPr>
            </a:pPr>
            <a:r>
              <a:t>收支柱状图</a:t>
            </a:r>
          </a:p>
        </c:rich>
      </c:tx>
      <c:layout/>
      <c:overlay val="0"/>
      <c:spPr>
        <a:noFill/>
        <a:ln>
          <a:noFill/>
        </a:ln>
        <a:effectLst/>
      </c:spPr>
    </c:title>
    <c:autoTitleDeleted val="0"/>
    <c:plotArea>
      <c:layout/>
      <c:barChart>
        <c:barDir val="col"/>
        <c:grouping val="clustered"/>
        <c:varyColors val="0"/>
        <c:ser>
          <c:idx val="0"/>
          <c:order val="0"/>
          <c:tx>
            <c:strRef>
              <c:f>[图表.xlsx]Sheet1!$A$2</c:f>
              <c:strCache>
                <c:ptCount val="1"/>
                <c:pt idx="0">
                  <c:v>2024年</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elete val="1"/>
          </c:dLbls>
          <c:cat>
            <c:strRef>
              <c:f>[图表.xlsx]Sheet1!$B$1:$C$1</c:f>
              <c:strCache>
                <c:ptCount val="2"/>
                <c:pt idx="0">
                  <c:v>收入</c:v>
                </c:pt>
                <c:pt idx="1">
                  <c:v>支出</c:v>
                </c:pt>
              </c:strCache>
            </c:strRef>
          </c:cat>
          <c:val>
            <c:numRef>
              <c:f>[图表.xlsx]Sheet1!$B$2:$C$2</c:f>
              <c:numCache>
                <c:formatCode>General</c:formatCode>
                <c:ptCount val="2"/>
                <c:pt idx="0">
                  <c:v>3081.82</c:v>
                </c:pt>
                <c:pt idx="1">
                  <c:v>3081.82</c:v>
                </c:pt>
              </c:numCache>
            </c:numRef>
          </c:val>
        </c:ser>
        <c:ser>
          <c:idx val="1"/>
          <c:order val="1"/>
          <c:tx>
            <c:strRef>
              <c:f>[图表.xlsx]Sheet1!$A$3</c:f>
              <c:strCache>
                <c:ptCount val="1"/>
                <c:pt idx="0">
                  <c:v>2025年</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elete val="1"/>
          </c:dLbls>
          <c:cat>
            <c:strRef>
              <c:f>[图表.xlsx]Sheet1!$B$1:$C$1</c:f>
              <c:strCache>
                <c:ptCount val="2"/>
                <c:pt idx="0">
                  <c:v>收入</c:v>
                </c:pt>
                <c:pt idx="1">
                  <c:v>支出</c:v>
                </c:pt>
              </c:strCache>
            </c:strRef>
          </c:cat>
          <c:val>
            <c:numRef>
              <c:f>[图表.xlsx]Sheet1!$B$3:$C$3</c:f>
              <c:numCache>
                <c:formatCode>General</c:formatCode>
                <c:ptCount val="2"/>
                <c:pt idx="0">
                  <c:v>1091.79</c:v>
                </c:pt>
                <c:pt idx="1">
                  <c:v>1091.79</c:v>
                </c:pt>
              </c:numCache>
            </c:numRef>
          </c:val>
        </c:ser>
        <c:dLbls>
          <c:showLegendKey val="0"/>
          <c:showVal val="0"/>
          <c:showCatName val="0"/>
          <c:showSerName val="0"/>
          <c:showPercent val="0"/>
          <c:showBubbleSize val="0"/>
        </c:dLbls>
        <c:gapWidth val="100"/>
        <c:overlap val="-24"/>
        <c:axId val="879117346"/>
        <c:axId val="241547169"/>
      </c:barChart>
      <c:catAx>
        <c:axId val="879117346"/>
        <c:scaling>
          <c:orientation val="minMax"/>
        </c:scaling>
        <c:delete val="0"/>
        <c:axPos val="b"/>
        <c:majorTickMark val="none"/>
        <c:minorTickMark val="none"/>
        <c:tickLblPos val="nextTo"/>
        <c:spPr>
          <a:noFill/>
          <a:ln w="12700"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1547169"/>
        <c:crosses val="autoZero"/>
        <c:auto val="1"/>
        <c:lblAlgn val="ctr"/>
        <c:lblOffset val="100"/>
        <c:noMultiLvlLbl val="0"/>
      </c:catAx>
      <c:valAx>
        <c:axId val="24154716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91173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65000"/>
                    <a:lumOff val="35000"/>
                  </a:schemeClr>
                </a:solidFill>
                <a:latin typeface="+mn-lt"/>
                <a:ea typeface="+mn-ea"/>
                <a:cs typeface="+mn-cs"/>
              </a:defRPr>
            </a:pPr>
            <a:r>
              <a:t>2025年收入决算结构图</a:t>
            </a:r>
          </a:p>
        </c:rich>
      </c:tx>
      <c:layout/>
      <c:overlay val="0"/>
      <c:spPr>
        <a:noFill/>
        <a:ln>
          <a:noFill/>
        </a:ln>
        <a:effectLst/>
      </c:spPr>
    </c:title>
    <c:autoTitleDeleted val="0"/>
    <c:plotArea>
      <c:layout/>
      <c:pieChart>
        <c:varyColors val="1"/>
        <c:ser>
          <c:idx val="0"/>
          <c:order val="0"/>
          <c:tx>
            <c:strRef>
              <c:f>[图表.xlsx]Sheet1!$I$2</c:f>
              <c:strCache>
                <c:ptCount val="1"/>
                <c:pt idx="0">
                  <c:v>2025年</c:v>
                </c:pt>
              </c:strCache>
            </c:strRef>
          </c:tx>
          <c:spPr/>
          <c:explosion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Lbls>
            <c:dLbl>
              <c:idx val="0"/>
              <c:layout>
                <c:manualLayout>
                  <c:x val="0.15118659510955"/>
                  <c:y val="-0.10989227858127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96388888888889"/>
                      <c:h val="0.143055555555556"/>
                    </c:manualLayout>
                  </c15:layout>
                </c:ext>
              </c:extLst>
            </c:dLbl>
            <c:dLbl>
              <c:idx val="1"/>
              <c:layout>
                <c:manualLayout>
                  <c:x val="-0.134158246467195"/>
                  <c:y val="0.076222170507961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cap="none" spc="0" normalizeH="0" baseline="0">
                    <a:solidFill>
                      <a:schemeClr val="tx1"/>
                    </a:solidFill>
                    <a:uFill>
                      <a:solidFill>
                        <a:schemeClr val="bg1"/>
                      </a:solidFill>
                    </a:u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[图表.xlsx]Sheet1!$J$1:$K$1</c:f>
              <c:strCache>
                <c:ptCount val="2"/>
                <c:pt idx="0">
                  <c:v>一般公共预算收入</c:v>
                </c:pt>
                <c:pt idx="1">
                  <c:v>其他收入</c:v>
                </c:pt>
              </c:strCache>
            </c:strRef>
          </c:cat>
          <c:val>
            <c:numRef>
              <c:f>[图表.xlsx]Sheet1!$J$2:$K$2</c:f>
              <c:numCache>
                <c:formatCode>General</c:formatCode>
                <c:ptCount val="2"/>
                <c:pt idx="0">
                  <c:v>959.09</c:v>
                </c:pt>
                <c:pt idx="1">
                  <c:v>132.7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2025年支出决算结构图</a:t>
            </a:r>
          </a:p>
        </c:rich>
      </c:tx>
      <c:layout/>
      <c:overlay val="0"/>
      <c:spPr>
        <a:noFill/>
        <a:ln>
          <a:noFill/>
        </a:ln>
        <a:effectLst/>
      </c:spPr>
    </c:title>
    <c:autoTitleDeleted val="0"/>
    <c:plotArea>
      <c:layout/>
      <c:pieChart>
        <c:varyColors val="1"/>
        <c:ser>
          <c:idx val="0"/>
          <c:order val="0"/>
          <c:tx>
            <c:strRef>
              <c:f>[图表.xlsx]Sheet1!$A$23</c:f>
              <c:strCache>
                <c:ptCount val="1"/>
                <c:pt idx="0">
                  <c:v>2025年</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[图表.xlsx]Sheet1!$B$22:$D$22</c:f>
              <c:strCache>
                <c:ptCount val="3"/>
                <c:pt idx="0">
                  <c:v>基本支出</c:v>
                </c:pt>
                <c:pt idx="1">
                  <c:v>项目支出</c:v>
                </c:pt>
                <c:pt idx="2">
                  <c:v>年末结转</c:v>
                </c:pt>
              </c:strCache>
            </c:strRef>
          </c:cat>
          <c:val>
            <c:numRef>
              <c:f>[图表.xlsx]Sheet1!$B$23:$D$23</c:f>
              <c:numCache>
                <c:formatCode>General</c:formatCode>
                <c:ptCount val="3"/>
                <c:pt idx="0">
                  <c:v>371.72</c:v>
                </c:pt>
                <c:pt idx="1">
                  <c:v>717.82</c:v>
                </c:pt>
                <c:pt idx="2">
                  <c:v>2.25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65000"/>
                    <a:lumOff val="35000"/>
                  </a:schemeClr>
                </a:solidFill>
                <a:latin typeface="+mn-lt"/>
                <a:ea typeface="+mn-ea"/>
                <a:cs typeface="+mn-cs"/>
              </a:defRPr>
            </a:pPr>
            <a:r>
              <a:t>一般公共预算拨款支出情况</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noFill/>
              </a:ln>
              <a:effectLst>
                <a:outerShdw blurRad="317500" algn="ctr" rotWithShape="0">
                  <a:prstClr val="black">
                    <a:alpha val="25000"/>
                  </a:prstClr>
                </a:outerShdw>
              </a:effectLst>
            </c:spPr>
          </c:dPt>
          <c:dPt>
            <c:idx val="1"/>
            <c:bubble3D val="0"/>
            <c:spPr>
              <a:solidFill>
                <a:schemeClr val="accent2"/>
              </a:solidFill>
              <a:ln>
                <a:noFill/>
              </a:ln>
              <a:effectLst>
                <a:outerShdw blurRad="317500" algn="ctr" rotWithShape="0">
                  <a:prstClr val="black">
                    <a:alpha val="25000"/>
                  </a:prstClr>
                </a:outerShdw>
              </a:effectLst>
            </c:spPr>
          </c:dPt>
          <c:dPt>
            <c:idx val="2"/>
            <c:bubble3D val="0"/>
            <c:spPr>
              <a:solidFill>
                <a:schemeClr val="accent3"/>
              </a:solidFill>
              <a:ln>
                <a:noFill/>
              </a:ln>
              <a:effectLst>
                <a:outerShdw blurRad="317500" algn="ctr" rotWithShape="0">
                  <a:prstClr val="black">
                    <a:alpha val="25000"/>
                  </a:prstClr>
                </a:outerShdw>
              </a:effectLst>
            </c:spPr>
          </c:dPt>
          <c:dPt>
            <c:idx val="3"/>
            <c:bubble3D val="0"/>
            <c:spPr>
              <a:solidFill>
                <a:schemeClr val="accent4"/>
              </a:solidFill>
              <a:ln>
                <a:noFill/>
              </a:ln>
              <a:effectLst>
                <a:outerShdw blurRad="317500" algn="ctr" rotWithShape="0">
                  <a:prstClr val="black">
                    <a:alpha val="25000"/>
                  </a:prstClr>
                </a:outerShdw>
              </a:effectLst>
            </c:spPr>
          </c:dPt>
          <c:dPt>
            <c:idx val="4"/>
            <c:bubble3D val="0"/>
            <c:spPr>
              <a:solidFill>
                <a:schemeClr val="accent5"/>
              </a:solidFill>
              <a:ln>
                <a:noFill/>
              </a:ln>
              <a:effectLst>
                <a:outerShdw blurRad="317500" algn="ctr" rotWithShape="0">
                  <a:prstClr val="black">
                    <a:alpha val="25000"/>
                  </a:prstClr>
                </a:outerShdw>
              </a:effectLst>
            </c:spPr>
          </c:dPt>
          <c:dLbls>
            <c:dLbl>
              <c:idx val="0"/>
              <c:layout>
                <c:manualLayout>
                  <c:x val="0.179264073802285"/>
                  <c:y val="0.0144230769230769"/>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0.132089317538526"/>
                  <c:y val="0.050480769230769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786245937729322"/>
                  <c:y val="-0.235116334083793"/>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0.182409057553203"/>
                  <c:y val="0.0096153846153846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4"/>
              <c:layout>
                <c:manualLayout>
                  <c:x val="-0.00943495125275186"/>
                  <c:y val="-0.026442307692307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1" i="0" u="none" strike="noStrike" kern="1200" cap="none" spc="0" normalizeH="0" baseline="0">
                    <a:solidFill>
                      <a:schemeClr val="tx1"/>
                    </a:solidFill>
                    <a:uFill>
                      <a:solidFill>
                        <a:schemeClr val="bg1"/>
                      </a:solidFill>
                    </a:u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[图表.xlsx]Sheet1!$A$27:$A$31</c:f>
              <c:strCache>
                <c:ptCount val="5"/>
                <c:pt idx="0">
                  <c:v>社会保障和就业支出</c:v>
                </c:pt>
                <c:pt idx="1">
                  <c:v>卫生健康支出</c:v>
                </c:pt>
                <c:pt idx="2">
                  <c:v>节能环保支出</c:v>
                </c:pt>
                <c:pt idx="3">
                  <c:v>住房保障支出</c:v>
                </c:pt>
                <c:pt idx="4">
                  <c:v>年末结转和结余</c:v>
                </c:pt>
              </c:strCache>
            </c:strRef>
          </c:cat>
          <c:val>
            <c:numRef>
              <c:f>[图表.xlsx]Sheet1!$B$27:$B$31</c:f>
              <c:numCache>
                <c:formatCode>General</c:formatCode>
                <c:ptCount val="5"/>
                <c:pt idx="0">
                  <c:v>49.66</c:v>
                </c:pt>
                <c:pt idx="1">
                  <c:v>15.9</c:v>
                </c:pt>
                <c:pt idx="2">
                  <c:v>1001.32</c:v>
                </c:pt>
                <c:pt idx="3">
                  <c:v>22.66</c:v>
                </c:pt>
                <c:pt idx="4">
                  <c:v>2.25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1299</Words>
  <Characters>7410</Characters>
  <Lines>61</Lines>
  <Paragraphs>17</Paragraphs>
  <ScaleCrop>false</ScaleCrop>
  <LinksUpToDate>false</LinksUpToDate>
  <CharactersWithSpaces>8692</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2026-08-03T09:27:00Z</cp:lastPrinted>
  <dcterms:modified xsi:type="dcterms:W3CDTF">2026-09-15T08:19:51Z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