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DD9B2">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480" w:lineRule="auto"/>
        <w:ind w:left="0" w:firstLine="0" w:firstLineChars="0"/>
        <w:jc w:val="center"/>
        <w:textAlignment w:val="auto"/>
        <w:rPr>
          <w:rFonts w:hint="eastAsia" w:ascii="方正小标宋简体" w:hAnsi="方正小标宋简体" w:eastAsia="方正小标宋简体" w:cs="方正小标宋简体"/>
          <w:sz w:val="84"/>
          <w:szCs w:val="84"/>
          <w:shd w:val="clear" w:color="auto" w:fill="FFFFFF"/>
        </w:rPr>
      </w:pPr>
    </w:p>
    <w:p w14:paraId="0BE2756A">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480" w:lineRule="auto"/>
        <w:ind w:left="0" w:firstLine="0" w:firstLineChars="0"/>
        <w:jc w:val="center"/>
        <w:textAlignment w:val="auto"/>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shd w:val="clear" w:color="auto" w:fill="FFFFFF"/>
          <w:lang w:eastAsia="zh-CN"/>
        </w:rPr>
        <w:t>2025</w:t>
      </w:r>
      <w:r>
        <w:rPr>
          <w:rFonts w:hint="eastAsia" w:ascii="方正小标宋简体" w:hAnsi="方正小标宋简体" w:eastAsia="方正小标宋简体" w:cs="方正小标宋简体"/>
          <w:sz w:val="84"/>
          <w:szCs w:val="84"/>
          <w:shd w:val="clear" w:color="auto" w:fill="FFFFFF"/>
        </w:rPr>
        <w:t>年度</w:t>
      </w:r>
    </w:p>
    <w:p w14:paraId="17C36150">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480" w:lineRule="auto"/>
        <w:ind w:left="0" w:firstLine="0" w:firstLineChars="0"/>
        <w:jc w:val="center"/>
        <w:textAlignment w:val="auto"/>
        <w:rPr>
          <w:rFonts w:hint="eastAsia" w:ascii="方正小标宋简体" w:hAnsi="方正小标宋简体" w:eastAsia="方正小标宋简体" w:cs="方正小标宋简体"/>
          <w:sz w:val="84"/>
          <w:szCs w:val="84"/>
          <w:shd w:val="clear" w:color="auto" w:fill="FFFFFF"/>
        </w:rPr>
      </w:pPr>
      <w:r>
        <w:rPr>
          <w:rFonts w:hint="eastAsia" w:ascii="方正小标宋简体" w:hAnsi="方正小标宋简体" w:eastAsia="方正小标宋简体" w:cs="方正小标宋简体"/>
          <w:sz w:val="84"/>
          <w:szCs w:val="84"/>
          <w:shd w:val="clear" w:color="auto" w:fill="FFFFFF"/>
        </w:rPr>
        <w:t>阿坝州汶川生态环境局单位决算</w:t>
      </w:r>
    </w:p>
    <w:p w14:paraId="73ED114F">
      <w:pPr>
        <w:pStyle w:val="17"/>
        <w:keepNext w:val="0"/>
        <w:keepLines w:val="0"/>
        <w:widowControl/>
        <w:suppressLineNumbers w:val="0"/>
        <w:spacing w:before="0" w:beforeAutospacing="0"/>
        <w:ind w:left="0"/>
        <w:jc w:val="center"/>
        <w:rPr>
          <w:rFonts w:hint="eastAsia" w:ascii="方正小标宋简体" w:hAnsi="方正小标宋简体" w:eastAsia="方正小标宋简体" w:cs="方正小标宋简体"/>
          <w:sz w:val="84"/>
          <w:szCs w:val="84"/>
          <w:shd w:val="clear" w:color="auto" w:fill="FFFFFF"/>
        </w:rPr>
      </w:pPr>
    </w:p>
    <w:p w14:paraId="227C79C1">
      <w:pPr>
        <w:pStyle w:val="17"/>
        <w:keepNext w:val="0"/>
        <w:keepLines w:val="0"/>
        <w:widowControl/>
        <w:suppressLineNumbers w:val="0"/>
        <w:spacing w:before="0" w:beforeAutospacing="0"/>
        <w:ind w:left="0"/>
        <w:jc w:val="both"/>
        <w:rPr>
          <w:rFonts w:hint="eastAsia" w:ascii="方正小标宋简体" w:hAnsi="方正小标宋简体" w:eastAsia="方正小标宋简体" w:cs="方正小标宋简体"/>
          <w:sz w:val="84"/>
          <w:szCs w:val="84"/>
          <w:shd w:val="clear" w:color="auto" w:fill="FFFFFF"/>
        </w:rPr>
      </w:pPr>
    </w:p>
    <w:p w14:paraId="422D15C1">
      <w:pPr>
        <w:pStyle w:val="17"/>
        <w:keepNext w:val="0"/>
        <w:keepLines w:val="0"/>
        <w:widowControl/>
        <w:suppressLineNumbers w:val="0"/>
        <w:spacing w:before="0" w:beforeAutospacing="0"/>
        <w:ind w:left="0"/>
        <w:jc w:val="both"/>
        <w:rPr>
          <w:rFonts w:hint="eastAsia" w:ascii="方正小标宋简体" w:hAnsi="方正小标宋简体" w:eastAsia="方正小标宋简体" w:cs="方正小标宋简体"/>
          <w:sz w:val="84"/>
          <w:szCs w:val="84"/>
          <w:shd w:val="clear" w:color="auto" w:fill="FFFFFF"/>
        </w:rPr>
      </w:pPr>
    </w:p>
    <w:p w14:paraId="28897BC2">
      <w:pPr>
        <w:pStyle w:val="17"/>
        <w:keepNext w:val="0"/>
        <w:keepLines w:val="0"/>
        <w:widowControl/>
        <w:suppressLineNumbers w:val="0"/>
        <w:spacing w:before="0" w:beforeAutospacing="0"/>
        <w:ind w:left="0"/>
        <w:jc w:val="both"/>
        <w:rPr>
          <w:rFonts w:hint="eastAsia" w:ascii="方正小标宋简体" w:hAnsi="方正小标宋简体" w:eastAsia="方正小标宋简体" w:cs="方正小标宋简体"/>
          <w:sz w:val="84"/>
          <w:szCs w:val="84"/>
        </w:rPr>
      </w:pPr>
      <w:r>
        <w:rPr>
          <w:rFonts w:hint="eastAsia" w:ascii="方正小标宋简体" w:hAnsi="方正小标宋简体" w:eastAsia="方正小标宋简体" w:cs="方正小标宋简体"/>
          <w:sz w:val="84"/>
          <w:szCs w:val="84"/>
          <w:shd w:val="clear" w:color="auto" w:fill="FFFFFF"/>
        </w:rPr>
        <w:t> </w:t>
      </w:r>
    </w:p>
    <w:p w14:paraId="40270F0A">
      <w:pPr>
        <w:pStyle w:val="17"/>
        <w:keepNext w:val="0"/>
        <w:keepLines w:val="0"/>
        <w:widowControl/>
        <w:suppressLineNumbers w:val="0"/>
        <w:spacing w:before="0" w:beforeAutospacing="0"/>
        <w:ind w:left="0"/>
        <w:jc w:val="both"/>
        <w:rPr>
          <w:rFonts w:hint="eastAsia" w:ascii="仿宋_GB2312" w:hAnsi="仿宋_GB2312" w:eastAsia="仿宋_GB2312" w:cs="仿宋_GB2312"/>
          <w:sz w:val="28"/>
          <w:szCs w:val="28"/>
          <w:shd w:val="clear" w:color="auto" w:fill="FFFFFF"/>
          <w:lang w:val="en-US" w:eastAsia="zh-CN"/>
        </w:rPr>
      </w:pPr>
      <w:r>
        <w:rPr>
          <w:rFonts w:hint="eastAsia" w:ascii="仿宋_GB2312" w:hAnsi="仿宋_GB2312" w:eastAsia="仿宋_GB2312" w:cs="仿宋_GB2312"/>
          <w:sz w:val="28"/>
          <w:szCs w:val="28"/>
          <w:shd w:val="clear" w:color="auto" w:fill="FFFFFF"/>
          <w:lang w:val="en-US" w:eastAsia="zh-CN"/>
        </w:rPr>
        <w:t>保密审查情况：已审查，内容审定</w:t>
      </w:r>
    </w:p>
    <w:p w14:paraId="3681236D">
      <w:pPr>
        <w:pStyle w:val="17"/>
        <w:keepNext w:val="0"/>
        <w:keepLines w:val="0"/>
        <w:widowControl/>
        <w:suppressLineNumbers w:val="0"/>
        <w:spacing w:before="0" w:beforeAutospacing="0"/>
        <w:ind w:left="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color="auto" w:fill="FFFFFF"/>
          <w:lang w:val="en-US" w:eastAsia="zh-CN"/>
        </w:rPr>
        <w:t>部门主要负责人审签情况：已审签，</w:t>
      </w:r>
      <w:r>
        <w:rPr>
          <w:rFonts w:hint="eastAsia" w:ascii="仿宋_GB2312" w:hAnsi="仿宋_GB2312" w:eastAsia="仿宋_GB2312" w:cs="仿宋_GB2312"/>
          <w:sz w:val="28"/>
          <w:szCs w:val="28"/>
          <w:shd w:val="clear" w:color="auto" w:fill="FFFFFF"/>
        </w:rPr>
        <w:t>同意对外公开  </w:t>
      </w:r>
    </w:p>
    <w:p w14:paraId="6EAE3100">
      <w:pPr>
        <w:pStyle w:val="17"/>
        <w:keepNext w:val="0"/>
        <w:keepLines w:val="0"/>
        <w:widowControl/>
        <w:suppressLineNumbers w:val="0"/>
        <w:spacing w:before="0" w:beforeAutospacing="0"/>
        <w:ind w:left="0"/>
        <w:jc w:val="both"/>
        <w:rPr>
          <w:shd w:val="clear" w:color="auto" w:fill="FFFFFF"/>
        </w:rPr>
        <w:sectPr>
          <w:pgSz w:w="11915" w:h="16851"/>
          <w:pgMar w:top="2154" w:right="1474" w:bottom="1871" w:left="1587" w:header="851" w:footer="992" w:gutter="0"/>
          <w:cols w:space="720" w:num="1"/>
          <w:docGrid w:type="lines" w:linePitch="312" w:charSpace="0"/>
        </w:sectPr>
      </w:pPr>
    </w:p>
    <w:sdt>
      <w:sdtPr>
        <w:rPr>
          <w:rFonts w:hint="eastAsia" w:ascii="Times New Roman" w:hAnsi="Times New Roman" w:eastAsia="仿宋_GB2312" w:cs="仿宋_GB2312"/>
          <w:color w:val="auto"/>
          <w:sz w:val="32"/>
          <w:szCs w:val="32"/>
          <w:highlight w:val="none"/>
          <w:lang w:val="en-US" w:eastAsia="zh-CN"/>
        </w:rPr>
        <w:id w:val="147460587"/>
        <w15:color w:val="DBDBDB"/>
        <w:docPartObj>
          <w:docPartGallery w:val="Table of Contents"/>
          <w:docPartUnique/>
        </w:docPartObj>
      </w:sdtPr>
      <w:sdtEndPr>
        <w:rPr>
          <w:rFonts w:hint="eastAsia" w:ascii="黑体" w:hAnsi="黑体" w:eastAsia="黑体" w:cs="黑体"/>
          <w:color w:val="auto"/>
          <w:kern w:val="2"/>
          <w:sz w:val="44"/>
          <w:szCs w:val="44"/>
          <w:highlight w:val="none"/>
          <w:lang w:val="en-US" w:eastAsia="zh-CN" w:bidi="ar-SA"/>
        </w:rPr>
      </w:sdtEndPr>
      <w:sdtContent>
        <w:p w14:paraId="58EA4762">
          <w:pPr>
            <w:pStyle w:val="13"/>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目  录</w:t>
          </w:r>
        </w:p>
        <w:p w14:paraId="2B93098A">
          <w:pPr>
            <w:pStyle w:val="13"/>
            <w:rPr>
              <w:rFonts w:hint="eastAsia" w:ascii="黑体" w:hAnsi="黑体" w:eastAsia="黑体" w:cs="黑体"/>
              <w:sz w:val="24"/>
              <w:szCs w:val="24"/>
            </w:rPr>
          </w:pPr>
          <w:r>
            <w:rPr>
              <w:rFonts w:hint="eastAsia" w:ascii="Times New Roman" w:hAnsi="Times New Roman" w:eastAsia="仿宋_GB2312" w:cs="仿宋_GB2312"/>
              <w:color w:val="auto"/>
              <w:sz w:val="24"/>
              <w:szCs w:val="24"/>
              <w:highlight w:val="none"/>
            </w:rPr>
            <w:t>公开时间：20</w:t>
          </w:r>
          <w:r>
            <w:rPr>
              <w:rFonts w:hint="eastAsia" w:ascii="Times New Roman" w:hAnsi="Times New Roman" w:eastAsia="仿宋_GB2312" w:cs="仿宋_GB2312"/>
              <w:color w:val="auto"/>
              <w:sz w:val="24"/>
              <w:szCs w:val="24"/>
              <w:highlight w:val="none"/>
              <w:lang w:val="en-US" w:eastAsia="zh-CN"/>
            </w:rPr>
            <w:t>26</w:t>
          </w:r>
          <w:r>
            <w:rPr>
              <w:rFonts w:hint="eastAsia" w:ascii="Times New Roman" w:hAnsi="Times New Roman" w:eastAsia="仿宋_GB2312" w:cs="仿宋_GB2312"/>
              <w:color w:val="auto"/>
              <w:sz w:val="24"/>
              <w:szCs w:val="24"/>
              <w:highlight w:val="none"/>
            </w:rPr>
            <w:t>年</w:t>
          </w:r>
          <w:r>
            <w:rPr>
              <w:rFonts w:hint="eastAsia" w:ascii="Times New Roman" w:hAnsi="Times New Roman" w:eastAsia="仿宋_GB2312" w:cs="仿宋_GB2312"/>
              <w:color w:val="auto"/>
              <w:sz w:val="24"/>
              <w:szCs w:val="24"/>
              <w:highlight w:val="none"/>
              <w:lang w:val="en-US" w:eastAsia="zh-CN"/>
            </w:rPr>
            <w:t>9</w:t>
          </w:r>
          <w:r>
            <w:rPr>
              <w:rFonts w:hint="eastAsia" w:ascii="Times New Roman" w:hAnsi="Times New Roman" w:eastAsia="仿宋_GB2312" w:cs="仿宋_GB2312"/>
              <w:color w:val="auto"/>
              <w:sz w:val="24"/>
              <w:szCs w:val="24"/>
              <w:highlight w:val="none"/>
            </w:rPr>
            <w:t>月</w:t>
          </w:r>
          <w:r>
            <w:rPr>
              <w:rFonts w:hint="eastAsia" w:ascii="Times New Roman" w:hAnsi="Times New Roman" w:eastAsia="仿宋_GB2312" w:cs="仿宋_GB2312"/>
              <w:color w:val="auto"/>
              <w:sz w:val="24"/>
              <w:szCs w:val="24"/>
              <w:highlight w:val="none"/>
              <w:lang w:val="en-US" w:eastAsia="zh-CN"/>
            </w:rPr>
            <w:t>18</w:t>
          </w:r>
          <w:r>
            <w:rPr>
              <w:rFonts w:hint="eastAsia" w:ascii="Times New Roman" w:hAnsi="Times New Roman" w:eastAsia="仿宋_GB2312" w:cs="仿宋_GB2312"/>
              <w:color w:val="auto"/>
              <w:sz w:val="24"/>
              <w:szCs w:val="24"/>
              <w:highlight w:val="none"/>
            </w:rPr>
            <w:t>日</w:t>
          </w:r>
        </w:p>
        <w:p w14:paraId="55E75278">
          <w:pPr>
            <w:pStyle w:val="13"/>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TOC \o "1-3" \h \u </w:instrText>
          </w:r>
          <w:r>
            <w:rPr>
              <w:rFonts w:hint="eastAsia" w:ascii="仿宋" w:hAnsi="仿宋" w:eastAsia="仿宋" w:cs="仿宋"/>
              <w:sz w:val="24"/>
              <w:szCs w:val="24"/>
            </w:rPr>
            <w:fldChar w:fldCharType="separate"/>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_Toc26489 </w:instrText>
          </w:r>
          <w:r>
            <w:rPr>
              <w:rFonts w:hint="eastAsia" w:ascii="仿宋" w:hAnsi="仿宋" w:eastAsia="仿宋" w:cs="仿宋"/>
              <w:sz w:val="24"/>
              <w:szCs w:val="24"/>
            </w:rPr>
            <w:fldChar w:fldCharType="separate"/>
          </w:r>
          <w:r>
            <w:rPr>
              <w:rFonts w:hint="eastAsia" w:ascii="仿宋" w:hAnsi="仿宋" w:eastAsia="仿宋" w:cs="仿宋"/>
              <w:sz w:val="24"/>
              <w:szCs w:val="24"/>
            </w:rPr>
            <w:t>第一部分 单位</w:t>
          </w:r>
          <w:r>
            <w:rPr>
              <w:rFonts w:hint="eastAsia" w:ascii="仿宋" w:hAnsi="仿宋" w:eastAsia="仿宋" w:cs="仿宋"/>
              <w:bCs w:val="0"/>
              <w:sz w:val="24"/>
              <w:szCs w:val="24"/>
            </w:rPr>
            <w:t>概况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_Toc26489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727EFD9">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_Toc4790 </w:instrText>
          </w:r>
          <w:r>
            <w:rPr>
              <w:rFonts w:hint="eastAsia" w:ascii="仿宋" w:hAnsi="仿宋" w:eastAsia="仿宋" w:cs="仿宋"/>
              <w:sz w:val="24"/>
              <w:szCs w:val="24"/>
            </w:rPr>
            <w:fldChar w:fldCharType="separate"/>
          </w:r>
          <w:r>
            <w:rPr>
              <w:rFonts w:hint="eastAsia" w:ascii="仿宋" w:hAnsi="仿宋" w:eastAsia="仿宋" w:cs="仿宋"/>
              <w:sz w:val="24"/>
              <w:szCs w:val="24"/>
            </w:rPr>
            <w:t xml:space="preserve">一、 </w:t>
          </w:r>
          <w:r>
            <w:rPr>
              <w:rFonts w:hint="eastAsia" w:ascii="仿宋" w:hAnsi="仿宋" w:eastAsia="仿宋" w:cs="仿宋"/>
              <w:bCs w:val="0"/>
              <w:sz w:val="24"/>
              <w:szCs w:val="24"/>
            </w:rPr>
            <w:t>主要职责</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_Toc4790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329304D">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_Toc32292 </w:instrText>
          </w:r>
          <w:r>
            <w:rPr>
              <w:rFonts w:hint="eastAsia" w:ascii="仿宋" w:hAnsi="仿宋" w:eastAsia="仿宋" w:cs="仿宋"/>
              <w:sz w:val="24"/>
              <w:szCs w:val="24"/>
            </w:rPr>
            <w:fldChar w:fldCharType="separate"/>
          </w:r>
          <w:r>
            <w:rPr>
              <w:rFonts w:hint="eastAsia" w:ascii="仿宋" w:hAnsi="仿宋" w:eastAsia="仿宋" w:cs="仿宋"/>
              <w:sz w:val="24"/>
              <w:szCs w:val="24"/>
            </w:rPr>
            <w:t>（一）主要职能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_Toc32292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92D4C2D">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_Toc5149 </w:instrText>
          </w:r>
          <w:r>
            <w:rPr>
              <w:rFonts w:hint="eastAsia" w:ascii="仿宋" w:hAnsi="仿宋" w:eastAsia="仿宋" w:cs="仿宋"/>
              <w:sz w:val="24"/>
              <w:szCs w:val="24"/>
            </w:rPr>
            <w:fldChar w:fldCharType="separate"/>
          </w:r>
          <w:r>
            <w:rPr>
              <w:rFonts w:hint="eastAsia" w:ascii="仿宋" w:hAnsi="仿宋" w:eastAsia="仿宋" w:cs="仿宋"/>
              <w:sz w:val="24"/>
              <w:szCs w:val="24"/>
            </w:rPr>
            <w:t>（二）</w:t>
          </w:r>
          <w:r>
            <w:rPr>
              <w:rFonts w:hint="eastAsia" w:ascii="仿宋" w:hAnsi="仿宋" w:cs="仿宋"/>
              <w:sz w:val="24"/>
              <w:szCs w:val="24"/>
              <w:lang w:eastAsia="zh-CN"/>
            </w:rPr>
            <w:t>2025</w:t>
          </w:r>
          <w:r>
            <w:rPr>
              <w:rFonts w:hint="eastAsia" w:ascii="仿宋" w:hAnsi="仿宋" w:eastAsia="仿宋" w:cs="仿宋"/>
              <w:sz w:val="24"/>
              <w:szCs w:val="24"/>
            </w:rPr>
            <w:t>年重点工作完成情况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_Toc5149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0B2E50D">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_Toc10838 </w:instrText>
          </w:r>
          <w:r>
            <w:rPr>
              <w:rFonts w:hint="eastAsia" w:ascii="仿宋" w:hAnsi="仿宋" w:eastAsia="仿宋" w:cs="仿宋"/>
              <w:sz w:val="24"/>
              <w:szCs w:val="24"/>
            </w:rPr>
            <w:fldChar w:fldCharType="separate"/>
          </w:r>
          <w:r>
            <w:rPr>
              <w:rFonts w:hint="eastAsia" w:ascii="仿宋" w:hAnsi="仿宋" w:eastAsia="仿宋" w:cs="仿宋"/>
              <w:sz w:val="24"/>
              <w:szCs w:val="24"/>
            </w:rPr>
            <w:t>二、机构设置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_Toc10838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C567FB4">
          <w:pPr>
            <w:pStyle w:val="13"/>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_Toc31853 </w:instrText>
          </w:r>
          <w:r>
            <w:rPr>
              <w:rFonts w:hint="eastAsia" w:ascii="仿宋" w:hAnsi="仿宋" w:eastAsia="仿宋" w:cs="仿宋"/>
              <w:sz w:val="24"/>
              <w:szCs w:val="24"/>
            </w:rPr>
            <w:fldChar w:fldCharType="separate"/>
          </w:r>
          <w:r>
            <w:rPr>
              <w:rFonts w:hint="eastAsia" w:ascii="仿宋" w:hAnsi="仿宋" w:eastAsia="仿宋" w:cs="仿宋"/>
              <w:sz w:val="24"/>
              <w:szCs w:val="24"/>
            </w:rPr>
            <w:t xml:space="preserve">第二部分 </w:t>
          </w:r>
          <w:r>
            <w:rPr>
              <w:rFonts w:hint="eastAsia" w:cs="仿宋"/>
              <w:sz w:val="24"/>
              <w:szCs w:val="24"/>
              <w:lang w:eastAsia="zh-CN"/>
            </w:rPr>
            <w:t>2025</w:t>
          </w:r>
          <w:r>
            <w:rPr>
              <w:rFonts w:hint="eastAsia" w:ascii="仿宋" w:hAnsi="仿宋" w:eastAsia="仿宋" w:cs="仿宋"/>
              <w:sz w:val="24"/>
              <w:szCs w:val="24"/>
            </w:rPr>
            <w:t>年度</w:t>
          </w:r>
          <w:r>
            <w:rPr>
              <w:rFonts w:hint="eastAsia" w:ascii="仿宋" w:hAnsi="仿宋" w:eastAsia="仿宋" w:cs="仿宋"/>
              <w:bCs/>
              <w:sz w:val="24"/>
              <w:szCs w:val="24"/>
            </w:rPr>
            <w:t>单位决算情况说明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_Toc31853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4307371">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_Toc12377 </w:instrText>
          </w:r>
          <w:r>
            <w:rPr>
              <w:rFonts w:hint="eastAsia" w:ascii="仿宋" w:hAnsi="仿宋" w:eastAsia="仿宋" w:cs="仿宋"/>
              <w:sz w:val="24"/>
              <w:szCs w:val="24"/>
            </w:rPr>
            <w:fldChar w:fldCharType="separate"/>
          </w:r>
          <w:r>
            <w:rPr>
              <w:rFonts w:hint="eastAsia" w:ascii="仿宋" w:hAnsi="仿宋" w:eastAsia="仿宋" w:cs="仿宋"/>
              <w:bCs/>
              <w:sz w:val="24"/>
              <w:szCs w:val="24"/>
            </w:rPr>
            <w:t xml:space="preserve">一、 </w:t>
          </w:r>
          <w:r>
            <w:rPr>
              <w:rFonts w:hint="eastAsia" w:ascii="仿宋" w:hAnsi="仿宋" w:eastAsia="仿宋" w:cs="仿宋"/>
              <w:sz w:val="24"/>
              <w:szCs w:val="24"/>
            </w:rPr>
            <w:t>收</w:t>
          </w:r>
          <w:r>
            <w:rPr>
              <w:rFonts w:hint="eastAsia" w:ascii="仿宋" w:hAnsi="仿宋" w:eastAsia="仿宋" w:cs="仿宋"/>
              <w:bCs/>
              <w:sz w:val="24"/>
              <w:szCs w:val="24"/>
            </w:rPr>
            <w:t>入支出决算总体情况说明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_Toc12377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79D8F94">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_Toc27472 </w:instrText>
          </w:r>
          <w:r>
            <w:rPr>
              <w:rFonts w:hint="eastAsia" w:ascii="仿宋" w:hAnsi="仿宋" w:eastAsia="仿宋" w:cs="仿宋"/>
              <w:sz w:val="24"/>
              <w:szCs w:val="24"/>
            </w:rPr>
            <w:fldChar w:fldCharType="separate"/>
          </w:r>
          <w:r>
            <w:rPr>
              <w:rFonts w:hint="eastAsia" w:ascii="仿宋" w:hAnsi="仿宋" w:eastAsia="仿宋" w:cs="仿宋"/>
              <w:sz w:val="24"/>
              <w:szCs w:val="24"/>
            </w:rPr>
            <w:t>二、 收入决算情况说明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_Toc27472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FA4DE5A">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_Toc18450 </w:instrText>
          </w:r>
          <w:r>
            <w:rPr>
              <w:rFonts w:hint="eastAsia" w:ascii="仿宋" w:hAnsi="仿宋" w:eastAsia="仿宋" w:cs="仿宋"/>
              <w:sz w:val="24"/>
              <w:szCs w:val="24"/>
            </w:rPr>
            <w:fldChar w:fldCharType="separate"/>
          </w:r>
          <w:r>
            <w:rPr>
              <w:rFonts w:hint="eastAsia" w:ascii="仿宋" w:hAnsi="仿宋" w:eastAsia="仿宋" w:cs="仿宋"/>
              <w:sz w:val="24"/>
              <w:szCs w:val="24"/>
            </w:rPr>
            <w:t>三、 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_Toc18450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7D35031">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_Toc4387 </w:instrText>
          </w:r>
          <w:r>
            <w:rPr>
              <w:rFonts w:hint="eastAsia" w:ascii="仿宋" w:hAnsi="仿宋" w:eastAsia="仿宋" w:cs="仿宋"/>
              <w:sz w:val="24"/>
              <w:szCs w:val="24"/>
            </w:rPr>
            <w:fldChar w:fldCharType="separate"/>
          </w:r>
          <w:r>
            <w:rPr>
              <w:rFonts w:hint="eastAsia" w:ascii="仿宋" w:hAnsi="仿宋" w:eastAsia="仿宋" w:cs="仿宋"/>
              <w:sz w:val="24"/>
              <w:szCs w:val="24"/>
            </w:rPr>
            <w:t>四、财政拨款收入支出决算总体情况说明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_Toc4387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B8784AB">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_Toc25191 </w:instrText>
          </w:r>
          <w:r>
            <w:rPr>
              <w:rFonts w:hint="eastAsia" w:ascii="仿宋" w:hAnsi="仿宋" w:eastAsia="仿宋" w:cs="仿宋"/>
              <w:sz w:val="24"/>
              <w:szCs w:val="24"/>
            </w:rPr>
            <w:fldChar w:fldCharType="separate"/>
          </w:r>
          <w:r>
            <w:rPr>
              <w:rFonts w:hint="eastAsia" w:ascii="仿宋" w:hAnsi="仿宋" w:eastAsia="仿宋" w:cs="仿宋"/>
              <w:sz w:val="24"/>
              <w:szCs w:val="24"/>
            </w:rPr>
            <w:t>五、一般公共预算财政拨款支出决算情况说明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_Toc25191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206E79B">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_Toc15479 </w:instrText>
          </w:r>
          <w:r>
            <w:rPr>
              <w:rFonts w:hint="eastAsia" w:ascii="仿宋" w:hAnsi="仿宋" w:eastAsia="仿宋" w:cs="仿宋"/>
              <w:sz w:val="24"/>
              <w:szCs w:val="24"/>
            </w:rPr>
            <w:fldChar w:fldCharType="separate"/>
          </w:r>
          <w:r>
            <w:rPr>
              <w:rFonts w:hint="eastAsia" w:ascii="仿宋" w:hAnsi="仿宋" w:eastAsia="仿宋" w:cs="仿宋"/>
              <w:sz w:val="24"/>
              <w:szCs w:val="24"/>
            </w:rPr>
            <w:t>（一）一般公共预算财政拨款支出决算总体情况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_Toc15479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7D04383">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_Toc22180 </w:instrText>
          </w:r>
          <w:r>
            <w:rPr>
              <w:rFonts w:hint="eastAsia" w:ascii="仿宋" w:hAnsi="仿宋" w:eastAsia="仿宋" w:cs="仿宋"/>
              <w:sz w:val="24"/>
              <w:szCs w:val="24"/>
            </w:rPr>
            <w:fldChar w:fldCharType="separate"/>
          </w:r>
          <w:r>
            <w:rPr>
              <w:rFonts w:hint="eastAsia" w:ascii="仿宋" w:hAnsi="仿宋" w:eastAsia="仿宋" w:cs="仿宋"/>
              <w:sz w:val="24"/>
              <w:szCs w:val="24"/>
            </w:rPr>
            <w:t>（二）一般公共预算财政拨款支出决算结构情况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_Toc22180 \h </w:instrText>
          </w:r>
          <w:r>
            <w:rPr>
              <w:rFonts w:hint="eastAsia" w:ascii="仿宋" w:hAnsi="仿宋" w:eastAsia="仿宋" w:cs="仿宋"/>
              <w:sz w:val="24"/>
              <w:szCs w:val="24"/>
            </w:rPr>
            <w:fldChar w:fldCharType="separate"/>
          </w:r>
          <w:r>
            <w:rPr>
              <w:rFonts w:hint="eastAsia" w:ascii="仿宋" w:hAnsi="仿宋" w:eastAsia="仿宋" w:cs="仿宋"/>
              <w:sz w:val="24"/>
              <w:szCs w:val="24"/>
            </w:rPr>
            <w:t>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7D5CAFA">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_Toc6454 </w:instrText>
          </w:r>
          <w:r>
            <w:rPr>
              <w:rFonts w:hint="eastAsia" w:ascii="仿宋" w:hAnsi="仿宋" w:eastAsia="仿宋" w:cs="仿宋"/>
              <w:sz w:val="24"/>
              <w:szCs w:val="24"/>
            </w:rPr>
            <w:fldChar w:fldCharType="separate"/>
          </w:r>
          <w:r>
            <w:rPr>
              <w:rFonts w:hint="eastAsia" w:ascii="仿宋" w:hAnsi="仿宋" w:eastAsia="仿宋" w:cs="仿宋"/>
              <w:sz w:val="24"/>
              <w:szCs w:val="24"/>
            </w:rPr>
            <w:t>（三）一般公共预算财政拨款支出决算具体情况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_Toc6454 \h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82F1F3A">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_Toc16289 </w:instrText>
          </w:r>
          <w:r>
            <w:rPr>
              <w:rFonts w:hint="eastAsia" w:ascii="仿宋" w:hAnsi="仿宋" w:eastAsia="仿宋" w:cs="仿宋"/>
              <w:sz w:val="24"/>
              <w:szCs w:val="24"/>
            </w:rPr>
            <w:fldChar w:fldCharType="separate"/>
          </w:r>
          <w:r>
            <w:rPr>
              <w:rFonts w:hint="eastAsia" w:ascii="仿宋" w:hAnsi="仿宋" w:eastAsia="仿宋" w:cs="仿宋"/>
              <w:sz w:val="24"/>
              <w:szCs w:val="24"/>
            </w:rPr>
            <w:t>六、一般公共预算财政拨款基本支出决算情况说明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_Toc16289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59ED596">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_Toc23976 </w:instrText>
          </w:r>
          <w:r>
            <w:rPr>
              <w:rFonts w:hint="eastAsia" w:ascii="仿宋" w:hAnsi="仿宋" w:eastAsia="仿宋" w:cs="仿宋"/>
              <w:sz w:val="24"/>
              <w:szCs w:val="24"/>
            </w:rPr>
            <w:fldChar w:fldCharType="separate"/>
          </w:r>
          <w:r>
            <w:rPr>
              <w:rFonts w:hint="eastAsia" w:ascii="仿宋" w:hAnsi="仿宋" w:eastAsia="仿宋" w:cs="仿宋"/>
              <w:sz w:val="24"/>
              <w:szCs w:val="24"/>
            </w:rPr>
            <w:t>七、财政拨款“三公”经费支出决算情况说明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_Toc23976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9207701">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_Toc31918 </w:instrText>
          </w:r>
          <w:r>
            <w:rPr>
              <w:rFonts w:hint="eastAsia" w:ascii="仿宋" w:hAnsi="仿宋" w:eastAsia="仿宋" w:cs="仿宋"/>
              <w:sz w:val="24"/>
              <w:szCs w:val="24"/>
            </w:rPr>
            <w:fldChar w:fldCharType="separate"/>
          </w:r>
          <w:r>
            <w:rPr>
              <w:rFonts w:hint="eastAsia" w:ascii="仿宋" w:hAnsi="仿宋" w:eastAsia="仿宋" w:cs="仿宋"/>
              <w:sz w:val="24"/>
              <w:szCs w:val="24"/>
            </w:rPr>
            <w:t>（一）“三公”经费财政拨款支出决算总体情况说明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_Toc31918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D707179">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_Toc28024 </w:instrText>
          </w:r>
          <w:r>
            <w:rPr>
              <w:rFonts w:hint="eastAsia" w:ascii="仿宋" w:hAnsi="仿宋" w:eastAsia="仿宋" w:cs="仿宋"/>
              <w:sz w:val="24"/>
              <w:szCs w:val="24"/>
            </w:rPr>
            <w:fldChar w:fldCharType="separate"/>
          </w:r>
          <w:r>
            <w:rPr>
              <w:rFonts w:hint="eastAsia" w:ascii="仿宋" w:hAnsi="仿宋" w:eastAsia="仿宋" w:cs="仿宋"/>
              <w:sz w:val="24"/>
              <w:szCs w:val="24"/>
            </w:rPr>
            <w:t>（二）“三公”经费财政拨款支出决算具体情况说明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_Toc28024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89781AB">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_Toc17916 </w:instrText>
          </w:r>
          <w:r>
            <w:rPr>
              <w:rFonts w:hint="eastAsia" w:ascii="仿宋" w:hAnsi="仿宋" w:eastAsia="仿宋" w:cs="仿宋"/>
              <w:sz w:val="24"/>
              <w:szCs w:val="24"/>
            </w:rPr>
            <w:fldChar w:fldCharType="separate"/>
          </w:r>
          <w:r>
            <w:rPr>
              <w:rFonts w:hint="eastAsia" w:ascii="仿宋" w:hAnsi="仿宋" w:eastAsia="仿宋" w:cs="仿宋"/>
              <w:sz w:val="24"/>
              <w:szCs w:val="24"/>
            </w:rPr>
            <w:t>八、政府性基金预算支出决算情况说明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_Toc17916 \h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3510DD7">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_Toc15996 </w:instrText>
          </w:r>
          <w:r>
            <w:rPr>
              <w:rFonts w:hint="eastAsia" w:ascii="仿宋" w:hAnsi="仿宋" w:eastAsia="仿宋" w:cs="仿宋"/>
              <w:sz w:val="24"/>
              <w:szCs w:val="24"/>
            </w:rPr>
            <w:fldChar w:fldCharType="separate"/>
          </w:r>
          <w:r>
            <w:rPr>
              <w:rFonts w:hint="eastAsia" w:ascii="仿宋" w:hAnsi="仿宋" w:eastAsia="仿宋" w:cs="仿宋"/>
              <w:sz w:val="24"/>
              <w:szCs w:val="24"/>
            </w:rPr>
            <w:t>九、 国有资本经营预算支出决算情况说明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_Toc15996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4B56584">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_Toc1731 </w:instrText>
          </w:r>
          <w:r>
            <w:rPr>
              <w:rFonts w:hint="eastAsia" w:ascii="仿宋" w:hAnsi="仿宋" w:eastAsia="仿宋" w:cs="仿宋"/>
              <w:sz w:val="24"/>
              <w:szCs w:val="24"/>
            </w:rPr>
            <w:fldChar w:fldCharType="separate"/>
          </w:r>
          <w:r>
            <w:rPr>
              <w:rFonts w:hint="eastAsia" w:ascii="仿宋" w:hAnsi="仿宋" w:eastAsia="仿宋" w:cs="仿宋"/>
              <w:sz w:val="24"/>
              <w:szCs w:val="24"/>
            </w:rPr>
            <w:t>十、 其他重要事项的情况说明</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_Toc1731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7F0F43B">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_Toc12485 </w:instrText>
          </w:r>
          <w:r>
            <w:rPr>
              <w:rFonts w:hint="eastAsia" w:ascii="仿宋" w:hAnsi="仿宋" w:eastAsia="仿宋" w:cs="仿宋"/>
              <w:sz w:val="24"/>
              <w:szCs w:val="24"/>
            </w:rPr>
            <w:fldChar w:fldCharType="separate"/>
          </w:r>
          <w:r>
            <w:rPr>
              <w:rFonts w:hint="eastAsia" w:ascii="仿宋" w:hAnsi="仿宋" w:eastAsia="仿宋" w:cs="仿宋"/>
              <w:sz w:val="24"/>
              <w:szCs w:val="24"/>
            </w:rPr>
            <w:t>（一）机关运行经费支出情况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_Toc12485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3F0807F">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_Toc8619 </w:instrText>
          </w:r>
          <w:r>
            <w:rPr>
              <w:rFonts w:hint="eastAsia" w:ascii="仿宋" w:hAnsi="仿宋" w:eastAsia="仿宋" w:cs="仿宋"/>
              <w:sz w:val="24"/>
              <w:szCs w:val="24"/>
            </w:rPr>
            <w:fldChar w:fldCharType="separate"/>
          </w:r>
          <w:r>
            <w:rPr>
              <w:rFonts w:hint="eastAsia" w:ascii="仿宋" w:hAnsi="仿宋" w:eastAsia="仿宋" w:cs="仿宋"/>
              <w:sz w:val="24"/>
              <w:szCs w:val="24"/>
            </w:rPr>
            <w:t>（二）政府采购支出情况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_Toc8619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67A1E17">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_Toc23529 </w:instrText>
          </w:r>
          <w:r>
            <w:rPr>
              <w:rFonts w:hint="eastAsia" w:ascii="仿宋" w:hAnsi="仿宋" w:eastAsia="仿宋" w:cs="仿宋"/>
              <w:sz w:val="24"/>
              <w:szCs w:val="24"/>
            </w:rPr>
            <w:fldChar w:fldCharType="separate"/>
          </w:r>
          <w:r>
            <w:rPr>
              <w:rFonts w:hint="eastAsia" w:ascii="仿宋" w:hAnsi="仿宋" w:eastAsia="仿宋" w:cs="仿宋"/>
              <w:sz w:val="24"/>
              <w:szCs w:val="24"/>
            </w:rPr>
            <w:t>（三）国有资产占有使用情况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_Toc23529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19248D7">
          <w:pPr>
            <w:pStyle w:val="9"/>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_Toc14672 </w:instrText>
          </w:r>
          <w:r>
            <w:rPr>
              <w:rFonts w:hint="eastAsia" w:ascii="仿宋" w:hAnsi="仿宋" w:eastAsia="仿宋" w:cs="仿宋"/>
              <w:sz w:val="24"/>
              <w:szCs w:val="24"/>
            </w:rPr>
            <w:fldChar w:fldCharType="separate"/>
          </w:r>
          <w:r>
            <w:rPr>
              <w:rFonts w:hint="eastAsia" w:ascii="仿宋" w:hAnsi="仿宋" w:eastAsia="仿宋" w:cs="仿宋"/>
              <w:sz w:val="24"/>
              <w:szCs w:val="24"/>
            </w:rPr>
            <w:t>（四）预算绩效管理情况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_Toc14672 \h </w:instrText>
          </w:r>
          <w:r>
            <w:rPr>
              <w:rFonts w:hint="eastAsia" w:ascii="仿宋" w:hAnsi="仿宋" w:eastAsia="仿宋" w:cs="仿宋"/>
              <w:sz w:val="24"/>
              <w:szCs w:val="24"/>
            </w:rPr>
            <w:fldChar w:fldCharType="separate"/>
          </w:r>
          <w:r>
            <w:rPr>
              <w:rFonts w:hint="eastAsia" w:ascii="仿宋" w:hAnsi="仿宋" w:eastAsia="仿宋" w:cs="仿宋"/>
              <w:sz w:val="24"/>
              <w:szCs w:val="24"/>
            </w:rPr>
            <w:t>15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7081CEF">
          <w:pPr>
            <w:pStyle w:val="13"/>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_Toc9194 </w:instrText>
          </w:r>
          <w:r>
            <w:rPr>
              <w:rFonts w:hint="eastAsia" w:ascii="仿宋" w:hAnsi="仿宋" w:eastAsia="仿宋" w:cs="仿宋"/>
              <w:sz w:val="24"/>
              <w:szCs w:val="24"/>
            </w:rPr>
            <w:fldChar w:fldCharType="separate"/>
          </w:r>
          <w:r>
            <w:rPr>
              <w:rFonts w:hint="eastAsia" w:ascii="仿宋" w:hAnsi="仿宋" w:eastAsia="仿宋" w:cs="仿宋"/>
              <w:bCs/>
              <w:kern w:val="44"/>
              <w:sz w:val="24"/>
              <w:szCs w:val="24"/>
              <w:lang w:val="en-US" w:eastAsia="zh-CN" w:bidi="ar-SA"/>
            </w:rPr>
            <w:t xml:space="preserve">第三部分 </w:t>
          </w:r>
          <w:r>
            <w:rPr>
              <w:rFonts w:hint="eastAsia" w:ascii="仿宋" w:hAnsi="仿宋" w:eastAsia="仿宋" w:cs="仿宋"/>
              <w:bCs w:val="0"/>
              <w:sz w:val="24"/>
              <w:szCs w:val="24"/>
            </w:rPr>
            <w:t>名词解释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_Toc9194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AAF8393">
          <w:pPr>
            <w:pStyle w:val="13"/>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_Toc9757 </w:instrText>
          </w:r>
          <w:r>
            <w:rPr>
              <w:rFonts w:hint="eastAsia" w:ascii="仿宋" w:hAnsi="仿宋" w:eastAsia="仿宋" w:cs="仿宋"/>
              <w:sz w:val="24"/>
              <w:szCs w:val="24"/>
            </w:rPr>
            <w:fldChar w:fldCharType="separate"/>
          </w:r>
          <w:r>
            <w:rPr>
              <w:rFonts w:hint="eastAsia" w:ascii="仿宋" w:hAnsi="仿宋" w:eastAsia="仿宋" w:cs="仿宋"/>
              <w:sz w:val="24"/>
              <w:szCs w:val="24"/>
            </w:rPr>
            <w:t>第四部分 附件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_Toc9757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FFCB640">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_Toc14898 </w:instrText>
          </w:r>
          <w:r>
            <w:rPr>
              <w:rFonts w:hint="eastAsia" w:ascii="仿宋" w:hAnsi="仿宋" w:eastAsia="仿宋" w:cs="仿宋"/>
              <w:sz w:val="24"/>
              <w:szCs w:val="24"/>
            </w:rPr>
            <w:fldChar w:fldCharType="separate"/>
          </w:r>
          <w:r>
            <w:rPr>
              <w:rFonts w:hint="eastAsia" w:ascii="仿宋" w:hAnsi="仿宋" w:eastAsia="仿宋" w:cs="仿宋"/>
              <w:bCs w:val="0"/>
              <w:sz w:val="24"/>
              <w:szCs w:val="24"/>
              <w:lang w:val="en-US" w:eastAsia="zh-CN"/>
            </w:rPr>
            <w:t>附件：</w:t>
          </w:r>
          <w:r>
            <w:rPr>
              <w:rFonts w:hint="eastAsia" w:ascii="仿宋" w:hAnsi="仿宋" w:cs="仿宋"/>
              <w:bCs w:val="0"/>
              <w:sz w:val="24"/>
              <w:szCs w:val="24"/>
              <w:lang w:val="en-US" w:eastAsia="zh-CN"/>
            </w:rPr>
            <w:t>2025</w:t>
          </w:r>
          <w:r>
            <w:rPr>
              <w:rFonts w:hint="eastAsia" w:ascii="仿宋" w:hAnsi="仿宋" w:eastAsia="仿宋" w:cs="仿宋"/>
              <w:bCs w:val="0"/>
              <w:sz w:val="24"/>
              <w:szCs w:val="24"/>
              <w:lang w:val="en-US" w:eastAsia="zh-CN"/>
            </w:rPr>
            <w:t>年阿坝州汶川生态环境局部门整体支出绩效评价报告</w:t>
          </w:r>
          <w:r>
            <w:rPr>
              <w:rFonts w:hint="eastAsia" w:ascii="仿宋" w:hAnsi="仿宋" w:eastAsia="仿宋" w:cs="仿宋"/>
              <w:sz w:val="24"/>
              <w:szCs w:val="24"/>
            </w:rPr>
            <w:tab/>
          </w:r>
          <w:r>
            <w:rPr>
              <w:rFonts w:hint="eastAsia" w:ascii="仿宋" w:hAnsi="仿宋" w:eastAsia="仿宋" w:cs="仿宋"/>
              <w:sz w:val="24"/>
              <w:szCs w:val="24"/>
            </w:rPr>
            <w:fldChar w:fldCharType="end"/>
          </w:r>
        </w:p>
        <w:p w14:paraId="6830076E">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_Toc19413 </w:instrText>
          </w:r>
          <w:r>
            <w:rPr>
              <w:rFonts w:hint="eastAsia" w:ascii="仿宋" w:hAnsi="仿宋" w:eastAsia="仿宋" w:cs="仿宋"/>
              <w:sz w:val="24"/>
              <w:szCs w:val="24"/>
            </w:rPr>
            <w:fldChar w:fldCharType="separate"/>
          </w:r>
          <w:r>
            <w:rPr>
              <w:rFonts w:hint="eastAsia" w:ascii="仿宋" w:hAnsi="仿宋" w:eastAsia="仿宋" w:cs="仿宋"/>
              <w:bCs w:val="0"/>
              <w:sz w:val="24"/>
              <w:szCs w:val="24"/>
              <w:lang w:val="en-US" w:eastAsia="zh-CN"/>
            </w:rPr>
            <w:t>部门预算项目支出绩效自评表（</w:t>
          </w:r>
          <w:r>
            <w:rPr>
              <w:rFonts w:hint="eastAsia" w:ascii="仿宋" w:hAnsi="仿宋" w:cs="仿宋"/>
              <w:bCs w:val="0"/>
              <w:sz w:val="24"/>
              <w:szCs w:val="24"/>
              <w:lang w:val="en-US" w:eastAsia="zh-CN"/>
            </w:rPr>
            <w:t>2025</w:t>
          </w:r>
          <w:r>
            <w:rPr>
              <w:rFonts w:hint="eastAsia" w:ascii="仿宋" w:hAnsi="仿宋" w:eastAsia="仿宋" w:cs="仿宋"/>
              <w:bCs w:val="0"/>
              <w:sz w:val="24"/>
              <w:szCs w:val="24"/>
              <w:lang w:val="en-US" w:eastAsia="zh-CN"/>
            </w:rPr>
            <w:t>年度）</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_Toc19413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bookmarkStart w:id="188" w:name="_GoBack"/>
          <w:bookmarkEnd w:id="188"/>
        </w:p>
        <w:p w14:paraId="2B73C215">
          <w:pPr>
            <w:pStyle w:val="13"/>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_Toc4978 </w:instrText>
          </w:r>
          <w:r>
            <w:rPr>
              <w:rFonts w:hint="eastAsia" w:ascii="仿宋" w:hAnsi="仿宋" w:eastAsia="仿宋" w:cs="仿宋"/>
              <w:sz w:val="24"/>
              <w:szCs w:val="24"/>
            </w:rPr>
            <w:fldChar w:fldCharType="separate"/>
          </w:r>
          <w:r>
            <w:rPr>
              <w:rFonts w:hint="eastAsia" w:ascii="仿宋" w:hAnsi="仿宋" w:eastAsia="仿宋" w:cs="仿宋"/>
              <w:sz w:val="24"/>
              <w:szCs w:val="24"/>
            </w:rPr>
            <w:t>第五部分 附表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_Toc4978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B4C7AB7">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_Toc21631 </w:instrText>
          </w:r>
          <w:r>
            <w:rPr>
              <w:rFonts w:hint="eastAsia" w:ascii="仿宋" w:hAnsi="仿宋" w:eastAsia="仿宋" w:cs="仿宋"/>
              <w:sz w:val="24"/>
              <w:szCs w:val="24"/>
            </w:rPr>
            <w:fldChar w:fldCharType="separate"/>
          </w:r>
          <w:r>
            <w:rPr>
              <w:rFonts w:hint="eastAsia" w:ascii="仿宋" w:hAnsi="仿宋" w:eastAsia="仿宋" w:cs="仿宋"/>
              <w:sz w:val="24"/>
              <w:szCs w:val="24"/>
            </w:rPr>
            <w:t>一、收</w:t>
          </w:r>
          <w:r>
            <w:rPr>
              <w:rFonts w:hint="eastAsia" w:ascii="仿宋" w:hAnsi="仿宋" w:eastAsia="仿宋" w:cs="仿宋"/>
              <w:bCs w:val="0"/>
              <w:sz w:val="24"/>
              <w:szCs w:val="24"/>
            </w:rPr>
            <w:t>入支出决算总表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_Toc21631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D362212">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_Toc24929 </w:instrText>
          </w:r>
          <w:r>
            <w:rPr>
              <w:rFonts w:hint="eastAsia" w:ascii="仿宋" w:hAnsi="仿宋" w:eastAsia="仿宋" w:cs="仿宋"/>
              <w:sz w:val="24"/>
              <w:szCs w:val="24"/>
            </w:rPr>
            <w:fldChar w:fldCharType="separate"/>
          </w:r>
          <w:r>
            <w:rPr>
              <w:rFonts w:hint="eastAsia" w:ascii="仿宋" w:hAnsi="仿宋" w:eastAsia="仿宋" w:cs="仿宋"/>
              <w:sz w:val="24"/>
              <w:szCs w:val="24"/>
            </w:rPr>
            <w:t>二、收</w:t>
          </w:r>
          <w:r>
            <w:rPr>
              <w:rFonts w:hint="eastAsia" w:ascii="仿宋" w:hAnsi="仿宋" w:eastAsia="仿宋" w:cs="仿宋"/>
              <w:bCs w:val="0"/>
              <w:sz w:val="24"/>
              <w:szCs w:val="24"/>
            </w:rPr>
            <w:t>入决算表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_Toc24929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B1A5F2D">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_Toc17294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三、</w:t>
          </w:r>
          <w:r>
            <w:rPr>
              <w:rFonts w:hint="eastAsia" w:ascii="仿宋" w:hAnsi="仿宋" w:eastAsia="仿宋" w:cs="仿宋"/>
              <w:sz w:val="24"/>
              <w:szCs w:val="24"/>
            </w:rPr>
            <w:t>支</w:t>
          </w:r>
          <w:r>
            <w:rPr>
              <w:rFonts w:hint="eastAsia" w:ascii="仿宋" w:hAnsi="仿宋" w:eastAsia="仿宋" w:cs="仿宋"/>
              <w:bCs w:val="0"/>
              <w:sz w:val="24"/>
              <w:szCs w:val="24"/>
            </w:rPr>
            <w:t>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_Toc17294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2C5F573">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_Toc22460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四、</w:t>
          </w:r>
          <w:r>
            <w:rPr>
              <w:rFonts w:hint="eastAsia" w:ascii="仿宋" w:hAnsi="仿宋" w:eastAsia="仿宋" w:cs="仿宋"/>
              <w:sz w:val="24"/>
              <w:szCs w:val="24"/>
            </w:rPr>
            <w:t>财</w:t>
          </w:r>
          <w:r>
            <w:rPr>
              <w:rFonts w:hint="eastAsia" w:ascii="仿宋" w:hAnsi="仿宋" w:eastAsia="仿宋" w:cs="仿宋"/>
              <w:bCs w:val="0"/>
              <w:sz w:val="24"/>
              <w:szCs w:val="24"/>
            </w:rPr>
            <w:t>政拨款收入支出决算总表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_Toc22460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0B35263">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_Toc11138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五、</w:t>
          </w:r>
          <w:r>
            <w:rPr>
              <w:rFonts w:hint="eastAsia" w:ascii="仿宋" w:hAnsi="仿宋" w:eastAsia="仿宋" w:cs="仿宋"/>
              <w:sz w:val="24"/>
              <w:szCs w:val="24"/>
            </w:rPr>
            <w:t>财</w:t>
          </w:r>
          <w:r>
            <w:rPr>
              <w:rFonts w:hint="eastAsia" w:ascii="仿宋" w:hAnsi="仿宋" w:eastAsia="仿宋" w:cs="仿宋"/>
              <w:bCs w:val="0"/>
              <w:sz w:val="24"/>
              <w:szCs w:val="24"/>
            </w:rPr>
            <w:t>政拨款支出决算明细表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_Toc11138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AD95F49">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_Toc32241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六、</w:t>
          </w:r>
          <w:r>
            <w:rPr>
              <w:rFonts w:hint="eastAsia" w:ascii="仿宋" w:hAnsi="仿宋" w:eastAsia="仿宋" w:cs="仿宋"/>
              <w:sz w:val="24"/>
              <w:szCs w:val="24"/>
            </w:rPr>
            <w:t>一</w:t>
          </w:r>
          <w:r>
            <w:rPr>
              <w:rFonts w:hint="eastAsia" w:ascii="仿宋" w:hAnsi="仿宋" w:eastAsia="仿宋" w:cs="仿宋"/>
              <w:bCs w:val="0"/>
              <w:sz w:val="24"/>
              <w:szCs w:val="24"/>
            </w:rPr>
            <w:t>般公共预算财政拨款支出决算表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_Toc32241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A655F7F">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_Toc24914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七、</w:t>
          </w:r>
          <w:r>
            <w:rPr>
              <w:rFonts w:hint="eastAsia" w:ascii="仿宋" w:hAnsi="仿宋" w:eastAsia="仿宋" w:cs="仿宋"/>
              <w:sz w:val="24"/>
              <w:szCs w:val="24"/>
            </w:rPr>
            <w:t>一</w:t>
          </w:r>
          <w:r>
            <w:rPr>
              <w:rFonts w:hint="eastAsia" w:ascii="仿宋" w:hAnsi="仿宋" w:eastAsia="仿宋" w:cs="仿宋"/>
              <w:bCs w:val="0"/>
              <w:sz w:val="24"/>
              <w:szCs w:val="24"/>
            </w:rPr>
            <w:t>般公共预算财政拨款支出决算明细表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_Toc24914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74F0FB1">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_Toc6993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八、</w:t>
          </w:r>
          <w:r>
            <w:rPr>
              <w:rFonts w:hint="eastAsia" w:ascii="仿宋" w:hAnsi="仿宋" w:eastAsia="仿宋" w:cs="仿宋"/>
              <w:sz w:val="24"/>
              <w:szCs w:val="24"/>
            </w:rPr>
            <w:t>一</w:t>
          </w:r>
          <w:r>
            <w:rPr>
              <w:rFonts w:hint="eastAsia" w:ascii="仿宋" w:hAnsi="仿宋" w:eastAsia="仿宋" w:cs="仿宋"/>
              <w:bCs w:val="0"/>
              <w:sz w:val="24"/>
              <w:szCs w:val="24"/>
            </w:rPr>
            <w:t>般公共预算财政拨款基本支出决算表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_Toc6993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C1FC337">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_Toc9310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九、</w:t>
          </w:r>
          <w:r>
            <w:rPr>
              <w:rFonts w:hint="eastAsia" w:ascii="仿宋" w:hAnsi="仿宋" w:eastAsia="仿宋" w:cs="仿宋"/>
              <w:sz w:val="24"/>
              <w:szCs w:val="24"/>
            </w:rPr>
            <w:t>一</w:t>
          </w:r>
          <w:r>
            <w:rPr>
              <w:rFonts w:hint="eastAsia" w:ascii="仿宋" w:hAnsi="仿宋" w:eastAsia="仿宋" w:cs="仿宋"/>
              <w:bCs w:val="0"/>
              <w:sz w:val="24"/>
              <w:szCs w:val="24"/>
            </w:rPr>
            <w:t>般公共预算财政拨款项目支出决算表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_Toc9310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8235F6C">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_Toc31179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十、</w:t>
          </w:r>
          <w:r>
            <w:rPr>
              <w:rFonts w:hint="eastAsia" w:ascii="仿宋" w:hAnsi="仿宋" w:eastAsia="仿宋" w:cs="仿宋"/>
              <w:sz w:val="24"/>
              <w:szCs w:val="24"/>
            </w:rPr>
            <w:t>政</w:t>
          </w:r>
          <w:r>
            <w:rPr>
              <w:rFonts w:hint="eastAsia" w:ascii="仿宋" w:hAnsi="仿宋" w:eastAsia="仿宋" w:cs="仿宋"/>
              <w:bCs w:val="0"/>
              <w:sz w:val="24"/>
              <w:szCs w:val="24"/>
            </w:rPr>
            <w:t>府性基金预算财政拨款收入支出决算表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_Toc31179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34EA1B3">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_Toc9915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十一、</w:t>
          </w:r>
          <w:r>
            <w:rPr>
              <w:rFonts w:hint="eastAsia" w:ascii="仿宋" w:hAnsi="仿宋" w:eastAsia="仿宋" w:cs="仿宋"/>
              <w:sz w:val="24"/>
              <w:szCs w:val="24"/>
            </w:rPr>
            <w:t>国</w:t>
          </w:r>
          <w:r>
            <w:rPr>
              <w:rFonts w:hint="eastAsia" w:ascii="仿宋" w:hAnsi="仿宋" w:eastAsia="仿宋" w:cs="仿宋"/>
              <w:bCs w:val="0"/>
              <w:sz w:val="24"/>
              <w:szCs w:val="24"/>
            </w:rPr>
            <w:t>有资本经营预算财政拨款收入支出决算表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_Toc9915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408DDBF">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_Toc23413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十二、国有资本经营预算财政拨款支出决算表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_Toc23413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FF69F8B">
          <w:pPr>
            <w:pStyle w:val="16"/>
            <w:keepNext w:val="0"/>
            <w:keepLines w:val="0"/>
            <w:pageBreakBefore w:val="0"/>
            <w:tabs>
              <w:tab w:val="right" w:leader="dot" w:pos="9026"/>
              <w:tab w:val="clear" w:pos="8296"/>
            </w:tabs>
            <w:kinsoku/>
            <w:wordWrap/>
            <w:overflowPunct/>
            <w:topLinePunct w:val="0"/>
            <w:autoSpaceDE/>
            <w:autoSpaceDN/>
            <w:bidi w:val="0"/>
            <w:adjustRightInd/>
            <w:snapToGrid w:val="0"/>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_Toc279 </w:instrText>
          </w:r>
          <w:r>
            <w:rPr>
              <w:rFonts w:hint="eastAsia" w:ascii="仿宋" w:hAnsi="仿宋" w:eastAsia="仿宋" w:cs="仿宋"/>
              <w:sz w:val="24"/>
              <w:szCs w:val="24"/>
            </w:rPr>
            <w:fldChar w:fldCharType="separate"/>
          </w:r>
          <w:r>
            <w:rPr>
              <w:rFonts w:hint="eastAsia" w:ascii="仿宋" w:hAnsi="仿宋" w:eastAsia="仿宋" w:cs="仿宋"/>
              <w:bCs w:val="0"/>
              <w:sz w:val="24"/>
              <w:szCs w:val="24"/>
            </w:rPr>
            <w:t>十三、财政拨款“三公”经费支出决算表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_Toc279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0BD4492">
          <w:pPr>
            <w:keepNext w:val="0"/>
            <w:keepLines w:val="0"/>
            <w:pageBreakBefore w:val="0"/>
            <w:kinsoku/>
            <w:wordWrap/>
            <w:overflowPunct/>
            <w:topLinePunct w:val="0"/>
            <w:autoSpaceDE/>
            <w:autoSpaceDN/>
            <w:bidi w:val="0"/>
            <w:adjustRightInd/>
            <w:snapToGrid w:val="0"/>
            <w:spacing w:line="500" w:lineRule="exact"/>
            <w:textAlignment w:val="auto"/>
          </w:pPr>
          <w:r>
            <w:rPr>
              <w:rFonts w:hint="eastAsia" w:ascii="仿宋" w:hAnsi="仿宋" w:eastAsia="仿宋" w:cs="仿宋"/>
              <w:sz w:val="24"/>
              <w:szCs w:val="24"/>
            </w:rPr>
            <w:fldChar w:fldCharType="end"/>
          </w:r>
        </w:p>
        <w:p w14:paraId="285F52E5">
          <w:pPr>
            <w:tabs>
              <w:tab w:val="right" w:pos="9026"/>
            </w:tabs>
            <w:spacing w:line="240" w:lineRule="auto"/>
            <w:ind w:left="0" w:leftChars="0" w:firstLine="0" w:firstLineChars="0"/>
            <w:rPr>
              <w:rFonts w:hint="eastAsia" w:ascii="黑体" w:hAnsi="黑体" w:eastAsia="黑体"/>
              <w:b w:val="0"/>
            </w:rPr>
            <w:sectPr>
              <w:footerReference r:id="rId7" w:type="first"/>
              <w:headerReference r:id="rId5" w:type="default"/>
              <w:footerReference r:id="rId6" w:type="default"/>
              <w:pgSz w:w="11906" w:h="16838"/>
              <w:pgMar w:top="1803" w:right="1440" w:bottom="1803" w:left="1440" w:header="851" w:footer="992" w:gutter="0"/>
              <w:pgNumType w:start="1"/>
              <w:cols w:space="425" w:num="1"/>
              <w:titlePg/>
              <w:docGrid w:type="lines" w:linePitch="312" w:charSpace="0"/>
            </w:sectPr>
          </w:pPr>
        </w:p>
      </w:sdtContent>
    </w:sdt>
    <w:p w14:paraId="2C4C7BD4">
      <w:pPr>
        <w:pStyle w:val="2"/>
        <w:jc w:val="center"/>
        <w:rPr>
          <w:rFonts w:ascii="黑体" w:eastAsia="黑体"/>
          <w:sz w:val="32"/>
          <w:szCs w:val="32"/>
        </w:rPr>
      </w:pPr>
      <w:bookmarkStart w:id="0" w:name="_Toc26489"/>
      <w:bookmarkStart w:id="1" w:name="_Toc1535"/>
      <w:bookmarkStart w:id="2" w:name="_Toc20700"/>
      <w:r>
        <w:rPr>
          <w:rFonts w:hint="eastAsia" w:ascii="黑体" w:hAnsi="黑体" w:eastAsia="黑体"/>
          <w:b w:val="0"/>
        </w:rPr>
        <w:t>第一部分 单位</w:t>
      </w:r>
      <w:r>
        <w:rPr>
          <w:rStyle w:val="32"/>
          <w:rFonts w:hint="eastAsia" w:ascii="黑体" w:hAnsi="黑体" w:eastAsia="黑体"/>
          <w:b w:val="0"/>
          <w:bCs w:val="0"/>
        </w:rPr>
        <w:t>概况</w:t>
      </w:r>
      <w:bookmarkEnd w:id="0"/>
      <w:bookmarkEnd w:id="1"/>
      <w:bookmarkEnd w:id="2"/>
    </w:p>
    <w:p w14:paraId="55D5083E">
      <w:pPr>
        <w:pStyle w:val="3"/>
        <w:numPr>
          <w:ilvl w:val="0"/>
          <w:numId w:val="1"/>
        </w:numPr>
      </w:pPr>
      <w:bookmarkStart w:id="3" w:name="_Toc3645"/>
      <w:bookmarkStart w:id="4" w:name="_Toc4790"/>
      <w:bookmarkStart w:id="5" w:name="_Toc9670"/>
      <w:bookmarkStart w:id="6" w:name="_Toc15396600"/>
      <w:bookmarkStart w:id="7" w:name="_Toc15377197"/>
      <w:r>
        <w:rPr>
          <w:rStyle w:val="33"/>
          <w:rFonts w:hint="eastAsia" w:ascii="黑体" w:hAnsi="黑体" w:eastAsia="黑体"/>
          <w:b w:val="0"/>
          <w:bCs w:val="0"/>
        </w:rPr>
        <w:t>主要职责</w:t>
      </w:r>
      <w:bookmarkEnd w:id="3"/>
      <w:bookmarkEnd w:id="4"/>
      <w:bookmarkEnd w:id="5"/>
    </w:p>
    <w:p w14:paraId="221A4444">
      <w:pPr>
        <w:pStyle w:val="4"/>
        <w:keepNext w:val="0"/>
        <w:keepLines w:val="0"/>
        <w:pageBreakBefore w:val="0"/>
        <w:kinsoku/>
        <w:wordWrap/>
        <w:overflowPunct/>
        <w:topLinePunct w:val="0"/>
        <w:autoSpaceDE/>
        <w:autoSpaceDN/>
        <w:bidi w:val="0"/>
        <w:adjustRightInd/>
        <w:snapToGrid/>
        <w:spacing w:line="560" w:lineRule="exact"/>
        <w:ind w:firstLine="643" w:firstLineChars="200"/>
        <w:textAlignment w:val="auto"/>
      </w:pPr>
      <w:bookmarkStart w:id="8" w:name="_Toc15415"/>
      <w:bookmarkStart w:id="9" w:name="_Toc142"/>
      <w:bookmarkStart w:id="10" w:name="_Toc28874"/>
      <w:bookmarkStart w:id="11" w:name="_Toc32292"/>
      <w:r>
        <w:t>（一）主要职能</w:t>
      </w:r>
      <w:bookmarkEnd w:id="8"/>
      <w:bookmarkEnd w:id="9"/>
      <w:bookmarkEnd w:id="10"/>
      <w:bookmarkEnd w:id="11"/>
    </w:p>
    <w:p w14:paraId="5813159A">
      <w:pPr>
        <w:bidi w:val="0"/>
        <w:rPr>
          <w:rFonts w:hint="eastAsia"/>
          <w:lang w:val="en-US" w:eastAsia="zh-CN"/>
        </w:rPr>
      </w:pPr>
      <w:r>
        <w:rPr>
          <w:rFonts w:hint="eastAsia"/>
          <w:lang w:val="en-US" w:eastAsia="zh-CN"/>
        </w:rPr>
        <w:t>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县域生态环境问题的协调和监督管理。指导、协调全县突发环境事件的应急、预警工作，牵头指导全县实施生态环境损害赔偿制度，参与协调解决跨区域环境污染纠纷，组织实施重点区域、流域生态环境保护工作；负责监督管理县域减排目标的落实；负责环境污染防治的管理。管理县域大气、水、土壤、噪声、光、恶臭、固体废物、化学品、机动车等污染防治工作；指导协调和监督生态保护修复工作。监督对生态环境有影响的自然资源开发利用活动、重要生态环境建设和生态破坏恢复工作；负责核与辐射安全的监督管理。负责生态环境准入的管理；负责应对气候变化工作；配合做好中央、省生态环境保护督察工作；负责生态环境执法；组织指导和协调生态环境宣传教育工作；完成阿坝州生态环境局和汶川县委、县政府交办的其他事项。</w:t>
      </w:r>
    </w:p>
    <w:p w14:paraId="1EFAD64F">
      <w:pPr>
        <w:pStyle w:val="4"/>
        <w:keepNext w:val="0"/>
        <w:keepLines w:val="0"/>
        <w:pageBreakBefore w:val="0"/>
        <w:kinsoku/>
        <w:wordWrap/>
        <w:overflowPunct/>
        <w:topLinePunct w:val="0"/>
        <w:autoSpaceDE/>
        <w:autoSpaceDN/>
        <w:bidi w:val="0"/>
        <w:adjustRightInd/>
        <w:snapToGrid/>
        <w:spacing w:line="560" w:lineRule="exact"/>
        <w:ind w:firstLine="643" w:firstLineChars="200"/>
        <w:textAlignment w:val="auto"/>
      </w:pPr>
      <w:bookmarkStart w:id="12" w:name="_Toc27687"/>
      <w:bookmarkStart w:id="13" w:name="_Toc32492"/>
      <w:bookmarkStart w:id="14" w:name="_Toc5149"/>
      <w:bookmarkStart w:id="15" w:name="_Toc21935"/>
      <w:r>
        <w:t>（二）202</w:t>
      </w:r>
      <w:r>
        <w:rPr>
          <w:rFonts w:hint="eastAsia"/>
          <w:lang w:val="en-US" w:eastAsia="zh-CN"/>
        </w:rPr>
        <w:t>5</w:t>
      </w:r>
      <w:r>
        <w:t>年重点工作完成情况</w:t>
      </w:r>
      <w:bookmarkEnd w:id="12"/>
      <w:bookmarkEnd w:id="13"/>
      <w:bookmarkEnd w:id="14"/>
      <w:bookmarkEnd w:id="15"/>
    </w:p>
    <w:p w14:paraId="1CDF835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bookmarkStart w:id="16" w:name="_Toc24723"/>
      <w:bookmarkStart w:id="17" w:name="_Toc30664"/>
      <w:bookmarkStart w:id="18" w:name="_Toc10838"/>
      <w:r>
        <w:rPr>
          <w:rFonts w:hint="eastAsia" w:ascii="仿宋_GB2312" w:hAnsi="仿宋_GB2312" w:eastAsia="仿宋_GB2312" w:cs="仿宋_GB2312"/>
          <w:b/>
          <w:bCs/>
          <w:color w:val="auto"/>
          <w:sz w:val="32"/>
          <w:szCs w:val="32"/>
          <w:highlight w:val="none"/>
          <w:lang w:val="en-US" w:eastAsia="zh-CN"/>
        </w:rPr>
        <w:t>1.主要目标和重点工作完成情况</w:t>
      </w:r>
    </w:p>
    <w:p w14:paraId="0C9656D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（1）气环境质量持续优化。</w:t>
      </w:r>
      <w:r>
        <w:rPr>
          <w:rFonts w:hint="eastAsia" w:ascii="仿宋_GB2312" w:hAnsi="仿宋_GB2312" w:eastAsia="仿宋_GB2312" w:cs="仿宋_GB2312"/>
          <w:b w:val="0"/>
          <w:bCs w:val="0"/>
          <w:color w:val="auto"/>
          <w:kern w:val="0"/>
          <w:sz w:val="32"/>
          <w:szCs w:val="32"/>
          <w:highlight w:val="none"/>
          <w:lang w:val="en-US" w:eastAsia="zh-CN"/>
        </w:rPr>
        <w:t>全年环境空气PM2.5平均浓度为14微克/立方米，有效监测天数296天，其中优220天、良75天，优良率达99.7%；仅3月28日受沙尘天气影响出现1天轻度污染，其余时段均保持优良水平。1-9月全省排名第30位，圆满完成年度大气环境质量目标任务。</w:t>
      </w:r>
    </w:p>
    <w:p w14:paraId="0485339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（2）水环境质量稳定达标。</w:t>
      </w:r>
      <w:r>
        <w:rPr>
          <w:rFonts w:hint="eastAsia" w:ascii="仿宋_GB2312" w:hAnsi="仿宋_GB2312" w:eastAsia="仿宋_GB2312" w:cs="仿宋_GB2312"/>
          <w:b w:val="0"/>
          <w:bCs w:val="0"/>
          <w:color w:val="auto"/>
          <w:kern w:val="0"/>
          <w:sz w:val="32"/>
          <w:szCs w:val="32"/>
          <w:highlight w:val="none"/>
          <w:lang w:val="en-US" w:eastAsia="zh-CN"/>
        </w:rPr>
        <w:t>国控都江堰水文站断面、省控寿溪水磨断面及映秀断面水质，均达到或优于Ⅱ类水体标准，达标率100%，未发生水质类别下降情况，全面实现年度水环境质量目标。</w:t>
      </w:r>
    </w:p>
    <w:p w14:paraId="02B6FE8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（3）土壤污染防治稳步推进。</w:t>
      </w:r>
      <w:r>
        <w:rPr>
          <w:rFonts w:hint="eastAsia" w:ascii="仿宋_GB2312" w:hAnsi="仿宋_GB2312" w:eastAsia="仿宋_GB2312" w:cs="仿宋_GB2312"/>
          <w:b w:val="0"/>
          <w:bCs w:val="0"/>
          <w:color w:val="auto"/>
          <w:kern w:val="0"/>
          <w:sz w:val="32"/>
          <w:szCs w:val="32"/>
          <w:highlight w:val="none"/>
          <w:lang w:val="en-US" w:eastAsia="zh-CN"/>
        </w:rPr>
        <w:t>坚持预防为主、保护优先、风险管控的原则，我县稳步推进土壤污染状况调查、风险管控和修复治理。完成顺发冶炼、国锂材料等8家土壤污染重点监管单位的土壤污染隐患排查、自行监测及“回头看”工作；督促立敦电子、神州锆业开展强制性清洁生产审核改造；积极推动顺鑫、湘汶、湘宁3个土壤污染优先监管地块的风险管控和修复工作；指导县文旅局完成了姜维城游客中心土壤污染一阶段调查；按时统计并发布了2025年度全县工业固体废物、医疗废物、生活垃圾、建筑垃圾、农业废物等固体废物污染环境防治信息。</w:t>
      </w:r>
    </w:p>
    <w:p w14:paraId="2E2DCBB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（4）强化片区执法格局。</w:t>
      </w:r>
      <w:r>
        <w:rPr>
          <w:rFonts w:hint="eastAsia" w:ascii="仿宋_GB2312" w:hAnsi="仿宋_GB2312" w:eastAsia="仿宋_GB2312" w:cs="仿宋_GB2312"/>
          <w:b w:val="0"/>
          <w:bCs w:val="0"/>
          <w:color w:val="auto"/>
          <w:sz w:val="32"/>
          <w:szCs w:val="32"/>
          <w:highlight w:val="none"/>
          <w:lang w:val="en-US" w:eastAsia="zh-CN"/>
        </w:rPr>
        <w:t>全力构建以常态化监管为基础、专项执法为利剑的工作格局，截止10月30日，自主部署并完成各类检查任务70次，其中实现重点领域全覆盖专项检查2次。深入各行业领域，扎实推进生态环境突出问题排查整治、环境风险隐患清零及重点违法行为精准打击三大专项行动，累计排查并推动立行立改问题375个。持续强化执法威慑，依法查处生态环境违法案件16起，共计处罚金额296.59万元，贯彻宽严相济原则，依法免予处罚1起。目前案件已结案8宗，其余正有序推进，同步掌握违法线索2条。持续推进片区协同监管， 根据州局统一部署，年内对茂县、理县、黑水、汶川等重点区域开展两轮片区联合检查，累计交办问题89项，对涉嫌违法行为拟立案1起，切实筑牢区域生态安全屏障。</w:t>
      </w:r>
    </w:p>
    <w:p w14:paraId="79015CF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（5）开展隐患排查及信访办理。</w:t>
      </w:r>
      <w:r>
        <w:rPr>
          <w:rFonts w:hint="eastAsia" w:ascii="仿宋_GB2312" w:hAnsi="仿宋_GB2312" w:eastAsia="仿宋_GB2312" w:cs="仿宋_GB2312"/>
          <w:b w:val="0"/>
          <w:bCs w:val="0"/>
          <w:color w:val="auto"/>
          <w:sz w:val="32"/>
          <w:szCs w:val="32"/>
          <w:highlight w:val="none"/>
          <w:lang w:val="en-US" w:eastAsia="zh-CN"/>
        </w:rPr>
        <w:t>为切实筑牢生态环境安全防线，坚持风险预控与隐患治理相结合，聚焦敏感时段与重点环节，组织开展了危险废物、环保设施及有限空间等专项隐患排查4次，累计编制并上报安全风险研判报告10份，对发现的问题均督促企业立行立改，截至目前未发生一起生态环境安全生产事故，持续巩固了环境安全稳定局面。同时，严格落实信访工作“四个及时”要求，畅通“12345”“12369”及值班电话等多渠道受理机制，截至10月30日共接收信访投诉111件，已办结104件，剩余7件正在加速推进，确保群众诉求事事有回音、件件有着落，全力维护群众环境权益和社会稳定。</w:t>
      </w:r>
    </w:p>
    <w:p w14:paraId="31BB8B9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2.环保督察整改工作</w:t>
      </w:r>
    </w:p>
    <w:p w14:paraId="7F376D6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顺利完成第三轮中央生态环境保护督察和第三轮四川省生态环境保护督察迎检工作，未发生原则性问题，未出现典型案例。</w:t>
      </w:r>
      <w:r>
        <w:rPr>
          <w:rFonts w:hint="eastAsia" w:ascii="仿宋_GB2312" w:hAnsi="仿宋_GB2312" w:eastAsia="仿宋_GB2312" w:cs="仿宋_GB2312"/>
          <w:sz w:val="32"/>
          <w:szCs w:val="32"/>
          <w:highlight w:val="none"/>
          <w:lang w:val="en-US" w:eastAsia="zh-CN"/>
        </w:rPr>
        <w:t>起草</w:t>
      </w:r>
      <w:r>
        <w:rPr>
          <w:rFonts w:hint="eastAsia" w:ascii="仿宋_GB2312" w:hAnsi="仿宋_GB2312" w:eastAsia="仿宋_GB2312" w:cs="仿宋_GB2312"/>
          <w:sz w:val="32"/>
          <w:szCs w:val="32"/>
          <w:highlight w:val="none"/>
        </w:rPr>
        <w:t>编制《汶川县贯彻落实第三轮中央生态环境保护督察报告整改任务细化清单》，</w:t>
      </w:r>
      <w:r>
        <w:rPr>
          <w:rFonts w:hint="eastAsia" w:ascii="仿宋_GB2312" w:hAnsi="仿宋_GB2312" w:eastAsia="仿宋_GB2312" w:cs="仿宋_GB2312"/>
          <w:sz w:val="32"/>
          <w:szCs w:val="32"/>
          <w:highlight w:val="none"/>
          <w:lang w:val="en-US" w:eastAsia="zh-CN"/>
        </w:rPr>
        <w:t>已</w:t>
      </w:r>
      <w:r>
        <w:rPr>
          <w:rFonts w:hint="eastAsia" w:ascii="仿宋_GB2312" w:hAnsi="仿宋_GB2312" w:eastAsia="仿宋_GB2312" w:cs="仿宋_GB2312"/>
          <w:sz w:val="32"/>
          <w:szCs w:val="32"/>
          <w:highlight w:val="none"/>
        </w:rPr>
        <w:t>完成意见征集并通过政府常务会和县委常委会，下一步将按程序送审印发各单位实施。</w:t>
      </w:r>
    </w:p>
    <w:p w14:paraId="39BF3B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28"/>
          <w:szCs w:val="28"/>
          <w:highlight w:val="none"/>
        </w:rPr>
      </w:pPr>
      <w:r>
        <w:rPr>
          <w:rFonts w:hint="eastAsia" w:ascii="仿宋_GB2312" w:hAnsi="仿宋_GB2312" w:eastAsia="仿宋_GB2312" w:cs="仿宋_GB2312"/>
          <w:sz w:val="32"/>
          <w:szCs w:val="32"/>
          <w:highlight w:val="none"/>
        </w:rPr>
        <w:t>截至目前，我县共纳入调度的中央、省、州环保专项督察及反馈问题379项</w:t>
      </w:r>
      <w:r>
        <w:rPr>
          <w:rFonts w:hint="eastAsia" w:ascii="黑体" w:hAnsi="黑体" w:eastAsia="黑体" w:cs="黑体"/>
          <w:sz w:val="28"/>
          <w:szCs w:val="28"/>
          <w:highlight w:val="none"/>
        </w:rPr>
        <w:t>【第三轮省督反馈问题尚未纳入调度】</w:t>
      </w:r>
      <w:r>
        <w:rPr>
          <w:rFonts w:hint="eastAsia" w:ascii="仿宋_GB2312" w:hAnsi="仿宋_GB2312" w:eastAsia="仿宋_GB2312" w:cs="仿宋_GB2312"/>
          <w:sz w:val="32"/>
          <w:szCs w:val="32"/>
          <w:highlight w:val="none"/>
        </w:rPr>
        <w:t>，完成整改360项，正在整改19项</w:t>
      </w:r>
      <w:r>
        <w:rPr>
          <w:rFonts w:hint="eastAsia" w:ascii="黑体" w:hAnsi="黑体" w:eastAsia="黑体" w:cs="黑体"/>
          <w:sz w:val="28"/>
          <w:szCs w:val="28"/>
          <w:highlight w:val="none"/>
        </w:rPr>
        <w:t>【汶川个性问题3项，全州共性问题16项】</w:t>
      </w:r>
      <w:r>
        <w:rPr>
          <w:rFonts w:hint="eastAsia" w:ascii="仿宋_GB2312" w:hAnsi="仿宋_GB2312" w:eastAsia="仿宋_GB2312" w:cs="仿宋_GB2312"/>
          <w:sz w:val="32"/>
          <w:szCs w:val="32"/>
          <w:highlight w:val="none"/>
        </w:rPr>
        <w:t>，完成率94.98%。</w:t>
      </w:r>
      <w:r>
        <w:rPr>
          <w:rFonts w:hint="eastAsia" w:ascii="黑体" w:hAnsi="黑体" w:eastAsia="黑体" w:cs="黑体"/>
          <w:sz w:val="28"/>
          <w:szCs w:val="28"/>
          <w:highlight w:val="none"/>
        </w:rPr>
        <w:t>【其中：前两轮中央环保督察及“回头看”问题、群众信访及“回头看”信访件共63项，全部完成整改；第三轮央督信访问题11项，全部完成整改。前两轮省环保督察及“回头看”问题、群众信访及“回头看”信访共43项，全部完成整改；第三轮省督信访问题6项，全部完成整改。国家长江经济带生态环境问题1项，完成整改。第三轮中央环保督察正式反馈任务17项仍在整改推进中。</w:t>
      </w:r>
      <w:r>
        <w:rPr>
          <w:rFonts w:hint="eastAsia" w:ascii="黑体" w:hAnsi="黑体" w:eastAsia="黑体" w:cs="黑体"/>
          <w:sz w:val="28"/>
          <w:szCs w:val="28"/>
          <w:highlight w:val="none"/>
          <w:lang w:eastAsia="zh-CN"/>
        </w:rPr>
        <w:t>2025</w:t>
      </w:r>
      <w:r>
        <w:rPr>
          <w:rFonts w:hint="eastAsia" w:ascii="黑体" w:hAnsi="黑体" w:eastAsia="黑体" w:cs="黑体"/>
          <w:sz w:val="28"/>
          <w:szCs w:val="28"/>
          <w:highlight w:val="none"/>
        </w:rPr>
        <w:t>年度州级环保督察问题还有2项正在整改中</w:t>
      </w:r>
      <w:r>
        <w:rPr>
          <w:rFonts w:hint="eastAsia" w:ascii="黑体" w:hAnsi="黑体" w:eastAsia="黑体" w:cs="黑体"/>
          <w:sz w:val="28"/>
          <w:szCs w:val="28"/>
          <w:highlight w:val="none"/>
          <w:lang w:eastAsia="zh-CN"/>
        </w:rPr>
        <w:t>】</w:t>
      </w:r>
    </w:p>
    <w:p w14:paraId="56AAC89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正在整改个性问题。一是</w:t>
      </w:r>
      <w:r>
        <w:rPr>
          <w:rFonts w:hint="eastAsia" w:ascii="仿宋_GB2312" w:hAnsi="仿宋_GB2312" w:eastAsia="仿宋_GB2312" w:cs="仿宋_GB2312"/>
          <w:b/>
          <w:bCs/>
          <w:sz w:val="32"/>
          <w:szCs w:val="32"/>
          <w:highlight w:val="none"/>
          <w:lang w:eastAsia="zh-CN"/>
        </w:rPr>
        <w:t>2025</w:t>
      </w:r>
      <w:r>
        <w:rPr>
          <w:rFonts w:hint="eastAsia" w:ascii="仿宋_GB2312" w:hAnsi="仿宋_GB2312" w:eastAsia="仿宋_GB2312" w:cs="仿宋_GB2312"/>
          <w:b/>
          <w:bCs/>
          <w:sz w:val="32"/>
          <w:szCs w:val="32"/>
          <w:highlight w:val="none"/>
        </w:rPr>
        <w:t>年州级突出生态环境问题2项。</w:t>
      </w:r>
      <w:r>
        <w:rPr>
          <w:rFonts w:hint="eastAsia" w:ascii="仿宋_GB2312" w:hAnsi="仿宋_GB2312" w:eastAsia="仿宋_GB2312" w:cs="仿宋_GB2312"/>
          <w:sz w:val="32"/>
          <w:szCs w:val="32"/>
          <w:highlight w:val="none"/>
        </w:rPr>
        <w:t>“12县（市）无综合利用规划、11县（市）无处置消纳场所及相关手续”问题，由县住建局牵头整改，整改时限2026年12月；“水磨镇寨子坪主动健康配套项目（湖羊养殖场）违规占用四川大熊猫栖息地世界自然遗产缓冲区林地0.38公顷”问题，由县林草局牵头整改，整改时限2025年12月。</w:t>
      </w:r>
      <w:r>
        <w:rPr>
          <w:rFonts w:hint="eastAsia" w:ascii="仿宋_GB2312" w:hAnsi="仿宋_GB2312" w:eastAsia="仿宋_GB2312" w:cs="仿宋_GB2312"/>
          <w:b/>
          <w:bCs/>
          <w:sz w:val="32"/>
          <w:szCs w:val="32"/>
          <w:highlight w:val="none"/>
        </w:rPr>
        <w:t>二是第三轮央督正式反馈问题1个。</w:t>
      </w:r>
      <w:r>
        <w:rPr>
          <w:rFonts w:hint="eastAsia" w:ascii="仿宋_GB2312" w:hAnsi="仿宋_GB2312" w:eastAsia="仿宋_GB2312" w:cs="仿宋_GB2312"/>
          <w:sz w:val="32"/>
          <w:szCs w:val="32"/>
          <w:highlight w:val="none"/>
        </w:rPr>
        <w:t>2025年12月底前，配合卧龙特区完成卧龙片区3座（仓旺沟电站、正河电站、龙潭电站）整改，完成汶川县1座（草坡电站）电站退出；2026年12月底前，完成汶川县1座（沙牌电站）电站退出。由卧龙特区、县发改局分别牵头整改。</w:t>
      </w:r>
    </w:p>
    <w:p w14:paraId="5ED3C6F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正在整改共性问题。</w:t>
      </w:r>
      <w:r>
        <w:rPr>
          <w:rFonts w:hint="eastAsia" w:ascii="仿宋_GB2312" w:hAnsi="仿宋_GB2312" w:eastAsia="仿宋_GB2312" w:cs="仿宋_GB2312"/>
          <w:sz w:val="32"/>
          <w:szCs w:val="32"/>
          <w:highlight w:val="none"/>
        </w:rPr>
        <w:t>第三轮央督问题16项</w:t>
      </w:r>
      <w:r>
        <w:rPr>
          <w:rFonts w:hint="eastAsia" w:ascii="仿宋_GB2312" w:hAnsi="仿宋_GB2312" w:eastAsia="仿宋_GB2312" w:cs="仿宋_GB2312"/>
          <w:sz w:val="32"/>
          <w:szCs w:val="32"/>
          <w:highlight w:val="none"/>
          <w:lang w:eastAsia="zh-CN"/>
        </w:rPr>
        <w:t>。【</w:t>
      </w:r>
      <w:r>
        <w:rPr>
          <w:rFonts w:hint="eastAsia" w:ascii="黑体" w:hAnsi="黑体" w:eastAsia="黑体" w:cs="黑体"/>
          <w:sz w:val="28"/>
          <w:szCs w:val="28"/>
          <w:highlight w:val="none"/>
        </w:rPr>
        <w:t>习近平生态文明思想贯彻落实</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长江干支流岸线监管</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虚拟货币挖矿</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黑臭水体动态清零</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长江上游生态保护</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自然保护地监管</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林地规范使用</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非法侵占破坏岸线问题排查整治</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矿山生态修复</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污染防治</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规范企业经营</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提升城市生活污水集中收集率</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完善城市建筑垃圾处理处置体系</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园区污水收集处理</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饮用水水源地保护</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生态环境违法行为查处</w:t>
      </w:r>
      <w:r>
        <w:rPr>
          <w:rFonts w:hint="eastAsia" w:ascii="黑体" w:hAnsi="黑体" w:eastAsia="黑体" w:cs="黑体"/>
          <w:sz w:val="28"/>
          <w:szCs w:val="28"/>
          <w:highlight w:val="none"/>
          <w:lang w:eastAsia="zh-CN"/>
        </w:rPr>
        <w:t>】</w:t>
      </w:r>
    </w:p>
    <w:p w14:paraId="51AFD5D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尚未纳入调度的第三轮省环保督察正式反馈问题。</w:t>
      </w:r>
      <w:r>
        <w:rPr>
          <w:rFonts w:hint="eastAsia" w:ascii="仿宋_GB2312" w:hAnsi="仿宋_GB2312" w:eastAsia="仿宋_GB2312" w:cs="仿宋_GB2312"/>
          <w:sz w:val="32"/>
          <w:szCs w:val="32"/>
          <w:highlight w:val="none"/>
        </w:rPr>
        <w:t>根据第三轮省级督察反馈会，我县共涉及需整改个性问题4项</w:t>
      </w:r>
      <w:r>
        <w:rPr>
          <w:rFonts w:hint="eastAsia" w:ascii="黑体" w:hAnsi="黑体" w:eastAsia="黑体" w:cs="黑体"/>
          <w:sz w:val="28"/>
          <w:szCs w:val="28"/>
          <w:highlight w:val="none"/>
        </w:rPr>
        <w:t>【兆迪水泥公司马腰岗石灰岩矿、阿坝矿业毛岭—羊龙山铁矿2座在生产矿山绿色化升级；生活垃圾填埋场地下水多次超标；未按三推方案在2022年底前新建垃圾处理厂；未按期完成七盘沟三王庙县级饮用水水源地建设】</w:t>
      </w:r>
      <w:r>
        <w:rPr>
          <w:rFonts w:hint="eastAsia" w:ascii="仿宋_GB2312" w:hAnsi="仿宋_GB2312" w:eastAsia="仿宋_GB2312" w:cs="仿宋_GB2312"/>
          <w:sz w:val="32"/>
          <w:szCs w:val="32"/>
          <w:highlight w:val="none"/>
        </w:rPr>
        <w:t>，其他共性问题待州级反馈问题正式印发。</w:t>
      </w:r>
    </w:p>
    <w:p w14:paraId="4EE9A8D9">
      <w:pPr>
        <w:pStyle w:val="3"/>
        <w:rPr>
          <w:rFonts w:ascii="黑体" w:hAnsi="黑体" w:eastAsia="黑体"/>
          <w:b w:val="0"/>
        </w:rPr>
      </w:pPr>
      <w:r>
        <w:rPr>
          <w:rFonts w:hint="eastAsia" w:ascii="黑体" w:hAnsi="黑体" w:eastAsia="黑体"/>
          <w:b w:val="0"/>
        </w:rPr>
        <w:t>二、机构设置</w:t>
      </w:r>
      <w:bookmarkEnd w:id="16"/>
      <w:bookmarkEnd w:id="17"/>
      <w:bookmarkEnd w:id="18"/>
    </w:p>
    <w:bookmarkEnd w:id="6"/>
    <w:bookmarkEnd w:id="7"/>
    <w:p w14:paraId="0DD22D3E">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color w:val="auto"/>
          <w:kern w:val="0"/>
          <w:sz w:val="32"/>
          <w:szCs w:val="32"/>
          <w:highlight w:val="none"/>
          <w:lang w:val="en-US" w:eastAsia="zh-CN" w:bidi="ar"/>
        </w:rPr>
      </w:pPr>
      <w:r>
        <w:rPr>
          <w:rFonts w:hint="eastAsia" w:ascii="仿宋_GB2312" w:hAnsi="仿宋_GB2312" w:eastAsia="仿宋_GB2312" w:cs="仿宋_GB2312"/>
          <w:b w:val="0"/>
          <w:bCs/>
          <w:kern w:val="0"/>
          <w:sz w:val="32"/>
          <w:szCs w:val="32"/>
          <w:lang w:val="en-US" w:eastAsia="zh-CN" w:bidi="ar"/>
        </w:rPr>
        <w:t>阿坝藏族羌族自治州汶川生态环境局是独立的二级预算单位。内设机构3个，一是阿坝州汶川生态环境保护中心，二是阿坝州汶川生态环境保护综合执法大队，三是阿坝州汶川环境监测站。</w:t>
      </w:r>
      <w:r>
        <w:rPr>
          <w:rFonts w:hint="eastAsia" w:ascii="仿宋_GB2312" w:hAnsi="仿宋_GB2312" w:eastAsia="仿宋_GB2312" w:cs="仿宋_GB2312"/>
          <w:b w:val="0"/>
          <w:bCs/>
          <w:color w:val="auto"/>
          <w:kern w:val="0"/>
          <w:sz w:val="32"/>
          <w:szCs w:val="32"/>
          <w:lang w:val="en-US" w:eastAsia="zh-CN" w:bidi="ar"/>
        </w:rPr>
        <w:t>阿坝藏族羌族自治州汶川生态环境局编制人数为18人，其中：行政编制3人，参公编制15人；年初在职职工总数7人，年末在职职工总数16人，其中：行政人数2人，参公人数14人，</w:t>
      </w:r>
      <w:r>
        <w:rPr>
          <w:rFonts w:hint="eastAsia" w:ascii="仿宋_GB2312" w:hAnsi="仿宋_GB2312" w:eastAsia="仿宋_GB2312" w:cs="仿宋_GB2312"/>
          <w:b w:val="0"/>
          <w:bCs/>
          <w:color w:val="auto"/>
          <w:kern w:val="0"/>
          <w:sz w:val="32"/>
          <w:szCs w:val="32"/>
          <w:highlight w:val="none"/>
          <w:lang w:val="en-US" w:eastAsia="zh-CN" w:bidi="ar"/>
        </w:rPr>
        <w:t>主要原因为2025年新进4人，调进5人。</w:t>
      </w:r>
    </w:p>
    <w:p w14:paraId="1CB0DEAD">
      <w:pPr>
        <w:pStyle w:val="2"/>
        <w:keepNext/>
        <w:keepLines/>
        <w:pageBreakBefore w:val="0"/>
        <w:widowControl w:val="0"/>
        <w:kinsoku/>
        <w:wordWrap/>
        <w:overflowPunct/>
        <w:topLinePunct w:val="0"/>
        <w:autoSpaceDE/>
        <w:autoSpaceDN/>
        <w:bidi w:val="0"/>
        <w:adjustRightInd/>
        <w:snapToGrid/>
        <w:spacing w:after="450" w:line="579" w:lineRule="auto"/>
        <w:ind w:right="442"/>
        <w:jc w:val="both"/>
        <w:textAlignment w:val="auto"/>
      </w:pPr>
      <w:bookmarkStart w:id="19" w:name="_Toc25325"/>
      <w:bookmarkStart w:id="20" w:name="_Toc31853"/>
      <w:bookmarkStart w:id="21" w:name="_Toc15377204"/>
      <w:bookmarkStart w:id="22" w:name="_Toc15396602"/>
      <w:bookmarkStart w:id="23" w:name="_Toc20298"/>
      <w:r>
        <w:rPr>
          <w:rFonts w:hint="eastAsia" w:ascii="黑体" w:hAnsi="黑体" w:eastAsia="黑体"/>
          <w:b w:val="0"/>
        </w:rPr>
        <w:t xml:space="preserve">第二部分 </w:t>
      </w:r>
      <w:r>
        <w:rPr>
          <w:rFonts w:hint="eastAsia" w:ascii="黑体" w:hAnsi="黑体" w:eastAsia="黑体"/>
          <w:b w:val="0"/>
          <w:lang w:eastAsia="zh-CN"/>
        </w:rPr>
        <w:t>2025</w:t>
      </w:r>
      <w:r>
        <w:rPr>
          <w:rFonts w:hint="eastAsia" w:ascii="黑体" w:hAnsi="黑体" w:eastAsia="黑体"/>
          <w:b w:val="0"/>
        </w:rPr>
        <w:t>年度</w:t>
      </w:r>
      <w:r>
        <w:rPr>
          <w:rStyle w:val="32"/>
          <w:rFonts w:hint="eastAsia" w:ascii="黑体" w:hAnsi="黑体" w:eastAsia="黑体"/>
          <w:b w:val="0"/>
          <w:bCs/>
        </w:rPr>
        <w:t>单位决算情况说明</w:t>
      </w:r>
      <w:bookmarkEnd w:id="19"/>
      <w:bookmarkEnd w:id="20"/>
      <w:bookmarkEnd w:id="21"/>
      <w:bookmarkEnd w:id="22"/>
      <w:bookmarkEnd w:id="23"/>
    </w:p>
    <w:p w14:paraId="7B987FF9">
      <w:pPr>
        <w:pStyle w:val="3"/>
        <w:keepNext/>
        <w:keepLines/>
        <w:pageBreakBefore w:val="0"/>
        <w:widowControl w:val="0"/>
        <w:numPr>
          <w:ilvl w:val="0"/>
          <w:numId w:val="2"/>
        </w:numPr>
        <w:kinsoku/>
        <w:wordWrap/>
        <w:overflowPunct/>
        <w:topLinePunct w:val="0"/>
        <w:autoSpaceDE/>
        <w:autoSpaceDN/>
        <w:bidi w:val="0"/>
        <w:adjustRightInd/>
        <w:snapToGrid/>
        <w:ind w:left="0"/>
        <w:textAlignment w:val="auto"/>
        <w:rPr>
          <w:rStyle w:val="33"/>
          <w:rFonts w:ascii="黑体" w:hAnsi="黑体" w:eastAsia="黑体"/>
          <w:b w:val="0"/>
          <w:bCs/>
        </w:rPr>
      </w:pPr>
      <w:bookmarkStart w:id="24" w:name="_Toc2643"/>
      <w:bookmarkStart w:id="25" w:name="_Toc12377"/>
      <w:bookmarkStart w:id="26" w:name="_Toc15396603"/>
      <w:bookmarkStart w:id="27" w:name="_Toc8661"/>
      <w:bookmarkStart w:id="28" w:name="_Toc15377205"/>
      <w:r>
        <w:rPr>
          <w:rFonts w:hint="eastAsia" w:ascii="黑体" w:hAnsi="黑体" w:eastAsia="黑体"/>
          <w:sz w:val="32"/>
          <w:szCs w:val="32"/>
        </w:rPr>
        <w:t>收</w:t>
      </w:r>
      <w:r>
        <w:rPr>
          <w:rStyle w:val="33"/>
          <w:rFonts w:hint="eastAsia" w:ascii="黑体" w:hAnsi="黑体" w:eastAsia="黑体"/>
          <w:b w:val="0"/>
          <w:bCs/>
        </w:rPr>
        <w:t>入支出决算总体情况说明</w:t>
      </w:r>
      <w:bookmarkEnd w:id="24"/>
      <w:bookmarkEnd w:id="25"/>
      <w:bookmarkEnd w:id="26"/>
      <w:bookmarkEnd w:id="27"/>
      <w:bookmarkEnd w:id="28"/>
    </w:p>
    <w:p w14:paraId="6B020F35">
      <w:pPr>
        <w:pStyle w:val="31"/>
        <w:spacing w:line="600" w:lineRule="exact"/>
        <w:ind w:firstLine="640"/>
        <w:outlineLvl w:val="1"/>
        <w:rPr>
          <w:rFonts w:hint="eastAsia" w:eastAsia="仿宋_GB2312" w:cs="仿宋_GB2312"/>
          <w:sz w:val="32"/>
          <w:szCs w:val="32"/>
          <w:lang w:val="en-US" w:eastAsia="zh-CN"/>
        </w:rPr>
      </w:pPr>
      <w:bookmarkStart w:id="29" w:name="_Toc7342"/>
      <w:bookmarkStart w:id="30" w:name="_Toc9412"/>
      <w:r>
        <w:rPr>
          <w:rFonts w:hint="eastAsia" w:eastAsia="仿宋_GB2312" w:cs="仿宋_GB2312"/>
          <w:sz w:val="32"/>
          <w:szCs w:val="32"/>
          <w:lang w:eastAsia="zh-CN"/>
        </w:rPr>
        <w:t>2025</w:t>
      </w:r>
      <w:r>
        <w:rPr>
          <w:rFonts w:hint="eastAsia" w:eastAsia="仿宋_GB2312" w:cs="仿宋_GB2312"/>
          <w:sz w:val="32"/>
          <w:szCs w:val="32"/>
        </w:rPr>
        <w:t>年度收入、支出总计均为</w:t>
      </w:r>
      <w:r>
        <w:rPr>
          <w:rFonts w:hint="eastAsia" w:ascii="仿宋" w:hAnsi="仿宋"/>
          <w:sz w:val="32"/>
          <w:szCs w:val="32"/>
          <w:lang w:val="en-US" w:eastAsia="zh-CN"/>
        </w:rPr>
        <w:t>2011.65</w:t>
      </w:r>
      <w:r>
        <w:rPr>
          <w:rFonts w:hint="eastAsia" w:eastAsia="仿宋_GB2312" w:cs="仿宋_GB2312"/>
          <w:sz w:val="32"/>
          <w:szCs w:val="32"/>
        </w:rPr>
        <w:t>万元。与</w:t>
      </w:r>
      <w:r>
        <w:rPr>
          <w:rFonts w:hint="eastAsia" w:eastAsia="仿宋_GB2312" w:cs="仿宋_GB2312"/>
          <w:sz w:val="32"/>
          <w:szCs w:val="32"/>
          <w:lang w:eastAsia="zh-CN"/>
        </w:rPr>
        <w:t>2024</w:t>
      </w:r>
      <w:r>
        <w:rPr>
          <w:rFonts w:hint="eastAsia" w:eastAsia="仿宋_GB2312" w:cs="仿宋_GB2312"/>
          <w:sz w:val="32"/>
          <w:szCs w:val="32"/>
        </w:rPr>
        <w:t>年度相比，收入、支出总计各增加</w:t>
      </w:r>
      <w:r>
        <w:rPr>
          <w:rFonts w:hint="eastAsia" w:ascii="仿宋" w:hAnsi="仿宋"/>
          <w:sz w:val="32"/>
          <w:szCs w:val="32"/>
          <w:lang w:val="en-US" w:eastAsia="zh-CN"/>
        </w:rPr>
        <w:t>820.67</w:t>
      </w:r>
      <w:r>
        <w:rPr>
          <w:rFonts w:hint="eastAsia" w:eastAsia="仿宋_GB2312" w:cs="仿宋_GB2312"/>
          <w:sz w:val="32"/>
          <w:szCs w:val="32"/>
        </w:rPr>
        <w:t>万元，增长</w:t>
      </w:r>
      <w:r>
        <w:rPr>
          <w:rFonts w:hint="eastAsia" w:ascii="仿宋" w:hAnsi="仿宋"/>
          <w:sz w:val="32"/>
          <w:szCs w:val="32"/>
          <w:lang w:val="en-US" w:eastAsia="zh-CN"/>
        </w:rPr>
        <w:t>69</w:t>
      </w:r>
      <w:r>
        <w:rPr>
          <w:rFonts w:ascii="仿宋" w:hAnsi="仿宋" w:eastAsia="仿宋"/>
          <w:sz w:val="32"/>
          <w:szCs w:val="32"/>
        </w:rPr>
        <w:t>%</w:t>
      </w:r>
      <w:r>
        <w:rPr>
          <w:rFonts w:hint="eastAsia" w:eastAsia="仿宋_GB2312" w:cs="仿宋_GB2312"/>
          <w:sz w:val="32"/>
          <w:szCs w:val="32"/>
        </w:rPr>
        <w:t>。</w:t>
      </w:r>
      <w:r>
        <w:rPr>
          <w:rFonts w:hint="eastAsia" w:ascii="仿宋" w:hAnsi="仿宋" w:eastAsia="仿宋"/>
          <w:sz w:val="32"/>
          <w:szCs w:val="32"/>
        </w:rPr>
        <w:t>主要变动原</w:t>
      </w:r>
      <w:r>
        <w:rPr>
          <w:rFonts w:hint="eastAsia" w:eastAsia="仿宋_GB2312" w:cs="仿宋_GB2312"/>
          <w:sz w:val="32"/>
          <w:szCs w:val="32"/>
          <w:lang w:val="en-US" w:eastAsia="zh-CN"/>
        </w:rPr>
        <w:t>因是2025年其他收入资金（代管项目）支出增加。</w:t>
      </w:r>
      <w:bookmarkEnd w:id="29"/>
      <w:bookmarkEnd w:id="30"/>
    </w:p>
    <w:p w14:paraId="25467ED2">
      <w:pPr>
        <w:spacing w:line="600" w:lineRule="exact"/>
        <w:ind w:firstLine="640" w:firstLineChars="200"/>
        <w:rPr>
          <w:rFonts w:hint="eastAsia" w:ascii="仿宋" w:hAnsi="仿宋" w:eastAsia="仿宋"/>
          <w:sz w:val="32"/>
          <w:szCs w:val="32"/>
        </w:rPr>
      </w:pPr>
      <w:r>
        <w:drawing>
          <wp:anchor distT="0" distB="0" distL="114300" distR="114300" simplePos="0" relativeHeight="251663360" behindDoc="1" locked="0" layoutInCell="1" allowOverlap="1">
            <wp:simplePos x="0" y="0"/>
            <wp:positionH relativeFrom="column">
              <wp:posOffset>277495</wp:posOffset>
            </wp:positionH>
            <wp:positionV relativeFrom="paragraph">
              <wp:posOffset>118745</wp:posOffset>
            </wp:positionV>
            <wp:extent cx="4826000" cy="2743200"/>
            <wp:effectExtent l="4445" t="4445" r="8255" b="14605"/>
            <wp:wrapTight wrapText="bothSides">
              <wp:wrapPolygon>
                <wp:start x="-20" y="-35"/>
                <wp:lineTo x="-20" y="21565"/>
                <wp:lineTo x="21552" y="21565"/>
                <wp:lineTo x="21552" y="-35"/>
                <wp:lineTo x="-20" y="-35"/>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9E4BF5D">
      <w:pPr>
        <w:spacing w:line="600" w:lineRule="exact"/>
        <w:ind w:firstLine="640" w:firstLineChars="200"/>
        <w:rPr>
          <w:rFonts w:hint="eastAsia" w:ascii="仿宋" w:hAnsi="仿宋" w:eastAsia="仿宋"/>
          <w:sz w:val="32"/>
          <w:szCs w:val="32"/>
        </w:rPr>
      </w:pPr>
    </w:p>
    <w:p w14:paraId="010890D9">
      <w:pPr>
        <w:spacing w:line="600" w:lineRule="exact"/>
        <w:ind w:firstLine="640" w:firstLineChars="200"/>
        <w:rPr>
          <w:rFonts w:hint="eastAsia" w:ascii="仿宋" w:hAnsi="仿宋" w:eastAsia="仿宋"/>
          <w:sz w:val="32"/>
          <w:szCs w:val="32"/>
        </w:rPr>
      </w:pPr>
    </w:p>
    <w:p w14:paraId="42EEF545">
      <w:pPr>
        <w:spacing w:line="600" w:lineRule="exact"/>
        <w:ind w:firstLine="640" w:firstLineChars="200"/>
        <w:rPr>
          <w:rFonts w:hint="eastAsia" w:ascii="仿宋" w:hAnsi="仿宋" w:eastAsia="仿宋"/>
          <w:sz w:val="32"/>
          <w:szCs w:val="32"/>
        </w:rPr>
      </w:pPr>
    </w:p>
    <w:p w14:paraId="0578D500">
      <w:pPr>
        <w:spacing w:line="600" w:lineRule="exact"/>
        <w:ind w:firstLine="640" w:firstLineChars="200"/>
        <w:rPr>
          <w:rFonts w:hint="eastAsia" w:ascii="仿宋" w:hAnsi="仿宋" w:eastAsia="仿宋"/>
          <w:sz w:val="32"/>
          <w:szCs w:val="32"/>
        </w:rPr>
      </w:pPr>
    </w:p>
    <w:p w14:paraId="3ACECA06">
      <w:pPr>
        <w:spacing w:line="600" w:lineRule="exact"/>
        <w:ind w:firstLine="640" w:firstLineChars="200"/>
        <w:rPr>
          <w:rFonts w:hint="eastAsia"/>
          <w:lang w:val="en-US" w:eastAsia="zh-CN"/>
        </w:rPr>
      </w:pPr>
    </w:p>
    <w:p w14:paraId="0A35343C">
      <w:pPr>
        <w:spacing w:line="600" w:lineRule="exact"/>
        <w:ind w:firstLine="640" w:firstLineChars="200"/>
        <w:rPr>
          <w:rFonts w:hint="eastAsia"/>
          <w:lang w:val="en-US" w:eastAsia="zh-CN"/>
        </w:rPr>
      </w:pPr>
    </w:p>
    <w:p w14:paraId="33A86DE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_GB2312" w:eastAsia="仿宋_GB2312"/>
          <w:sz w:val="32"/>
          <w:szCs w:val="32"/>
        </w:rPr>
      </w:pPr>
      <w:r>
        <w:rPr>
          <w:rFonts w:hint="eastAsia"/>
          <w:lang w:val="en-US" w:eastAsia="zh-CN"/>
        </w:rPr>
        <w:t xml:space="preserve">  </w:t>
      </w: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07946521">
      <w:pPr>
        <w:pStyle w:val="31"/>
        <w:numPr>
          <w:ilvl w:val="0"/>
          <w:numId w:val="2"/>
        </w:numPr>
        <w:spacing w:line="600" w:lineRule="exact"/>
        <w:ind w:firstLineChars="0"/>
        <w:outlineLvl w:val="1"/>
        <w:rPr>
          <w:rStyle w:val="33"/>
          <w:rFonts w:ascii="黑体" w:hAnsi="黑体" w:eastAsia="黑体"/>
          <w:b w:val="0"/>
        </w:rPr>
      </w:pPr>
      <w:bookmarkStart w:id="31" w:name="_Toc27472"/>
      <w:bookmarkStart w:id="32" w:name="_Toc15641"/>
      <w:bookmarkStart w:id="33" w:name="_Toc15377206"/>
      <w:bookmarkStart w:id="34" w:name="_Toc15396604"/>
      <w:bookmarkStart w:id="35" w:name="_Toc23283"/>
      <w:r>
        <w:rPr>
          <w:rFonts w:hint="eastAsia" w:ascii="黑体" w:hAnsi="黑体" w:eastAsia="黑体"/>
          <w:sz w:val="32"/>
          <w:szCs w:val="32"/>
        </w:rPr>
        <w:t>收</w:t>
      </w:r>
      <w:r>
        <w:rPr>
          <w:rStyle w:val="33"/>
          <w:rFonts w:hint="eastAsia" w:ascii="黑体" w:hAnsi="黑体" w:eastAsia="黑体"/>
          <w:b w:val="0"/>
        </w:rPr>
        <w:t>入决算情况说明</w:t>
      </w:r>
      <w:bookmarkEnd w:id="31"/>
      <w:bookmarkEnd w:id="32"/>
      <w:bookmarkEnd w:id="33"/>
      <w:bookmarkEnd w:id="34"/>
      <w:bookmarkEnd w:id="35"/>
    </w:p>
    <w:p w14:paraId="00EAB0F8">
      <w:pPr>
        <w:pStyle w:val="31"/>
        <w:spacing w:line="600" w:lineRule="exact"/>
        <w:ind w:firstLine="640"/>
        <w:jc w:val="left"/>
        <w:outlineLvl w:val="1"/>
        <w:rPr>
          <w:rFonts w:eastAsia="仿宋_GB2312" w:cs="仿宋_GB2312"/>
          <w:b/>
          <w:bCs/>
          <w:sz w:val="32"/>
          <w:szCs w:val="32"/>
        </w:rPr>
      </w:pPr>
      <w:bookmarkStart w:id="36" w:name="_Toc182"/>
      <w:bookmarkStart w:id="37" w:name="_Toc16804"/>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2011.65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781.62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1230.03</w:t>
      </w:r>
      <w:r>
        <w:drawing>
          <wp:anchor distT="0" distB="0" distL="114300" distR="114300" simplePos="0" relativeHeight="251664384" behindDoc="1" locked="0" layoutInCell="1" allowOverlap="1">
            <wp:simplePos x="0" y="0"/>
            <wp:positionH relativeFrom="column">
              <wp:posOffset>391795</wp:posOffset>
            </wp:positionH>
            <wp:positionV relativeFrom="paragraph">
              <wp:posOffset>880745</wp:posOffset>
            </wp:positionV>
            <wp:extent cx="4826000" cy="2743200"/>
            <wp:effectExtent l="4445" t="4445" r="8255" b="14605"/>
            <wp:wrapTight wrapText="bothSides">
              <wp:wrapPolygon>
                <wp:start x="-20" y="-35"/>
                <wp:lineTo x="-20" y="21565"/>
                <wp:lineTo x="21552" y="21565"/>
                <wp:lineTo x="21552" y="-35"/>
                <wp:lineTo x="-20" y="-35"/>
              </wp:wrapPolygon>
            </wp:wrapTight>
            <wp:docPr id="2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61</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（注：仅罗列本部门涉及的收入）</w:t>
      </w:r>
      <w:bookmarkEnd w:id="36"/>
      <w:bookmarkEnd w:id="37"/>
    </w:p>
    <w:p w14:paraId="47F351C7">
      <w:pPr>
        <w:spacing w:line="600" w:lineRule="exact"/>
        <w:ind w:left="0" w:leftChars="0" w:firstLine="0" w:firstLineChars="0"/>
        <w:jc w:val="both"/>
        <w:rPr>
          <w:rFonts w:hint="eastAsia" w:ascii="仿宋" w:hAnsi="仿宋" w:eastAsia="仿宋"/>
          <w:sz w:val="32"/>
          <w:szCs w:val="32"/>
        </w:rPr>
      </w:pPr>
    </w:p>
    <w:p w14:paraId="63118C42">
      <w:pPr>
        <w:spacing w:line="600" w:lineRule="exact"/>
        <w:ind w:firstLine="640" w:firstLineChars="200"/>
        <w:jc w:val="both"/>
        <w:rPr>
          <w:rFonts w:hint="eastAsia" w:ascii="仿宋" w:hAnsi="仿宋" w:eastAsia="仿宋"/>
          <w:sz w:val="32"/>
          <w:szCs w:val="32"/>
        </w:rPr>
      </w:pPr>
    </w:p>
    <w:p w14:paraId="0AD120D5">
      <w:pPr>
        <w:spacing w:line="600" w:lineRule="exact"/>
        <w:ind w:firstLine="640" w:firstLineChars="200"/>
        <w:jc w:val="both"/>
        <w:rPr>
          <w:rFonts w:hint="eastAsia" w:ascii="仿宋" w:hAnsi="仿宋" w:eastAsia="仿宋"/>
          <w:sz w:val="32"/>
          <w:szCs w:val="32"/>
        </w:rPr>
      </w:pPr>
    </w:p>
    <w:p w14:paraId="46AFA540">
      <w:pPr>
        <w:spacing w:line="600" w:lineRule="exact"/>
        <w:ind w:firstLine="640" w:firstLineChars="200"/>
        <w:jc w:val="both"/>
        <w:rPr>
          <w:rFonts w:hint="eastAsia" w:ascii="仿宋" w:hAnsi="仿宋" w:eastAsia="仿宋"/>
          <w:sz w:val="32"/>
          <w:szCs w:val="32"/>
        </w:rPr>
      </w:pPr>
    </w:p>
    <w:p w14:paraId="05030F98">
      <w:pPr>
        <w:spacing w:line="600" w:lineRule="exact"/>
        <w:ind w:firstLine="640" w:firstLineChars="200"/>
        <w:jc w:val="both"/>
        <w:rPr>
          <w:rFonts w:hint="eastAsia" w:ascii="仿宋" w:hAnsi="仿宋" w:eastAsia="仿宋"/>
          <w:sz w:val="32"/>
          <w:szCs w:val="32"/>
        </w:rPr>
      </w:pPr>
    </w:p>
    <w:p w14:paraId="6B9D8640">
      <w:pPr>
        <w:spacing w:line="600" w:lineRule="exact"/>
        <w:ind w:firstLine="640" w:firstLineChars="200"/>
        <w:jc w:val="both"/>
        <w:rPr>
          <w:rFonts w:hint="eastAsia" w:ascii="仿宋" w:hAnsi="仿宋" w:eastAsia="仿宋"/>
          <w:sz w:val="32"/>
          <w:szCs w:val="32"/>
        </w:rPr>
      </w:pPr>
    </w:p>
    <w:p w14:paraId="51E5B311">
      <w:pPr>
        <w:spacing w:line="600" w:lineRule="exact"/>
        <w:ind w:firstLine="640" w:firstLineChars="200"/>
        <w:jc w:val="both"/>
        <w:rPr>
          <w:rFonts w:hint="eastAsia" w:ascii="仿宋" w:hAnsi="仿宋" w:eastAsia="仿宋"/>
          <w:sz w:val="32"/>
          <w:szCs w:val="32"/>
        </w:rPr>
      </w:pPr>
    </w:p>
    <w:p w14:paraId="52658421">
      <w:pPr>
        <w:spacing w:line="600" w:lineRule="exact"/>
        <w:ind w:firstLine="1920" w:firstLineChars="600"/>
        <w:jc w:val="both"/>
        <w:rPr>
          <w:rFonts w:ascii="仿宋_GB2312" w:eastAsia="仿宋_GB2312"/>
          <w:sz w:val="32"/>
          <w:szCs w:val="32"/>
        </w:rPr>
      </w:pPr>
      <w:r>
        <w:rPr>
          <w:rFonts w:hint="eastAsia" w:ascii="仿宋" w:hAnsi="仿宋" w:eastAsia="仿宋"/>
          <w:sz w:val="32"/>
          <w:szCs w:val="32"/>
        </w:rPr>
        <w:t>（图2：收入决算结构图）（饼状图）</w:t>
      </w:r>
    </w:p>
    <w:p w14:paraId="3A9B5C6A">
      <w:pPr>
        <w:pStyle w:val="31"/>
        <w:numPr>
          <w:ilvl w:val="0"/>
          <w:numId w:val="2"/>
        </w:numPr>
        <w:spacing w:line="600" w:lineRule="exact"/>
        <w:ind w:firstLineChars="0"/>
        <w:outlineLvl w:val="1"/>
        <w:rPr>
          <w:rStyle w:val="33"/>
          <w:rFonts w:ascii="黑体" w:hAnsi="黑体" w:eastAsia="黑体"/>
          <w:b w:val="0"/>
        </w:rPr>
      </w:pPr>
      <w:bookmarkStart w:id="38" w:name="_Toc19669"/>
      <w:bookmarkStart w:id="39" w:name="_Toc24395"/>
      <w:bookmarkStart w:id="40" w:name="_Toc18450"/>
      <w:bookmarkStart w:id="41" w:name="_Toc15377207"/>
      <w:bookmarkStart w:id="42" w:name="_Toc15396605"/>
      <w:r>
        <w:rPr>
          <w:rFonts w:hint="eastAsia" w:ascii="黑体" w:hAnsi="黑体" w:eastAsia="黑体"/>
          <w:sz w:val="32"/>
          <w:szCs w:val="32"/>
        </w:rPr>
        <w:t>支</w:t>
      </w:r>
      <w:r>
        <w:rPr>
          <w:rStyle w:val="33"/>
          <w:rFonts w:hint="eastAsia" w:ascii="黑体" w:hAnsi="黑体" w:eastAsia="黑体"/>
          <w:b w:val="0"/>
        </w:rPr>
        <w:t>出决算情况说明</w:t>
      </w:r>
      <w:bookmarkEnd w:id="38"/>
      <w:bookmarkEnd w:id="39"/>
      <w:bookmarkEnd w:id="40"/>
      <w:bookmarkEnd w:id="41"/>
      <w:bookmarkEnd w:id="42"/>
    </w:p>
    <w:p w14:paraId="74C0DD87">
      <w:pPr>
        <w:pStyle w:val="31"/>
        <w:spacing w:line="600" w:lineRule="exact"/>
        <w:ind w:firstLine="640"/>
        <w:jc w:val="left"/>
        <w:outlineLvl w:val="1"/>
        <w:rPr>
          <w:rFonts w:hint="eastAsia" w:eastAsia="仿宋_GB2312" w:cs="仿宋_GB2312"/>
          <w:b/>
          <w:bCs/>
          <w:sz w:val="32"/>
          <w:szCs w:val="32"/>
        </w:rPr>
      </w:pPr>
      <w:bookmarkStart w:id="43" w:name="_Toc30987"/>
      <w:bookmarkStart w:id="44" w:name="_Toc2262"/>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2011.65</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252.30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1759.34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87</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（注：仅罗列本部门涉及的支出）</w:t>
      </w:r>
      <w:bookmarkEnd w:id="43"/>
      <w:bookmarkEnd w:id="44"/>
    </w:p>
    <w:p w14:paraId="41D8DC03">
      <w:pPr>
        <w:pStyle w:val="31"/>
        <w:spacing w:line="600" w:lineRule="exact"/>
        <w:ind w:firstLine="640"/>
        <w:jc w:val="left"/>
        <w:outlineLvl w:val="1"/>
        <w:rPr>
          <w:rFonts w:hint="eastAsia" w:eastAsia="仿宋_GB2312" w:cs="仿宋_GB2312"/>
          <w:b/>
          <w:bCs/>
          <w:sz w:val="32"/>
          <w:szCs w:val="32"/>
        </w:rPr>
      </w:pPr>
      <w:r>
        <w:drawing>
          <wp:anchor distT="0" distB="0" distL="114300" distR="114300" simplePos="0" relativeHeight="251661312" behindDoc="0" locked="0" layoutInCell="1" allowOverlap="1">
            <wp:simplePos x="0" y="0"/>
            <wp:positionH relativeFrom="column">
              <wp:posOffset>589280</wp:posOffset>
            </wp:positionH>
            <wp:positionV relativeFrom="paragraph">
              <wp:posOffset>67945</wp:posOffset>
            </wp:positionV>
            <wp:extent cx="4322445" cy="2100580"/>
            <wp:effectExtent l="5080" t="4445" r="15875" b="9525"/>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18ADB94">
      <w:pPr>
        <w:bidi w:val="0"/>
        <w:ind w:left="0" w:leftChars="0" w:firstLine="0" w:firstLineChars="0"/>
        <w:jc w:val="center"/>
      </w:pPr>
    </w:p>
    <w:p w14:paraId="1E0FEDD4">
      <w:pPr>
        <w:bidi w:val="0"/>
        <w:ind w:left="0" w:leftChars="0" w:firstLine="0" w:firstLineChars="0"/>
        <w:jc w:val="center"/>
        <w:rPr>
          <w:rFonts w:hint="eastAsia" w:ascii="仿宋" w:hAnsi="仿宋" w:eastAsia="仿宋"/>
          <w:sz w:val="32"/>
          <w:szCs w:val="32"/>
        </w:rPr>
      </w:pPr>
    </w:p>
    <w:p w14:paraId="7B0B7A0C">
      <w:pPr>
        <w:bidi w:val="0"/>
        <w:ind w:left="0" w:leftChars="0" w:firstLine="0" w:firstLineChars="0"/>
        <w:jc w:val="center"/>
        <w:rPr>
          <w:rFonts w:hint="eastAsia" w:ascii="仿宋" w:hAnsi="仿宋" w:eastAsia="仿宋"/>
          <w:sz w:val="32"/>
          <w:szCs w:val="32"/>
        </w:rPr>
      </w:pPr>
    </w:p>
    <w:p w14:paraId="651F6F3A">
      <w:pPr>
        <w:bidi w:val="0"/>
        <w:ind w:left="0" w:leftChars="0" w:firstLine="0" w:firstLineChars="0"/>
        <w:jc w:val="center"/>
        <w:rPr>
          <w:rFonts w:hint="eastAsia" w:ascii="仿宋" w:hAnsi="仿宋" w:eastAsia="仿宋"/>
          <w:sz w:val="32"/>
          <w:szCs w:val="32"/>
        </w:rPr>
      </w:pPr>
    </w:p>
    <w:p w14:paraId="6FFE9DBB">
      <w:pPr>
        <w:bidi w:val="0"/>
        <w:ind w:left="0" w:leftChars="0" w:firstLine="0" w:firstLineChars="0"/>
        <w:jc w:val="center"/>
        <w:rPr>
          <w:rFonts w:hint="eastAsia" w:ascii="仿宋" w:hAnsi="仿宋" w:eastAsia="仿宋"/>
          <w:sz w:val="32"/>
          <w:szCs w:val="32"/>
        </w:rPr>
      </w:pPr>
    </w:p>
    <w:p w14:paraId="269B5272">
      <w:pPr>
        <w:bidi w:val="0"/>
        <w:ind w:left="0" w:leftChars="0" w:firstLine="0" w:firstLineChars="0"/>
        <w:jc w:val="center"/>
        <w:rPr>
          <w:rFonts w:hint="eastAsia" w:ascii="黑体" w:hAnsi="黑体" w:eastAsia="黑体"/>
          <w:sz w:val="32"/>
          <w:szCs w:val="32"/>
        </w:rPr>
      </w:pPr>
      <w:r>
        <w:rPr>
          <w:rFonts w:hint="eastAsia" w:ascii="仿宋" w:hAnsi="仿宋" w:eastAsia="仿宋"/>
          <w:sz w:val="32"/>
          <w:szCs w:val="32"/>
        </w:rPr>
        <w:t>（图3：支出决算结构图）（饼状图）</w:t>
      </w:r>
      <w:bookmarkStart w:id="45" w:name="_Toc27242"/>
      <w:bookmarkStart w:id="46" w:name="_Toc15377208"/>
      <w:bookmarkStart w:id="47" w:name="_Toc15396606"/>
      <w:bookmarkStart w:id="48" w:name="_Toc23968"/>
    </w:p>
    <w:p w14:paraId="21347ACC">
      <w:pPr>
        <w:spacing w:line="600" w:lineRule="exact"/>
        <w:ind w:firstLine="640" w:firstLineChars="200"/>
        <w:outlineLvl w:val="1"/>
        <w:rPr>
          <w:rStyle w:val="33"/>
          <w:rFonts w:ascii="黑体" w:hAnsi="黑体" w:eastAsia="黑体"/>
          <w:b w:val="0"/>
        </w:rPr>
      </w:pPr>
      <w:bookmarkStart w:id="49" w:name="_Toc4387"/>
      <w:r>
        <w:rPr>
          <w:rFonts w:hint="eastAsia" w:ascii="黑体" w:hAnsi="黑体" w:eastAsia="黑体"/>
          <w:sz w:val="32"/>
          <w:szCs w:val="32"/>
        </w:rPr>
        <w:t>四、财</w:t>
      </w:r>
      <w:r>
        <w:rPr>
          <w:rStyle w:val="33"/>
          <w:rFonts w:hint="eastAsia" w:ascii="黑体" w:hAnsi="黑体" w:eastAsia="黑体"/>
          <w:b w:val="0"/>
        </w:rPr>
        <w:t>政拨款收入支出决算总体情况说明</w:t>
      </w:r>
      <w:bookmarkEnd w:id="45"/>
      <w:bookmarkEnd w:id="46"/>
      <w:bookmarkEnd w:id="47"/>
      <w:bookmarkEnd w:id="48"/>
      <w:bookmarkEnd w:id="49"/>
    </w:p>
    <w:p w14:paraId="3376733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color w:val="auto"/>
          <w:sz w:val="32"/>
          <w:szCs w:val="32"/>
          <w:highlight w:val="red"/>
          <w:lang w:val="en-US" w:eastAsia="zh-CN"/>
        </w:rPr>
      </w:pPr>
      <w:r>
        <w:rPr>
          <w:rFonts w:hint="eastAsia" w:eastAsia="仿宋_GB2312" w:cs="仿宋_GB2312"/>
          <w:sz w:val="32"/>
          <w:szCs w:val="32"/>
          <w:lang w:eastAsia="zh-CN"/>
        </w:rPr>
        <w:t>2025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781.62</w:t>
      </w:r>
      <w:r>
        <w:rPr>
          <w:rFonts w:hint="eastAsia" w:eastAsia="仿宋_GB2312" w:cs="仿宋_GB2312"/>
          <w:sz w:val="32"/>
          <w:szCs w:val="32"/>
        </w:rPr>
        <w:t>万元。与</w:t>
      </w:r>
      <w:r>
        <w:rPr>
          <w:rFonts w:hint="eastAsia" w:eastAsia="仿宋_GB2312" w:cs="仿宋_GB2312"/>
          <w:sz w:val="32"/>
          <w:szCs w:val="32"/>
          <w:lang w:eastAsia="zh-CN"/>
        </w:rPr>
        <w:t>2024</w:t>
      </w:r>
      <w:r>
        <w:rPr>
          <w:rFonts w:hint="eastAsia" w:eastAsia="仿宋_GB2312" w:cs="仿宋_GB2312"/>
          <w:sz w:val="32"/>
          <w:szCs w:val="32"/>
        </w:rPr>
        <w:t>年度相比，财政拨款收入总计、支出总计各增加</w:t>
      </w:r>
      <w:r>
        <w:rPr>
          <w:rFonts w:hint="eastAsia" w:eastAsia="仿宋_GB2312" w:cs="仿宋_GB2312"/>
          <w:sz w:val="32"/>
          <w:szCs w:val="32"/>
          <w:lang w:val="en-US" w:eastAsia="zh-CN"/>
        </w:rPr>
        <w:t>485.3</w:t>
      </w:r>
      <w:r>
        <w:rPr>
          <w:rFonts w:hint="eastAsia" w:eastAsia="仿宋_GB2312" w:cs="仿宋_GB2312"/>
          <w:sz w:val="32"/>
          <w:szCs w:val="32"/>
        </w:rPr>
        <w:t>万元，增长</w:t>
      </w:r>
      <w:r>
        <w:rPr>
          <w:rFonts w:hint="eastAsia" w:eastAsia="仿宋_GB2312" w:cs="仿宋_GB2312"/>
          <w:sz w:val="32"/>
          <w:szCs w:val="32"/>
          <w:lang w:val="en-US" w:eastAsia="zh-CN"/>
        </w:rPr>
        <w:t>164</w:t>
      </w:r>
      <w:r>
        <w:rPr>
          <w:rFonts w:hint="eastAsia" w:eastAsia="仿宋_GB2312" w:cs="仿宋_GB2312"/>
          <w:sz w:val="32"/>
          <w:szCs w:val="32"/>
        </w:rPr>
        <w:t>%。</w:t>
      </w:r>
      <w:r>
        <w:rPr>
          <w:rFonts w:hint="eastAsia" w:eastAsia="仿宋_GB2312" w:cs="仿宋_GB2312"/>
          <w:sz w:val="32"/>
          <w:szCs w:val="32"/>
          <w:highlight w:val="none"/>
        </w:rPr>
        <w:t>主要变动原因是</w:t>
      </w:r>
      <w:r>
        <w:rPr>
          <w:rFonts w:hint="eastAsia" w:eastAsia="仿宋_GB2312" w:cs="仿宋_GB2312"/>
          <w:sz w:val="32"/>
          <w:szCs w:val="32"/>
          <w:highlight w:val="none"/>
          <w:lang w:val="en-US" w:eastAsia="zh-CN"/>
        </w:rPr>
        <w:t>节能环保项目支出增加、</w:t>
      </w:r>
      <w:r>
        <w:rPr>
          <w:rFonts w:hint="eastAsia" w:ascii="仿宋_GB2312" w:hAnsi="仿宋_GB2312" w:eastAsia="仿宋_GB2312" w:cs="仿宋_GB2312"/>
          <w:b w:val="0"/>
          <w:bCs/>
          <w:color w:val="auto"/>
          <w:kern w:val="0"/>
          <w:sz w:val="32"/>
          <w:szCs w:val="32"/>
          <w:highlight w:val="none"/>
          <w:lang w:val="en-US" w:eastAsia="zh-CN" w:bidi="ar"/>
        </w:rPr>
        <w:t>2025年行政及参公人员新进4人，调进5人</w:t>
      </w:r>
      <w:r>
        <w:rPr>
          <w:rFonts w:hint="eastAsia" w:ascii="仿宋_GB2312" w:hAnsi="仿宋_GB2312" w:eastAsia="仿宋_GB2312" w:cs="仿宋_GB2312"/>
          <w:b w:val="0"/>
          <w:bCs/>
          <w:color w:val="auto"/>
          <w:kern w:val="0"/>
          <w:sz w:val="32"/>
          <w:szCs w:val="32"/>
          <w:lang w:val="en-US" w:eastAsia="zh-CN" w:bidi="ar"/>
        </w:rPr>
        <w:t>。 </w:t>
      </w:r>
    </w:p>
    <w:p w14:paraId="0504A1E8">
      <w:pPr>
        <w:spacing w:line="600" w:lineRule="exact"/>
        <w:ind w:left="0" w:leftChars="0" w:firstLine="0" w:firstLineChars="0"/>
        <w:rPr>
          <w:rFonts w:hint="eastAsia" w:ascii="仿宋" w:hAnsi="仿宋" w:eastAsia="仿宋"/>
          <w:sz w:val="32"/>
          <w:szCs w:val="32"/>
        </w:rPr>
      </w:pPr>
      <w:r>
        <w:drawing>
          <wp:anchor distT="0" distB="0" distL="114300" distR="114300" simplePos="0" relativeHeight="251665408" behindDoc="1" locked="0" layoutInCell="1" allowOverlap="1">
            <wp:simplePos x="0" y="0"/>
            <wp:positionH relativeFrom="column">
              <wp:posOffset>518795</wp:posOffset>
            </wp:positionH>
            <wp:positionV relativeFrom="paragraph">
              <wp:posOffset>204470</wp:posOffset>
            </wp:positionV>
            <wp:extent cx="4826000" cy="2743200"/>
            <wp:effectExtent l="4445" t="4445" r="8255" b="14605"/>
            <wp:wrapTight wrapText="bothSides">
              <wp:wrapPolygon>
                <wp:start x="-20" y="-35"/>
                <wp:lineTo x="-20" y="21565"/>
                <wp:lineTo x="21552" y="21565"/>
                <wp:lineTo x="21552" y="-35"/>
                <wp:lineTo x="-20" y="-35"/>
              </wp:wrapPolygon>
            </wp:wrapTight>
            <wp:docPr id="2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05A0317">
      <w:pPr>
        <w:spacing w:line="600" w:lineRule="exact"/>
        <w:ind w:left="0" w:leftChars="0" w:firstLine="0" w:firstLineChars="0"/>
        <w:rPr>
          <w:rFonts w:hint="eastAsia" w:ascii="仿宋" w:hAnsi="仿宋" w:eastAsia="仿宋"/>
          <w:sz w:val="32"/>
          <w:szCs w:val="32"/>
        </w:rPr>
      </w:pPr>
    </w:p>
    <w:p w14:paraId="360985FD">
      <w:pPr>
        <w:spacing w:line="600" w:lineRule="exact"/>
        <w:ind w:left="0" w:leftChars="0" w:firstLine="0" w:firstLineChars="0"/>
        <w:rPr>
          <w:rFonts w:hint="eastAsia" w:ascii="仿宋" w:hAnsi="仿宋" w:eastAsia="仿宋"/>
          <w:sz w:val="32"/>
          <w:szCs w:val="32"/>
        </w:rPr>
      </w:pPr>
    </w:p>
    <w:p w14:paraId="20E390BC">
      <w:pPr>
        <w:spacing w:line="600" w:lineRule="exact"/>
        <w:ind w:left="0" w:leftChars="0" w:firstLine="0" w:firstLineChars="0"/>
        <w:rPr>
          <w:rFonts w:hint="eastAsia" w:ascii="仿宋" w:hAnsi="仿宋" w:eastAsia="仿宋"/>
          <w:sz w:val="32"/>
          <w:szCs w:val="32"/>
        </w:rPr>
      </w:pPr>
    </w:p>
    <w:p w14:paraId="76DAB280">
      <w:pPr>
        <w:spacing w:line="600" w:lineRule="exact"/>
        <w:ind w:left="0" w:leftChars="0" w:firstLine="0" w:firstLineChars="0"/>
        <w:rPr>
          <w:rFonts w:hint="eastAsia" w:ascii="仿宋" w:hAnsi="仿宋" w:eastAsia="仿宋"/>
          <w:sz w:val="32"/>
          <w:szCs w:val="32"/>
        </w:rPr>
      </w:pPr>
    </w:p>
    <w:p w14:paraId="0A0BF796">
      <w:pPr>
        <w:spacing w:line="600" w:lineRule="exact"/>
        <w:ind w:left="0" w:leftChars="0" w:firstLine="0" w:firstLineChars="0"/>
        <w:rPr>
          <w:rFonts w:hint="eastAsia" w:ascii="仿宋" w:hAnsi="仿宋" w:eastAsia="仿宋"/>
          <w:sz w:val="32"/>
          <w:szCs w:val="32"/>
        </w:rPr>
      </w:pPr>
    </w:p>
    <w:p w14:paraId="261EF821">
      <w:pPr>
        <w:spacing w:line="600" w:lineRule="exact"/>
        <w:ind w:left="0" w:leftChars="0" w:firstLine="0" w:firstLineChars="0"/>
        <w:rPr>
          <w:rFonts w:hint="eastAsia" w:ascii="仿宋" w:hAnsi="仿宋" w:eastAsia="仿宋"/>
          <w:sz w:val="32"/>
          <w:szCs w:val="32"/>
        </w:rPr>
      </w:pPr>
    </w:p>
    <w:p w14:paraId="080A1860">
      <w:pPr>
        <w:spacing w:line="600" w:lineRule="exact"/>
        <w:ind w:left="0" w:leftChars="0" w:firstLine="0" w:firstLineChars="0"/>
        <w:rPr>
          <w:rFonts w:hint="eastAsia" w:ascii="仿宋" w:hAnsi="仿宋" w:eastAsia="仿宋"/>
          <w:sz w:val="32"/>
          <w:szCs w:val="32"/>
        </w:rPr>
      </w:pPr>
    </w:p>
    <w:p w14:paraId="44245679">
      <w:pPr>
        <w:spacing w:line="600" w:lineRule="exact"/>
        <w:ind w:left="0" w:leftChars="0" w:firstLine="640" w:firstLineChars="200"/>
        <w:rPr>
          <w:rFonts w:ascii="仿宋" w:hAnsi="仿宋" w:eastAsia="仿宋"/>
          <w:b/>
          <w:sz w:val="32"/>
          <w:szCs w:val="32"/>
        </w:rPr>
      </w:pPr>
      <w:r>
        <w:rPr>
          <w:rFonts w:hint="eastAsia" w:ascii="仿宋" w:hAnsi="仿宋" w:eastAsia="仿宋"/>
          <w:sz w:val="32"/>
          <w:szCs w:val="32"/>
        </w:rPr>
        <w:t>（图4：财政拨款收、支决算总计变动情况）（柱状图）</w:t>
      </w:r>
    </w:p>
    <w:p w14:paraId="7A249856">
      <w:pPr>
        <w:spacing w:line="600" w:lineRule="exact"/>
        <w:ind w:firstLine="640" w:firstLineChars="200"/>
        <w:outlineLvl w:val="1"/>
        <w:rPr>
          <w:rStyle w:val="33"/>
          <w:rFonts w:ascii="黑体" w:hAnsi="黑体" w:eastAsia="黑体"/>
          <w:b w:val="0"/>
        </w:rPr>
      </w:pPr>
      <w:bookmarkStart w:id="50" w:name="_Toc25191"/>
      <w:bookmarkStart w:id="51" w:name="_Toc15396607"/>
      <w:bookmarkStart w:id="52" w:name="_Toc15377209"/>
      <w:bookmarkStart w:id="53" w:name="_Toc7293"/>
      <w:bookmarkStart w:id="54" w:name="_Toc8241"/>
      <w:r>
        <w:rPr>
          <w:rFonts w:hint="eastAsia" w:ascii="黑体" w:hAnsi="黑体" w:eastAsia="黑体"/>
          <w:sz w:val="32"/>
          <w:szCs w:val="32"/>
        </w:rPr>
        <w:t>五、</w:t>
      </w:r>
      <w:r>
        <w:rPr>
          <w:rFonts w:hint="eastAsia" w:ascii="黑体" w:hAnsi="黑体" w:eastAsia="黑体"/>
          <w:b/>
          <w:sz w:val="32"/>
          <w:szCs w:val="32"/>
        </w:rPr>
        <w:t>一</w:t>
      </w:r>
      <w:r>
        <w:rPr>
          <w:rStyle w:val="33"/>
          <w:rFonts w:hint="eastAsia" w:ascii="黑体" w:hAnsi="黑体" w:eastAsia="黑体"/>
          <w:b w:val="0"/>
        </w:rPr>
        <w:t>般公共预算财政拨款支出决算情况说明</w:t>
      </w:r>
      <w:bookmarkEnd w:id="50"/>
      <w:bookmarkEnd w:id="51"/>
      <w:bookmarkEnd w:id="52"/>
      <w:bookmarkEnd w:id="53"/>
      <w:bookmarkEnd w:id="54"/>
    </w:p>
    <w:p w14:paraId="2ECFE41A">
      <w:pPr>
        <w:pStyle w:val="4"/>
        <w:bidi w:val="0"/>
      </w:pPr>
      <w:bookmarkStart w:id="55" w:name="_Toc13860"/>
      <w:bookmarkStart w:id="56" w:name="_Toc15479"/>
      <w:bookmarkStart w:id="57" w:name="_Toc15377210"/>
      <w:bookmarkStart w:id="58" w:name="_Toc21058"/>
      <w:r>
        <w:rPr>
          <w:rFonts w:hint="eastAsia"/>
        </w:rPr>
        <w:t>（一）一般公共预算财政拨款支出决算总体情况</w:t>
      </w:r>
      <w:bookmarkEnd w:id="55"/>
      <w:bookmarkEnd w:id="56"/>
      <w:bookmarkEnd w:id="57"/>
      <w:bookmarkEnd w:id="58"/>
    </w:p>
    <w:p w14:paraId="50830F1C">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color w:val="auto"/>
          <w:sz w:val="32"/>
          <w:szCs w:val="32"/>
          <w:highlight w:val="red"/>
          <w:lang w:val="en-US" w:eastAsia="zh-CN"/>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781.62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年度相比，一般公共预算财政拨款支出增加</w:t>
      </w:r>
      <w:r>
        <w:rPr>
          <w:rFonts w:hint="eastAsia" w:ascii="仿宋_GB2312" w:hAnsi="仿宋_GB2312" w:eastAsia="仿宋_GB2312" w:cs="仿宋_GB2312"/>
          <w:sz w:val="32"/>
          <w:szCs w:val="32"/>
          <w:lang w:val="en-US" w:eastAsia="zh-CN"/>
        </w:rPr>
        <w:t>485.3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164</w:t>
      </w:r>
      <w:r>
        <w:rPr>
          <w:rFonts w:hint="eastAsia" w:ascii="仿宋_GB2312" w:hAnsi="仿宋_GB2312" w:eastAsia="仿宋_GB2312" w:cs="仿宋_GB2312"/>
          <w:sz w:val="32"/>
          <w:szCs w:val="32"/>
        </w:rPr>
        <w:t>%。</w:t>
      </w:r>
      <w:r>
        <w:rPr>
          <w:rFonts w:hint="eastAsia" w:eastAsia="仿宋_GB2312" w:cs="仿宋_GB2312"/>
          <w:sz w:val="32"/>
          <w:szCs w:val="32"/>
          <w:highlight w:val="none"/>
        </w:rPr>
        <w:t>主要变动原因是</w:t>
      </w:r>
      <w:r>
        <w:rPr>
          <w:rFonts w:hint="eastAsia" w:eastAsia="仿宋_GB2312" w:cs="仿宋_GB2312"/>
          <w:sz w:val="32"/>
          <w:szCs w:val="32"/>
          <w:highlight w:val="none"/>
          <w:lang w:val="en-US" w:eastAsia="zh-CN"/>
        </w:rPr>
        <w:t>节能环保项目支出增加，</w:t>
      </w:r>
      <w:r>
        <w:rPr>
          <w:rFonts w:hint="eastAsia" w:ascii="仿宋_GB2312" w:hAnsi="仿宋_GB2312" w:eastAsia="仿宋_GB2312" w:cs="仿宋_GB2312"/>
          <w:b w:val="0"/>
          <w:bCs/>
          <w:color w:val="auto"/>
          <w:kern w:val="0"/>
          <w:sz w:val="32"/>
          <w:szCs w:val="32"/>
          <w:highlight w:val="none"/>
          <w:lang w:val="en-US" w:eastAsia="zh-CN" w:bidi="ar"/>
        </w:rPr>
        <w:t>2025年行政及参公人员新进4人，调进5人</w:t>
      </w:r>
      <w:r>
        <w:rPr>
          <w:rFonts w:hint="eastAsia" w:ascii="仿宋_GB2312" w:hAnsi="仿宋_GB2312" w:eastAsia="仿宋_GB2312" w:cs="仿宋_GB2312"/>
          <w:b w:val="0"/>
          <w:bCs/>
          <w:color w:val="auto"/>
          <w:kern w:val="0"/>
          <w:sz w:val="32"/>
          <w:szCs w:val="32"/>
          <w:lang w:val="en-US" w:eastAsia="zh-CN" w:bidi="ar"/>
        </w:rPr>
        <w:t>。 </w:t>
      </w:r>
    </w:p>
    <w:p w14:paraId="6CF7FDE0">
      <w:pPr>
        <w:spacing w:line="600" w:lineRule="exact"/>
        <w:ind w:firstLine="640"/>
        <w:rPr>
          <w:rFonts w:hint="eastAsia" w:ascii="仿宋" w:hAnsi="仿宋" w:eastAsia="仿宋"/>
          <w:color w:val="C00000"/>
          <w:sz w:val="32"/>
          <w:szCs w:val="32"/>
        </w:rPr>
      </w:pPr>
    </w:p>
    <w:p w14:paraId="4ED962B5">
      <w:pPr>
        <w:pStyle w:val="10"/>
        <w:rPr>
          <w:rFonts w:hint="eastAsia" w:ascii="仿宋" w:hAnsi="仿宋" w:eastAsia="仿宋"/>
          <w:sz w:val="32"/>
          <w:szCs w:val="32"/>
        </w:rPr>
      </w:pPr>
    </w:p>
    <w:p w14:paraId="541D8199">
      <w:pPr>
        <w:pStyle w:val="10"/>
        <w:rPr>
          <w:rFonts w:hint="eastAsia" w:ascii="仿宋" w:hAnsi="仿宋" w:eastAsia="仿宋"/>
          <w:sz w:val="32"/>
          <w:szCs w:val="32"/>
        </w:rPr>
      </w:pPr>
    </w:p>
    <w:p w14:paraId="58ACA219">
      <w:pPr>
        <w:pStyle w:val="10"/>
        <w:rPr>
          <w:rFonts w:hint="eastAsia" w:ascii="仿宋" w:hAnsi="仿宋" w:eastAsia="仿宋"/>
          <w:sz w:val="32"/>
          <w:szCs w:val="32"/>
        </w:rPr>
      </w:pPr>
    </w:p>
    <w:p w14:paraId="49A8B77C">
      <w:pPr>
        <w:pStyle w:val="10"/>
        <w:rPr>
          <w:rFonts w:hint="eastAsia" w:ascii="仿宋" w:hAnsi="仿宋" w:eastAsia="仿宋"/>
          <w:sz w:val="32"/>
          <w:szCs w:val="32"/>
        </w:rPr>
      </w:pPr>
    </w:p>
    <w:p w14:paraId="12CC0A24">
      <w:pPr>
        <w:pStyle w:val="10"/>
        <w:rPr>
          <w:rFonts w:hint="eastAsia" w:ascii="仿宋" w:hAnsi="仿宋" w:eastAsia="仿宋"/>
          <w:sz w:val="32"/>
          <w:szCs w:val="32"/>
        </w:rPr>
      </w:pPr>
    </w:p>
    <w:p w14:paraId="5917525D">
      <w:pPr>
        <w:pStyle w:val="10"/>
        <w:rPr>
          <w:rFonts w:hint="eastAsia" w:ascii="仿宋" w:hAnsi="仿宋" w:eastAsia="仿宋"/>
          <w:sz w:val="32"/>
          <w:szCs w:val="32"/>
        </w:rPr>
      </w:pPr>
    </w:p>
    <w:p w14:paraId="2B391F38">
      <w:pPr>
        <w:pStyle w:val="10"/>
        <w:rPr>
          <w:rFonts w:hint="eastAsia" w:ascii="仿宋" w:hAnsi="仿宋" w:eastAsia="仿宋"/>
          <w:sz w:val="32"/>
          <w:szCs w:val="32"/>
        </w:rPr>
      </w:pPr>
    </w:p>
    <w:p w14:paraId="6B4EBFF3">
      <w:pPr>
        <w:pStyle w:val="10"/>
        <w:rPr>
          <w:rFonts w:hint="eastAsia" w:ascii="仿宋" w:hAnsi="仿宋" w:eastAsia="仿宋"/>
          <w:sz w:val="32"/>
          <w:szCs w:val="32"/>
        </w:rPr>
      </w:pPr>
      <w:r>
        <w:drawing>
          <wp:anchor distT="0" distB="0" distL="114300" distR="114300" simplePos="0" relativeHeight="251666432" behindDoc="1" locked="0" layoutInCell="1" allowOverlap="1">
            <wp:simplePos x="0" y="0"/>
            <wp:positionH relativeFrom="column">
              <wp:posOffset>410845</wp:posOffset>
            </wp:positionH>
            <wp:positionV relativeFrom="paragraph">
              <wp:posOffset>-2463165</wp:posOffset>
            </wp:positionV>
            <wp:extent cx="4826000" cy="2743200"/>
            <wp:effectExtent l="4445" t="4445" r="8255" b="14605"/>
            <wp:wrapTight wrapText="bothSides">
              <wp:wrapPolygon>
                <wp:start x="-20" y="-35"/>
                <wp:lineTo x="-20" y="21565"/>
                <wp:lineTo x="21552" y="21565"/>
                <wp:lineTo x="21552" y="-35"/>
                <wp:lineTo x="-20" y="-35"/>
              </wp:wrapPolygon>
            </wp:wrapTight>
            <wp:docPr id="2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6A2D2C8">
      <w:pPr>
        <w:spacing w:line="600" w:lineRule="exact"/>
        <w:ind w:left="0" w:leftChars="0" w:firstLine="0" w:firstLineChars="0"/>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6AE89817">
      <w:pPr>
        <w:pStyle w:val="4"/>
        <w:bidi w:val="0"/>
      </w:pPr>
      <w:bookmarkStart w:id="59" w:name="_Toc18342"/>
      <w:bookmarkStart w:id="60" w:name="_Toc22180"/>
      <w:bookmarkStart w:id="61" w:name="_Toc15377211"/>
      <w:bookmarkStart w:id="62" w:name="_Toc14851"/>
      <w:r>
        <w:rPr>
          <w:rFonts w:hint="eastAsia"/>
        </w:rPr>
        <w:t>（二）一般公共预算财政拨款支出决算结构情况</w:t>
      </w:r>
      <w:bookmarkEnd w:id="59"/>
      <w:bookmarkEnd w:id="60"/>
      <w:bookmarkEnd w:id="61"/>
      <w:bookmarkEnd w:id="62"/>
    </w:p>
    <w:p w14:paraId="4533D5EA">
      <w:pPr>
        <w:spacing w:line="600" w:lineRule="exact"/>
        <w:ind w:firstLine="640"/>
        <w:rPr>
          <w:rFonts w:hint="eastAsia" w:ascii="仿宋" w:hAnsi="仿宋" w:eastAsia="仿宋"/>
          <w:sz w:val="32"/>
          <w:szCs w:val="32"/>
        </w:rPr>
      </w:pPr>
      <w:r>
        <w:rPr>
          <w:rFonts w:hint="eastAsia" w:eastAsia="仿宋_GB2312" w:cs="仿宋_GB2312"/>
          <w:sz w:val="32"/>
          <w:szCs w:val="32"/>
          <w:lang w:eastAsia="zh-CN"/>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781.62</w:t>
      </w:r>
      <w:r>
        <w:rPr>
          <w:rFonts w:hint="eastAsia" w:ascii="仿宋_GB2312" w:hAnsi="仿宋_GB2312" w:eastAsia="仿宋_GB2312" w:cs="仿宋_GB2312"/>
          <w:sz w:val="32"/>
          <w:szCs w:val="32"/>
        </w:rPr>
        <w:t>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%；教育支出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%；科学技术支出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%；文化旅游体育与传媒支出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%；社会保障和就业支出</w:t>
      </w:r>
      <w:r>
        <w:rPr>
          <w:rFonts w:hint="eastAsia" w:eastAsia="仿宋_GB2312" w:cs="仿宋_GB2312"/>
          <w:sz w:val="32"/>
          <w:szCs w:val="32"/>
          <w:lang w:val="en-US" w:eastAsia="zh-CN"/>
        </w:rPr>
        <w:t>47.64</w:t>
      </w:r>
      <w:r>
        <w:rPr>
          <w:rFonts w:hint="eastAsia" w:eastAsia="仿宋_GB2312" w:cs="仿宋_GB2312"/>
          <w:sz w:val="32"/>
          <w:szCs w:val="32"/>
        </w:rPr>
        <w:t>万元，占</w:t>
      </w:r>
      <w:r>
        <w:rPr>
          <w:rFonts w:hint="eastAsia" w:eastAsia="仿宋_GB2312" w:cs="仿宋_GB2312"/>
          <w:sz w:val="32"/>
          <w:szCs w:val="32"/>
          <w:lang w:val="en-US" w:eastAsia="zh-CN"/>
        </w:rPr>
        <w:t>6</w:t>
      </w:r>
      <w:r>
        <w:rPr>
          <w:rFonts w:hint="eastAsia" w:eastAsia="仿宋_GB2312" w:cs="仿宋_GB2312"/>
          <w:sz w:val="32"/>
          <w:szCs w:val="32"/>
        </w:rPr>
        <w:t>%；卫生健康支出</w:t>
      </w:r>
      <w:r>
        <w:rPr>
          <w:rFonts w:hint="eastAsia" w:eastAsia="仿宋_GB2312" w:cs="仿宋_GB2312"/>
          <w:sz w:val="32"/>
          <w:szCs w:val="32"/>
          <w:lang w:val="en-US" w:eastAsia="zh-CN"/>
        </w:rPr>
        <w:t>13.83</w:t>
      </w:r>
      <w:r>
        <w:rPr>
          <w:rFonts w:hint="eastAsia" w:eastAsia="仿宋_GB2312" w:cs="仿宋_GB2312"/>
          <w:sz w:val="32"/>
          <w:szCs w:val="32"/>
        </w:rPr>
        <w:t>万元，占</w:t>
      </w:r>
      <w:r>
        <w:rPr>
          <w:rFonts w:hint="eastAsia" w:eastAsia="仿宋_GB2312" w:cs="仿宋_GB2312"/>
          <w:sz w:val="32"/>
          <w:szCs w:val="32"/>
          <w:lang w:val="en-US" w:eastAsia="zh-CN"/>
        </w:rPr>
        <w:t>2</w:t>
      </w:r>
      <w:r>
        <w:rPr>
          <w:rFonts w:hint="eastAsia" w:eastAsia="仿宋_GB2312" w:cs="仿宋_GB2312"/>
          <w:sz w:val="32"/>
          <w:szCs w:val="32"/>
        </w:rPr>
        <w:t>%；住房保障支出</w:t>
      </w:r>
      <w:r>
        <w:rPr>
          <w:rFonts w:hint="eastAsia" w:eastAsia="仿宋_GB2312" w:cs="仿宋_GB2312"/>
          <w:sz w:val="32"/>
          <w:szCs w:val="32"/>
          <w:lang w:val="en-US" w:eastAsia="zh-CN"/>
        </w:rPr>
        <w:t>22.23</w:t>
      </w:r>
      <w:r>
        <w:rPr>
          <w:rFonts w:hint="eastAsia" w:eastAsia="仿宋_GB2312" w:cs="仿宋_GB2312"/>
          <w:sz w:val="32"/>
          <w:szCs w:val="32"/>
        </w:rPr>
        <w:t>万元，占</w:t>
      </w:r>
      <w:r>
        <w:rPr>
          <w:rFonts w:hint="eastAsia" w:eastAsia="仿宋_GB2312" w:cs="仿宋_GB2312"/>
          <w:sz w:val="32"/>
          <w:szCs w:val="32"/>
          <w:lang w:val="en-US" w:eastAsia="zh-CN"/>
        </w:rPr>
        <w:t>3</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lang w:val="en-US" w:eastAsia="zh-CN"/>
        </w:rPr>
        <w:t>节能环保支出697.92万元，</w:t>
      </w:r>
      <w:r>
        <w:rPr>
          <w:rFonts w:hint="eastAsia" w:eastAsia="仿宋_GB2312" w:cs="仿宋_GB2312"/>
          <w:sz w:val="32"/>
          <w:szCs w:val="32"/>
        </w:rPr>
        <w:t>占</w:t>
      </w:r>
      <w:r>
        <w:rPr>
          <w:rFonts w:hint="eastAsia" w:eastAsia="仿宋_GB2312" w:cs="仿宋_GB2312"/>
          <w:sz w:val="32"/>
          <w:szCs w:val="32"/>
          <w:lang w:val="en-US" w:eastAsia="zh-CN"/>
        </w:rPr>
        <w:t>89.3</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b/>
          <w:bCs/>
          <w:sz w:val="32"/>
          <w:szCs w:val="32"/>
        </w:rPr>
        <w:t>（注：仅罗列本部门涉及的全部功能分类科目，至类级）</w:t>
      </w:r>
    </w:p>
    <w:p w14:paraId="7ECEBB1A">
      <w:pPr>
        <w:spacing w:line="600" w:lineRule="exact"/>
        <w:ind w:firstLine="640" w:firstLineChars="200"/>
        <w:rPr>
          <w:rFonts w:hint="eastAsia" w:ascii="仿宋" w:hAnsi="仿宋" w:eastAsia="仿宋"/>
          <w:sz w:val="32"/>
          <w:szCs w:val="32"/>
        </w:rPr>
      </w:pPr>
    </w:p>
    <w:p w14:paraId="44185279">
      <w:pPr>
        <w:spacing w:line="600" w:lineRule="exact"/>
        <w:ind w:firstLine="640" w:firstLineChars="200"/>
        <w:rPr>
          <w:rFonts w:hint="eastAsia" w:ascii="仿宋" w:hAnsi="仿宋" w:eastAsia="仿宋"/>
          <w:sz w:val="32"/>
          <w:szCs w:val="32"/>
        </w:rPr>
      </w:pPr>
    </w:p>
    <w:p w14:paraId="3545C082">
      <w:pPr>
        <w:pStyle w:val="15"/>
        <w:rPr>
          <w:rFonts w:hint="eastAsia" w:ascii="仿宋" w:hAnsi="仿宋" w:eastAsia="仿宋"/>
          <w:sz w:val="32"/>
          <w:szCs w:val="32"/>
        </w:rPr>
      </w:pPr>
    </w:p>
    <w:p w14:paraId="2CE45B48">
      <w:pPr>
        <w:pStyle w:val="10"/>
        <w:rPr>
          <w:rFonts w:hint="eastAsia" w:ascii="仿宋" w:hAnsi="仿宋" w:eastAsia="仿宋"/>
          <w:sz w:val="32"/>
          <w:szCs w:val="32"/>
        </w:rPr>
      </w:pPr>
    </w:p>
    <w:p w14:paraId="2B96C0A1">
      <w:pPr>
        <w:pStyle w:val="10"/>
        <w:rPr>
          <w:rFonts w:hint="eastAsia" w:ascii="仿宋" w:hAnsi="仿宋" w:eastAsia="仿宋"/>
          <w:sz w:val="32"/>
          <w:szCs w:val="32"/>
        </w:rPr>
      </w:pPr>
    </w:p>
    <w:p w14:paraId="47814866">
      <w:pPr>
        <w:pStyle w:val="10"/>
        <w:rPr>
          <w:rFonts w:hint="eastAsia" w:ascii="仿宋" w:hAnsi="仿宋" w:eastAsia="仿宋"/>
          <w:sz w:val="32"/>
          <w:szCs w:val="32"/>
        </w:rPr>
      </w:pPr>
      <w:r>
        <w:drawing>
          <wp:anchor distT="0" distB="0" distL="114300" distR="114300" simplePos="0" relativeHeight="251667456" behindDoc="1" locked="0" layoutInCell="1" allowOverlap="1">
            <wp:simplePos x="0" y="0"/>
            <wp:positionH relativeFrom="column">
              <wp:posOffset>515620</wp:posOffset>
            </wp:positionH>
            <wp:positionV relativeFrom="paragraph">
              <wp:posOffset>-40005</wp:posOffset>
            </wp:positionV>
            <wp:extent cx="4826000" cy="2743200"/>
            <wp:effectExtent l="4445" t="4445" r="8255" b="14605"/>
            <wp:wrapTight wrapText="bothSides">
              <wp:wrapPolygon>
                <wp:start x="-20" y="-35"/>
                <wp:lineTo x="-20" y="21565"/>
                <wp:lineTo x="21552" y="21565"/>
                <wp:lineTo x="21552" y="-35"/>
                <wp:lineTo x="-20" y="-35"/>
              </wp:wrapPolygon>
            </wp:wrapTight>
            <wp:docPr id="2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179A963">
      <w:pPr>
        <w:pStyle w:val="10"/>
        <w:rPr>
          <w:rFonts w:hint="eastAsia" w:ascii="仿宋" w:hAnsi="仿宋" w:eastAsia="仿宋"/>
          <w:sz w:val="32"/>
          <w:szCs w:val="32"/>
        </w:rPr>
      </w:pPr>
    </w:p>
    <w:p w14:paraId="458E998B">
      <w:pPr>
        <w:spacing w:line="600" w:lineRule="exact"/>
        <w:ind w:firstLine="640" w:firstLineChars="200"/>
        <w:rPr>
          <w:rFonts w:hint="eastAsia" w:ascii="仿宋" w:hAnsi="仿宋" w:eastAsia="仿宋"/>
          <w:sz w:val="32"/>
          <w:szCs w:val="32"/>
        </w:rPr>
      </w:pPr>
    </w:p>
    <w:p w14:paraId="4BCF3E63">
      <w:pPr>
        <w:spacing w:line="600" w:lineRule="exact"/>
        <w:ind w:firstLine="640" w:firstLineChars="200"/>
        <w:rPr>
          <w:rFonts w:hint="eastAsia" w:ascii="仿宋" w:hAnsi="仿宋" w:eastAsia="仿宋"/>
          <w:sz w:val="32"/>
          <w:szCs w:val="32"/>
        </w:rPr>
      </w:pPr>
    </w:p>
    <w:p w14:paraId="7D8ED6BF">
      <w:pPr>
        <w:spacing w:line="600" w:lineRule="exact"/>
        <w:ind w:firstLine="640" w:firstLineChars="200"/>
        <w:rPr>
          <w:rFonts w:hint="eastAsia" w:ascii="仿宋" w:hAnsi="仿宋" w:eastAsia="仿宋"/>
          <w:sz w:val="32"/>
          <w:szCs w:val="32"/>
        </w:rPr>
      </w:pPr>
    </w:p>
    <w:p w14:paraId="04CBE45B">
      <w:pPr>
        <w:spacing w:line="600" w:lineRule="exact"/>
        <w:ind w:firstLine="640" w:firstLineChars="200"/>
        <w:rPr>
          <w:rFonts w:hint="eastAsia" w:ascii="仿宋" w:hAnsi="仿宋" w:eastAsia="仿宋"/>
          <w:sz w:val="32"/>
          <w:szCs w:val="32"/>
        </w:rPr>
      </w:pPr>
    </w:p>
    <w:p w14:paraId="71C12C2A">
      <w:pPr>
        <w:spacing w:line="600" w:lineRule="exact"/>
        <w:ind w:firstLine="640" w:firstLineChars="200"/>
        <w:rPr>
          <w:rFonts w:hint="eastAsia" w:ascii="仿宋" w:hAnsi="仿宋" w:eastAsia="仿宋"/>
          <w:sz w:val="32"/>
          <w:szCs w:val="32"/>
        </w:rPr>
      </w:pPr>
      <w:r>
        <w:rPr>
          <w:rFonts w:hint="eastAsia" w:ascii="仿宋" w:hAnsi="仿宋"/>
          <w:sz w:val="32"/>
          <w:szCs w:val="32"/>
          <w:lang w:val="en-US" w:eastAsia="zh-CN"/>
        </w:rPr>
        <w:t xml:space="preserve"> </w:t>
      </w:r>
    </w:p>
    <w:p w14:paraId="65A2ABE1">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14:paraId="277AC153">
      <w:pPr>
        <w:pStyle w:val="4"/>
        <w:bidi w:val="0"/>
      </w:pPr>
      <w:bookmarkStart w:id="63" w:name="_Toc303"/>
      <w:bookmarkStart w:id="64" w:name="_Toc29521"/>
      <w:bookmarkStart w:id="65" w:name="_Toc6454"/>
      <w:bookmarkStart w:id="66" w:name="_Toc15377212"/>
      <w:r>
        <w:rPr>
          <w:rFonts w:hint="eastAsia"/>
        </w:rPr>
        <w:t>（三）一般公共预算财政拨款支出决算具体情况</w:t>
      </w:r>
      <w:bookmarkEnd w:id="63"/>
      <w:bookmarkEnd w:id="64"/>
      <w:bookmarkEnd w:id="65"/>
      <w:bookmarkEnd w:id="66"/>
    </w:p>
    <w:p w14:paraId="1185CC15">
      <w:pPr>
        <w:spacing w:line="600" w:lineRule="exact"/>
        <w:ind w:firstLine="640"/>
        <w:rPr>
          <w:rFonts w:eastAsia="仿宋_GB2312" w:cs="仿宋_GB2312"/>
          <w:sz w:val="32"/>
          <w:szCs w:val="32"/>
        </w:rPr>
      </w:pPr>
      <w:bookmarkStart w:id="67" w:name="_Toc15377444"/>
      <w:bookmarkStart w:id="68" w:name="_Toc15377213"/>
      <w:bookmarkStart w:id="69" w:name="_Toc15378460"/>
      <w:r>
        <w:rPr>
          <w:rFonts w:hint="eastAsia" w:eastAsia="仿宋_GB2312" w:cs="仿宋_GB2312"/>
          <w:sz w:val="32"/>
          <w:szCs w:val="32"/>
          <w:lang w:eastAsia="zh-CN"/>
        </w:rPr>
        <w:t>2025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781.62万元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67"/>
      <w:bookmarkEnd w:id="68"/>
      <w:bookmarkEnd w:id="69"/>
    </w:p>
    <w:p w14:paraId="528B69BC">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1.社会保障和就业208（类）05（款）05、06（项）: 支出决算为47.64万元，完成预算100%，决算数等于预算数的主要原因是完成预算安排。</w:t>
      </w:r>
    </w:p>
    <w:p w14:paraId="5A6EB9D8">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2.卫生健康210（类）11（款）01、03（项）:支出决算为13.83万元，完成预算100%，决算数等于预算数的主要原因是完成预算安排。</w:t>
      </w:r>
    </w:p>
    <w:p w14:paraId="49A55CC8">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3.节能环保211（类）：支出决算为697.92万元，成预算100%，决算数等于预算数的主要原因是完成预算安排。</w:t>
      </w:r>
    </w:p>
    <w:p w14:paraId="0AB7034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pPr>
      <w:r>
        <w:rPr>
          <w:rFonts w:hint="eastAsia" w:ascii="仿宋_GB2312" w:hAnsi="仿宋_GB2312" w:eastAsia="仿宋_GB2312" w:cs="仿宋_GB2312"/>
          <w:b w:val="0"/>
          <w:bCs/>
          <w:kern w:val="0"/>
          <w:sz w:val="32"/>
          <w:szCs w:val="32"/>
          <w:lang w:val="en-US" w:eastAsia="zh-CN" w:bidi="ar"/>
        </w:rPr>
        <w:t>4.住房保障221（类）02（款）01（项）：支出决算为22.23万元，成预算100%，决算数等于预算数的主要原因是完成预算安排。</w:t>
      </w:r>
    </w:p>
    <w:p w14:paraId="0BAFDF49">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3A5DE19C">
      <w:pPr>
        <w:spacing w:line="600" w:lineRule="exact"/>
        <w:ind w:firstLine="640"/>
        <w:rPr>
          <w:rFonts w:ascii="仿宋" w:hAnsi="仿宋" w:eastAsia="仿宋"/>
          <w:b/>
          <w:sz w:val="32"/>
          <w:szCs w:val="32"/>
        </w:rPr>
      </w:pPr>
    </w:p>
    <w:p w14:paraId="24E3BC80">
      <w:pPr>
        <w:tabs>
          <w:tab w:val="right" w:pos="8306"/>
        </w:tabs>
        <w:spacing w:line="600" w:lineRule="exact"/>
        <w:ind w:firstLine="640"/>
        <w:outlineLvl w:val="1"/>
        <w:rPr>
          <w:rStyle w:val="33"/>
        </w:rPr>
      </w:pPr>
      <w:bookmarkStart w:id="70" w:name="_Toc7419"/>
      <w:bookmarkStart w:id="71" w:name="_Toc15377214"/>
      <w:bookmarkStart w:id="72" w:name="_Toc16289"/>
      <w:bookmarkStart w:id="73" w:name="_Toc1926"/>
      <w:bookmarkStart w:id="74"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3"/>
          <w:rFonts w:hint="eastAsia" w:ascii="黑体" w:hAnsi="黑体" w:eastAsia="黑体"/>
          <w:b w:val="0"/>
        </w:rPr>
        <w:t>般公共预算财政拨款基本支出决算情况说明</w:t>
      </w:r>
      <w:bookmarkEnd w:id="70"/>
      <w:bookmarkEnd w:id="71"/>
      <w:bookmarkEnd w:id="72"/>
      <w:bookmarkEnd w:id="73"/>
      <w:bookmarkEnd w:id="74"/>
      <w:r>
        <w:rPr>
          <w:rStyle w:val="33"/>
          <w:rFonts w:ascii="黑体" w:hAnsi="黑体" w:eastAsia="黑体"/>
          <w:b w:val="0"/>
        </w:rPr>
        <w:tab/>
      </w:r>
    </w:p>
    <w:p w14:paraId="7A6B2C5F">
      <w:pPr>
        <w:spacing w:line="600" w:lineRule="exact"/>
        <w:ind w:firstLine="640"/>
        <w:rPr>
          <w:rFonts w:eastAsia="仿宋_GB2312" w:cs="仿宋_GB2312"/>
          <w:sz w:val="32"/>
          <w:szCs w:val="32"/>
        </w:rPr>
      </w:pPr>
      <w:bookmarkStart w:id="75" w:name="_Toc26982"/>
      <w:bookmarkStart w:id="76" w:name="_Toc15377215"/>
      <w:bookmarkStart w:id="77" w:name="_Toc15396609"/>
      <w:r>
        <w:rPr>
          <w:rFonts w:hint="eastAsia" w:eastAsia="仿宋_GB2312" w:cs="仿宋_GB2312"/>
          <w:sz w:val="32"/>
          <w:szCs w:val="32"/>
          <w:lang w:eastAsia="zh-CN"/>
        </w:rPr>
        <w:t>2025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252.3</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3CEB30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203.04</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元，主要包括：基本工资、津贴补贴、伙食补助费、机关事业单位基本养老保险缴费、职业年金缴费、</w:t>
      </w:r>
      <w:r>
        <w:rPr>
          <w:rFonts w:hint="eastAsia" w:eastAsia="仿宋_GB2312" w:cs="仿宋_GB2312"/>
          <w:sz w:val="32"/>
          <w:szCs w:val="32"/>
          <w:lang w:val="en-US" w:eastAsia="zh-CN"/>
        </w:rPr>
        <w:t>职工基本医疗保险缴费、公务员医疗补助缴费、</w:t>
      </w:r>
      <w:r>
        <w:rPr>
          <w:rFonts w:hint="eastAsia" w:eastAsia="仿宋_GB2312" w:cs="仿宋_GB2312"/>
          <w:sz w:val="32"/>
          <w:szCs w:val="32"/>
        </w:rPr>
        <w:t>其他社会保障缴费、</w:t>
      </w:r>
      <w:r>
        <w:rPr>
          <w:rFonts w:hint="eastAsia" w:ascii="仿宋" w:hAnsi="仿宋" w:eastAsia="仿宋"/>
          <w:sz w:val="32"/>
          <w:szCs w:val="32"/>
        </w:rPr>
        <w:t>个人和家庭的补助</w:t>
      </w:r>
      <w:r>
        <w:rPr>
          <w:rFonts w:hint="eastAsia" w:ascii="仿宋" w:hAnsi="仿宋" w:eastAsia="仿宋"/>
          <w:sz w:val="32"/>
          <w:szCs w:val="32"/>
          <w:lang w:eastAsia="zh-CN"/>
        </w:rPr>
        <w:t>、</w:t>
      </w:r>
      <w:r>
        <w:rPr>
          <w:rFonts w:hint="eastAsia" w:ascii="仿宋" w:hAnsi="仿宋" w:eastAsia="仿宋"/>
          <w:sz w:val="32"/>
          <w:szCs w:val="32"/>
          <w:lang w:val="en-US" w:eastAsia="zh-CN"/>
        </w:rPr>
        <w:t>奖励金、</w:t>
      </w:r>
      <w:r>
        <w:rPr>
          <w:rFonts w:hint="eastAsia" w:eastAsia="仿宋_GB2312" w:cs="仿宋_GB2312"/>
          <w:sz w:val="32"/>
          <w:szCs w:val="32"/>
        </w:rPr>
        <w:t>住房公积金等。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49.26</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元，主要包括：办公费、电费、邮电费、差旅费、维修（护）费、会议费、福利费、公务用车运行维护费、其他交通费、其他商品和服务支出等。</w:t>
      </w:r>
    </w:p>
    <w:p w14:paraId="6AB7CC37">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79758FFA">
      <w:pPr>
        <w:spacing w:line="600" w:lineRule="exact"/>
        <w:ind w:firstLine="640"/>
        <w:outlineLvl w:val="1"/>
        <w:rPr>
          <w:rStyle w:val="33"/>
          <w:rFonts w:ascii="黑体" w:hAnsi="黑体" w:eastAsia="黑体"/>
          <w:b w:val="0"/>
        </w:rPr>
      </w:pPr>
      <w:bookmarkStart w:id="78" w:name="_Toc9314"/>
      <w:bookmarkStart w:id="79" w:name="_Toc23976"/>
      <w:r>
        <w:rPr>
          <w:rFonts w:hint="eastAsia" w:ascii="黑体" w:eastAsia="黑体"/>
          <w:sz w:val="32"/>
          <w:szCs w:val="32"/>
        </w:rPr>
        <w:t>七、</w:t>
      </w:r>
      <w:r>
        <w:rPr>
          <w:rStyle w:val="33"/>
          <w:rFonts w:hint="eastAsia" w:ascii="黑体" w:hAnsi="黑体" w:eastAsia="黑体"/>
          <w:b w:val="0"/>
        </w:rPr>
        <w:t>财政拨款</w:t>
      </w:r>
      <w:r>
        <w:rPr>
          <w:rStyle w:val="33"/>
          <w:rFonts w:hint="eastAsia" w:ascii="黑体" w:hAnsi="黑体" w:eastAsia="黑体"/>
        </w:rPr>
        <w:t>“</w:t>
      </w:r>
      <w:r>
        <w:rPr>
          <w:rStyle w:val="33"/>
          <w:rFonts w:hint="eastAsia" w:ascii="黑体" w:hAnsi="黑体" w:eastAsia="黑体"/>
          <w:b w:val="0"/>
        </w:rPr>
        <w:t>三公”经费支出决算情况说明</w:t>
      </w:r>
      <w:bookmarkEnd w:id="75"/>
      <w:bookmarkEnd w:id="76"/>
      <w:bookmarkEnd w:id="77"/>
      <w:bookmarkEnd w:id="78"/>
      <w:bookmarkEnd w:id="79"/>
    </w:p>
    <w:p w14:paraId="48FE8974">
      <w:pPr>
        <w:pStyle w:val="4"/>
        <w:bidi w:val="0"/>
        <w:rPr>
          <w:rFonts w:ascii="仿宋" w:hAnsi="仿宋" w:eastAsia="仿宋"/>
          <w:b/>
          <w:szCs w:val="32"/>
        </w:rPr>
      </w:pPr>
      <w:bookmarkStart w:id="80" w:name="_Toc31132"/>
      <w:bookmarkStart w:id="81" w:name="_Toc31918"/>
      <w:bookmarkStart w:id="82" w:name="_Toc15377216"/>
      <w:bookmarkStart w:id="83" w:name="_Toc13273"/>
      <w:r>
        <w:rPr>
          <w:rFonts w:hint="eastAsia"/>
        </w:rPr>
        <w:t>（一）“三公”经费财政拨款支出决算总体情况说明</w:t>
      </w:r>
      <w:bookmarkEnd w:id="80"/>
      <w:bookmarkEnd w:id="81"/>
      <w:bookmarkEnd w:id="82"/>
      <w:bookmarkEnd w:id="83"/>
    </w:p>
    <w:p w14:paraId="38291826">
      <w:pPr>
        <w:spacing w:line="600" w:lineRule="exact"/>
        <w:ind w:firstLine="640"/>
        <w:rPr>
          <w:rFonts w:eastAsia="仿宋_GB2312" w:cs="仿宋_GB2312"/>
          <w:b/>
          <w:bCs/>
          <w:sz w:val="32"/>
          <w:szCs w:val="32"/>
        </w:rPr>
      </w:pPr>
      <w:bookmarkStart w:id="84" w:name="_Toc13191"/>
      <w:bookmarkStart w:id="85" w:name="_Toc15377217"/>
      <w:r>
        <w:rPr>
          <w:rFonts w:hint="eastAsia" w:eastAsia="仿宋_GB2312" w:cs="仿宋_GB2312"/>
          <w:sz w:val="32"/>
          <w:szCs w:val="32"/>
          <w:lang w:eastAsia="zh-CN"/>
        </w:rPr>
        <w:t>2025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17.92</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较上年度增加</w:t>
      </w:r>
      <w:r>
        <w:rPr>
          <w:rFonts w:hint="eastAsia" w:eastAsia="仿宋_GB2312" w:cs="仿宋_GB2312"/>
          <w:sz w:val="32"/>
          <w:szCs w:val="32"/>
          <w:lang w:val="en-US" w:eastAsia="zh-CN"/>
        </w:rPr>
        <w:t>2</w:t>
      </w:r>
      <w:r>
        <w:rPr>
          <w:rFonts w:hint="eastAsia" w:eastAsia="仿宋_GB2312" w:cs="仿宋_GB2312"/>
          <w:sz w:val="32"/>
          <w:szCs w:val="32"/>
        </w:rPr>
        <w:t>万元，增长</w:t>
      </w:r>
      <w:r>
        <w:rPr>
          <w:rFonts w:hint="eastAsia" w:eastAsia="仿宋_GB2312" w:cs="仿宋_GB2312"/>
          <w:sz w:val="32"/>
          <w:szCs w:val="32"/>
          <w:lang w:val="en-US" w:eastAsia="zh-CN"/>
        </w:rPr>
        <w:t>11.1</w:t>
      </w:r>
      <w:r>
        <w:rPr>
          <w:rFonts w:hint="eastAsia" w:eastAsia="仿宋_GB2312" w:cs="仿宋_GB2312"/>
          <w:sz w:val="32"/>
          <w:szCs w:val="32"/>
        </w:rPr>
        <w:t>%。决算数预算数持平</w:t>
      </w:r>
      <w:r>
        <w:rPr>
          <w:rFonts w:hint="eastAsia" w:eastAsia="仿宋_GB2312" w:cs="仿宋_GB2312"/>
          <w:sz w:val="32"/>
          <w:szCs w:val="32"/>
          <w:lang w:eastAsia="zh-CN"/>
        </w:rPr>
        <w:t>，</w:t>
      </w:r>
      <w:r>
        <w:rPr>
          <w:rFonts w:hint="eastAsia" w:eastAsia="仿宋_GB2312" w:cs="仿宋_GB2312"/>
          <w:sz w:val="32"/>
          <w:szCs w:val="32"/>
        </w:rPr>
        <w:t>主要原因是</w:t>
      </w:r>
      <w:r>
        <w:rPr>
          <w:rFonts w:hint="eastAsia" w:ascii="仿宋" w:hAnsi="仿宋"/>
          <w:sz w:val="32"/>
          <w:szCs w:val="32"/>
          <w:highlight w:val="none"/>
          <w:lang w:val="en-US" w:eastAsia="zh-CN"/>
        </w:rPr>
        <w:t>2025年我单位县财报保障了部分公务用车运行维护费，2024年县财政未保障公务用车运行维护费，故在年初预算时在专项预算中增加部分公务用车运行维护费；2025年</w:t>
      </w:r>
      <w:r>
        <w:rPr>
          <w:rFonts w:hint="eastAsia" w:ascii="仿宋" w:hAnsi="仿宋"/>
          <w:sz w:val="32"/>
          <w:szCs w:val="32"/>
          <w:lang w:val="en-US" w:eastAsia="zh-CN"/>
        </w:rPr>
        <w:t>未支出公务接待费，2024年支出部分公务接待费</w:t>
      </w:r>
      <w:r>
        <w:rPr>
          <w:rFonts w:hint="eastAsia" w:eastAsia="仿宋_GB2312" w:cs="仿宋_GB2312"/>
          <w:b/>
          <w:bCs/>
          <w:sz w:val="32"/>
          <w:szCs w:val="32"/>
        </w:rPr>
        <w:t>（注：上述“预算”口径为全年预算数，包括一般公共预算和政府性基金预算财政拨款支出决算情况）</w:t>
      </w:r>
    </w:p>
    <w:p w14:paraId="6DC8F9B8">
      <w:pPr>
        <w:pStyle w:val="4"/>
        <w:bidi w:val="0"/>
        <w:rPr>
          <w:rFonts w:ascii="仿宋" w:hAnsi="仿宋" w:eastAsia="仿宋"/>
          <w:b/>
          <w:szCs w:val="32"/>
        </w:rPr>
      </w:pPr>
      <w:bookmarkStart w:id="86" w:name="_Toc12865"/>
      <w:bookmarkStart w:id="87" w:name="_Toc28024"/>
      <w:r>
        <w:rPr>
          <w:rFonts w:hint="eastAsia"/>
        </w:rPr>
        <w:t>（二）“三公”经费财政拨款支出决算具体情况说明</w:t>
      </w:r>
      <w:bookmarkEnd w:id="84"/>
      <w:bookmarkEnd w:id="85"/>
      <w:bookmarkEnd w:id="86"/>
      <w:bookmarkEnd w:id="87"/>
    </w:p>
    <w:p w14:paraId="3582B8E9">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25.56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373BBB2E">
      <w:pPr>
        <w:spacing w:line="600" w:lineRule="exact"/>
        <w:ind w:firstLine="640"/>
        <w:rPr>
          <w:rFonts w:hint="eastAsia" w:ascii="仿宋" w:hAnsi="仿宋" w:eastAsia="仿宋"/>
          <w:sz w:val="32"/>
          <w:szCs w:val="32"/>
        </w:rPr>
      </w:pPr>
    </w:p>
    <w:p w14:paraId="53C3DEBD">
      <w:pPr>
        <w:spacing w:line="600" w:lineRule="exact"/>
        <w:ind w:firstLine="640"/>
        <w:rPr>
          <w:rFonts w:hint="eastAsia" w:ascii="仿宋" w:hAnsi="仿宋" w:eastAsia="仿宋"/>
          <w:sz w:val="32"/>
          <w:szCs w:val="32"/>
        </w:rPr>
      </w:pPr>
      <w:r>
        <w:drawing>
          <wp:anchor distT="0" distB="0" distL="114300" distR="114300" simplePos="0" relativeHeight="251662336" behindDoc="0" locked="0" layoutInCell="1" allowOverlap="1">
            <wp:simplePos x="0" y="0"/>
            <wp:positionH relativeFrom="column">
              <wp:posOffset>229870</wp:posOffset>
            </wp:positionH>
            <wp:positionV relativeFrom="paragraph">
              <wp:posOffset>73025</wp:posOffset>
            </wp:positionV>
            <wp:extent cx="4826000" cy="2743200"/>
            <wp:effectExtent l="4445" t="4445" r="8255" b="14605"/>
            <wp:wrapSquare wrapText="bothSides"/>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07889E3">
      <w:pPr>
        <w:spacing w:line="600" w:lineRule="exact"/>
        <w:ind w:firstLine="640"/>
        <w:rPr>
          <w:rFonts w:hint="eastAsia" w:ascii="仿宋" w:hAnsi="仿宋" w:eastAsia="仿宋"/>
          <w:sz w:val="32"/>
          <w:szCs w:val="32"/>
        </w:rPr>
      </w:pPr>
    </w:p>
    <w:p w14:paraId="63F83E8F">
      <w:pPr>
        <w:pStyle w:val="15"/>
        <w:rPr>
          <w:rFonts w:hint="eastAsia" w:ascii="仿宋" w:hAnsi="仿宋" w:eastAsia="仿宋"/>
          <w:sz w:val="32"/>
          <w:szCs w:val="32"/>
        </w:rPr>
      </w:pPr>
    </w:p>
    <w:p w14:paraId="0D50FCE1">
      <w:pPr>
        <w:pStyle w:val="10"/>
        <w:rPr>
          <w:rFonts w:hint="eastAsia"/>
        </w:rPr>
      </w:pPr>
    </w:p>
    <w:p w14:paraId="64AB6AD2">
      <w:pPr>
        <w:spacing w:line="600" w:lineRule="exact"/>
        <w:ind w:firstLine="640"/>
        <w:rPr>
          <w:rFonts w:hint="eastAsia" w:ascii="仿宋" w:hAnsi="仿宋" w:eastAsia="仿宋"/>
          <w:sz w:val="32"/>
          <w:szCs w:val="32"/>
        </w:rPr>
      </w:pPr>
    </w:p>
    <w:p w14:paraId="5D1DC944">
      <w:pPr>
        <w:spacing w:line="600" w:lineRule="exact"/>
        <w:ind w:firstLine="640"/>
        <w:rPr>
          <w:rFonts w:hint="eastAsia" w:ascii="仿宋" w:hAnsi="仿宋" w:eastAsia="仿宋"/>
          <w:sz w:val="32"/>
          <w:szCs w:val="32"/>
        </w:rPr>
      </w:pPr>
    </w:p>
    <w:p w14:paraId="6C339A57">
      <w:pPr>
        <w:spacing w:line="600" w:lineRule="exact"/>
        <w:ind w:firstLine="640"/>
        <w:rPr>
          <w:rFonts w:hint="eastAsia" w:ascii="仿宋" w:hAnsi="仿宋" w:eastAsia="仿宋"/>
          <w:sz w:val="32"/>
          <w:szCs w:val="32"/>
        </w:rPr>
      </w:pPr>
    </w:p>
    <w:p w14:paraId="2EAFAB71">
      <w:pPr>
        <w:spacing w:line="600" w:lineRule="exact"/>
        <w:ind w:firstLine="640"/>
        <w:rPr>
          <w:rFonts w:hint="eastAsia" w:ascii="仿宋" w:hAnsi="仿宋" w:eastAsia="仿宋"/>
          <w:sz w:val="32"/>
          <w:szCs w:val="32"/>
        </w:rPr>
      </w:pPr>
    </w:p>
    <w:p w14:paraId="5DB91EB9">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6730B07D">
      <w:pPr>
        <w:numPr>
          <w:ilvl w:val="0"/>
          <w:numId w:val="3"/>
        </w:numPr>
        <w:spacing w:line="600" w:lineRule="exact"/>
        <w:ind w:firstLine="640"/>
        <w:rPr>
          <w:rFonts w:ascii="仿宋_GB2312" w:eastAsia="仿宋_GB2312"/>
          <w:b/>
          <w:sz w:val="32"/>
          <w:szCs w:val="32"/>
        </w:rPr>
      </w:pPr>
      <w:bookmarkStart w:id="88" w:name="_Toc15377218"/>
      <w:bookmarkStart w:id="89" w:name="_Toc15396610"/>
      <w:r>
        <w:rPr>
          <w:rFonts w:ascii="仿宋_GB2312" w:eastAsia="仿宋_GB2312"/>
          <w:b/>
          <w:sz w:val="32"/>
          <w:szCs w:val="32"/>
        </w:rPr>
        <w:t>1.</w:t>
      </w:r>
      <w:r>
        <w:rPr>
          <w:rFonts w:hint="eastAsia" w:ascii="仿宋_GB2312" w:eastAsia="仿宋_GB2312"/>
          <w:b/>
          <w:sz w:val="32"/>
          <w:szCs w:val="32"/>
        </w:rPr>
        <w:t>因公出国（境）经费</w:t>
      </w:r>
      <w:r>
        <w:rPr>
          <w:rFonts w:hint="eastAsia" w:eastAsia="仿宋_GB2312" w:cs="仿宋_GB2312"/>
          <w:b/>
          <w:bCs/>
          <w:sz w:val="32"/>
          <w:szCs w:val="32"/>
        </w:rPr>
        <w:t>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。因公出国（境）支出决算比</w:t>
      </w:r>
      <w:r>
        <w:rPr>
          <w:rFonts w:hint="eastAsia" w:eastAsia="仿宋_GB2312" w:cs="仿宋_GB2312"/>
          <w:sz w:val="32"/>
          <w:szCs w:val="32"/>
          <w:lang w:eastAsia="zh-CN"/>
        </w:rPr>
        <w:t>2024</w:t>
      </w:r>
      <w:r>
        <w:rPr>
          <w:rFonts w:hint="eastAsia" w:eastAsia="仿宋_GB2312" w:cs="仿宋_GB2312"/>
          <w:sz w:val="32"/>
          <w:szCs w:val="32"/>
        </w:rPr>
        <w:t>年</w:t>
      </w:r>
      <w:r>
        <w:rPr>
          <w:rFonts w:hint="eastAsia" w:eastAsia="仿宋_GB2312" w:cs="仿宋_GB2312"/>
          <w:sz w:val="32"/>
          <w:szCs w:val="32"/>
          <w:lang w:val="en-US" w:eastAsia="zh-CN"/>
        </w:rPr>
        <w:t>增加0</w:t>
      </w:r>
      <w:r>
        <w:rPr>
          <w:rFonts w:hint="eastAsia" w:eastAsia="仿宋_GB2312" w:cs="仿宋_GB2312"/>
          <w:sz w:val="32"/>
          <w:szCs w:val="32"/>
        </w:rPr>
        <w:t>万元，增长</w:t>
      </w:r>
      <w:r>
        <w:rPr>
          <w:rFonts w:hint="eastAsia" w:eastAsia="仿宋_GB2312" w:cs="仿宋_GB2312"/>
          <w:sz w:val="32"/>
          <w:szCs w:val="32"/>
          <w:lang w:val="en-US" w:eastAsia="zh-CN"/>
        </w:rPr>
        <w:t>0</w:t>
      </w:r>
      <w:r>
        <w:rPr>
          <w:rFonts w:hint="eastAsia" w:eastAsia="仿宋_GB2312" w:cs="仿宋_GB2312"/>
          <w:sz w:val="32"/>
          <w:szCs w:val="32"/>
        </w:rPr>
        <w:t>%。</w:t>
      </w:r>
      <w:r>
        <w:rPr>
          <w:rFonts w:hint="eastAsia" w:ascii="仿宋_GB2312" w:eastAsia="仿宋_GB2312"/>
          <w:sz w:val="32"/>
          <w:szCs w:val="32"/>
          <w:lang w:val="en-US" w:eastAsia="zh-CN"/>
        </w:rPr>
        <w:t>我局无此项开支。</w:t>
      </w:r>
    </w:p>
    <w:p w14:paraId="46B9BD6F">
      <w:pPr>
        <w:numPr>
          <w:ilvl w:val="0"/>
          <w:numId w:val="0"/>
        </w:numPr>
        <w:spacing w:line="600" w:lineRule="exact"/>
        <w:ind w:firstLine="643" w:firstLineChars="200"/>
        <w:rPr>
          <w:rFonts w:eastAsia="仿宋_GB2312" w:cs="仿宋_GB2312"/>
          <w:sz w:val="32"/>
          <w:szCs w:val="32"/>
          <w:highlight w:val="none"/>
        </w:rPr>
      </w:pPr>
      <w:r>
        <w:rPr>
          <w:rFonts w:ascii="仿宋_GB2312" w:eastAsia="仿宋_GB2312"/>
          <w:b/>
          <w:sz w:val="32"/>
          <w:szCs w:val="32"/>
        </w:rPr>
        <w:t>2.</w:t>
      </w:r>
      <w:r>
        <w:rPr>
          <w:rFonts w:hint="eastAsia" w:ascii="仿宋_GB2312" w:eastAsia="仿宋_GB2312"/>
          <w:b/>
          <w:sz w:val="32"/>
          <w:szCs w:val="32"/>
        </w:rPr>
        <w:t>公务用车购置及运行维护费</w:t>
      </w:r>
      <w:r>
        <w:rPr>
          <w:rFonts w:hint="eastAsia" w:eastAsia="仿宋_GB2312" w:cs="仿宋_GB2312"/>
          <w:b/>
          <w:bCs/>
          <w:sz w:val="32"/>
          <w:szCs w:val="32"/>
        </w:rPr>
        <w:t>支出</w:t>
      </w:r>
      <w:r>
        <w:rPr>
          <w:rFonts w:hint="eastAsia" w:ascii="仿宋_GB2312" w:hAnsi="仿宋_GB2312" w:eastAsia="仿宋_GB2312" w:cs="仿宋_GB2312"/>
          <w:b/>
          <w:bCs/>
          <w:sz w:val="32"/>
          <w:szCs w:val="32"/>
          <w:lang w:val="en-US" w:eastAsia="zh-CN"/>
        </w:rPr>
        <w:t>25.56</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w:t>
      </w:r>
      <w:r>
        <w:rPr>
          <w:rFonts w:hint="eastAsia" w:eastAsia="仿宋_GB2312" w:cs="仿宋_GB2312"/>
          <w:sz w:val="32"/>
          <w:szCs w:val="32"/>
          <w:highlight w:val="none"/>
        </w:rPr>
        <w:t>置及运行维护费支出决算比</w:t>
      </w:r>
      <w:r>
        <w:rPr>
          <w:rFonts w:hint="eastAsia" w:eastAsia="仿宋_GB2312" w:cs="仿宋_GB2312"/>
          <w:sz w:val="32"/>
          <w:szCs w:val="32"/>
          <w:highlight w:val="none"/>
          <w:lang w:eastAsia="zh-CN"/>
        </w:rPr>
        <w:t>2024</w:t>
      </w:r>
      <w:r>
        <w:rPr>
          <w:rFonts w:hint="eastAsia" w:eastAsia="仿宋_GB2312" w:cs="仿宋_GB2312"/>
          <w:sz w:val="32"/>
          <w:szCs w:val="32"/>
          <w:highlight w:val="none"/>
        </w:rPr>
        <w:t>年度增加</w:t>
      </w:r>
      <w:r>
        <w:rPr>
          <w:rFonts w:hint="eastAsia" w:eastAsia="仿宋_GB2312" w:cs="仿宋_GB2312"/>
          <w:sz w:val="32"/>
          <w:szCs w:val="32"/>
          <w:highlight w:val="none"/>
          <w:lang w:val="en-US" w:eastAsia="zh-CN"/>
        </w:rPr>
        <w:t>7.64</w:t>
      </w:r>
      <w:r>
        <w:rPr>
          <w:rFonts w:hint="eastAsia" w:eastAsia="仿宋_GB2312" w:cs="仿宋_GB2312"/>
          <w:sz w:val="32"/>
          <w:szCs w:val="32"/>
          <w:highlight w:val="none"/>
        </w:rPr>
        <w:t>万元，增长</w:t>
      </w:r>
      <w:r>
        <w:rPr>
          <w:rFonts w:hint="eastAsia" w:eastAsia="仿宋_GB2312" w:cs="仿宋_GB2312"/>
          <w:sz w:val="32"/>
          <w:szCs w:val="32"/>
          <w:highlight w:val="none"/>
          <w:lang w:val="en-US" w:eastAsia="zh-CN"/>
        </w:rPr>
        <w:t>43</w:t>
      </w:r>
      <w:r>
        <w:rPr>
          <w:rFonts w:hint="eastAsia" w:eastAsia="仿宋_GB2312" w:cs="仿宋_GB2312"/>
          <w:sz w:val="32"/>
          <w:szCs w:val="32"/>
          <w:highlight w:val="none"/>
        </w:rPr>
        <w:t>%。主要原因是</w:t>
      </w:r>
      <w:r>
        <w:rPr>
          <w:rFonts w:hint="eastAsia" w:ascii="仿宋" w:hAnsi="仿宋"/>
          <w:sz w:val="32"/>
          <w:szCs w:val="32"/>
          <w:highlight w:val="none"/>
          <w:lang w:val="en-US" w:eastAsia="zh-CN"/>
        </w:rPr>
        <w:t>2024年我单位县财报保障了部分公务用车运行维护费，2025年县财政未保障公务用车运行维护费，故在年初预算时在专项预算中增加部分公务用车运行维护费。</w:t>
      </w:r>
    </w:p>
    <w:p w14:paraId="2F80BDA2">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w:t>
      </w:r>
      <w:r>
        <w:rPr>
          <w:rFonts w:hint="eastAsia" w:eastAsia="仿宋_GB2312" w:cs="仿宋_GB2312"/>
          <w:sz w:val="32"/>
          <w:szCs w:val="32"/>
          <w:lang w:eastAsia="zh-CN"/>
        </w:rPr>
        <w:t>2025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3</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3</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1ECD7BD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25.56</w:t>
      </w:r>
      <w:r>
        <w:rPr>
          <w:rFonts w:hint="eastAsia" w:eastAsia="仿宋_GB2312" w:cs="仿宋_GB2312"/>
          <w:sz w:val="32"/>
          <w:szCs w:val="32"/>
        </w:rPr>
        <w:t>万元。</w:t>
      </w:r>
      <w:r>
        <w:rPr>
          <w:rFonts w:hint="eastAsia" w:ascii="仿宋_GB2312" w:eastAsia="仿宋_GB2312"/>
          <w:sz w:val="32"/>
          <w:szCs w:val="32"/>
        </w:rPr>
        <w:t>主要用于</w:t>
      </w:r>
      <w:r>
        <w:rPr>
          <w:rFonts w:hint="eastAsia" w:ascii="仿宋_GB2312" w:hAnsi="仿宋_GB2312" w:eastAsia="仿宋_GB2312" w:cs="仿宋_GB2312"/>
          <w:b w:val="0"/>
          <w:bCs/>
          <w:kern w:val="0"/>
          <w:sz w:val="32"/>
          <w:szCs w:val="32"/>
          <w:lang w:val="en-US" w:eastAsia="zh-CN" w:bidi="ar"/>
        </w:rPr>
        <w:t>开展监测、污染防治、执法检查等所需的</w:t>
      </w:r>
      <w:r>
        <w:rPr>
          <w:rFonts w:hint="eastAsia" w:ascii="仿宋_GB2312" w:eastAsia="仿宋_GB2312"/>
          <w:sz w:val="32"/>
          <w:szCs w:val="32"/>
        </w:rPr>
        <w:t>公务用车燃料费、维修费、过路过桥费、保险费等支出</w:t>
      </w:r>
      <w:r>
        <w:rPr>
          <w:rFonts w:hint="eastAsia" w:eastAsia="仿宋_GB2312" w:cs="仿宋_GB2312"/>
          <w:sz w:val="32"/>
          <w:szCs w:val="32"/>
        </w:rPr>
        <w:t>。</w:t>
      </w:r>
    </w:p>
    <w:p w14:paraId="66B97F1E">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w:t>
      </w:r>
      <w:r>
        <w:rPr>
          <w:rFonts w:hint="eastAsia" w:eastAsia="仿宋_GB2312" w:cs="仿宋_GB2312"/>
          <w:b/>
          <w:bCs/>
          <w:sz w:val="32"/>
          <w:szCs w:val="32"/>
        </w:rPr>
        <w:t>支出</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w:t>
      </w:r>
      <w:r>
        <w:rPr>
          <w:rFonts w:hint="eastAsia" w:eastAsia="仿宋_GB2312" w:cs="仿宋_GB2312"/>
          <w:sz w:val="32"/>
          <w:szCs w:val="32"/>
          <w:lang w:eastAsia="zh-CN"/>
        </w:rPr>
        <w:t>2024</w:t>
      </w:r>
      <w:r>
        <w:rPr>
          <w:rFonts w:hint="eastAsia" w:eastAsia="仿宋_GB2312" w:cs="仿宋_GB2312"/>
          <w:sz w:val="32"/>
          <w:szCs w:val="32"/>
        </w:rPr>
        <w:t>年度</w:t>
      </w:r>
      <w:r>
        <w:rPr>
          <w:rFonts w:hint="eastAsia" w:eastAsia="仿宋_GB2312" w:cs="仿宋_GB2312"/>
          <w:sz w:val="32"/>
          <w:szCs w:val="32"/>
          <w:lang w:val="en-US" w:eastAsia="zh-CN"/>
        </w:rPr>
        <w:t>持平</w:t>
      </w:r>
      <w:r>
        <w:rPr>
          <w:rFonts w:hint="eastAsia" w:eastAsia="仿宋_GB2312" w:cs="仿宋_GB2312"/>
          <w:sz w:val="32"/>
          <w:szCs w:val="32"/>
        </w:rPr>
        <w:t>。主要原因</w:t>
      </w:r>
      <w:r>
        <w:rPr>
          <w:rFonts w:hint="eastAsia" w:eastAsia="仿宋_GB2312" w:cs="仿宋_GB2312"/>
          <w:sz w:val="32"/>
          <w:szCs w:val="32"/>
          <w:lang w:val="en-US" w:eastAsia="zh-CN"/>
        </w:rPr>
        <w:t>2025年</w:t>
      </w:r>
      <w:r>
        <w:rPr>
          <w:rFonts w:hint="eastAsia" w:ascii="仿宋_GB2312" w:hAnsi="仿宋_GB2312" w:eastAsia="仿宋_GB2312" w:cs="仿宋_GB2312"/>
          <w:b w:val="0"/>
          <w:bCs/>
          <w:kern w:val="0"/>
          <w:sz w:val="32"/>
          <w:szCs w:val="32"/>
          <w:lang w:val="en-US" w:eastAsia="zh-CN" w:bidi="ar"/>
        </w:rPr>
        <w:t>未支出公务接待费</w:t>
      </w:r>
      <w:r>
        <w:rPr>
          <w:rFonts w:hint="eastAsia" w:eastAsia="仿宋_GB2312" w:cs="仿宋_GB2312"/>
          <w:sz w:val="32"/>
          <w:szCs w:val="32"/>
        </w:rPr>
        <w:t>。</w:t>
      </w:r>
    </w:p>
    <w:p w14:paraId="27636BEC">
      <w:pPr>
        <w:spacing w:line="600" w:lineRule="exact"/>
        <w:ind w:firstLine="643" w:firstLineChars="200"/>
        <w:rPr>
          <w:rFonts w:hint="eastAsia" w:ascii="黑体" w:eastAsia="仿宋_GB2312"/>
          <w:sz w:val="32"/>
          <w:szCs w:val="32"/>
          <w:lang w:eastAsia="zh-CN"/>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p>
    <w:p w14:paraId="0BEC1328">
      <w:pPr>
        <w:spacing w:line="600" w:lineRule="exact"/>
        <w:ind w:firstLine="640"/>
        <w:outlineLvl w:val="1"/>
        <w:rPr>
          <w:rStyle w:val="33"/>
          <w:rFonts w:ascii="黑体" w:hAnsi="黑体" w:eastAsia="黑体"/>
        </w:rPr>
      </w:pPr>
      <w:bookmarkStart w:id="90" w:name="_Toc21454"/>
      <w:bookmarkStart w:id="91" w:name="_Toc9548"/>
      <w:bookmarkStart w:id="92" w:name="_Toc17916"/>
      <w:r>
        <w:rPr>
          <w:rFonts w:hint="eastAsia" w:ascii="黑体" w:eastAsia="黑体"/>
          <w:sz w:val="32"/>
          <w:szCs w:val="32"/>
        </w:rPr>
        <w:t>八、</w:t>
      </w:r>
      <w:r>
        <w:rPr>
          <w:rStyle w:val="33"/>
          <w:rFonts w:hint="eastAsia" w:ascii="黑体" w:hAnsi="黑体" w:eastAsia="黑体"/>
          <w:b w:val="0"/>
        </w:rPr>
        <w:t>政府性基金预算支出决算情况说明</w:t>
      </w:r>
      <w:bookmarkEnd w:id="88"/>
      <w:bookmarkEnd w:id="89"/>
      <w:bookmarkEnd w:id="90"/>
      <w:bookmarkEnd w:id="91"/>
      <w:bookmarkEnd w:id="92"/>
    </w:p>
    <w:p w14:paraId="55CAF7DD">
      <w:pPr>
        <w:bidi w:val="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6E734950">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ascii="仿宋_GB2312" w:eastAsia="仿宋_GB2312"/>
          <w:sz w:val="32"/>
          <w:szCs w:val="32"/>
        </w:rPr>
      </w:pPr>
      <w:r>
        <w:rPr>
          <w:rFonts w:hint="eastAsia" w:ascii="仿宋_GB2312" w:hAnsi="仿宋_GB2312" w:eastAsia="仿宋_GB2312" w:cs="仿宋_GB2312"/>
          <w:b w:val="0"/>
          <w:bCs/>
          <w:kern w:val="0"/>
          <w:sz w:val="32"/>
          <w:szCs w:val="32"/>
          <w:lang w:val="en-US" w:eastAsia="zh-CN" w:bidi="ar"/>
        </w:rPr>
        <w:t>（我单位不涉及政府性基金预算支出）</w:t>
      </w:r>
    </w:p>
    <w:p w14:paraId="3B19122D">
      <w:pPr>
        <w:numPr>
          <w:ilvl w:val="0"/>
          <w:numId w:val="4"/>
        </w:numPr>
        <w:spacing w:line="600" w:lineRule="exact"/>
        <w:ind w:firstLine="640"/>
        <w:outlineLvl w:val="1"/>
        <w:rPr>
          <w:rStyle w:val="33"/>
          <w:rFonts w:ascii="黑体" w:hAnsi="黑体" w:eastAsia="黑体"/>
          <w:b w:val="0"/>
        </w:rPr>
      </w:pPr>
      <w:bookmarkStart w:id="93" w:name="_Toc15377219"/>
      <w:bookmarkStart w:id="94" w:name="_Toc15396611"/>
      <w:bookmarkStart w:id="95" w:name="_Toc15996"/>
      <w:bookmarkStart w:id="96" w:name="_Toc28494"/>
      <w:bookmarkStart w:id="97" w:name="_Toc5084"/>
      <w:r>
        <w:rPr>
          <w:rStyle w:val="33"/>
          <w:rFonts w:hint="eastAsia" w:ascii="黑体" w:hAnsi="黑体" w:eastAsia="黑体"/>
          <w:b w:val="0"/>
        </w:rPr>
        <w:t>国有资本经营预算支出决算情况说明</w:t>
      </w:r>
      <w:bookmarkEnd w:id="93"/>
      <w:bookmarkEnd w:id="94"/>
      <w:bookmarkEnd w:id="95"/>
      <w:bookmarkEnd w:id="96"/>
      <w:bookmarkEnd w:id="97"/>
    </w:p>
    <w:p w14:paraId="5B80B2E8">
      <w:pPr>
        <w:bidi w:val="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4161B5EA">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ascii="方正小标宋简体" w:hAnsi="方正小标宋简体" w:eastAsia="方正小标宋简体" w:cs="方正小标宋简体"/>
          <w:sz w:val="44"/>
          <w:szCs w:val="44"/>
        </w:rPr>
      </w:pPr>
      <w:r>
        <w:rPr>
          <w:rFonts w:hint="eastAsia" w:ascii="仿宋_GB2312" w:hAnsi="仿宋_GB2312" w:eastAsia="仿宋_GB2312" w:cs="仿宋_GB2312"/>
          <w:b w:val="0"/>
          <w:bCs/>
          <w:kern w:val="0"/>
          <w:sz w:val="32"/>
          <w:szCs w:val="32"/>
          <w:lang w:val="en-US" w:eastAsia="zh-CN" w:bidi="ar"/>
        </w:rPr>
        <w:t>（我单位不涉及国有资本经营预算支出）</w:t>
      </w:r>
      <w:r>
        <w:rPr>
          <w:b w:val="0"/>
          <w:bCs/>
          <w:shd w:val="clear" w:color="auto" w:fill="FFFFFF"/>
        </w:rPr>
        <w:t> </w:t>
      </w:r>
    </w:p>
    <w:p w14:paraId="178B6A0B">
      <w:pPr>
        <w:numPr>
          <w:ilvl w:val="0"/>
          <w:numId w:val="4"/>
        </w:numPr>
        <w:spacing w:line="600" w:lineRule="exact"/>
        <w:ind w:firstLine="640"/>
        <w:outlineLvl w:val="1"/>
        <w:rPr>
          <w:rStyle w:val="33"/>
          <w:rFonts w:ascii="黑体" w:hAnsi="黑体" w:eastAsia="黑体"/>
          <w:b w:val="0"/>
        </w:rPr>
      </w:pPr>
      <w:bookmarkStart w:id="98" w:name="_Toc15377221"/>
      <w:bookmarkStart w:id="99" w:name="_Toc22792"/>
      <w:bookmarkStart w:id="100" w:name="_Toc1731"/>
      <w:bookmarkStart w:id="101" w:name="_Toc15396612"/>
      <w:bookmarkStart w:id="102" w:name="_Toc21824"/>
      <w:r>
        <w:rPr>
          <w:rStyle w:val="33"/>
          <w:rFonts w:hint="eastAsia" w:ascii="黑体" w:hAnsi="黑体" w:eastAsia="黑体"/>
          <w:b w:val="0"/>
        </w:rPr>
        <w:t>其他重要事项的情况说明</w:t>
      </w:r>
      <w:bookmarkEnd w:id="98"/>
      <w:bookmarkEnd w:id="99"/>
      <w:bookmarkEnd w:id="100"/>
      <w:bookmarkEnd w:id="101"/>
      <w:bookmarkEnd w:id="102"/>
    </w:p>
    <w:p w14:paraId="33AA339A">
      <w:pPr>
        <w:pStyle w:val="4"/>
        <w:bidi w:val="0"/>
      </w:pPr>
      <w:bookmarkStart w:id="103" w:name="_Toc15377222"/>
      <w:bookmarkStart w:id="104" w:name="_Toc12485"/>
      <w:bookmarkStart w:id="105" w:name="_Toc28957"/>
      <w:bookmarkStart w:id="106" w:name="_Toc8135"/>
      <w:r>
        <w:rPr>
          <w:rFonts w:hint="eastAsia"/>
        </w:rPr>
        <w:t>（一）机关运行经费支出情况</w:t>
      </w:r>
      <w:bookmarkEnd w:id="103"/>
      <w:bookmarkEnd w:id="104"/>
      <w:bookmarkEnd w:id="105"/>
      <w:bookmarkEnd w:id="106"/>
    </w:p>
    <w:p w14:paraId="7B010C1B">
      <w:pPr>
        <w:spacing w:line="600" w:lineRule="exact"/>
        <w:ind w:firstLine="640"/>
        <w:rPr>
          <w:rFonts w:hint="default" w:eastAsia="仿宋_GB2312" w:cs="仿宋_GB2312"/>
          <w:sz w:val="32"/>
          <w:szCs w:val="32"/>
          <w:highlight w:val="none"/>
          <w:lang w:val="en-US" w:eastAsia="zh-CN"/>
        </w:rPr>
      </w:pPr>
      <w:r>
        <w:rPr>
          <w:rFonts w:hint="eastAsia" w:eastAsia="仿宋_GB2312" w:cs="仿宋_GB2312"/>
          <w:sz w:val="32"/>
          <w:szCs w:val="32"/>
          <w:lang w:eastAsia="zh-CN"/>
        </w:rPr>
        <w:t>2025</w:t>
      </w:r>
      <w:r>
        <w:rPr>
          <w:rFonts w:hint="eastAsia" w:eastAsia="仿宋_GB2312" w:cs="仿宋_GB2312"/>
          <w:sz w:val="32"/>
          <w:szCs w:val="32"/>
        </w:rPr>
        <w:t>年度</w:t>
      </w:r>
      <w:r>
        <w:rPr>
          <w:rFonts w:hint="eastAsia" w:ascii="仿宋_GB2312" w:hAnsi="仿宋_GB2312" w:eastAsia="仿宋_GB2312" w:cs="仿宋_GB2312"/>
          <w:sz w:val="32"/>
          <w:szCs w:val="32"/>
        </w:rPr>
        <w:t>，</w:t>
      </w:r>
      <w:r>
        <w:rPr>
          <w:rFonts w:ascii="仿宋_GB2312" w:eastAsia="仿宋_GB2312"/>
          <w:b/>
          <w:sz w:val="32"/>
          <w:szCs w:val="32"/>
        </w:rPr>
        <w:t>阿坝州汶川生态环境局</w:t>
      </w:r>
      <w:r>
        <w:rPr>
          <w:rFonts w:hint="eastAsia" w:ascii="仿宋_GB2312" w:hAnsi="仿宋_GB2312" w:eastAsia="仿宋_GB2312" w:cs="仿宋_GB2312"/>
          <w:sz w:val="32"/>
          <w:szCs w:val="32"/>
        </w:rPr>
        <w:t>机关运行经费支出</w:t>
      </w:r>
      <w:r>
        <w:rPr>
          <w:rFonts w:hint="eastAsia" w:ascii="仿宋_GB2312" w:hAnsi="仿宋_GB2312" w:eastAsia="仿宋_GB2312" w:cs="仿宋_GB2312"/>
          <w:sz w:val="32"/>
          <w:szCs w:val="32"/>
          <w:lang w:val="en-US" w:eastAsia="zh-CN"/>
        </w:rPr>
        <w:t>49.26</w:t>
      </w:r>
      <w:r>
        <w:rPr>
          <w:rFonts w:hint="eastAsia" w:ascii="仿宋_GB2312" w:hAnsi="仿宋_GB2312" w:eastAsia="仿宋_GB2312" w:cs="仿宋_GB2312"/>
          <w:sz w:val="32"/>
          <w:szCs w:val="32"/>
        </w:rPr>
        <w:t>万</w:t>
      </w:r>
      <w:r>
        <w:rPr>
          <w:rFonts w:hint="eastAsia" w:eastAsia="仿宋_GB2312" w:cs="仿宋_GB2312"/>
          <w:sz w:val="32"/>
          <w:szCs w:val="32"/>
        </w:rPr>
        <w:t>元，比</w:t>
      </w:r>
      <w:r>
        <w:rPr>
          <w:rFonts w:hint="eastAsia" w:eastAsia="仿宋_GB2312" w:cs="仿宋_GB2312"/>
          <w:sz w:val="32"/>
          <w:szCs w:val="32"/>
          <w:lang w:eastAsia="zh-CN"/>
        </w:rPr>
        <w:t>2024</w:t>
      </w:r>
      <w:r>
        <w:rPr>
          <w:rFonts w:hint="eastAsia" w:eastAsia="仿宋_GB2312" w:cs="仿宋_GB2312"/>
          <w:sz w:val="32"/>
          <w:szCs w:val="32"/>
        </w:rPr>
        <w:t>年度增加</w:t>
      </w:r>
      <w:r>
        <w:rPr>
          <w:rFonts w:hint="eastAsia" w:eastAsia="仿宋_GB2312" w:cs="仿宋_GB2312"/>
          <w:sz w:val="32"/>
          <w:szCs w:val="32"/>
          <w:lang w:val="en-US" w:eastAsia="zh-CN"/>
        </w:rPr>
        <w:t>8.95</w:t>
      </w:r>
      <w:r>
        <w:rPr>
          <w:rFonts w:hint="eastAsia" w:eastAsia="仿宋_GB2312" w:cs="仿宋_GB2312"/>
          <w:sz w:val="32"/>
          <w:szCs w:val="32"/>
        </w:rPr>
        <w:t>万元，增长</w:t>
      </w:r>
      <w:r>
        <w:rPr>
          <w:rFonts w:hint="eastAsia" w:eastAsia="仿宋_GB2312" w:cs="仿宋_GB2312"/>
          <w:sz w:val="32"/>
          <w:szCs w:val="32"/>
          <w:lang w:val="en-US" w:eastAsia="zh-CN"/>
        </w:rPr>
        <w:t>22</w:t>
      </w:r>
      <w:r>
        <w:rPr>
          <w:rFonts w:hint="eastAsia" w:eastAsia="仿宋_GB2312" w:cs="仿宋_GB2312"/>
          <w:sz w:val="32"/>
          <w:szCs w:val="32"/>
          <w:highlight w:val="none"/>
        </w:rPr>
        <w:t>%主要原因是</w:t>
      </w:r>
      <w:r>
        <w:rPr>
          <w:rFonts w:hint="eastAsia" w:eastAsia="仿宋_GB2312" w:cs="仿宋_GB2312"/>
          <w:sz w:val="32"/>
          <w:szCs w:val="32"/>
          <w:highlight w:val="none"/>
          <w:lang w:val="en-US" w:eastAsia="zh-CN"/>
        </w:rPr>
        <w:t>2025年新进调进共9人。</w:t>
      </w:r>
    </w:p>
    <w:p w14:paraId="75BF076F">
      <w:pPr>
        <w:pStyle w:val="4"/>
        <w:bidi w:val="0"/>
      </w:pPr>
      <w:bookmarkStart w:id="107" w:name="_Toc15377223"/>
      <w:bookmarkStart w:id="108" w:name="_Toc8619"/>
      <w:bookmarkStart w:id="109" w:name="_Toc19270"/>
      <w:bookmarkStart w:id="110" w:name="_Toc12876"/>
      <w:r>
        <w:rPr>
          <w:rFonts w:hint="eastAsia"/>
        </w:rPr>
        <w:t>（二）政府采购支出情况</w:t>
      </w:r>
      <w:bookmarkEnd w:id="107"/>
      <w:bookmarkEnd w:id="108"/>
      <w:bookmarkEnd w:id="109"/>
      <w:bookmarkEnd w:id="110"/>
    </w:p>
    <w:p w14:paraId="013F198C">
      <w:pPr>
        <w:spacing w:line="60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年度，</w:t>
      </w:r>
      <w:r>
        <w:rPr>
          <w:rFonts w:ascii="仿宋_GB2312" w:eastAsia="仿宋_GB2312"/>
          <w:b/>
          <w:sz w:val="32"/>
          <w:szCs w:val="32"/>
          <w:highlight w:val="none"/>
        </w:rPr>
        <w:t>阿坝州汶川生态环境局</w:t>
      </w:r>
      <w:r>
        <w:rPr>
          <w:rFonts w:hint="eastAsia" w:ascii="仿宋_GB2312" w:hAnsi="仿宋_GB2312" w:eastAsia="仿宋_GB2312" w:cs="仿宋_GB2312"/>
          <w:sz w:val="32"/>
          <w:szCs w:val="32"/>
          <w:highlight w:val="none"/>
        </w:rPr>
        <w:t>政府采购支出总额</w:t>
      </w:r>
      <w:r>
        <w:rPr>
          <w:rFonts w:hint="eastAsia" w:ascii="仿宋_GB2312" w:hAnsi="仿宋_GB2312" w:eastAsia="仿宋_GB2312" w:cs="仿宋_GB2312"/>
          <w:sz w:val="32"/>
          <w:szCs w:val="32"/>
          <w:highlight w:val="none"/>
          <w:lang w:val="en-US" w:eastAsia="zh-CN"/>
        </w:rPr>
        <w:t>557.5</w:t>
      </w:r>
      <w:r>
        <w:rPr>
          <w:rFonts w:hint="eastAsia" w:ascii="仿宋_GB2312" w:hAnsi="仿宋_GB2312" w:eastAsia="仿宋_GB2312" w:cs="仿宋_GB2312"/>
          <w:sz w:val="32"/>
          <w:szCs w:val="32"/>
          <w:highlight w:val="none"/>
        </w:rPr>
        <w:t>万元，其中：政府采购货物支出</w:t>
      </w:r>
      <w:r>
        <w:rPr>
          <w:rFonts w:hint="eastAsia" w:ascii="仿宋_GB2312" w:hAnsi="仿宋_GB2312" w:eastAsia="仿宋_GB2312" w:cs="仿宋_GB2312"/>
          <w:sz w:val="32"/>
          <w:szCs w:val="32"/>
          <w:highlight w:val="none"/>
          <w:lang w:val="en-US" w:eastAsia="zh-CN"/>
        </w:rPr>
        <w:t>72.5</w:t>
      </w:r>
      <w:r>
        <w:rPr>
          <w:rFonts w:hint="eastAsia" w:ascii="仿宋_GB2312" w:hAnsi="仿宋_GB2312" w:eastAsia="仿宋_GB2312" w:cs="仿宋_GB2312"/>
          <w:sz w:val="32"/>
          <w:szCs w:val="32"/>
          <w:highlight w:val="none"/>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万元、政府采购服务支出</w:t>
      </w:r>
      <w:r>
        <w:rPr>
          <w:rFonts w:hint="eastAsia" w:ascii="仿宋_GB2312" w:hAnsi="仿宋_GB2312" w:eastAsia="仿宋_GB2312" w:cs="仿宋_GB2312"/>
          <w:sz w:val="32"/>
          <w:szCs w:val="32"/>
          <w:highlight w:val="none"/>
          <w:lang w:val="en-US" w:eastAsia="zh-CN"/>
        </w:rPr>
        <w:t>485</w:t>
      </w:r>
      <w:r>
        <w:rPr>
          <w:rFonts w:hint="eastAsia" w:ascii="仿宋_GB2312" w:hAnsi="仿宋_GB2312" w:eastAsia="仿宋_GB2312" w:cs="仿宋_GB2312"/>
          <w:sz w:val="32"/>
          <w:szCs w:val="32"/>
          <w:highlight w:val="none"/>
        </w:rPr>
        <w:t>万元。主要用于汶川县</w:t>
      </w:r>
      <w:r>
        <w:rPr>
          <w:rFonts w:hint="eastAsia" w:ascii="仿宋_GB2312" w:hAnsi="仿宋_GB2312" w:eastAsia="仿宋_GB2312" w:cs="仿宋_GB2312"/>
          <w:sz w:val="32"/>
          <w:szCs w:val="32"/>
          <w:highlight w:val="none"/>
          <w:lang w:eastAsia="zh-CN"/>
        </w:rPr>
        <w:t>2024</w:t>
      </w:r>
      <w:r>
        <w:rPr>
          <w:rFonts w:hint="eastAsia" w:ascii="仿宋_GB2312" w:hAnsi="仿宋_GB2312" w:eastAsia="仿宋_GB2312" w:cs="仿宋_GB2312"/>
          <w:sz w:val="32"/>
          <w:szCs w:val="32"/>
          <w:highlight w:val="none"/>
        </w:rPr>
        <w:t>年度国家重点生态功能区监测与评价项目</w:t>
      </w:r>
      <w:r>
        <w:rPr>
          <w:rFonts w:hint="eastAsia" w:ascii="仿宋_GB2312" w:hAnsi="仿宋_GB2312" w:eastAsia="仿宋_GB2312" w:cs="仿宋_GB2312"/>
          <w:sz w:val="32"/>
          <w:szCs w:val="32"/>
          <w:highlight w:val="none"/>
          <w:lang w:eastAsia="zh-CN"/>
        </w:rPr>
        <w:t>、2024年汶川县网格化监管网格员及企业、在建项目管理人员业务能力提升培训以及采购环保管家管理机构项目、2024年生态环境在线监管平台运行维护项目、汶川县农村生活污水治理设施设备运行维护项目</w:t>
      </w:r>
      <w:r>
        <w:rPr>
          <w:rFonts w:hint="eastAsia" w:ascii="仿宋_GB2312" w:hAnsi="仿宋_GB2312" w:eastAsia="仿宋_GB2312" w:cs="仿宋_GB2312"/>
          <w:sz w:val="32"/>
          <w:szCs w:val="32"/>
          <w:highlight w:val="none"/>
        </w:rPr>
        <w:t>。授予中小企业合同金额</w:t>
      </w:r>
      <w:r>
        <w:rPr>
          <w:rFonts w:hint="eastAsia" w:ascii="仿宋_GB2312" w:hAnsi="仿宋_GB2312" w:eastAsia="仿宋_GB2312" w:cs="仿宋_GB2312"/>
          <w:sz w:val="32"/>
          <w:szCs w:val="32"/>
          <w:highlight w:val="none"/>
          <w:lang w:val="en-US" w:eastAsia="zh-CN"/>
        </w:rPr>
        <w:t>557.5</w:t>
      </w:r>
      <w:r>
        <w:rPr>
          <w:rFonts w:hint="eastAsia" w:ascii="仿宋_GB2312" w:hAnsi="仿宋_GB2312"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rPr>
        <w:t>%，其中：授予小微企业合同金额</w:t>
      </w:r>
      <w:r>
        <w:rPr>
          <w:rFonts w:hint="eastAsia" w:ascii="仿宋_GB2312" w:hAnsi="仿宋_GB2312" w:eastAsia="仿宋_GB2312" w:cs="仿宋_GB2312"/>
          <w:sz w:val="32"/>
          <w:szCs w:val="32"/>
          <w:highlight w:val="none"/>
          <w:lang w:val="en-US" w:eastAsia="zh-CN"/>
        </w:rPr>
        <w:t>557.5</w:t>
      </w:r>
      <w:r>
        <w:rPr>
          <w:rFonts w:hint="eastAsia" w:ascii="仿宋_GB2312" w:hAnsi="仿宋_GB2312"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rPr>
        <w:t>%。</w:t>
      </w:r>
    </w:p>
    <w:p w14:paraId="1DCF12BD">
      <w:pPr>
        <w:pStyle w:val="4"/>
        <w:bidi w:val="0"/>
        <w:rPr>
          <w:color w:val="000000" w:themeColor="text1"/>
          <w14:textFill>
            <w14:solidFill>
              <w14:schemeClr w14:val="tx1"/>
            </w14:solidFill>
          </w14:textFill>
        </w:rPr>
      </w:pPr>
      <w:bookmarkStart w:id="111" w:name="_Toc23529"/>
      <w:bookmarkStart w:id="112" w:name="_Toc2525"/>
      <w:bookmarkStart w:id="113" w:name="_Toc15377224"/>
      <w:bookmarkStart w:id="114" w:name="_Toc12036"/>
      <w:r>
        <w:rPr>
          <w:rFonts w:hint="eastAsia"/>
          <w:color w:val="000000" w:themeColor="text1"/>
          <w14:textFill>
            <w14:solidFill>
              <w14:schemeClr w14:val="tx1"/>
            </w14:solidFill>
          </w14:textFill>
        </w:rPr>
        <w:t>（三）国有资产占有使用情况</w:t>
      </w:r>
      <w:bookmarkEnd w:id="111"/>
      <w:bookmarkEnd w:id="112"/>
      <w:bookmarkEnd w:id="113"/>
      <w:bookmarkEnd w:id="114"/>
    </w:p>
    <w:p w14:paraId="30C5E6D8">
      <w:pPr>
        <w:spacing w:line="600" w:lineRule="exact"/>
        <w:ind w:firstLine="640"/>
        <w:rPr>
          <w:rFonts w:eastAsia="仿宋_GB2312" w:cs="仿宋_GB2312"/>
          <w:sz w:val="32"/>
          <w:szCs w:val="32"/>
        </w:rPr>
      </w:pPr>
      <w:bookmarkStart w:id="115" w:name="_Toc25978"/>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年12月31日，</w:t>
      </w:r>
      <w:r>
        <w:rPr>
          <w:rFonts w:ascii="仿宋_GB2312" w:eastAsia="仿宋_GB2312"/>
          <w:b/>
          <w:sz w:val="32"/>
          <w:szCs w:val="32"/>
        </w:rPr>
        <w:t>阿坝州汶川生态环境局</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辆，其中：主要负责人用车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辆，其他用车主要是用于</w:t>
      </w:r>
      <w:r>
        <w:rPr>
          <w:rFonts w:hint="eastAsia" w:ascii="仿宋" w:hAnsi="仿宋" w:eastAsia="仿宋" w:cs="Times New Roman"/>
          <w:b w:val="0"/>
          <w:bCs/>
          <w:kern w:val="2"/>
          <w:sz w:val="32"/>
          <w:szCs w:val="32"/>
          <w:lang w:val="en-US" w:eastAsia="zh-CN" w:bidi="ar-SA"/>
        </w:rPr>
        <w:t>执法、监测、污染防治等</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51868A95">
      <w:pPr>
        <w:pStyle w:val="4"/>
        <w:bidi w:val="0"/>
        <w:rPr>
          <w:rFonts w:ascii="仿宋" w:hAnsi="仿宋" w:eastAsia="仿宋"/>
          <w:b/>
          <w:szCs w:val="32"/>
        </w:rPr>
      </w:pPr>
      <w:bookmarkStart w:id="116" w:name="_Toc24782"/>
      <w:bookmarkStart w:id="117" w:name="_Toc14672"/>
      <w:r>
        <w:rPr>
          <w:rFonts w:hint="eastAsia"/>
        </w:rPr>
        <w:t>（四）预算绩效管理情况</w:t>
      </w:r>
      <w:bookmarkEnd w:id="115"/>
      <w:bookmarkEnd w:id="116"/>
      <w:bookmarkEnd w:id="117"/>
    </w:p>
    <w:p w14:paraId="474C7E2E">
      <w:pPr>
        <w:spacing w:line="600" w:lineRule="exact"/>
        <w:ind w:firstLine="640"/>
        <w:rPr>
          <w:rFonts w:eastAsia="仿宋_GB2312" w:cs="仿宋_GB2312"/>
          <w:b/>
          <w:bCs/>
          <w:sz w:val="32"/>
          <w:szCs w:val="32"/>
        </w:rPr>
      </w:pPr>
      <w:r>
        <w:rPr>
          <w:rFonts w:hint="eastAsia" w:ascii="仿宋_GB2312" w:hAnsi="仿宋_GB2312" w:eastAsia="仿宋_GB2312" w:cs="仿宋_GB2312"/>
          <w:b w:val="0"/>
          <w:bCs/>
          <w:kern w:val="0"/>
          <w:sz w:val="32"/>
          <w:szCs w:val="32"/>
          <w:lang w:val="en-US" w:eastAsia="zh-CN" w:bidi="ar"/>
        </w:rPr>
        <w:t>根据预算绩效管理要求，本部门在2025年度预算编制阶段，组织对7个项目：宣教经费、执法经费、环境执法应急监测重点污染监督性监测及监测运维经费、法律服务咨询费、汶川生态环境局水污染防治监管能力建设、汶川片区监测站能力提升建设、汶川利和硅业有限公司2×25000KVA矿热炉烟气深度治理项目7个项目开展了预算事前绩效评估，对7个项目编制了绩效目标，预算执行过程中，新增代管资金项目6个，全部设置年度绩效目标任务，选取13个项目开展绩效监控，组织对13个项目开展绩效自评，本部门按照要求对2025年部门整体支出开展绩效评价，结合我单位2025年整体支出绩效自评内容，自评</w:t>
      </w:r>
      <w:r>
        <w:rPr>
          <w:rFonts w:hint="eastAsia" w:ascii="仿宋_GB2312" w:hAnsi="仿宋_GB2312" w:eastAsia="仿宋_GB2312" w:cs="仿宋_GB2312"/>
          <w:sz w:val="32"/>
          <w:szCs w:val="32"/>
        </w:rPr>
        <w:t>我单位整体指出目标实现情况良好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kern w:val="0"/>
          <w:sz w:val="32"/>
          <w:szCs w:val="32"/>
          <w:lang w:val="en-US" w:eastAsia="zh-CN" w:bidi="ar"/>
        </w:rPr>
        <w:t>绩效自评表详见第四部分附件。</w:t>
      </w:r>
      <w:r>
        <w:rPr>
          <w:rFonts w:hint="eastAsia" w:ascii="仿宋_GB2312" w:hAnsi="仿宋_GB2312" w:eastAsia="仿宋_GB2312" w:cs="仿宋_GB2312"/>
          <w:sz w:val="32"/>
          <w:szCs w:val="32"/>
          <w:lang w:eastAsia="zh-CN"/>
        </w:rPr>
        <w:t>）</w:t>
      </w:r>
      <w:r>
        <w:rPr>
          <w:rFonts w:hint="eastAsia" w:eastAsia="仿宋_GB2312" w:cs="仿宋_GB2312"/>
          <w:b/>
          <w:bCs/>
          <w:sz w:val="32"/>
          <w:szCs w:val="32"/>
        </w:rPr>
        <w:t>（注：如不涉及，可根据实际修改表述。）</w:t>
      </w:r>
    </w:p>
    <w:p w14:paraId="58FFCB4F">
      <w:pPr>
        <w:spacing w:line="600" w:lineRule="exact"/>
        <w:ind w:firstLine="640" w:firstLineChars="200"/>
        <w:rPr>
          <w:rFonts w:hint="eastAsia" w:ascii="仿宋_GB2312" w:eastAsia="仿宋_GB2312"/>
          <w:sz w:val="32"/>
          <w:szCs w:val="32"/>
          <w:lang w:eastAsia="zh-CN"/>
        </w:rPr>
      </w:pPr>
    </w:p>
    <w:p w14:paraId="055E190E">
      <w:pPr>
        <w:pStyle w:val="2"/>
        <w:numPr>
          <w:ilvl w:val="0"/>
          <w:numId w:val="0"/>
        </w:numPr>
        <w:bidi w:val="0"/>
        <w:ind w:firstLine="880" w:firstLineChars="200"/>
        <w:jc w:val="center"/>
        <w:rPr>
          <w:rFonts w:hint="eastAsia" w:ascii="黑体" w:hAnsi="黑体" w:eastAsia="黑体" w:cs="黑体"/>
          <w:b w:val="0"/>
          <w:bCs/>
          <w:kern w:val="44"/>
          <w:sz w:val="44"/>
          <w:szCs w:val="44"/>
          <w:lang w:val="en-US" w:eastAsia="zh-CN" w:bidi="ar-SA"/>
        </w:rPr>
      </w:pPr>
      <w:bookmarkStart w:id="118" w:name="_Toc15526"/>
      <w:bookmarkStart w:id="119" w:name="_Toc15396613"/>
      <w:bookmarkStart w:id="120" w:name="_Toc15377225"/>
      <w:bookmarkStart w:id="121" w:name="_Toc22866"/>
    </w:p>
    <w:p w14:paraId="7055AF0C">
      <w:pPr>
        <w:pStyle w:val="2"/>
        <w:numPr>
          <w:ilvl w:val="0"/>
          <w:numId w:val="0"/>
        </w:numPr>
        <w:bidi w:val="0"/>
        <w:ind w:firstLine="880" w:firstLineChars="200"/>
        <w:jc w:val="center"/>
        <w:rPr>
          <w:rFonts w:hint="eastAsia" w:ascii="黑体" w:hAnsi="黑体" w:eastAsia="黑体" w:cs="黑体"/>
          <w:b w:val="0"/>
          <w:bCs/>
          <w:kern w:val="44"/>
          <w:sz w:val="44"/>
          <w:szCs w:val="44"/>
          <w:lang w:val="en-US" w:eastAsia="zh-CN" w:bidi="ar-SA"/>
        </w:rPr>
      </w:pPr>
    </w:p>
    <w:p w14:paraId="2F5D19CC">
      <w:pPr>
        <w:rPr>
          <w:rFonts w:hint="eastAsia" w:ascii="黑体" w:hAnsi="黑体" w:eastAsia="黑体" w:cs="黑体"/>
          <w:b w:val="0"/>
          <w:bCs/>
          <w:kern w:val="44"/>
          <w:sz w:val="44"/>
          <w:szCs w:val="44"/>
          <w:lang w:val="en-US" w:eastAsia="zh-CN" w:bidi="ar-SA"/>
        </w:rPr>
      </w:pPr>
    </w:p>
    <w:p w14:paraId="4CF77884">
      <w:pPr>
        <w:pStyle w:val="15"/>
        <w:rPr>
          <w:rFonts w:hint="eastAsia"/>
          <w:lang w:val="en-US" w:eastAsia="zh-CN"/>
        </w:rPr>
      </w:pPr>
    </w:p>
    <w:p w14:paraId="1AD1C8F4">
      <w:pPr>
        <w:pStyle w:val="2"/>
        <w:numPr>
          <w:ilvl w:val="0"/>
          <w:numId w:val="0"/>
        </w:numPr>
        <w:bidi w:val="0"/>
        <w:ind w:firstLine="880" w:firstLineChars="200"/>
        <w:jc w:val="center"/>
        <w:rPr>
          <w:rFonts w:hint="eastAsia" w:ascii="黑体" w:hAnsi="黑体" w:eastAsia="黑体" w:cs="黑体"/>
          <w:b w:val="0"/>
          <w:bCs/>
          <w:kern w:val="44"/>
          <w:sz w:val="44"/>
          <w:szCs w:val="44"/>
          <w:lang w:val="en-US" w:eastAsia="zh-CN" w:bidi="ar-SA"/>
        </w:rPr>
      </w:pPr>
    </w:p>
    <w:p w14:paraId="193993CD">
      <w:pPr>
        <w:pStyle w:val="2"/>
        <w:numPr>
          <w:ilvl w:val="0"/>
          <w:numId w:val="0"/>
        </w:numPr>
        <w:bidi w:val="0"/>
        <w:jc w:val="both"/>
        <w:rPr>
          <w:rFonts w:hint="eastAsia" w:ascii="黑体" w:hAnsi="黑体" w:eastAsia="黑体" w:cs="黑体"/>
          <w:b w:val="0"/>
          <w:bCs/>
          <w:kern w:val="44"/>
          <w:sz w:val="44"/>
          <w:szCs w:val="44"/>
          <w:lang w:val="en-US" w:eastAsia="zh-CN" w:bidi="ar-SA"/>
        </w:rPr>
      </w:pPr>
    </w:p>
    <w:p w14:paraId="15F0B1BE">
      <w:pPr>
        <w:pStyle w:val="2"/>
        <w:numPr>
          <w:ilvl w:val="0"/>
          <w:numId w:val="0"/>
        </w:numPr>
        <w:bidi w:val="0"/>
        <w:jc w:val="both"/>
        <w:rPr>
          <w:rFonts w:hint="eastAsia" w:ascii="黑体" w:hAnsi="黑体" w:eastAsia="黑体" w:cs="黑体"/>
          <w:b w:val="0"/>
          <w:bCs/>
          <w:kern w:val="44"/>
          <w:sz w:val="44"/>
          <w:szCs w:val="44"/>
          <w:lang w:val="en-US" w:eastAsia="zh-CN" w:bidi="ar-SA"/>
        </w:rPr>
      </w:pPr>
    </w:p>
    <w:p w14:paraId="66C2A97B">
      <w:pPr>
        <w:rPr>
          <w:rFonts w:hint="eastAsia"/>
          <w:lang w:val="en-US" w:eastAsia="zh-CN"/>
        </w:rPr>
      </w:pPr>
    </w:p>
    <w:p w14:paraId="5DE5F38D">
      <w:pPr>
        <w:pStyle w:val="2"/>
        <w:numPr>
          <w:ilvl w:val="0"/>
          <w:numId w:val="0"/>
        </w:numPr>
        <w:bidi w:val="0"/>
        <w:ind w:firstLine="880" w:firstLineChars="200"/>
        <w:jc w:val="center"/>
        <w:rPr>
          <w:rStyle w:val="32"/>
          <w:rFonts w:ascii="黑体" w:hAnsi="黑体" w:eastAsia="黑体"/>
          <w:b w:val="0"/>
          <w:bCs/>
        </w:rPr>
      </w:pPr>
      <w:bookmarkStart w:id="122" w:name="_Toc9194"/>
      <w:r>
        <w:rPr>
          <w:rFonts w:hint="eastAsia" w:ascii="黑体" w:hAnsi="黑体" w:eastAsia="黑体" w:cs="黑体"/>
          <w:b w:val="0"/>
          <w:bCs/>
          <w:kern w:val="44"/>
          <w:sz w:val="44"/>
          <w:szCs w:val="44"/>
          <w:lang w:val="en-US" w:eastAsia="zh-CN" w:bidi="ar-SA"/>
        </w:rPr>
        <w:t xml:space="preserve">第三部分 </w:t>
      </w:r>
      <w:r>
        <w:rPr>
          <w:rFonts w:hint="eastAsia" w:ascii="黑体" w:hAnsi="黑体" w:eastAsia="黑体" w:cs="黑体"/>
          <w:b w:val="0"/>
          <w:bCs w:val="0"/>
        </w:rPr>
        <w:t>名词解释</w:t>
      </w:r>
      <w:bookmarkEnd w:id="118"/>
      <w:bookmarkEnd w:id="119"/>
      <w:bookmarkEnd w:id="120"/>
      <w:bookmarkEnd w:id="121"/>
      <w:bookmarkEnd w:id="122"/>
    </w:p>
    <w:p w14:paraId="627C8F53">
      <w:pPr>
        <w:spacing w:line="600" w:lineRule="exact"/>
        <w:jc w:val="left"/>
        <w:rPr>
          <w:rFonts w:ascii="宋体"/>
          <w:b/>
          <w:sz w:val="44"/>
          <w:szCs w:val="44"/>
        </w:rPr>
      </w:pPr>
    </w:p>
    <w:p w14:paraId="11A404A1">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1.财政拨款收入：指单位从同级财政部门取得的财政预算资金。</w:t>
      </w:r>
    </w:p>
    <w:p w14:paraId="3AF2F5B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2.事业收入：指事业单位开展专业业务活动及辅助活动取得的收入。如（二级预算单位事业收入情况）等。</w:t>
      </w:r>
    </w:p>
    <w:p w14:paraId="1DF2E9F7">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3.经营收入：指事业单位在专业业务活动及其辅助活动之外开展非独立核算经营活动取得的收入。如（二级预算单位经营收入情况）等。</w:t>
      </w:r>
    </w:p>
    <w:p w14:paraId="1845C530">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4.其他收入：指单位取得的除上述收入以外的各项收入。主要是（收入类型）等。</w:t>
      </w:r>
    </w:p>
    <w:p w14:paraId="601DD5DD">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5.使用非财政拨款结余：指事业单位使用以前年度积累的非财政拨款结余弥补当年收支差额的金额。</w:t>
      </w:r>
    </w:p>
    <w:p w14:paraId="6B5808F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6.年初结转和结余：指以前年度尚未完成、结转到本年按有关规定继续使用的资金。</w:t>
      </w:r>
    </w:p>
    <w:p w14:paraId="2064CC35">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7.结余分配：指事业单位按照会计制度规定缴纳的所得税、提取的专用结余以及转入非财政拨款结余的金额等。</w:t>
      </w:r>
    </w:p>
    <w:p w14:paraId="2A63B5E5">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8、年末结转和结余：指单位按有关规定结转到下年或以后年度继续使用的资金。</w:t>
      </w:r>
    </w:p>
    <w:p w14:paraId="47C727F6">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9.社会保障和就业208（类）05（款）05、06（项）：指机关事业单位基本养老保险缴费支出、机关事业单位职业年金缴费支出。</w:t>
      </w:r>
    </w:p>
    <w:p w14:paraId="69E9C688">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10.医疗卫生与计划生育210（类）11（款）01、03（项）：指行政单位医疗、公务员医疗。</w:t>
      </w:r>
    </w:p>
    <w:p w14:paraId="731C343B">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11.节能环保211（类）01、03（款）01、99（项）：指节能环保行政运行支出和污染防治支出。</w:t>
      </w:r>
    </w:p>
    <w:p w14:paraId="7602CE7C">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12.住房保障221（类）02（款）01（项）：指住房公积金支出。</w:t>
      </w:r>
    </w:p>
    <w:p w14:paraId="5DDECF8C">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（解释本部门决算报表中涉及的全部功能分类科目至项级，不涉及的科目请自行删除。请参照《2025年政府收支分类科目》增减内容。）</w:t>
      </w:r>
    </w:p>
    <w:p w14:paraId="73CA73AA">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13.基本支出：指为保障机构正常运转、完成日常工作任务而发生的人员支出和公用支出。</w:t>
      </w:r>
    </w:p>
    <w:p w14:paraId="3CF1322A">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14.项目支出：指在基本支出之外为完成特定行政任务和事业发展目标所发生的支出。</w:t>
      </w:r>
    </w:p>
    <w:p w14:paraId="6A89A069">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15.经营支出：指事业单位在专业业务活动及其辅助活动之外开展非独立核算经营活动发生的支出。</w:t>
      </w:r>
    </w:p>
    <w:p w14:paraId="56D2626A">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CCC1D07">
      <w:pPr>
        <w:pStyle w:val="1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both"/>
        <w:textAlignment w:val="auto"/>
      </w:pPr>
      <w:r>
        <w:rPr>
          <w:rFonts w:hint="eastAsia" w:ascii="仿宋_GB2312" w:hAnsi="仿宋_GB2312" w:eastAsia="仿宋_GB2312" w:cs="仿宋_GB2312"/>
          <w:b w:val="0"/>
          <w:bCs/>
          <w:kern w:val="0"/>
          <w:sz w:val="32"/>
          <w:szCs w:val="32"/>
          <w:lang w:val="en-US" w:eastAsia="zh-CN" w:bidi="ar"/>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名词解释部分请根据各部门实际列支情况罗列，并根据本部门职责职能增减名词解释内容。）</w:t>
      </w:r>
    </w:p>
    <w:p w14:paraId="0048B070">
      <w:pPr>
        <w:ind w:firstLine="643"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14:paraId="2A7B82DB">
      <w:pPr>
        <w:spacing w:line="600" w:lineRule="exact"/>
        <w:jc w:val="center"/>
        <w:outlineLvl w:val="0"/>
        <w:rPr>
          <w:rFonts w:hint="eastAsia" w:ascii="黑体" w:hAnsi="黑体" w:eastAsia="黑体"/>
          <w:sz w:val="44"/>
          <w:szCs w:val="44"/>
        </w:rPr>
      </w:pPr>
      <w:bookmarkStart w:id="123" w:name="_Toc15396614"/>
      <w:bookmarkStart w:id="124" w:name="_Toc1614"/>
      <w:bookmarkStart w:id="125" w:name="_Toc5966"/>
      <w:bookmarkStart w:id="126" w:name="_Toc15377226"/>
    </w:p>
    <w:p w14:paraId="2A3431F4">
      <w:pPr>
        <w:spacing w:line="600" w:lineRule="exact"/>
        <w:jc w:val="center"/>
        <w:outlineLvl w:val="0"/>
        <w:rPr>
          <w:rFonts w:hint="eastAsia" w:ascii="黑体" w:hAnsi="黑体" w:eastAsia="黑体"/>
          <w:sz w:val="44"/>
          <w:szCs w:val="44"/>
        </w:rPr>
      </w:pPr>
    </w:p>
    <w:p w14:paraId="2F0E36F4">
      <w:pPr>
        <w:spacing w:line="600" w:lineRule="exact"/>
        <w:jc w:val="center"/>
        <w:outlineLvl w:val="0"/>
        <w:rPr>
          <w:rFonts w:hint="eastAsia" w:ascii="黑体" w:hAnsi="黑体" w:eastAsia="黑体"/>
          <w:sz w:val="44"/>
          <w:szCs w:val="44"/>
        </w:rPr>
      </w:pPr>
    </w:p>
    <w:p w14:paraId="77A8421A">
      <w:pPr>
        <w:spacing w:line="600" w:lineRule="exact"/>
        <w:jc w:val="center"/>
        <w:outlineLvl w:val="0"/>
        <w:rPr>
          <w:rFonts w:hint="eastAsia" w:ascii="黑体" w:hAnsi="黑体" w:eastAsia="黑体"/>
          <w:sz w:val="44"/>
          <w:szCs w:val="44"/>
        </w:rPr>
      </w:pPr>
    </w:p>
    <w:p w14:paraId="34B0C16A">
      <w:pPr>
        <w:spacing w:line="600" w:lineRule="exact"/>
        <w:jc w:val="center"/>
        <w:outlineLvl w:val="0"/>
        <w:rPr>
          <w:rFonts w:hint="eastAsia" w:ascii="黑体" w:hAnsi="黑体" w:eastAsia="黑体"/>
          <w:sz w:val="44"/>
          <w:szCs w:val="44"/>
        </w:rPr>
      </w:pPr>
    </w:p>
    <w:p w14:paraId="3A911944">
      <w:pPr>
        <w:spacing w:line="600" w:lineRule="exact"/>
        <w:jc w:val="center"/>
        <w:outlineLvl w:val="0"/>
        <w:rPr>
          <w:rFonts w:hint="eastAsia" w:ascii="黑体" w:hAnsi="黑体" w:eastAsia="黑体"/>
          <w:sz w:val="44"/>
          <w:szCs w:val="44"/>
        </w:rPr>
      </w:pPr>
    </w:p>
    <w:p w14:paraId="0A0BF478">
      <w:pPr>
        <w:spacing w:line="600" w:lineRule="exact"/>
        <w:jc w:val="center"/>
        <w:outlineLvl w:val="0"/>
        <w:rPr>
          <w:rFonts w:hint="eastAsia" w:ascii="黑体" w:hAnsi="黑体" w:eastAsia="黑体"/>
          <w:sz w:val="44"/>
          <w:szCs w:val="44"/>
        </w:rPr>
      </w:pPr>
      <w:bookmarkStart w:id="127" w:name="_Toc9757"/>
    </w:p>
    <w:p w14:paraId="595E363D">
      <w:pPr>
        <w:spacing w:line="600" w:lineRule="exact"/>
        <w:jc w:val="center"/>
        <w:outlineLvl w:val="0"/>
        <w:rPr>
          <w:rFonts w:hint="eastAsia" w:ascii="黑体" w:hAnsi="黑体" w:eastAsia="黑体"/>
          <w:sz w:val="44"/>
          <w:szCs w:val="44"/>
        </w:rPr>
      </w:pPr>
    </w:p>
    <w:p w14:paraId="3A6818CB">
      <w:pPr>
        <w:spacing w:line="600" w:lineRule="exact"/>
        <w:jc w:val="center"/>
        <w:outlineLvl w:val="0"/>
        <w:rPr>
          <w:rFonts w:hint="eastAsia" w:ascii="黑体" w:hAnsi="黑体" w:eastAsia="黑体"/>
          <w:sz w:val="44"/>
          <w:szCs w:val="44"/>
        </w:rPr>
      </w:pPr>
    </w:p>
    <w:p w14:paraId="1809D801">
      <w:pPr>
        <w:spacing w:line="600" w:lineRule="exact"/>
        <w:jc w:val="center"/>
        <w:outlineLvl w:val="0"/>
        <w:rPr>
          <w:rFonts w:hint="eastAsia" w:ascii="黑体" w:hAnsi="黑体" w:eastAsia="黑体"/>
          <w:sz w:val="44"/>
          <w:szCs w:val="44"/>
        </w:rPr>
      </w:pPr>
    </w:p>
    <w:p w14:paraId="21BFDA3B">
      <w:pPr>
        <w:spacing w:line="600" w:lineRule="exact"/>
        <w:jc w:val="center"/>
        <w:outlineLvl w:val="0"/>
        <w:rPr>
          <w:rFonts w:hint="eastAsia" w:ascii="黑体" w:hAnsi="黑体" w:eastAsia="黑体"/>
          <w:sz w:val="44"/>
          <w:szCs w:val="44"/>
        </w:rPr>
      </w:pPr>
    </w:p>
    <w:p w14:paraId="58923B59">
      <w:pPr>
        <w:spacing w:line="600" w:lineRule="exact"/>
        <w:jc w:val="center"/>
        <w:outlineLvl w:val="0"/>
        <w:rPr>
          <w:rFonts w:hint="eastAsia" w:ascii="黑体" w:hAnsi="黑体" w:eastAsia="黑体"/>
          <w:sz w:val="44"/>
          <w:szCs w:val="44"/>
        </w:rPr>
      </w:pPr>
    </w:p>
    <w:p w14:paraId="790A2B62">
      <w:pPr>
        <w:spacing w:line="600" w:lineRule="exact"/>
        <w:jc w:val="center"/>
        <w:outlineLvl w:val="0"/>
        <w:rPr>
          <w:rFonts w:hint="eastAsia" w:ascii="黑体" w:hAnsi="黑体" w:eastAsia="黑体"/>
          <w:sz w:val="44"/>
          <w:szCs w:val="44"/>
        </w:rPr>
      </w:pPr>
    </w:p>
    <w:p w14:paraId="3A18B23E">
      <w:pPr>
        <w:spacing w:line="600" w:lineRule="exact"/>
        <w:jc w:val="center"/>
        <w:outlineLvl w:val="0"/>
        <w:rPr>
          <w:rFonts w:hint="eastAsia" w:ascii="黑体" w:hAnsi="黑体" w:eastAsia="黑体"/>
          <w:sz w:val="44"/>
          <w:szCs w:val="44"/>
        </w:rPr>
      </w:pPr>
    </w:p>
    <w:p w14:paraId="55B7FFE1">
      <w:pPr>
        <w:spacing w:line="600" w:lineRule="exact"/>
        <w:jc w:val="center"/>
        <w:outlineLvl w:val="0"/>
        <w:rPr>
          <w:rFonts w:hint="eastAsia" w:ascii="黑体" w:hAnsi="黑体" w:eastAsia="黑体"/>
          <w:sz w:val="44"/>
          <w:szCs w:val="44"/>
        </w:rPr>
      </w:pPr>
    </w:p>
    <w:p w14:paraId="222B2C18">
      <w:pPr>
        <w:spacing w:line="600" w:lineRule="exact"/>
        <w:jc w:val="center"/>
        <w:outlineLvl w:val="0"/>
        <w:rPr>
          <w:rFonts w:hint="eastAsia" w:ascii="黑体" w:hAnsi="黑体" w:eastAsia="黑体"/>
          <w:sz w:val="44"/>
          <w:szCs w:val="44"/>
        </w:rPr>
      </w:pPr>
    </w:p>
    <w:p w14:paraId="375EE20C">
      <w:pPr>
        <w:spacing w:line="600" w:lineRule="exact"/>
        <w:jc w:val="center"/>
        <w:outlineLvl w:val="0"/>
        <w:rPr>
          <w:rFonts w:hint="eastAsia" w:ascii="黑体" w:hAnsi="黑体" w:eastAsia="黑体"/>
          <w:sz w:val="44"/>
          <w:szCs w:val="44"/>
        </w:rPr>
      </w:pPr>
    </w:p>
    <w:bookmarkEnd w:id="123"/>
    <w:bookmarkEnd w:id="124"/>
    <w:bookmarkEnd w:id="125"/>
    <w:bookmarkEnd w:id="127"/>
    <w:p w14:paraId="2785DFF6">
      <w:pPr>
        <w:keepNext w:val="0"/>
        <w:keepLines w:val="0"/>
        <w:pageBreakBefore w:val="0"/>
        <w:widowControl/>
        <w:kinsoku/>
        <w:wordWrap/>
        <w:overflowPunct/>
        <w:topLinePunct w:val="0"/>
        <w:autoSpaceDE/>
        <w:autoSpaceDN/>
        <w:bidi w:val="0"/>
        <w:spacing w:line="580"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val="en-US" w:eastAsia="zh-CN"/>
        </w:rPr>
      </w:pPr>
      <w:bookmarkStart w:id="128" w:name="_Toc15396618"/>
      <w:r>
        <w:rPr>
          <w:rFonts w:hint="eastAsia" w:ascii="Times New Roman" w:hAnsi="Times New Roman" w:eastAsia="方正小标宋简体" w:cs="Times New Roman"/>
          <w:b w:val="0"/>
          <w:bCs/>
          <w:sz w:val="44"/>
          <w:szCs w:val="44"/>
          <w:highlight w:val="none"/>
          <w:shd w:val="clear" w:color="auto" w:fill="FFFFFF"/>
          <w:lang w:val="en-US" w:eastAsia="zh-CN"/>
        </w:rPr>
        <w:t>阿坝州汶川生态环局</w:t>
      </w:r>
    </w:p>
    <w:p w14:paraId="698405DA">
      <w:pPr>
        <w:keepNext w:val="0"/>
        <w:keepLines w:val="0"/>
        <w:pageBreakBefore w:val="0"/>
        <w:widowControl/>
        <w:kinsoku/>
        <w:wordWrap/>
        <w:overflowPunct/>
        <w:topLinePunct w:val="0"/>
        <w:autoSpaceDE/>
        <w:autoSpaceDN/>
        <w:bidi w:val="0"/>
        <w:spacing w:line="580"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202</w:t>
      </w:r>
      <w:r>
        <w:rPr>
          <w:rFonts w:hint="eastAsia" w:eastAsia="方正小标宋简体" w:cs="Times New Roman"/>
          <w:b w:val="0"/>
          <w:bCs/>
          <w:sz w:val="44"/>
          <w:szCs w:val="44"/>
          <w:highlight w:val="none"/>
          <w:shd w:val="clear" w:color="auto" w:fill="FFFFFF"/>
          <w:lang w:val="en-US" w:eastAsia="zh-CN"/>
        </w:rPr>
        <w:t>5</w:t>
      </w:r>
      <w:r>
        <w:rPr>
          <w:rFonts w:hint="eastAsia" w:ascii="Times New Roman" w:hAnsi="Times New Roman" w:eastAsia="方正小标宋简体" w:cs="Times New Roman"/>
          <w:b w:val="0"/>
          <w:bCs/>
          <w:sz w:val="44"/>
          <w:szCs w:val="44"/>
          <w:highlight w:val="none"/>
          <w:shd w:val="clear" w:color="auto" w:fill="FFFFFF"/>
          <w:lang w:val="en-US" w:eastAsia="zh-CN"/>
        </w:rPr>
        <w:t>年</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0D74949B">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14:paraId="6F899C4C">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14:paraId="30AF509F">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cs="Times New Roman"/>
          <w:szCs w:val="32"/>
        </w:rPr>
      </w:pPr>
      <w:r>
        <w:rPr>
          <w:rFonts w:hint="eastAsia" w:ascii="仿宋_GB2312" w:hAnsi="宋体" w:cs="宋体"/>
          <w:color w:val="000000"/>
          <w:kern w:val="0"/>
          <w:lang w:val="en-US" w:eastAsia="zh-CN"/>
        </w:rPr>
        <w:t>阿坝州汶川生态环境局是阿坝州生态环境局派出部门，为正科级（下设事业编制阿坝州汶川生态环境保护中心、阿坝州汶川环境监测站）。</w:t>
      </w:r>
    </w:p>
    <w:p w14:paraId="67DA4708">
      <w:pPr>
        <w:keepNext w:val="0"/>
        <w:keepLines w:val="0"/>
        <w:pageBreakBefore w:val="0"/>
        <w:widowControl/>
        <w:numPr>
          <w:ilvl w:val="0"/>
          <w:numId w:val="5"/>
        </w:numPr>
        <w:kinsoku/>
        <w:wordWrap/>
        <w:overflowPunct/>
        <w:topLinePunct w:val="0"/>
        <w:autoSpaceDE/>
        <w:autoSpaceDN/>
        <w:bidi w:val="0"/>
        <w:adjustRightInd w:val="0"/>
        <w:snapToGrid w:val="0"/>
        <w:spacing w:line="580" w:lineRule="exact"/>
        <w:ind w:firstLine="643" w:firstLineChars="200"/>
        <w:contextualSpacing/>
        <w:jc w:val="left"/>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14:paraId="20438675">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1.</w:t>
      </w:r>
      <w:r>
        <w:rPr>
          <w:rFonts w:hint="eastAsia" w:ascii="仿宋_GB2312" w:eastAsia="仿宋_GB2312" w:cs="仿宋_GB2312"/>
          <w:color w:val="auto"/>
          <w:sz w:val="32"/>
          <w:szCs w:val="32"/>
          <w:lang w:val="en-US" w:eastAsia="zh-CN"/>
        </w:rPr>
        <w:t>办公室</w:t>
      </w:r>
    </w:p>
    <w:p w14:paraId="01E39536">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承担局机关文秘、档案、印章、机要、保密、安全、保卫、电子政务、政务与信息公开、信息安全、信息化管理、爱国卫生等工作。负责局机关日常运转工作，拟订局机关工作制度并监督执行。组织协调政风行风建设、政务督查、内部目标考核、政务信息专报、建议提案办理、综合性会议、公务接待等工作。</w:t>
      </w:r>
    </w:p>
    <w:p w14:paraId="2FA91650">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2.</w:t>
      </w:r>
      <w:r>
        <w:rPr>
          <w:rFonts w:hint="eastAsia" w:ascii="仿宋_GB2312" w:eastAsia="仿宋_GB2312" w:cs="仿宋_GB2312"/>
          <w:color w:val="auto"/>
          <w:sz w:val="32"/>
          <w:szCs w:val="32"/>
          <w:lang w:val="en-US" w:eastAsia="zh-CN"/>
        </w:rPr>
        <w:t>污防股</w:t>
      </w:r>
    </w:p>
    <w:p w14:paraId="11826451">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default" w:ascii="仿宋_GB2312" w:eastAsia="仿宋_GB2312" w:cs="仿宋_GB2312"/>
          <w:color w:val="auto"/>
          <w:sz w:val="32"/>
          <w:szCs w:val="32"/>
          <w:lang w:val="en-US" w:eastAsia="zh-CN"/>
        </w:rPr>
      </w:pPr>
      <w:r>
        <w:rPr>
          <w:rFonts w:hint="eastAsia" w:ascii="仿宋_GB2312" w:eastAsia="仿宋_GB2312" w:cs="仿宋_GB2312"/>
          <w:color w:val="auto"/>
          <w:sz w:val="32"/>
          <w:szCs w:val="32"/>
        </w:rPr>
        <w:t>负责辖区内环境污染防治的监督管理</w:t>
      </w:r>
      <w:r>
        <w:rPr>
          <w:rFonts w:hint="eastAsia" w:ascii="仿宋_GB2312" w:eastAsia="仿宋_GB2312" w:cs="仿宋_GB2312"/>
          <w:color w:val="auto"/>
          <w:sz w:val="32"/>
          <w:szCs w:val="32"/>
          <w:lang w:val="en-US" w:eastAsia="zh-CN"/>
        </w:rPr>
        <w:t>，</w:t>
      </w:r>
      <w:r>
        <w:rPr>
          <w:rFonts w:hint="eastAsia" w:ascii="仿宋_GB2312" w:eastAsia="仿宋_GB2312" w:cs="仿宋_GB2312"/>
          <w:color w:val="auto"/>
          <w:sz w:val="32"/>
          <w:szCs w:val="32"/>
        </w:rPr>
        <w:t>全面落实大气、水、土壤污染防治行动计划，强化固体废物、化学品、重金属污染防治监督管理</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监督管理全</w:t>
      </w:r>
      <w:r>
        <w:rPr>
          <w:rFonts w:hint="eastAsia" w:ascii="仿宋_GB2312" w:cs="仿宋_GB2312"/>
          <w:color w:val="auto"/>
          <w:sz w:val="32"/>
          <w:szCs w:val="32"/>
          <w:lang w:val="en-US" w:eastAsia="zh-CN"/>
        </w:rPr>
        <w:t>县</w:t>
      </w:r>
      <w:r>
        <w:rPr>
          <w:rFonts w:hint="eastAsia" w:ascii="仿宋_GB2312" w:eastAsia="仿宋_GB2312" w:cs="仿宋_GB2312"/>
          <w:color w:val="auto"/>
          <w:sz w:val="32"/>
          <w:szCs w:val="32"/>
        </w:rPr>
        <w:t>减排目标的落实</w:t>
      </w:r>
      <w:r>
        <w:rPr>
          <w:rFonts w:hint="eastAsia" w:ascii="仿宋_GB2312" w:eastAsia="仿宋_GB2312" w:cs="仿宋_GB2312"/>
          <w:color w:val="auto"/>
          <w:sz w:val="32"/>
          <w:szCs w:val="32"/>
          <w:lang w:eastAsia="zh-CN"/>
        </w:rPr>
        <w:t>，</w:t>
      </w:r>
      <w:r>
        <w:rPr>
          <w:rFonts w:hint="default" w:ascii="仿宋_GB2312" w:eastAsia="仿宋_GB2312" w:cs="仿宋_GB2312"/>
          <w:color w:val="auto"/>
          <w:sz w:val="32"/>
          <w:szCs w:val="32"/>
          <w:lang w:val="en-US" w:eastAsia="zh-CN"/>
        </w:rPr>
        <w:t>承担排污许可证核发和管理</w:t>
      </w:r>
      <w:r>
        <w:rPr>
          <w:rFonts w:hint="eastAsia" w:ascii="仿宋_GB2312" w:cs="仿宋_GB2312"/>
          <w:color w:val="auto"/>
          <w:sz w:val="32"/>
          <w:szCs w:val="32"/>
          <w:lang w:val="en-US" w:eastAsia="zh-CN"/>
        </w:rPr>
        <w:t>、排污口设置、环境统计、宣传、大气面源污染防治等工作。承担农村污染防治工作。负责县“三大战役”领导小组办公室工作</w:t>
      </w:r>
      <w:r>
        <w:rPr>
          <w:rFonts w:hint="default" w:ascii="仿宋_GB2312" w:eastAsia="仿宋_GB2312" w:cs="仿宋_GB2312"/>
          <w:color w:val="auto"/>
          <w:sz w:val="32"/>
          <w:szCs w:val="32"/>
          <w:lang w:val="en-US" w:eastAsia="zh-CN"/>
        </w:rPr>
        <w:t>。</w:t>
      </w:r>
    </w:p>
    <w:p w14:paraId="4556A9FD">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3.</w:t>
      </w:r>
      <w:r>
        <w:rPr>
          <w:rFonts w:hint="eastAsia" w:ascii="仿宋_GB2312" w:eastAsia="仿宋_GB2312" w:cs="仿宋_GB2312"/>
          <w:color w:val="auto"/>
          <w:sz w:val="32"/>
          <w:szCs w:val="32"/>
          <w:lang w:val="en-US" w:eastAsia="zh-CN"/>
        </w:rPr>
        <w:t>生态股</w:t>
      </w:r>
    </w:p>
    <w:p w14:paraId="435C4481">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承担自然保护地、生态保护红线相关监管工作。开展生态状况评估，组织开展各类生态示范创建。</w:t>
      </w:r>
    </w:p>
    <w:p w14:paraId="3AE541B2">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default"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4.</w:t>
      </w:r>
      <w:r>
        <w:rPr>
          <w:rFonts w:hint="eastAsia" w:ascii="仿宋_GB2312" w:eastAsia="仿宋_GB2312" w:cs="仿宋_GB2312"/>
          <w:color w:val="auto"/>
          <w:sz w:val="32"/>
          <w:szCs w:val="32"/>
          <w:lang w:val="en-US" w:eastAsia="zh-CN"/>
        </w:rPr>
        <w:t>建管股</w:t>
      </w:r>
    </w:p>
    <w:p w14:paraId="596B592E">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按规定权限承担政策、规划及项目环境影响评价的审查审批工作。组织开展建设项目环境影响后评价。监督实施建设项目生态环境保护设施“三同时”制度。</w:t>
      </w:r>
    </w:p>
    <w:p w14:paraId="46FB09C5">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5.</w:t>
      </w:r>
      <w:r>
        <w:rPr>
          <w:rFonts w:hint="eastAsia" w:ascii="仿宋_GB2312" w:eastAsia="仿宋_GB2312" w:cs="仿宋_GB2312"/>
          <w:color w:val="auto"/>
          <w:sz w:val="32"/>
          <w:szCs w:val="32"/>
          <w:lang w:val="en-US" w:eastAsia="zh-CN"/>
        </w:rPr>
        <w:t>财务室</w:t>
      </w:r>
    </w:p>
    <w:p w14:paraId="6CDD1A1F">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承担生态环境领域固定资产投资和资金项目管理相关工作，承担局参与分配的财政专项资金项目监督检查工作。承担机关和所属事业单位财务、国有资产管理、政府采购监督管理。承担内部审计工作，配合协调审计有关工作。</w:t>
      </w:r>
    </w:p>
    <w:p w14:paraId="2D605694">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6.</w:t>
      </w:r>
      <w:r>
        <w:rPr>
          <w:rFonts w:hint="eastAsia" w:ascii="仿宋_GB2312" w:eastAsia="仿宋_GB2312" w:cs="仿宋_GB2312"/>
          <w:color w:val="auto"/>
          <w:sz w:val="32"/>
          <w:szCs w:val="32"/>
          <w:lang w:val="en-US" w:eastAsia="zh-CN"/>
        </w:rPr>
        <w:t>环境监测站</w:t>
      </w:r>
    </w:p>
    <w:p w14:paraId="29090EF6">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负责</w:t>
      </w:r>
      <w:r>
        <w:rPr>
          <w:rFonts w:hint="eastAsia" w:ascii="仿宋_GB2312" w:eastAsia="仿宋_GB2312" w:cs="仿宋_GB2312"/>
          <w:color w:val="auto"/>
          <w:sz w:val="32"/>
          <w:szCs w:val="32"/>
        </w:rPr>
        <w:t>辖区内</w:t>
      </w:r>
      <w:r>
        <w:rPr>
          <w:rFonts w:hint="eastAsia" w:ascii="仿宋_GB2312" w:eastAsia="仿宋_GB2312" w:cs="仿宋_GB2312"/>
          <w:color w:val="auto"/>
          <w:sz w:val="32"/>
          <w:szCs w:val="32"/>
          <w:lang w:val="en-US" w:eastAsia="zh-CN"/>
        </w:rPr>
        <w:t>国家重点生态功能区生态考核工作。</w:t>
      </w:r>
      <w:r>
        <w:rPr>
          <w:rFonts w:hint="eastAsia" w:ascii="仿宋_GB2312" w:eastAsia="仿宋_GB2312" w:cs="仿宋_GB2312"/>
          <w:color w:val="auto"/>
          <w:sz w:val="32"/>
          <w:szCs w:val="32"/>
        </w:rPr>
        <w:t>负责辖区内生态环境监测工作</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en-US" w:eastAsia="zh-CN"/>
        </w:rPr>
        <w:t>负责县级生态环境监测网的建设和管理，统一规划全县生态环境质量监测站点设置，组织实施全县生态环境质量监测、污染源监督性监测、应急监测等。</w:t>
      </w:r>
    </w:p>
    <w:p w14:paraId="6E873561">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default" w:ascii="仿宋_GB2312" w:eastAsia="仿宋_GB2312" w:cs="仿宋_GB2312"/>
          <w:color w:val="auto"/>
          <w:sz w:val="32"/>
          <w:szCs w:val="32"/>
          <w:lang w:val="en-US" w:eastAsia="zh-CN"/>
        </w:rPr>
      </w:pPr>
      <w:r>
        <w:rPr>
          <w:rFonts w:hint="eastAsia" w:ascii="仿宋_GB2312" w:cs="仿宋_GB2312"/>
          <w:color w:val="auto"/>
          <w:sz w:val="32"/>
          <w:szCs w:val="32"/>
          <w:lang w:val="en-US" w:eastAsia="zh-CN"/>
        </w:rPr>
        <w:t>4.</w:t>
      </w:r>
      <w:r>
        <w:rPr>
          <w:rFonts w:hint="eastAsia" w:ascii="仿宋_GB2312" w:eastAsia="仿宋_GB2312" w:cs="仿宋_GB2312"/>
          <w:color w:val="auto"/>
          <w:sz w:val="32"/>
          <w:szCs w:val="32"/>
          <w:lang w:val="en-US" w:eastAsia="zh-CN"/>
        </w:rPr>
        <w:t>综合行政执法</w:t>
      </w:r>
      <w:r>
        <w:rPr>
          <w:rFonts w:hint="eastAsia" w:ascii="仿宋_GB2312" w:cs="仿宋_GB2312"/>
          <w:color w:val="auto"/>
          <w:sz w:val="32"/>
          <w:szCs w:val="32"/>
          <w:lang w:val="en-US" w:eastAsia="zh-CN"/>
        </w:rPr>
        <w:t>大</w:t>
      </w:r>
      <w:r>
        <w:rPr>
          <w:rFonts w:hint="eastAsia" w:ascii="仿宋_GB2312" w:eastAsia="仿宋_GB2312" w:cs="仿宋_GB2312"/>
          <w:color w:val="auto"/>
          <w:sz w:val="32"/>
          <w:szCs w:val="32"/>
          <w:lang w:val="en-US" w:eastAsia="zh-CN"/>
        </w:rPr>
        <w:t>队</w:t>
      </w:r>
    </w:p>
    <w:p w14:paraId="237F189C">
      <w:pPr>
        <w:keepNext w:val="0"/>
        <w:keepLines w:val="0"/>
        <w:pageBreakBefore w:val="0"/>
        <w:widowControl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cs="仿宋_GB2312"/>
          <w:color w:val="auto"/>
          <w:sz w:val="32"/>
          <w:szCs w:val="32"/>
          <w:lang w:eastAsia="zh-CN"/>
        </w:rPr>
      </w:pPr>
      <w:r>
        <w:rPr>
          <w:rFonts w:hint="eastAsia" w:ascii="仿宋_GB2312" w:eastAsia="仿宋_GB2312" w:cs="仿宋_GB2312"/>
          <w:color w:val="auto"/>
          <w:sz w:val="32"/>
          <w:szCs w:val="32"/>
        </w:rPr>
        <w:t>统一行使辖区内生态和城乡各类污染排放监管与行政执法的管理工作，参与辖区内生态环境质量监测、调查评价和考核，切实履行监管责任，加强事中事后监管</w:t>
      </w:r>
      <w:r>
        <w:rPr>
          <w:rFonts w:hint="eastAsia" w:ascii="仿宋_GB2312" w:cs="仿宋_GB2312"/>
          <w:color w:val="auto"/>
          <w:sz w:val="32"/>
          <w:szCs w:val="32"/>
          <w:lang w:eastAsia="zh-CN"/>
        </w:rPr>
        <w:t>。</w:t>
      </w:r>
    </w:p>
    <w:p w14:paraId="757F73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cs="仿宋_GB2312"/>
          <w:color w:val="auto"/>
          <w:sz w:val="32"/>
          <w:szCs w:val="32"/>
          <w:lang w:val="en-US" w:eastAsia="zh-CN"/>
        </w:rPr>
      </w:pPr>
      <w:r>
        <w:rPr>
          <w:rFonts w:hint="eastAsia" w:ascii="仿宋_GB2312" w:cs="仿宋_GB2312"/>
          <w:color w:val="auto"/>
          <w:sz w:val="32"/>
          <w:szCs w:val="32"/>
          <w:lang w:val="en-US" w:eastAsia="zh-CN"/>
        </w:rPr>
        <w:t>生态环境保护督察领导小组办公室日常工作由我局牵头负责。</w:t>
      </w:r>
    </w:p>
    <w:p w14:paraId="4C5C0158">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left="0" w:leftChars="0" w:firstLine="643" w:firstLineChars="200"/>
        <w:textAlignment w:val="auto"/>
        <w:rPr>
          <w:rFonts w:hint="default" w:ascii="Times New Roman" w:hAnsi="Times New Roman" w:cs="Times New Roman"/>
          <w:color w:val="000000"/>
          <w:kern w:val="0"/>
          <w:szCs w:val="32"/>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r>
        <w:rPr>
          <w:rFonts w:hint="default" w:ascii="Times New Roman" w:hAnsi="Times New Roman" w:cs="Times New Roman"/>
          <w:szCs w:val="32"/>
        </w:rPr>
        <w:t>2025年阿坝州汶川生态环境局下含阿坝州汶川生态环境保护综合行政执法大队、阿坝州汶川生态环境保护中心、阿坝州岷江流域片区环境监测站，其中执法大队为参公单位，环保中心和片区监测站为公益一类事业单位。全局实有编制48个，在编在岗43人，空缺编制4个。我局因机构改革，执法大队现有编制15个，目前在编在岗14人；阿坝州岷江流域片区环境监测站（已于2025年12月31日挂牌），现有编制24个，目前在编在岗21人；环保中心现有编制6个，在编在岗6人；局编制3个，在编在岗2人。</w:t>
      </w:r>
    </w:p>
    <w:p w14:paraId="58F90566">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79107F08">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14:paraId="61009DEA">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eastAsia" w:ascii="仿宋_GB2312" w:hAnsi="宋体" w:cs="宋体"/>
          <w:color w:val="000000" w:themeColor="text1"/>
          <w:kern w:val="0"/>
          <w:lang w:val="en-US" w:eastAsia="zh-CN"/>
          <w14:textFill>
            <w14:solidFill>
              <w14:schemeClr w14:val="tx1"/>
            </w14:solidFill>
          </w14:textFill>
        </w:rPr>
      </w:pPr>
      <w:r>
        <w:rPr>
          <w:rFonts w:hint="eastAsia" w:cs="Times New Roman"/>
          <w:szCs w:val="32"/>
          <w:lang w:val="en-US" w:eastAsia="zh-CN"/>
        </w:rPr>
        <w:t>我单位2025年总收入2351.27万元，</w:t>
      </w:r>
      <w:r>
        <w:rPr>
          <w:rFonts w:hint="eastAsia" w:ascii="仿宋_GB2312" w:hAnsi="宋体" w:cs="宋体"/>
          <w:color w:val="000000"/>
          <w:kern w:val="0"/>
          <w:lang w:val="en-US" w:eastAsia="zh-CN"/>
        </w:rPr>
        <w:t>2024年总收入</w:t>
      </w:r>
      <w:r>
        <w:rPr>
          <w:rFonts w:hint="eastAsia" w:cs="Times New Roman"/>
          <w:szCs w:val="32"/>
          <w:lang w:val="en-US" w:eastAsia="zh-CN"/>
        </w:rPr>
        <w:t>1476</w:t>
      </w:r>
      <w:r>
        <w:rPr>
          <w:rFonts w:hint="eastAsia" w:ascii="仿宋_GB2312" w:hAnsi="宋体" w:cs="宋体"/>
          <w:color w:val="000000"/>
          <w:kern w:val="0"/>
          <w:lang w:val="en-US" w:eastAsia="zh-CN"/>
        </w:rPr>
        <w:t>万元，增加875.27万元，增加率为59.3</w:t>
      </w:r>
      <w:r>
        <w:rPr>
          <w:rFonts w:hint="eastAsia" w:ascii="仿宋_GB2312" w:hAnsi="宋体" w:cs="宋体"/>
          <w:color w:val="000000" w:themeColor="text1"/>
          <w:kern w:val="0"/>
          <w:lang w:val="en-US" w:eastAsia="zh-CN"/>
          <w14:textFill>
            <w14:solidFill>
              <w14:schemeClr w14:val="tx1"/>
            </w14:solidFill>
          </w14:textFill>
        </w:rPr>
        <w:t>%。主要原因为：2024年以及2025年我单位通过县财政转入州财政采购项目资金，该资金为其他收入使用，采购项目基本为跨年项目，在2025年支付。</w:t>
      </w:r>
    </w:p>
    <w:p w14:paraId="7C4B9EBD">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jc w:val="left"/>
        <w:textAlignment w:val="auto"/>
        <w:rPr>
          <w:rFonts w:hint="default" w:ascii="仿宋_GB2312" w:hAnsi="宋体" w:cs="宋体"/>
          <w:color w:val="000000"/>
          <w:kern w:val="0"/>
          <w:lang w:val="en-US" w:eastAsia="zh-CN"/>
        </w:rPr>
      </w:pPr>
      <w:r>
        <w:rPr>
          <w:rFonts w:hint="eastAsia" w:ascii="仿宋_GB2312" w:hAnsi="宋体" w:cs="宋体"/>
          <w:b/>
          <w:bCs/>
          <w:color w:val="000000"/>
          <w:kern w:val="0"/>
          <w:lang w:val="en-US" w:eastAsia="zh-CN"/>
        </w:rPr>
        <w:t>生态环境局：</w:t>
      </w:r>
      <w:r>
        <w:rPr>
          <w:rFonts w:hint="eastAsia" w:ascii="仿宋_GB2312" w:hAnsi="宋体" w:cs="宋体"/>
          <w:color w:val="000000"/>
          <w:kern w:val="0"/>
          <w:lang w:val="en-US" w:eastAsia="zh-CN"/>
        </w:rPr>
        <w:t>202</w:t>
      </w:r>
      <w:r>
        <w:rPr>
          <w:rFonts w:hint="eastAsia" w:ascii="仿宋_GB2312" w:hAnsi="宋体" w:cs="宋体"/>
          <w:color w:val="000000"/>
          <w:kern w:val="0"/>
          <w:highlight w:val="none"/>
          <w:lang w:val="en-US" w:eastAsia="zh-CN"/>
        </w:rPr>
        <w:t>5年一般公共预算</w:t>
      </w:r>
      <w:r>
        <w:rPr>
          <w:rFonts w:hint="eastAsia" w:ascii="仿宋_GB2312" w:hAnsi="宋体" w:cs="宋体"/>
          <w:color w:val="000000"/>
          <w:kern w:val="0"/>
          <w:highlight w:val="none"/>
          <w:lang w:val="zh-CN"/>
        </w:rPr>
        <w:t>财政拨款收入</w:t>
      </w:r>
      <w:r>
        <w:rPr>
          <w:rFonts w:hint="eastAsia" w:ascii="仿宋_GB2312" w:hAnsi="宋体" w:cs="宋体"/>
          <w:color w:val="000000"/>
          <w:kern w:val="0"/>
          <w:highlight w:val="none"/>
          <w:lang w:val="en-US" w:eastAsia="zh-CN"/>
        </w:rPr>
        <w:t>781.62</w:t>
      </w:r>
      <w:r>
        <w:rPr>
          <w:rFonts w:hint="eastAsia" w:ascii="仿宋_GB2312" w:hAnsi="宋体" w:cs="宋体"/>
          <w:color w:val="000000"/>
          <w:kern w:val="0"/>
          <w:highlight w:val="none"/>
          <w:lang w:val="zh-CN"/>
        </w:rPr>
        <w:t>万元，</w:t>
      </w:r>
      <w:r>
        <w:rPr>
          <w:rFonts w:hint="eastAsia" w:ascii="仿宋_GB2312" w:hAnsi="宋体" w:cs="宋体"/>
          <w:color w:val="000000"/>
          <w:kern w:val="0"/>
          <w:lang w:val="en-US" w:eastAsia="zh-CN"/>
        </w:rPr>
        <w:t>2024年一般公共预算财政拨款收入</w:t>
      </w:r>
      <w:r>
        <w:rPr>
          <w:rFonts w:hint="eastAsia" w:ascii="仿宋_GB2312" w:hAnsi="宋体" w:cs="宋体"/>
          <w:color w:val="000000"/>
          <w:kern w:val="0"/>
          <w:highlight w:val="none"/>
          <w:lang w:val="en-US" w:eastAsia="zh-CN"/>
        </w:rPr>
        <w:t>296.32</w:t>
      </w:r>
      <w:r>
        <w:rPr>
          <w:rFonts w:hint="eastAsia" w:ascii="仿宋_GB2312" w:hAnsi="宋体" w:cs="宋体"/>
          <w:color w:val="000000"/>
          <w:kern w:val="0"/>
          <w:lang w:val="en-US" w:eastAsia="zh-CN"/>
        </w:rPr>
        <w:t>万元，</w:t>
      </w:r>
      <w:r>
        <w:rPr>
          <w:rFonts w:hint="eastAsia" w:ascii="仿宋_GB2312" w:hAnsi="宋体" w:cs="宋体"/>
          <w:color w:val="000000"/>
          <w:kern w:val="0"/>
          <w:highlight w:val="none"/>
          <w:lang w:val="en-US" w:eastAsia="zh-CN"/>
        </w:rPr>
        <w:t>增加485.3万元，</w:t>
      </w:r>
      <w:r>
        <w:rPr>
          <w:rFonts w:hint="eastAsia" w:ascii="仿宋_GB2312" w:hAnsi="宋体" w:cs="宋体"/>
          <w:color w:val="000000"/>
          <w:kern w:val="0"/>
          <w:lang w:val="en-US" w:eastAsia="zh-CN"/>
        </w:rPr>
        <w:t>增加率为164%；</w:t>
      </w:r>
      <w:r>
        <w:rPr>
          <w:rFonts w:hint="eastAsia" w:ascii="仿宋_GB2312" w:hAnsi="宋体" w:cs="宋体"/>
          <w:color w:val="000000"/>
          <w:kern w:val="0"/>
          <w:lang w:val="zh-CN"/>
        </w:rPr>
        <w:t>20</w:t>
      </w:r>
      <w:r>
        <w:rPr>
          <w:rFonts w:hint="eastAsia" w:ascii="仿宋_GB2312" w:hAnsi="宋体" w:cs="宋体"/>
          <w:color w:val="000000"/>
          <w:kern w:val="0"/>
          <w:lang w:val="en-US" w:eastAsia="zh-CN"/>
        </w:rPr>
        <w:t>25</w:t>
      </w:r>
      <w:r>
        <w:rPr>
          <w:rFonts w:hint="eastAsia" w:ascii="仿宋_GB2312" w:hAnsi="宋体" w:cs="宋体"/>
          <w:color w:val="000000"/>
          <w:kern w:val="0"/>
          <w:lang w:val="zh-CN"/>
        </w:rPr>
        <w:t>年</w:t>
      </w:r>
      <w:r>
        <w:rPr>
          <w:rFonts w:hint="eastAsia" w:ascii="仿宋_GB2312" w:hAnsi="宋体" w:cs="宋体"/>
          <w:color w:val="000000"/>
          <w:kern w:val="0"/>
          <w:lang w:val="en-US" w:eastAsia="zh-CN"/>
        </w:rPr>
        <w:t>政府性基金预算</w:t>
      </w:r>
      <w:r>
        <w:rPr>
          <w:rFonts w:hint="eastAsia" w:ascii="仿宋_GB2312" w:hAnsi="宋体" w:cs="宋体"/>
          <w:color w:val="000000"/>
          <w:kern w:val="0"/>
          <w:lang w:val="zh-CN"/>
        </w:rPr>
        <w:t>财政拨款收入</w:t>
      </w:r>
      <w:r>
        <w:rPr>
          <w:rFonts w:hint="eastAsia" w:ascii="仿宋_GB2312" w:hAnsi="宋体" w:cs="宋体"/>
          <w:color w:val="000000"/>
          <w:kern w:val="0"/>
          <w:lang w:val="en-US" w:eastAsia="zh-CN"/>
        </w:rPr>
        <w:t>0</w:t>
      </w:r>
      <w:r>
        <w:rPr>
          <w:rFonts w:hint="eastAsia" w:ascii="仿宋_GB2312" w:hAnsi="宋体" w:cs="宋体"/>
          <w:color w:val="000000"/>
          <w:kern w:val="0"/>
          <w:lang w:val="zh-CN"/>
        </w:rPr>
        <w:t>万元，</w:t>
      </w:r>
      <w:r>
        <w:rPr>
          <w:rFonts w:hint="eastAsia" w:ascii="仿宋_GB2312" w:hAnsi="宋体" w:cs="宋体"/>
          <w:color w:val="000000"/>
          <w:kern w:val="0"/>
          <w:lang w:val="en-US" w:eastAsia="zh-CN"/>
        </w:rPr>
        <w:t>2025</w:t>
      </w:r>
      <w:r>
        <w:rPr>
          <w:rFonts w:hint="eastAsia" w:ascii="仿宋_GB2312" w:hAnsi="宋体" w:cs="宋体"/>
          <w:color w:val="000000"/>
          <w:kern w:val="0"/>
          <w:lang w:val="zh-CN"/>
        </w:rPr>
        <w:t>年</w:t>
      </w:r>
      <w:r>
        <w:rPr>
          <w:rFonts w:hint="eastAsia" w:ascii="仿宋_GB2312" w:hAnsi="宋体" w:cs="宋体"/>
          <w:color w:val="000000"/>
          <w:kern w:val="0"/>
          <w:lang w:val="en-US" w:eastAsia="zh-CN"/>
        </w:rPr>
        <w:t>政府性基金预算</w:t>
      </w:r>
      <w:r>
        <w:rPr>
          <w:rFonts w:hint="eastAsia" w:ascii="仿宋_GB2312" w:hAnsi="宋体" w:cs="宋体"/>
          <w:color w:val="000000"/>
          <w:kern w:val="0"/>
          <w:lang w:val="zh-CN"/>
        </w:rPr>
        <w:t>财政拨款收入</w:t>
      </w:r>
      <w:r>
        <w:rPr>
          <w:rFonts w:hint="eastAsia" w:ascii="仿宋_GB2312" w:hAnsi="宋体" w:cs="宋体"/>
          <w:color w:val="000000"/>
          <w:kern w:val="0"/>
          <w:lang w:val="en-US" w:eastAsia="zh-CN"/>
        </w:rPr>
        <w:t>0</w:t>
      </w:r>
      <w:r>
        <w:rPr>
          <w:rFonts w:hint="eastAsia" w:ascii="仿宋_GB2312" w:hAnsi="宋体" w:cs="宋体"/>
          <w:color w:val="000000"/>
          <w:kern w:val="0"/>
          <w:lang w:val="zh-CN"/>
        </w:rPr>
        <w:t>万元；</w:t>
      </w:r>
      <w:r>
        <w:rPr>
          <w:rFonts w:hint="eastAsia" w:ascii="仿宋_GB2312" w:hAnsi="宋体" w:cs="宋体"/>
          <w:color w:val="000000"/>
          <w:kern w:val="0"/>
          <w:lang w:val="en-US" w:eastAsia="zh-CN"/>
        </w:rPr>
        <w:t>2025年国有资本性经营预算财政拨款收入0万元</w:t>
      </w:r>
      <w:r>
        <w:rPr>
          <w:rFonts w:hint="eastAsia" w:ascii="仿宋_GB2312" w:hAnsi="宋体" w:cs="宋体"/>
          <w:color w:val="000000" w:themeColor="text1"/>
          <w:kern w:val="0"/>
          <w:lang w:val="en-US" w:eastAsia="zh-CN"/>
          <w14:textFill>
            <w14:solidFill>
              <w14:schemeClr w14:val="tx1"/>
            </w14:solidFill>
          </w14:textFill>
        </w:rPr>
        <w:t>，2025</w:t>
      </w:r>
      <w:r>
        <w:rPr>
          <w:rFonts w:hint="eastAsia" w:ascii="仿宋_GB2312" w:hAnsi="宋体" w:cs="宋体"/>
          <w:color w:val="000000"/>
          <w:kern w:val="0"/>
          <w:lang w:val="en-US" w:eastAsia="zh-CN"/>
        </w:rPr>
        <w:t>年国有资本性经营预算财政拨款收入0万元；2025年新增其他收入1230.03万元，2024年新增其他收入894.65万元，增长率为37.49%。主要原因为采购项目增加、人员增减变动。</w:t>
      </w:r>
    </w:p>
    <w:p w14:paraId="4D2F0350">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宋体" w:cs="宋体"/>
          <w:b/>
          <w:bCs/>
          <w:color w:val="000000"/>
          <w:kern w:val="0"/>
          <w:lang w:val="en-US" w:eastAsia="zh-CN"/>
        </w:rPr>
        <w:t>环境监测站：</w:t>
      </w:r>
      <w:r>
        <w:rPr>
          <w:rFonts w:hint="eastAsia" w:ascii="仿宋_GB2312" w:hAnsi="宋体" w:cs="宋体"/>
          <w:color w:val="000000"/>
          <w:kern w:val="0"/>
          <w:lang w:val="en-US" w:eastAsia="zh-CN"/>
        </w:rPr>
        <w:t>2</w:t>
      </w:r>
      <w:r>
        <w:rPr>
          <w:rFonts w:hint="eastAsia" w:ascii="仿宋_GB2312" w:hAnsi="宋体" w:cs="宋体"/>
          <w:color w:val="000000"/>
          <w:kern w:val="0"/>
          <w:highlight w:val="none"/>
          <w:lang w:val="en-US" w:eastAsia="zh-CN"/>
        </w:rPr>
        <w:t>025年一般公共预算</w:t>
      </w:r>
      <w:r>
        <w:rPr>
          <w:rFonts w:hint="eastAsia" w:ascii="仿宋_GB2312" w:hAnsi="宋体" w:cs="宋体"/>
          <w:color w:val="000000"/>
          <w:kern w:val="0"/>
          <w:highlight w:val="none"/>
          <w:lang w:val="zh-CN"/>
        </w:rPr>
        <w:t>财政拨款收入</w:t>
      </w:r>
      <w:r>
        <w:rPr>
          <w:rFonts w:hint="eastAsia" w:ascii="仿宋_GB2312" w:hAnsi="宋体" w:cs="宋体"/>
          <w:color w:val="000000"/>
          <w:kern w:val="0"/>
          <w:highlight w:val="none"/>
          <w:lang w:val="en-US" w:eastAsia="zh-CN"/>
        </w:rPr>
        <w:t>339.62</w:t>
      </w:r>
      <w:r>
        <w:rPr>
          <w:rFonts w:hint="eastAsia" w:ascii="仿宋_GB2312" w:hAnsi="宋体" w:cs="宋体"/>
          <w:color w:val="000000"/>
          <w:kern w:val="0"/>
          <w:highlight w:val="none"/>
          <w:lang w:val="zh-CN"/>
        </w:rPr>
        <w:t>万元，</w:t>
      </w:r>
      <w:r>
        <w:rPr>
          <w:rFonts w:hint="eastAsia" w:ascii="仿宋_GB2312" w:hAnsi="宋体" w:cs="宋体"/>
          <w:color w:val="000000"/>
          <w:kern w:val="0"/>
          <w:lang w:val="en-US" w:eastAsia="zh-CN"/>
        </w:rPr>
        <w:t>2024年一般公共预算财政拨款收入</w:t>
      </w:r>
      <w:r>
        <w:rPr>
          <w:rFonts w:hint="eastAsia" w:ascii="仿宋_GB2312" w:hAnsi="宋体" w:cs="宋体"/>
          <w:color w:val="000000"/>
          <w:kern w:val="0"/>
          <w:highlight w:val="none"/>
          <w:lang w:val="en-US" w:eastAsia="zh-CN"/>
        </w:rPr>
        <w:t>285.03</w:t>
      </w:r>
      <w:r>
        <w:rPr>
          <w:rFonts w:hint="eastAsia" w:ascii="仿宋_GB2312" w:hAnsi="宋体" w:cs="宋体"/>
          <w:color w:val="000000"/>
          <w:kern w:val="0"/>
          <w:lang w:val="en-US" w:eastAsia="zh-CN"/>
        </w:rPr>
        <w:t>万元</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增加54.59万元，</w:t>
      </w:r>
      <w:r>
        <w:rPr>
          <w:rFonts w:hint="eastAsia" w:ascii="仿宋_GB2312" w:hAnsi="宋体" w:cs="宋体"/>
          <w:color w:val="000000"/>
          <w:kern w:val="0"/>
          <w:lang w:val="en-US" w:eastAsia="zh-CN"/>
        </w:rPr>
        <w:t>增加率为19.15%；</w:t>
      </w:r>
      <w:r>
        <w:rPr>
          <w:rFonts w:hint="eastAsia" w:ascii="仿宋_GB2312" w:hAnsi="宋体" w:cs="宋体"/>
          <w:color w:val="000000"/>
          <w:kern w:val="0"/>
          <w:lang w:val="zh-CN"/>
        </w:rPr>
        <w:t>20</w:t>
      </w:r>
      <w:r>
        <w:rPr>
          <w:rFonts w:hint="eastAsia" w:ascii="仿宋_GB2312" w:hAnsi="宋体" w:cs="宋体"/>
          <w:color w:val="000000"/>
          <w:kern w:val="0"/>
          <w:lang w:val="en-US" w:eastAsia="zh-CN"/>
        </w:rPr>
        <w:t>25</w:t>
      </w:r>
      <w:r>
        <w:rPr>
          <w:rFonts w:hint="eastAsia" w:ascii="仿宋_GB2312" w:hAnsi="宋体" w:cs="宋体"/>
          <w:color w:val="000000"/>
          <w:kern w:val="0"/>
          <w:lang w:val="zh-CN"/>
        </w:rPr>
        <w:t>年</w:t>
      </w:r>
      <w:r>
        <w:rPr>
          <w:rFonts w:hint="eastAsia" w:ascii="仿宋_GB2312" w:hAnsi="宋体" w:cs="宋体"/>
          <w:color w:val="000000"/>
          <w:kern w:val="0"/>
          <w:lang w:val="en-US" w:eastAsia="zh-CN"/>
        </w:rPr>
        <w:t>政府性基金预算</w:t>
      </w:r>
      <w:r>
        <w:rPr>
          <w:rFonts w:hint="eastAsia" w:ascii="仿宋_GB2312" w:hAnsi="宋体" w:cs="宋体"/>
          <w:color w:val="000000"/>
          <w:kern w:val="0"/>
          <w:lang w:val="zh-CN"/>
        </w:rPr>
        <w:t>财政拨款收入</w:t>
      </w:r>
      <w:r>
        <w:rPr>
          <w:rFonts w:hint="eastAsia" w:ascii="仿宋_GB2312" w:hAnsi="宋体" w:cs="宋体"/>
          <w:color w:val="000000"/>
          <w:kern w:val="0"/>
          <w:lang w:val="en-US" w:eastAsia="zh-CN"/>
        </w:rPr>
        <w:t>0</w:t>
      </w:r>
      <w:r>
        <w:rPr>
          <w:rFonts w:hint="eastAsia" w:ascii="仿宋_GB2312" w:hAnsi="宋体" w:cs="宋体"/>
          <w:color w:val="000000"/>
          <w:kern w:val="0"/>
          <w:lang w:val="zh-CN"/>
        </w:rPr>
        <w:t>万元，</w:t>
      </w:r>
      <w:r>
        <w:rPr>
          <w:rFonts w:hint="eastAsia" w:ascii="仿宋_GB2312" w:hAnsi="宋体" w:cs="宋体"/>
          <w:color w:val="000000"/>
          <w:kern w:val="0"/>
          <w:lang w:val="en-US" w:eastAsia="zh-CN"/>
        </w:rPr>
        <w:t>2025</w:t>
      </w:r>
      <w:r>
        <w:rPr>
          <w:rFonts w:hint="eastAsia" w:ascii="仿宋_GB2312" w:hAnsi="宋体" w:cs="宋体"/>
          <w:color w:val="000000"/>
          <w:kern w:val="0"/>
          <w:lang w:val="zh-CN"/>
        </w:rPr>
        <w:t>年</w:t>
      </w:r>
      <w:r>
        <w:rPr>
          <w:rFonts w:hint="eastAsia" w:ascii="仿宋_GB2312" w:hAnsi="宋体" w:cs="宋体"/>
          <w:color w:val="000000"/>
          <w:kern w:val="0"/>
          <w:lang w:val="en-US" w:eastAsia="zh-CN"/>
        </w:rPr>
        <w:t>政府性基金预算</w:t>
      </w:r>
      <w:r>
        <w:rPr>
          <w:rFonts w:hint="eastAsia" w:ascii="仿宋_GB2312" w:hAnsi="宋体" w:cs="宋体"/>
          <w:color w:val="000000"/>
          <w:kern w:val="0"/>
          <w:lang w:val="zh-CN"/>
        </w:rPr>
        <w:t>财政拨款收入</w:t>
      </w:r>
      <w:r>
        <w:rPr>
          <w:rFonts w:hint="eastAsia" w:ascii="仿宋_GB2312" w:hAnsi="宋体" w:cs="宋体"/>
          <w:color w:val="000000"/>
          <w:kern w:val="0"/>
          <w:lang w:val="en-US" w:eastAsia="zh-CN"/>
        </w:rPr>
        <w:t>0</w:t>
      </w:r>
      <w:r>
        <w:rPr>
          <w:rFonts w:hint="eastAsia" w:ascii="仿宋_GB2312" w:hAnsi="宋体" w:cs="宋体"/>
          <w:color w:val="000000"/>
          <w:kern w:val="0"/>
          <w:lang w:val="zh-CN"/>
        </w:rPr>
        <w:t>万元；</w:t>
      </w:r>
      <w:r>
        <w:rPr>
          <w:rFonts w:hint="eastAsia" w:ascii="仿宋_GB2312" w:hAnsi="宋体" w:cs="宋体"/>
          <w:color w:val="000000"/>
          <w:kern w:val="0"/>
          <w:lang w:val="en-US" w:eastAsia="zh-CN"/>
        </w:rPr>
        <w:t>2025年国有资本性经营预算财政拨款收入0万元，2025年国有资本性经营预算财政拨款收入0万元。主要原因为2025年成立岷江片区监测站划转编制10个，划调人员9名。</w:t>
      </w:r>
    </w:p>
    <w:p w14:paraId="0E26E943">
      <w:pPr>
        <w:keepNext w:val="0"/>
        <w:keepLines w:val="0"/>
        <w:pageBreakBefore w:val="0"/>
        <w:widowControl/>
        <w:numPr>
          <w:ilvl w:val="0"/>
          <w:numId w:val="6"/>
        </w:numPr>
        <w:kinsoku/>
        <w:wordWrap/>
        <w:overflowPunct/>
        <w:topLinePunct w:val="0"/>
        <w:autoSpaceDE/>
        <w:autoSpaceDN/>
        <w:bidi w:val="0"/>
        <w:adjustRightInd w:val="0"/>
        <w:snapToGrid w:val="0"/>
        <w:spacing w:line="580" w:lineRule="exact"/>
        <w:ind w:left="0" w:leftChars="0" w:firstLine="643"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14:paraId="1588E1F4">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eastAsia" w:ascii="仿宋_GB2312" w:hAnsi="宋体" w:cs="宋体"/>
          <w:color w:val="0000FF"/>
          <w:kern w:val="0"/>
          <w:highlight w:val="none"/>
          <w:lang w:val="en-US" w:eastAsia="zh-CN"/>
        </w:rPr>
      </w:pPr>
      <w:r>
        <w:rPr>
          <w:rFonts w:hint="eastAsia" w:ascii="仿宋_GB2312" w:hAnsi="宋体" w:cs="宋体"/>
          <w:color w:val="000000"/>
          <w:kern w:val="0"/>
          <w:highlight w:val="none"/>
          <w:lang w:val="en-US" w:eastAsia="zh-CN"/>
        </w:rPr>
        <w:t>我单位2025年总支出2351.27万元，2025年支出1476万元，增加875.27万元，增加率为59.3%</w:t>
      </w:r>
      <w:r>
        <w:rPr>
          <w:rFonts w:hint="eastAsia" w:ascii="仿宋_GB2312" w:hAnsi="宋体" w:cs="宋体"/>
          <w:color w:val="000000" w:themeColor="text1"/>
          <w:kern w:val="0"/>
          <w:highlight w:val="none"/>
          <w:lang w:val="en-US" w:eastAsia="zh-CN"/>
          <w14:textFill>
            <w14:solidFill>
              <w14:schemeClr w14:val="tx1"/>
            </w14:solidFill>
          </w14:textFill>
        </w:rPr>
        <w:t>。主要原因为：2024年以及2025年我单位通过县财政转入州财政采购项目资金，该资金为其他收入使用，采购项目基本为跨年项目，在2025年支付。</w:t>
      </w:r>
    </w:p>
    <w:p w14:paraId="0ADE2B87">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3" w:firstLineChars="200"/>
        <w:contextualSpacing/>
        <w:jc w:val="left"/>
        <w:textAlignment w:val="auto"/>
        <w:rPr>
          <w:rFonts w:hint="eastAsia" w:ascii="仿宋_GB2312" w:hAnsi="宋体" w:cs="宋体"/>
          <w:color w:val="000000"/>
          <w:kern w:val="0"/>
          <w:highlight w:val="none"/>
          <w:lang w:val="en-US" w:eastAsia="zh-CN"/>
        </w:rPr>
      </w:pPr>
      <w:r>
        <w:rPr>
          <w:rFonts w:hint="eastAsia" w:ascii="仿宋_GB2312" w:hAnsi="宋体" w:cs="宋体"/>
          <w:b/>
          <w:bCs/>
          <w:color w:val="000000"/>
          <w:kern w:val="0"/>
          <w:lang w:val="en-US" w:eastAsia="zh-CN"/>
        </w:rPr>
        <w:t>生态环境局：</w:t>
      </w:r>
      <w:r>
        <w:rPr>
          <w:rFonts w:hint="eastAsia" w:ascii="仿宋_GB2312" w:hAnsi="宋体" w:cs="宋体"/>
          <w:color w:val="000000"/>
          <w:kern w:val="0"/>
          <w:lang w:val="en-US" w:eastAsia="zh-CN"/>
        </w:rPr>
        <w:t>2025年</w:t>
      </w:r>
      <w:r>
        <w:rPr>
          <w:rFonts w:hint="eastAsia" w:ascii="仿宋_GB2312" w:hAnsi="宋体" w:cs="宋体"/>
          <w:color w:val="000000"/>
          <w:kern w:val="0"/>
          <w:lang w:val="zh-CN"/>
        </w:rPr>
        <w:t>财政拨款支出</w:t>
      </w:r>
      <w:r>
        <w:rPr>
          <w:rFonts w:hint="eastAsia" w:ascii="仿宋_GB2312" w:hAnsi="宋体" w:cs="宋体"/>
          <w:color w:val="000000"/>
          <w:kern w:val="0"/>
          <w:lang w:val="en-US" w:eastAsia="zh-CN"/>
        </w:rPr>
        <w:t>781.61</w:t>
      </w:r>
      <w:r>
        <w:rPr>
          <w:rFonts w:hint="eastAsia" w:ascii="仿宋_GB2312" w:hAnsi="宋体" w:cs="宋体"/>
          <w:color w:val="000000"/>
          <w:kern w:val="0"/>
          <w:lang w:val="zh-CN"/>
        </w:rPr>
        <w:t>万元，</w:t>
      </w:r>
      <w:r>
        <w:rPr>
          <w:rFonts w:hint="eastAsia" w:ascii="仿宋_GB2312" w:hAnsi="宋体" w:cs="宋体"/>
          <w:color w:val="000000"/>
          <w:kern w:val="0"/>
          <w:lang w:val="en-US" w:eastAsia="zh-CN"/>
        </w:rPr>
        <w:t>其中社会保障和就业</w:t>
      </w:r>
      <w:r>
        <w:rPr>
          <w:rFonts w:hint="eastAsia" w:ascii="仿宋_GB2312" w:hAnsi="宋体" w:cs="宋体"/>
          <w:color w:val="000000"/>
          <w:kern w:val="0"/>
          <w:highlight w:val="none"/>
          <w:lang w:val="zh-CN"/>
        </w:rPr>
        <w:t>支出</w:t>
      </w:r>
      <w:r>
        <w:rPr>
          <w:rFonts w:hint="eastAsia" w:ascii="仿宋_GB2312" w:hAnsi="宋体" w:cs="宋体"/>
          <w:color w:val="000000"/>
          <w:kern w:val="0"/>
          <w:highlight w:val="none"/>
          <w:lang w:val="en-US" w:eastAsia="zh-CN"/>
        </w:rPr>
        <w:t>47.64</w:t>
      </w:r>
      <w:r>
        <w:rPr>
          <w:rFonts w:hint="eastAsia" w:ascii="仿宋_GB2312" w:hAnsi="宋体" w:cs="宋体"/>
          <w:color w:val="000000"/>
          <w:kern w:val="0"/>
          <w:highlight w:val="none"/>
          <w:lang w:val="zh-CN"/>
        </w:rPr>
        <w:t>万元占总支出</w:t>
      </w:r>
      <w:r>
        <w:rPr>
          <w:rFonts w:hint="eastAsia" w:ascii="仿宋_GB2312" w:hAnsi="宋体" w:cs="宋体"/>
          <w:color w:val="000000"/>
          <w:kern w:val="0"/>
          <w:highlight w:val="none"/>
          <w:lang w:val="en-US" w:eastAsia="zh-CN"/>
        </w:rPr>
        <w:t>6.1%</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卫生和健康</w:t>
      </w:r>
      <w:r>
        <w:rPr>
          <w:rFonts w:hint="eastAsia" w:ascii="仿宋_GB2312" w:hAnsi="宋体" w:cs="宋体"/>
          <w:color w:val="000000"/>
          <w:kern w:val="0"/>
          <w:highlight w:val="none"/>
          <w:lang w:val="zh-CN"/>
        </w:rPr>
        <w:t>支出</w:t>
      </w:r>
      <w:r>
        <w:rPr>
          <w:rFonts w:hint="eastAsia" w:ascii="仿宋_GB2312" w:hAnsi="宋体" w:cs="宋体"/>
          <w:color w:val="000000"/>
          <w:kern w:val="0"/>
          <w:highlight w:val="none"/>
          <w:lang w:val="en-US" w:eastAsia="zh-CN"/>
        </w:rPr>
        <w:t>13.83</w:t>
      </w:r>
      <w:r>
        <w:rPr>
          <w:rFonts w:hint="eastAsia" w:ascii="仿宋_GB2312" w:hAnsi="宋体" w:cs="宋体"/>
          <w:color w:val="000000"/>
          <w:kern w:val="0"/>
          <w:highlight w:val="none"/>
          <w:lang w:val="zh-CN"/>
        </w:rPr>
        <w:t>万元占总支出</w:t>
      </w:r>
      <w:r>
        <w:rPr>
          <w:rFonts w:hint="eastAsia" w:ascii="仿宋_GB2312" w:hAnsi="宋体" w:cs="宋体"/>
          <w:color w:val="000000"/>
          <w:kern w:val="0"/>
          <w:highlight w:val="none"/>
          <w:lang w:val="en-US" w:eastAsia="zh-CN"/>
        </w:rPr>
        <w:t>1.77</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节能环保支出697.92万元</w:t>
      </w:r>
      <w:r>
        <w:rPr>
          <w:rFonts w:hint="eastAsia" w:ascii="仿宋_GB2312" w:hAnsi="宋体" w:cs="宋体"/>
          <w:color w:val="000000"/>
          <w:kern w:val="0"/>
          <w:highlight w:val="none"/>
          <w:lang w:val="zh-CN"/>
        </w:rPr>
        <w:t>占总支出</w:t>
      </w:r>
      <w:r>
        <w:rPr>
          <w:rFonts w:hint="eastAsia" w:ascii="仿宋_GB2312" w:hAnsi="宋体" w:cs="宋体"/>
          <w:color w:val="000000"/>
          <w:kern w:val="0"/>
          <w:highlight w:val="none"/>
          <w:lang w:val="en-US" w:eastAsia="zh-CN"/>
        </w:rPr>
        <w:t>89.29</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住房保障支出22.23万元占总支出2.84%。</w:t>
      </w:r>
    </w:p>
    <w:p w14:paraId="32D19526">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3" w:firstLineChars="200"/>
        <w:contextualSpacing/>
        <w:jc w:val="left"/>
        <w:textAlignment w:val="auto"/>
        <w:rPr>
          <w:rFonts w:hint="default" w:ascii="Times New Roman" w:hAnsi="Times New Roman" w:cs="Times New Roman"/>
          <w:szCs w:val="32"/>
          <w:lang w:val="zh-CN" w:eastAsia="zh-CN"/>
        </w:rPr>
      </w:pPr>
      <w:r>
        <w:rPr>
          <w:rFonts w:hint="eastAsia" w:ascii="仿宋_GB2312" w:hAnsi="宋体" w:cs="宋体"/>
          <w:b/>
          <w:bCs/>
          <w:color w:val="000000"/>
          <w:kern w:val="0"/>
          <w:highlight w:val="none"/>
          <w:lang w:val="en-US" w:eastAsia="zh-CN"/>
        </w:rPr>
        <w:t>环境监测站：</w:t>
      </w:r>
      <w:r>
        <w:rPr>
          <w:rFonts w:hint="eastAsia" w:ascii="仿宋_GB2312" w:hAnsi="宋体" w:cs="宋体"/>
          <w:color w:val="000000"/>
          <w:kern w:val="0"/>
          <w:lang w:val="en-US" w:eastAsia="zh-CN"/>
        </w:rPr>
        <w:t>2025年</w:t>
      </w:r>
      <w:r>
        <w:rPr>
          <w:rFonts w:hint="eastAsia" w:ascii="仿宋_GB2312" w:hAnsi="宋体" w:cs="宋体"/>
          <w:color w:val="000000"/>
          <w:kern w:val="0"/>
          <w:lang w:val="zh-CN"/>
        </w:rPr>
        <w:t>财政拨款支出</w:t>
      </w:r>
      <w:r>
        <w:rPr>
          <w:rFonts w:hint="eastAsia" w:ascii="仿宋_GB2312" w:hAnsi="宋体" w:cs="宋体"/>
          <w:color w:val="000000"/>
          <w:kern w:val="0"/>
          <w:lang w:val="en-US" w:eastAsia="zh-CN"/>
        </w:rPr>
        <w:t>339.62</w:t>
      </w:r>
      <w:r>
        <w:rPr>
          <w:rFonts w:hint="eastAsia" w:ascii="仿宋_GB2312" w:hAnsi="宋体" w:cs="宋体"/>
          <w:color w:val="000000"/>
          <w:kern w:val="0"/>
          <w:lang w:val="zh-CN"/>
        </w:rPr>
        <w:t>万元，</w:t>
      </w:r>
      <w:r>
        <w:rPr>
          <w:rFonts w:hint="eastAsia" w:ascii="仿宋_GB2312" w:hAnsi="宋体" w:cs="宋体"/>
          <w:color w:val="000000"/>
          <w:kern w:val="0"/>
          <w:lang w:val="en-US" w:eastAsia="zh-CN"/>
        </w:rPr>
        <w:t>其中社会保障和就业</w:t>
      </w:r>
      <w:r>
        <w:rPr>
          <w:rFonts w:hint="eastAsia" w:ascii="仿宋_GB2312" w:hAnsi="宋体" w:cs="宋体"/>
          <w:color w:val="000000"/>
          <w:kern w:val="0"/>
          <w:highlight w:val="none"/>
          <w:lang w:val="zh-CN"/>
        </w:rPr>
        <w:t>支出</w:t>
      </w:r>
      <w:r>
        <w:rPr>
          <w:rFonts w:hint="eastAsia" w:ascii="仿宋_GB2312" w:hAnsi="宋体" w:cs="宋体"/>
          <w:color w:val="000000"/>
          <w:kern w:val="0"/>
          <w:highlight w:val="none"/>
          <w:lang w:val="en-US" w:eastAsia="zh-CN"/>
        </w:rPr>
        <w:t>56.15</w:t>
      </w:r>
      <w:r>
        <w:rPr>
          <w:rFonts w:hint="eastAsia" w:ascii="仿宋_GB2312" w:hAnsi="宋体" w:cs="宋体"/>
          <w:color w:val="000000"/>
          <w:kern w:val="0"/>
          <w:highlight w:val="none"/>
          <w:lang w:val="zh-CN"/>
        </w:rPr>
        <w:t>万元占总支出</w:t>
      </w:r>
      <w:r>
        <w:rPr>
          <w:rFonts w:hint="eastAsia" w:ascii="仿宋_GB2312" w:hAnsi="宋体" w:cs="宋体"/>
          <w:color w:val="000000"/>
          <w:kern w:val="0"/>
          <w:highlight w:val="none"/>
          <w:lang w:val="en-US" w:eastAsia="zh-CN"/>
        </w:rPr>
        <w:t>16.53%</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卫生和健康</w:t>
      </w:r>
      <w:r>
        <w:rPr>
          <w:rFonts w:hint="eastAsia" w:ascii="仿宋_GB2312" w:hAnsi="宋体" w:cs="宋体"/>
          <w:color w:val="000000"/>
          <w:kern w:val="0"/>
          <w:highlight w:val="none"/>
          <w:lang w:val="zh-CN"/>
        </w:rPr>
        <w:t>支出</w:t>
      </w:r>
      <w:r>
        <w:rPr>
          <w:rFonts w:hint="eastAsia" w:ascii="仿宋_GB2312" w:hAnsi="宋体" w:cs="宋体"/>
          <w:color w:val="000000"/>
          <w:kern w:val="0"/>
          <w:highlight w:val="none"/>
          <w:lang w:val="en-US" w:eastAsia="zh-CN"/>
        </w:rPr>
        <w:t>20.44</w:t>
      </w:r>
      <w:r>
        <w:rPr>
          <w:rFonts w:hint="eastAsia" w:ascii="仿宋_GB2312" w:hAnsi="宋体" w:cs="宋体"/>
          <w:color w:val="000000"/>
          <w:kern w:val="0"/>
          <w:highlight w:val="none"/>
          <w:lang w:val="zh-CN"/>
        </w:rPr>
        <w:t>万元占总支出</w:t>
      </w:r>
      <w:r>
        <w:rPr>
          <w:rFonts w:hint="eastAsia" w:ascii="仿宋_GB2312" w:hAnsi="宋体" w:cs="宋体"/>
          <w:color w:val="000000"/>
          <w:kern w:val="0"/>
          <w:highlight w:val="none"/>
          <w:lang w:val="en-US" w:eastAsia="zh-CN"/>
        </w:rPr>
        <w:t>6.0</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节能环保支出230.94万元</w:t>
      </w:r>
      <w:r>
        <w:rPr>
          <w:rFonts w:hint="eastAsia" w:ascii="仿宋_GB2312" w:hAnsi="宋体" w:cs="宋体"/>
          <w:color w:val="000000"/>
          <w:kern w:val="0"/>
          <w:highlight w:val="none"/>
          <w:lang w:val="zh-CN"/>
        </w:rPr>
        <w:t>占总支出</w:t>
      </w:r>
      <w:r>
        <w:rPr>
          <w:rFonts w:hint="eastAsia" w:ascii="仿宋_GB2312" w:hAnsi="宋体" w:cs="宋体"/>
          <w:color w:val="000000"/>
          <w:kern w:val="0"/>
          <w:highlight w:val="none"/>
          <w:lang w:val="en-US" w:eastAsia="zh-CN"/>
        </w:rPr>
        <w:t>68</w:t>
      </w:r>
      <w:r>
        <w:rPr>
          <w:rFonts w:hint="eastAsia" w:ascii="仿宋_GB2312" w:hAnsi="宋体" w:cs="宋体"/>
          <w:color w:val="000000"/>
          <w:kern w:val="0"/>
          <w:highlight w:val="none"/>
          <w:lang w:val="zh-CN"/>
        </w:rPr>
        <w:t>%，</w:t>
      </w:r>
      <w:r>
        <w:rPr>
          <w:rFonts w:hint="eastAsia" w:ascii="仿宋_GB2312" w:hAnsi="宋体" w:cs="宋体"/>
          <w:color w:val="000000"/>
          <w:kern w:val="0"/>
          <w:highlight w:val="none"/>
          <w:lang w:val="en-US" w:eastAsia="zh-CN"/>
        </w:rPr>
        <w:t>住房保障支出32.09万元占总支出9.5%。</w:t>
      </w:r>
    </w:p>
    <w:p w14:paraId="18758E06">
      <w:pPr>
        <w:keepNext w:val="0"/>
        <w:keepLines w:val="0"/>
        <w:pageBreakBefore w:val="0"/>
        <w:widowControl/>
        <w:numPr>
          <w:ilvl w:val="0"/>
          <w:numId w:val="6"/>
        </w:numPr>
        <w:kinsoku/>
        <w:wordWrap/>
        <w:overflowPunct/>
        <w:topLinePunct w:val="0"/>
        <w:autoSpaceDE/>
        <w:autoSpaceDN/>
        <w:bidi w:val="0"/>
        <w:adjustRightInd w:val="0"/>
        <w:snapToGrid w:val="0"/>
        <w:spacing w:line="580" w:lineRule="exact"/>
        <w:ind w:left="0" w:leftChars="0" w:firstLine="643" w:firstLineChars="200"/>
        <w:contextualSpacing/>
        <w:jc w:val="left"/>
        <w:textAlignment w:val="auto"/>
        <w:outlineLvl w:val="9"/>
        <w:rPr>
          <w:rFonts w:hint="eastAsia" w:ascii="Times New Roman" w:hAnsi="Times New Roman" w:eastAsia="楷体_GB2312" w:cs="Times New Roman"/>
          <w:b/>
          <w:szCs w:val="32"/>
          <w:lang w:eastAsia="zh-CN"/>
        </w:rPr>
      </w:pPr>
      <w:r>
        <w:rPr>
          <w:rFonts w:hint="default"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14:paraId="31F647F9">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eastAsia="黑体" w:cs="Times New Roman"/>
          <w:color w:val="000000"/>
          <w:kern w:val="0"/>
          <w:szCs w:val="32"/>
          <w:highlight w:val="none"/>
          <w:shd w:val="clear" w:color="auto" w:fill="FFFFFF"/>
          <w:lang w:val="en-US" w:eastAsia="zh-CN"/>
        </w:rPr>
      </w:pPr>
      <w:r>
        <w:rPr>
          <w:rFonts w:hint="eastAsia" w:eastAsia="黑体" w:cs="Times New Roman"/>
          <w:color w:val="000000"/>
          <w:kern w:val="0"/>
          <w:szCs w:val="32"/>
          <w:highlight w:val="none"/>
          <w:shd w:val="clear" w:color="auto" w:fill="FFFFFF"/>
          <w:lang w:val="en-US" w:eastAsia="zh-CN"/>
        </w:rPr>
        <w:t>无</w:t>
      </w:r>
    </w:p>
    <w:p w14:paraId="4A736684">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231E61AF">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hint="default" w:ascii="Times New Roman" w:hAnsi="Times New Roman" w:eastAsia="楷体_GB2312" w:cs="Times New Roman"/>
          <w:b/>
          <w:bCs/>
          <w:color w:val="000000"/>
          <w:kern w:val="0"/>
          <w:szCs w:val="32"/>
          <w:highlight w:val="none"/>
          <w:shd w:val="clear" w:color="auto" w:fill="FFFFFF"/>
          <w:lang w:val="zh-CN"/>
        </w:rPr>
        <w:t>总体绩效分析。</w:t>
      </w:r>
    </w:p>
    <w:p w14:paraId="59E9D75A">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eastAsia" w:ascii="楷体_GB2312" w:hAnsi="楷体_GB2312" w:eastAsia="楷体_GB2312" w:cs="楷体_GB2312"/>
          <w:color w:val="000000"/>
          <w:kern w:val="0"/>
          <w:szCs w:val="32"/>
          <w:highlight w:val="none"/>
          <w:shd w:val="clear" w:color="auto" w:fill="FFFFFF"/>
          <w:lang w:val="en-US" w:eastAsia="zh-CN"/>
        </w:rPr>
        <w:t>1.</w:t>
      </w:r>
      <w:r>
        <w:rPr>
          <w:rFonts w:hint="eastAsia" w:ascii="楷体_GB2312" w:hAnsi="楷体_GB2312" w:eastAsia="楷体_GB2312" w:cs="楷体_GB2312"/>
          <w:color w:val="000000"/>
          <w:kern w:val="0"/>
          <w:szCs w:val="32"/>
          <w:highlight w:val="none"/>
          <w:shd w:val="clear" w:color="auto" w:fill="FFFFFF"/>
          <w:lang w:val="zh-CN"/>
        </w:rPr>
        <w:t>履职效能。</w:t>
      </w:r>
    </w:p>
    <w:p w14:paraId="172611BB">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eastAsia="仿宋_GB2312"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zh-CN"/>
        </w:rPr>
        <w:t>履行职能基本支出</w:t>
      </w:r>
      <w:r>
        <w:rPr>
          <w:rFonts w:hint="eastAsia" w:cs="Times New Roman"/>
          <w:color w:val="000000"/>
          <w:kern w:val="0"/>
          <w:szCs w:val="32"/>
          <w:highlight w:val="none"/>
          <w:shd w:val="clear" w:color="auto" w:fill="FFFFFF"/>
          <w:lang w:val="zh-CN"/>
        </w:rPr>
        <w:t>：汶川生态环境局及综合执法大队人员工资、保险、工作经费等基本支出，</w:t>
      </w:r>
      <w:r>
        <w:rPr>
          <w:rFonts w:hint="eastAsia" w:cs="Times New Roman"/>
          <w:color w:val="000000"/>
          <w:kern w:val="0"/>
          <w:szCs w:val="32"/>
          <w:highlight w:val="none"/>
          <w:shd w:val="clear" w:color="auto" w:fill="FFFFFF"/>
          <w:lang w:val="en-US" w:eastAsia="zh-CN"/>
        </w:rPr>
        <w:t>截止2025年底，按照相关部门要求开展工作，全面完成年度工作目标任务，资金支付率100%，完成效果优。</w:t>
      </w:r>
    </w:p>
    <w:p w14:paraId="60C210B8">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履行职能基本支出</w:t>
      </w:r>
      <w:r>
        <w:rPr>
          <w:rFonts w:hint="eastAsia" w:cs="Times New Roman"/>
          <w:color w:val="000000"/>
          <w:kern w:val="0"/>
          <w:szCs w:val="32"/>
          <w:highlight w:val="none"/>
          <w:shd w:val="clear" w:color="auto" w:fill="FFFFFF"/>
          <w:lang w:val="zh-CN"/>
        </w:rPr>
        <w:t>：汶川环境监测站及环保中心人员工资、保险、工作经费等基本支出，</w:t>
      </w:r>
      <w:r>
        <w:rPr>
          <w:rFonts w:hint="eastAsia" w:cs="Times New Roman"/>
          <w:color w:val="000000"/>
          <w:kern w:val="0"/>
          <w:szCs w:val="32"/>
          <w:highlight w:val="none"/>
          <w:shd w:val="clear" w:color="auto" w:fill="FFFFFF"/>
          <w:lang w:val="en-US" w:eastAsia="zh-CN"/>
        </w:rPr>
        <w:t>截止2025年底，按照相关部门要求开展工作，全面完成年度工作目标任务，资金支付率100%，完成效果优。</w:t>
      </w:r>
    </w:p>
    <w:p w14:paraId="6DAAB190">
      <w:pPr>
        <w:pStyle w:val="15"/>
        <w:keepNext w:val="0"/>
        <w:keepLines w:val="0"/>
        <w:pageBreakBefore w:val="0"/>
        <w:kinsoku/>
        <w:wordWrap/>
        <w:overflowPunct/>
        <w:topLinePunct w:val="0"/>
        <w:autoSpaceDE/>
        <w:autoSpaceDN/>
        <w:bidi w:val="0"/>
        <w:spacing w:line="580" w:lineRule="exact"/>
        <w:ind w:left="0" w:leftChars="0" w:firstLine="64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zh-CN" w:eastAsia="zh-CN"/>
          <w14:textFill>
            <w14:solidFill>
              <w14:schemeClr w14:val="tx1"/>
            </w14:solidFill>
          </w14:textFill>
        </w:rPr>
        <w:t>履行职能</w:t>
      </w:r>
      <w:r>
        <w:rPr>
          <w:rFonts w:hint="eastAsia"/>
          <w:color w:val="000000" w:themeColor="text1"/>
          <w:lang w:val="en-US" w:eastAsia="zh-CN"/>
          <w14:textFill>
            <w14:solidFill>
              <w14:schemeClr w14:val="tx1"/>
            </w14:solidFill>
          </w14:textFill>
        </w:rPr>
        <w:t>项目</w:t>
      </w:r>
      <w:r>
        <w:rPr>
          <w:rFonts w:hint="eastAsia"/>
          <w:color w:val="000000" w:themeColor="text1"/>
          <w:lang w:val="zh-CN" w:eastAsia="zh-CN"/>
          <w14:textFill>
            <w14:solidFill>
              <w14:schemeClr w14:val="tx1"/>
            </w14:solidFill>
          </w14:textFill>
        </w:rPr>
        <w:t>支出：汶川县全域范围内的环境执法检查、“6.5”环境宣传、法律服务</w:t>
      </w:r>
      <w:r>
        <w:rPr>
          <w:rFonts w:hint="eastAsia"/>
          <w:color w:val="000000" w:themeColor="text1"/>
          <w:lang w:val="en-US" w:eastAsia="zh-CN"/>
          <w14:textFill>
            <w14:solidFill>
              <w14:schemeClr w14:val="tx1"/>
            </w14:solidFill>
          </w14:textFill>
        </w:rPr>
        <w:t>经费、</w:t>
      </w:r>
      <w:r>
        <w:rPr>
          <w:rFonts w:hint="eastAsia"/>
          <w:color w:val="000000" w:themeColor="text1"/>
          <w:lang w:val="zh-CN" w:eastAsia="zh-CN"/>
          <w14:textFill>
            <w14:solidFill>
              <w14:schemeClr w14:val="tx1"/>
            </w14:solidFill>
          </w14:textFill>
        </w:rPr>
        <w:t>全县的重点污染源监测和监测站的24小时运维等专项工作经费</w:t>
      </w:r>
      <w:r>
        <w:rPr>
          <w:rFonts w:hint="eastAsia"/>
          <w:color w:val="000000" w:themeColor="text1"/>
          <w:lang w:val="en-US" w:eastAsia="zh-CN"/>
          <w14:textFill>
            <w14:solidFill>
              <w14:schemeClr w14:val="tx1"/>
            </w14:solidFill>
          </w14:textFill>
        </w:rPr>
        <w:t>支出，截止2025年底，按照相关要求，全面完成年度工作目标任务，资金支付率100%，完成效果优。</w:t>
      </w:r>
    </w:p>
    <w:p w14:paraId="3CA23B70">
      <w:pPr>
        <w:pStyle w:val="15"/>
        <w:keepNext w:val="0"/>
        <w:keepLines w:val="0"/>
        <w:pageBreakBefore w:val="0"/>
        <w:kinsoku/>
        <w:wordWrap/>
        <w:overflowPunct/>
        <w:topLinePunct w:val="0"/>
        <w:autoSpaceDE/>
        <w:autoSpaceDN/>
        <w:bidi w:val="0"/>
        <w:spacing w:line="580" w:lineRule="exact"/>
        <w:ind w:left="0" w:leftChars="0" w:firstLine="640" w:firstLineChars="200"/>
        <w:textAlignment w:val="auto"/>
        <w:rPr>
          <w:rFonts w:hint="default"/>
          <w:color w:val="auto"/>
          <w:lang w:val="en-US" w:eastAsia="zh-CN"/>
        </w:rPr>
      </w:pPr>
      <w:r>
        <w:rPr>
          <w:rFonts w:hint="eastAsia"/>
          <w:color w:val="000000" w:themeColor="text1"/>
          <w:lang w:val="en-US" w:eastAsia="zh-CN"/>
          <w14:textFill>
            <w14:solidFill>
              <w14:schemeClr w14:val="tx1"/>
            </w14:solidFill>
          </w14:textFill>
        </w:rPr>
        <w:t>其他收入项目支出：截止2025年底，我单位其他收入共计1230.03万元，</w:t>
      </w:r>
      <w:r>
        <w:rPr>
          <w:rFonts w:hint="eastAsia"/>
          <w:color w:val="auto"/>
          <w:lang w:val="en-US" w:eastAsia="zh-CN"/>
        </w:rPr>
        <w:t>（其中汶川县2023年度国家重点生态功能区监测与评价项目246000元、2024年-2025年汶川县网格化监管网格员及企业、在建项目管理人员业务能力提升培训以及采购环保管家管理机构项目156400元、汶川县2024年农村污水质量设施设备运行维护项目1100000元、汶川县2024年度国家重点生态功能区监测与评价项目4466336元、2024年入河排污口规范化建设项目317700元），资金支付率78.15%，效果完成良。</w:t>
      </w:r>
    </w:p>
    <w:p w14:paraId="17A5D5FB">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楷体_GB2312" w:hAnsi="楷体_GB2312" w:eastAsia="楷体_GB2312" w:cs="楷体_GB2312"/>
          <w:color w:val="000000"/>
          <w:kern w:val="0"/>
          <w:szCs w:val="32"/>
          <w:highlight w:val="none"/>
          <w:shd w:val="clear" w:color="auto" w:fill="FFFFFF"/>
          <w:lang w:val="en-US" w:eastAsia="zh-CN"/>
        </w:rPr>
        <w:t>2.</w:t>
      </w:r>
      <w:r>
        <w:rPr>
          <w:rFonts w:hint="default" w:ascii="楷体_GB2312" w:hAnsi="楷体_GB2312" w:eastAsia="楷体_GB2312" w:cs="楷体_GB2312"/>
          <w:color w:val="000000"/>
          <w:kern w:val="0"/>
          <w:szCs w:val="32"/>
          <w:highlight w:val="none"/>
          <w:shd w:val="clear" w:color="auto" w:fill="FFFFFF"/>
          <w:lang w:val="zh-CN"/>
        </w:rPr>
        <w:t>预算管理</w:t>
      </w:r>
      <w:r>
        <w:rPr>
          <w:rFonts w:hint="eastAsia" w:ascii="楷体_GB2312" w:hAnsi="楷体_GB2312" w:eastAsia="楷体_GB2312" w:cs="楷体_GB2312"/>
          <w:color w:val="000000"/>
          <w:kern w:val="0"/>
          <w:szCs w:val="32"/>
          <w:highlight w:val="none"/>
          <w:shd w:val="clear" w:color="auto" w:fill="FFFFFF"/>
          <w:lang w:val="zh-CN"/>
        </w:rPr>
        <w:t>。</w:t>
      </w:r>
    </w:p>
    <w:p w14:paraId="4E1D1EBC">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contextualSpacing/>
        <w:jc w:val="left"/>
        <w:textAlignment w:val="auto"/>
        <w:rPr>
          <w:rFonts w:hint="eastAsia" w:ascii="仿宋_GB2312" w:eastAsia="仿宋_GB2312"/>
          <w:sz w:val="32"/>
          <w:lang w:val="en-US" w:eastAsia="zh-CN"/>
        </w:rPr>
      </w:pPr>
      <w:r>
        <w:rPr>
          <w:rFonts w:hint="eastAsia" w:ascii="仿宋_GB2312" w:eastAsia="仿宋_GB2312"/>
          <w:b/>
          <w:bCs/>
          <w:sz w:val="32"/>
          <w:lang w:val="en-US" w:eastAsia="zh-CN"/>
        </w:rPr>
        <w:t>预算编制准确、</w:t>
      </w:r>
      <w:r>
        <w:rPr>
          <w:rFonts w:hint="eastAsia" w:ascii="仿宋_GB2312"/>
          <w:b/>
          <w:bCs/>
          <w:sz w:val="32"/>
          <w:lang w:val="en-US" w:eastAsia="zh-CN"/>
        </w:rPr>
        <w:t>严控</w:t>
      </w:r>
      <w:r>
        <w:rPr>
          <w:rFonts w:hint="eastAsia" w:ascii="仿宋_GB2312" w:eastAsia="仿宋_GB2312"/>
          <w:b/>
          <w:bCs/>
          <w:sz w:val="32"/>
          <w:lang w:val="en-US" w:eastAsia="zh-CN"/>
        </w:rPr>
        <w:t>支出</w:t>
      </w:r>
      <w:r>
        <w:rPr>
          <w:rFonts w:hint="eastAsia" w:ascii="仿宋_GB2312"/>
          <w:b/>
          <w:bCs/>
          <w:sz w:val="32"/>
          <w:lang w:val="en-US" w:eastAsia="zh-CN"/>
        </w:rPr>
        <w:t>。</w:t>
      </w:r>
      <w:r>
        <w:rPr>
          <w:rFonts w:hint="eastAsia" w:ascii="仿宋_GB2312" w:eastAsia="仿宋_GB2312"/>
          <w:sz w:val="32"/>
          <w:lang w:val="en-US" w:eastAsia="zh-CN"/>
        </w:rPr>
        <w:t>按照州财政预算编制工作要求，组织财务人员积极参与预算编制培训会，及时掌握预算编制口径等相关知识，在编制中根据《中华人民共和国预算法》及州财政局的要求，结合本单位实际，按照增收节支、厉行节约、绩效优化的原则，全面、及时、完整地编制了单位预算，严控“三公”经费管理，从严从紧编制预算。并经财政部门审核后予以下达，根据年初的预算指标下达数，合理编制资金使用进度方案，深化预算绩效管理，提高资金使用效益</w:t>
      </w:r>
      <w:r>
        <w:rPr>
          <w:rFonts w:hint="eastAsia" w:ascii="仿宋_GB2312"/>
          <w:sz w:val="32"/>
          <w:lang w:val="en-US" w:eastAsia="zh-CN"/>
        </w:rPr>
        <w:t>。支出也完全按照预算安排支出，</w:t>
      </w:r>
      <w:r>
        <w:rPr>
          <w:rFonts w:hint="eastAsia" w:ascii="仿宋_GB2312" w:cs="宋体"/>
          <w:color w:val="000000"/>
          <w:kern w:val="0"/>
          <w:szCs w:val="32"/>
          <w:shd w:val="clear" w:color="auto" w:fill="FFFFFF"/>
          <w:lang w:val="zh-CN"/>
        </w:rPr>
        <w:t>支出控制严格，</w:t>
      </w:r>
      <w:r>
        <w:rPr>
          <w:rFonts w:hint="eastAsia" w:ascii="仿宋_GB2312" w:cs="宋体"/>
          <w:color w:val="000000"/>
          <w:kern w:val="0"/>
          <w:szCs w:val="32"/>
          <w:shd w:val="clear" w:color="auto" w:fill="FFFFFF"/>
          <w:lang w:val="en-US" w:eastAsia="zh-CN"/>
        </w:rPr>
        <w:t>2025</w:t>
      </w:r>
      <w:r>
        <w:rPr>
          <w:rFonts w:hint="eastAsia" w:ascii="仿宋_GB2312" w:cs="宋体"/>
          <w:color w:val="000000"/>
          <w:kern w:val="0"/>
          <w:szCs w:val="32"/>
          <w:shd w:val="clear" w:color="auto" w:fill="FFFFFF"/>
          <w:lang w:val="zh-CN"/>
        </w:rPr>
        <w:t>年我</w:t>
      </w:r>
      <w:r>
        <w:rPr>
          <w:rFonts w:hint="eastAsia" w:ascii="仿宋_GB2312" w:cs="宋体"/>
          <w:color w:val="000000"/>
          <w:kern w:val="0"/>
          <w:szCs w:val="32"/>
          <w:shd w:val="clear" w:color="auto" w:fill="FFFFFF"/>
          <w:lang w:val="en-US" w:eastAsia="zh-CN"/>
        </w:rPr>
        <w:t>单位</w:t>
      </w:r>
      <w:r>
        <w:rPr>
          <w:rFonts w:hint="eastAsia" w:ascii="仿宋_GB2312" w:cs="宋体"/>
          <w:color w:val="000000"/>
          <w:kern w:val="0"/>
          <w:szCs w:val="32"/>
          <w:shd w:val="clear" w:color="auto" w:fill="FFFFFF"/>
          <w:lang w:val="zh-CN"/>
        </w:rPr>
        <w:t>基本支出和项目支出按照每月实际报销金额进行支付进度申请，保质保量完成支付使用。</w:t>
      </w:r>
    </w:p>
    <w:p w14:paraId="2E511C22">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contextualSpacing/>
        <w:jc w:val="left"/>
        <w:textAlignment w:val="auto"/>
        <w:rPr>
          <w:rFonts w:hint="eastAsia" w:ascii="仿宋_GB2312" w:eastAsia="仿宋_GB2312"/>
          <w:color w:val="0070C0"/>
          <w:sz w:val="32"/>
          <w:lang w:val="en-US" w:eastAsia="zh-CN"/>
        </w:rPr>
      </w:pPr>
      <w:r>
        <w:rPr>
          <w:rFonts w:hint="eastAsia" w:ascii="仿宋_GB2312" w:eastAsia="仿宋_GB2312"/>
          <w:b/>
          <w:bCs/>
          <w:sz w:val="32"/>
          <w:lang w:val="en-US" w:eastAsia="zh-CN"/>
        </w:rPr>
        <w:t>预算动态调整、执行进度</w:t>
      </w:r>
      <w:r>
        <w:rPr>
          <w:rFonts w:hint="eastAsia" w:ascii="仿宋_GB2312"/>
          <w:b/>
          <w:bCs/>
          <w:sz w:val="32"/>
          <w:lang w:val="en-US" w:eastAsia="zh-CN"/>
        </w:rPr>
        <w:t>。</w:t>
      </w:r>
      <w:r>
        <w:rPr>
          <w:rFonts w:hint="eastAsia" w:ascii="仿宋_GB2312" w:eastAsia="仿宋_GB2312"/>
          <w:sz w:val="32"/>
          <w:lang w:val="en-US" w:eastAsia="zh-CN"/>
        </w:rPr>
        <w:t>202</w:t>
      </w:r>
      <w:r>
        <w:rPr>
          <w:rFonts w:hint="eastAsia" w:ascii="仿宋_GB2312"/>
          <w:sz w:val="32"/>
          <w:lang w:val="en-US" w:eastAsia="zh-CN"/>
        </w:rPr>
        <w:t>5</w:t>
      </w:r>
      <w:r>
        <w:rPr>
          <w:rFonts w:hint="eastAsia" w:ascii="仿宋_GB2312" w:eastAsia="仿宋_GB2312"/>
          <w:sz w:val="32"/>
          <w:lang w:val="en-US" w:eastAsia="zh-CN"/>
        </w:rPr>
        <w:t>年完成预算的100%，基本支出和项目支出执行力度和完成情况较好。在预算执行中，严格按工作开展进度、预算资金计划等执行，分管财务领导定期督查单位预算执行情况，并加强与财政部门的衔接沟通。对涉及的项目资金严格按项目实施进度拨付预算资金，加强了财政资金的事前、事中、事后监管，无超进度、超预算拨付资金。</w:t>
      </w:r>
    </w:p>
    <w:p w14:paraId="67A60343">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leftChars="0" w:firstLine="640" w:firstLineChars="200"/>
        <w:contextualSpacing/>
        <w:jc w:val="left"/>
        <w:textAlignment w:val="auto"/>
        <w:outlineLvl w:val="9"/>
        <w:rPr>
          <w:rFonts w:hint="default" w:ascii="Times New Roman" w:cs="Times New Roman"/>
          <w:color w:val="000000" w:themeColor="text1"/>
          <w:kern w:val="0"/>
          <w:szCs w:val="32"/>
          <w:highlight w:val="none"/>
          <w:shd w:val="clear" w:color="auto" w:fill="FFFFFF"/>
          <w:lang w:val="en-US" w:eastAsia="zh-CN"/>
          <w14:textFill>
            <w14:solidFill>
              <w14:schemeClr w14:val="tx1"/>
            </w14:solidFill>
          </w14:textFill>
        </w:rPr>
      </w:pPr>
      <w:r>
        <w:rPr>
          <w:rFonts w:hint="eastAsia"/>
          <w:lang w:val="en-US" w:eastAsia="zh-CN"/>
        </w:rPr>
        <w:t xml:space="preserve"> </w:t>
      </w:r>
      <w:r>
        <w:rPr>
          <w:rFonts w:hint="eastAsia" w:ascii="仿宋_GB2312" w:hAnsi="Times New Roman" w:eastAsia="仿宋_GB2312" w:cs="Times New Roman"/>
          <w:b/>
          <w:bCs/>
          <w:kern w:val="2"/>
          <w:sz w:val="32"/>
          <w:szCs w:val="24"/>
          <w:lang w:val="zh-CN" w:eastAsia="zh-CN" w:bidi="ar-SA"/>
        </w:rPr>
        <w:t>单位收入统筹、预算年终结余。</w:t>
      </w:r>
      <w:r>
        <w:rPr>
          <w:rFonts w:hint="eastAsia" w:ascii="Times New Roman" w:cs="Times New Roman"/>
          <w:color w:val="000000" w:themeColor="text1"/>
          <w:kern w:val="0"/>
          <w:szCs w:val="32"/>
          <w:highlight w:val="none"/>
          <w:shd w:val="clear" w:color="auto" w:fill="FFFFFF"/>
          <w:lang w:val="en-US" w:eastAsia="zh-CN"/>
          <w14:textFill>
            <w14:solidFill>
              <w14:schemeClr w14:val="tx1"/>
            </w14:solidFill>
          </w14:textFill>
        </w:rPr>
        <w:t>202</w:t>
      </w:r>
      <w:r>
        <w:rPr>
          <w:rFonts w:hint="eastAsia" w:cs="Times New Roman"/>
          <w:color w:val="000000" w:themeColor="text1"/>
          <w:kern w:val="0"/>
          <w:szCs w:val="32"/>
          <w:highlight w:val="none"/>
          <w:shd w:val="clear" w:color="auto" w:fill="FFFFFF"/>
          <w:lang w:val="en-US" w:eastAsia="zh-CN"/>
          <w14:textFill>
            <w14:solidFill>
              <w14:schemeClr w14:val="tx1"/>
            </w14:solidFill>
          </w14:textFill>
        </w:rPr>
        <w:t>5</w:t>
      </w:r>
      <w:r>
        <w:rPr>
          <w:rFonts w:hint="eastAsia" w:ascii="Times New Roman" w:cs="Times New Roman"/>
          <w:color w:val="000000" w:themeColor="text1"/>
          <w:kern w:val="0"/>
          <w:szCs w:val="32"/>
          <w:highlight w:val="none"/>
          <w:shd w:val="clear" w:color="auto" w:fill="FFFFFF"/>
          <w:lang w:val="en-US" w:eastAsia="zh-CN"/>
          <w14:textFill>
            <w14:solidFill>
              <w14:schemeClr w14:val="tx1"/>
            </w14:solidFill>
          </w14:textFill>
        </w:rPr>
        <w:t>年我单位收入包括财政拨款收入和其他收入，均按照财政要求在预算一体化中体现，及时做好收入追加，202</w:t>
      </w:r>
      <w:r>
        <w:rPr>
          <w:rFonts w:hint="eastAsia" w:cs="Times New Roman"/>
          <w:color w:val="000000" w:themeColor="text1"/>
          <w:kern w:val="0"/>
          <w:szCs w:val="32"/>
          <w:highlight w:val="none"/>
          <w:shd w:val="clear" w:color="auto" w:fill="FFFFFF"/>
          <w:lang w:val="en-US" w:eastAsia="zh-CN"/>
          <w14:textFill>
            <w14:solidFill>
              <w14:schemeClr w14:val="tx1"/>
            </w14:solidFill>
          </w14:textFill>
        </w:rPr>
        <w:t>5</w:t>
      </w:r>
      <w:r>
        <w:rPr>
          <w:rFonts w:hint="eastAsia" w:ascii="Times New Roman" w:cs="Times New Roman"/>
          <w:color w:val="000000" w:themeColor="text1"/>
          <w:kern w:val="0"/>
          <w:szCs w:val="32"/>
          <w:highlight w:val="none"/>
          <w:shd w:val="clear" w:color="auto" w:fill="FFFFFF"/>
          <w:lang w:val="en-US" w:eastAsia="zh-CN"/>
          <w14:textFill>
            <w14:solidFill>
              <w14:schemeClr w14:val="tx1"/>
            </w14:solidFill>
          </w14:textFill>
        </w:rPr>
        <w:t>年底我单位一般公共预算年终结余全部收回财政。</w:t>
      </w:r>
    </w:p>
    <w:p w14:paraId="2717D61B">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楷体_GB2312" w:hAnsi="楷体_GB2312" w:eastAsia="楷体_GB2312" w:cs="楷体_GB2312"/>
          <w:color w:val="000000"/>
          <w:kern w:val="0"/>
          <w:szCs w:val="32"/>
          <w:highlight w:val="none"/>
          <w:shd w:val="clear" w:color="auto" w:fill="FFFFFF"/>
          <w:lang w:val="en-US" w:eastAsia="zh-CN"/>
        </w:rPr>
        <w:t>3.</w:t>
      </w:r>
      <w:r>
        <w:rPr>
          <w:rFonts w:hint="default" w:ascii="楷体_GB2312" w:hAnsi="楷体_GB2312" w:eastAsia="楷体_GB2312" w:cs="楷体_GB2312"/>
          <w:color w:val="000000"/>
          <w:kern w:val="0"/>
          <w:szCs w:val="32"/>
          <w:highlight w:val="none"/>
          <w:shd w:val="clear" w:color="auto" w:fill="FFFFFF"/>
          <w:lang w:val="zh-CN" w:eastAsia="zh-CN"/>
        </w:rPr>
        <w:t>财务管理</w:t>
      </w:r>
      <w:r>
        <w:rPr>
          <w:rFonts w:hint="eastAsia" w:ascii="楷体_GB2312" w:hAnsi="楷体_GB2312" w:eastAsia="楷体_GB2312" w:cs="楷体_GB2312"/>
          <w:color w:val="000000"/>
          <w:kern w:val="0"/>
          <w:szCs w:val="32"/>
          <w:highlight w:val="none"/>
          <w:shd w:val="clear" w:color="auto" w:fill="FFFFFF"/>
          <w:lang w:val="zh-CN" w:eastAsia="zh-CN"/>
        </w:rPr>
        <w:t>。</w:t>
      </w:r>
    </w:p>
    <w:p w14:paraId="1D715888">
      <w:pPr>
        <w:pStyle w:val="10"/>
        <w:keepNext w:val="0"/>
        <w:keepLines w:val="0"/>
        <w:pageBreakBefore w:val="0"/>
        <w:numPr>
          <w:ilvl w:val="0"/>
          <w:numId w:val="0"/>
        </w:numPr>
        <w:kinsoku/>
        <w:wordWrap/>
        <w:overflowPunct/>
        <w:topLinePunct w:val="0"/>
        <w:autoSpaceDE/>
        <w:autoSpaceDN/>
        <w:bidi w:val="0"/>
        <w:spacing w:line="580" w:lineRule="exact"/>
        <w:ind w:firstLine="640" w:firstLineChars="200"/>
        <w:textAlignment w:val="auto"/>
        <w:rPr>
          <w:rFonts w:hint="eastAsia"/>
          <w:lang w:val="zh-CN"/>
        </w:rPr>
      </w:pPr>
      <w:r>
        <w:rPr>
          <w:rFonts w:hint="eastAsia"/>
          <w:lang w:val="zh-CN"/>
        </w:rPr>
        <w:t>我单位分别设会计、出纳人员各一名，实际工作中，会计、出纳各负其责、各司其职，相互制约。在经费管理中，建立规章制度，严格按照“逐级”审批原则，从严控制，紧缩支出。加强票据管理，严格审批权限，避免财务风险，加强和规范内部控制制度建设，提高会计核算和管理水平，持续推进和完善“小金库”治理工作的制度化、规范化和常态化，督促会计人员对各项财务、款项的增减变动和结存情况及时进行记录、计算、反映、核对，保证账证相符、帐表相符。加强完善内部财务管理制度，严格按照</w:t>
      </w:r>
      <w:r>
        <w:rPr>
          <w:rFonts w:hint="eastAsia"/>
          <w:lang w:val="en-US" w:eastAsia="zh-CN"/>
        </w:rPr>
        <w:t>财务</w:t>
      </w:r>
      <w:r>
        <w:rPr>
          <w:rFonts w:hint="eastAsia"/>
          <w:lang w:val="zh-CN"/>
        </w:rPr>
        <w:t>管理办法</w:t>
      </w:r>
      <w:r>
        <w:rPr>
          <w:rFonts w:hint="eastAsia"/>
          <w:lang w:val="en-US" w:eastAsia="zh-CN"/>
        </w:rPr>
        <w:t>支出相关经费</w:t>
      </w:r>
      <w:r>
        <w:rPr>
          <w:rFonts w:hint="eastAsia"/>
          <w:lang w:val="zh-CN"/>
        </w:rPr>
        <w:t>。</w:t>
      </w:r>
    </w:p>
    <w:p w14:paraId="5773ED40">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eastAsia" w:ascii="楷体_GB2312" w:hAnsi="楷体_GB2312" w:eastAsia="楷体_GB2312" w:cs="楷体_GB2312"/>
          <w:color w:val="000000"/>
          <w:kern w:val="0"/>
          <w:szCs w:val="32"/>
          <w:highlight w:val="none"/>
          <w:shd w:val="clear" w:color="auto" w:fill="FFFFFF"/>
          <w:lang w:val="en-US" w:eastAsia="zh-CN"/>
        </w:rPr>
        <w:t>4.</w:t>
      </w:r>
      <w:r>
        <w:rPr>
          <w:rFonts w:hint="default" w:ascii="楷体_GB2312" w:hAnsi="楷体_GB2312" w:eastAsia="楷体_GB2312" w:cs="楷体_GB2312"/>
          <w:color w:val="000000"/>
          <w:kern w:val="0"/>
          <w:szCs w:val="32"/>
          <w:highlight w:val="none"/>
          <w:shd w:val="clear" w:color="auto" w:fill="FFFFFF"/>
          <w:lang w:val="zh-CN"/>
        </w:rPr>
        <w:t>资产管理</w:t>
      </w:r>
      <w:r>
        <w:rPr>
          <w:rFonts w:hint="eastAsia" w:ascii="楷体_GB2312" w:hAnsi="楷体_GB2312" w:eastAsia="楷体_GB2312" w:cs="楷体_GB2312"/>
          <w:color w:val="000000"/>
          <w:kern w:val="0"/>
          <w:szCs w:val="32"/>
          <w:highlight w:val="none"/>
          <w:shd w:val="clear" w:color="auto" w:fill="FFFFFF"/>
          <w:lang w:val="zh-CN"/>
        </w:rPr>
        <w:t>。</w:t>
      </w:r>
    </w:p>
    <w:p w14:paraId="21F2BFE7">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eastAsia="仿宋_GB2312" w:cs="Times New Roman"/>
          <w:color w:val="auto"/>
          <w:kern w:val="0"/>
          <w:sz w:val="32"/>
          <w:szCs w:val="32"/>
          <w:highlight w:val="none"/>
          <w:shd w:val="clear" w:color="auto" w:fill="FFFFFF"/>
          <w:lang w:val="zh-CN" w:eastAsia="zh-CN" w:bidi="ar-SA"/>
        </w:rPr>
      </w:pPr>
      <w:r>
        <w:rPr>
          <w:rFonts w:hint="eastAsia" w:ascii="Times New Roman" w:hAnsi="Times New Roman" w:cs="Times New Roman"/>
          <w:color w:val="000000"/>
          <w:kern w:val="0"/>
          <w:szCs w:val="32"/>
          <w:highlight w:val="none"/>
          <w:shd w:val="clear" w:color="auto" w:fill="FFFFFF"/>
          <w:lang w:val="zh-CN"/>
        </w:rPr>
        <w:t>我单位部门预算编制同步编制新增资产配置预算；国有资产交付使用后及时准确入账；明确资产使用和保管责任人、落实资产使用人在资产管理中的责任；国有资产折旧的计提符合相关会计规范；定期清理盘点资产、确保账实相符；行政事业性国有资产纳入四川省行政事业单位资产管理信息系统动态管理。</w:t>
      </w:r>
      <w:r>
        <w:rPr>
          <w:rFonts w:hint="eastAsia" w:ascii="Times New Roman" w:hAnsi="Times New Roman" w:eastAsia="仿宋_GB2312" w:cs="Times New Roman"/>
          <w:color w:val="auto"/>
          <w:kern w:val="0"/>
          <w:sz w:val="32"/>
          <w:szCs w:val="32"/>
          <w:highlight w:val="none"/>
          <w:shd w:val="clear" w:color="auto" w:fill="FFFFFF"/>
          <w:lang w:val="zh-CN" w:eastAsia="zh-CN" w:bidi="ar-SA"/>
        </w:rPr>
        <w:t>根据州直行政事业单位202</w:t>
      </w:r>
      <w:r>
        <w:rPr>
          <w:rFonts w:hint="eastAsia" w:cs="Times New Roman"/>
          <w:color w:val="auto"/>
          <w:kern w:val="0"/>
          <w:sz w:val="32"/>
          <w:szCs w:val="32"/>
          <w:highlight w:val="none"/>
          <w:shd w:val="clear" w:color="auto" w:fill="FFFFFF"/>
          <w:lang w:val="en-US" w:eastAsia="zh-CN" w:bidi="ar-SA"/>
        </w:rPr>
        <w:t>5</w:t>
      </w:r>
      <w:r>
        <w:rPr>
          <w:rFonts w:hint="eastAsia" w:ascii="Times New Roman" w:hAnsi="Times New Roman" w:eastAsia="仿宋_GB2312" w:cs="Times New Roman"/>
          <w:color w:val="auto"/>
          <w:kern w:val="0"/>
          <w:sz w:val="32"/>
          <w:szCs w:val="32"/>
          <w:highlight w:val="none"/>
          <w:shd w:val="clear" w:color="auto" w:fill="FFFFFF"/>
          <w:lang w:val="zh-CN" w:eastAsia="zh-CN" w:bidi="ar-SA"/>
        </w:rPr>
        <w:t>年人均资产变化率</w:t>
      </w:r>
      <w:r>
        <w:rPr>
          <w:rFonts w:hint="eastAsia" w:cs="Times New Roman"/>
          <w:color w:val="auto"/>
          <w:kern w:val="0"/>
          <w:sz w:val="32"/>
          <w:szCs w:val="32"/>
          <w:highlight w:val="none"/>
          <w:shd w:val="clear" w:color="auto" w:fill="FFFFFF"/>
          <w:lang w:val="en-US" w:eastAsia="zh-CN" w:bidi="ar-SA"/>
        </w:rPr>
        <w:t>-85</w:t>
      </w:r>
      <w:r>
        <w:rPr>
          <w:rFonts w:hint="eastAsia" w:ascii="Times New Roman" w:hAnsi="Times New Roman" w:eastAsia="仿宋_GB2312" w:cs="Times New Roman"/>
          <w:color w:val="auto"/>
          <w:kern w:val="0"/>
          <w:sz w:val="32"/>
          <w:szCs w:val="32"/>
          <w:highlight w:val="none"/>
          <w:shd w:val="clear" w:color="auto" w:fill="FFFFFF"/>
          <w:lang w:val="zh-CN" w:eastAsia="zh-CN" w:bidi="ar-SA"/>
        </w:rPr>
        <w:t>%、州级202</w:t>
      </w:r>
      <w:r>
        <w:rPr>
          <w:rFonts w:hint="eastAsia" w:cs="Times New Roman"/>
          <w:color w:val="auto"/>
          <w:kern w:val="0"/>
          <w:sz w:val="32"/>
          <w:szCs w:val="32"/>
          <w:highlight w:val="none"/>
          <w:shd w:val="clear" w:color="auto" w:fill="FFFFFF"/>
          <w:lang w:val="en-US" w:eastAsia="zh-CN" w:bidi="ar-SA"/>
        </w:rPr>
        <w:t>5</w:t>
      </w:r>
      <w:r>
        <w:rPr>
          <w:rFonts w:hint="eastAsia" w:ascii="Times New Roman" w:hAnsi="Times New Roman" w:eastAsia="仿宋_GB2312" w:cs="Times New Roman"/>
          <w:color w:val="auto"/>
          <w:kern w:val="0"/>
          <w:sz w:val="32"/>
          <w:szCs w:val="32"/>
          <w:highlight w:val="none"/>
          <w:shd w:val="clear" w:color="auto" w:fill="FFFFFF"/>
          <w:lang w:val="zh-CN" w:eastAsia="zh-CN" w:bidi="ar-SA"/>
        </w:rPr>
        <w:t>年财政收入增长率</w:t>
      </w:r>
      <w:r>
        <w:rPr>
          <w:rFonts w:hint="eastAsia" w:cs="Times New Roman"/>
          <w:color w:val="auto"/>
          <w:kern w:val="0"/>
          <w:sz w:val="32"/>
          <w:szCs w:val="32"/>
          <w:highlight w:val="none"/>
          <w:shd w:val="clear" w:color="auto" w:fill="FFFFFF"/>
          <w:lang w:val="en-US" w:eastAsia="zh-CN" w:bidi="ar-SA"/>
        </w:rPr>
        <w:t>163%</w:t>
      </w:r>
      <w:r>
        <w:rPr>
          <w:rFonts w:hint="eastAsia" w:ascii="Times New Roman" w:hAnsi="Times New Roman" w:eastAsia="仿宋_GB2312" w:cs="Times New Roman"/>
          <w:color w:val="auto"/>
          <w:kern w:val="0"/>
          <w:sz w:val="32"/>
          <w:szCs w:val="32"/>
          <w:highlight w:val="none"/>
          <w:shd w:val="clear" w:color="auto" w:fill="FFFFFF"/>
          <w:lang w:val="zh-CN" w:eastAsia="zh-CN" w:bidi="ar-SA"/>
        </w:rPr>
        <w:t>、州直行政事业单位办公家具资产利用率平均值</w:t>
      </w:r>
      <w:r>
        <w:rPr>
          <w:rFonts w:hint="eastAsia" w:cs="Times New Roman"/>
          <w:color w:val="auto"/>
          <w:kern w:val="0"/>
          <w:sz w:val="32"/>
          <w:szCs w:val="32"/>
          <w:highlight w:val="none"/>
          <w:shd w:val="clear" w:color="auto" w:fill="FFFFFF"/>
          <w:lang w:val="en-US" w:eastAsia="zh-CN" w:bidi="ar-SA"/>
        </w:rPr>
        <w:t>13.2</w:t>
      </w:r>
      <w:r>
        <w:rPr>
          <w:rFonts w:hint="eastAsia" w:ascii="Times New Roman" w:hAnsi="Times New Roman" w:eastAsia="仿宋_GB2312" w:cs="Times New Roman"/>
          <w:color w:val="auto"/>
          <w:kern w:val="0"/>
          <w:sz w:val="32"/>
          <w:szCs w:val="32"/>
          <w:highlight w:val="none"/>
          <w:shd w:val="clear" w:color="auto" w:fill="FFFFFF"/>
          <w:lang w:val="zh-CN" w:eastAsia="zh-CN" w:bidi="ar-SA"/>
        </w:rPr>
        <w:t>%、州直行政事业单位办公设备资产利用率平均值47.86%</w:t>
      </w:r>
    </w:p>
    <w:p w14:paraId="468EF588">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eastAsia" w:ascii="楷体_GB2312" w:hAnsi="楷体_GB2312" w:eastAsia="楷体_GB2312" w:cs="楷体_GB2312"/>
          <w:color w:val="000000"/>
          <w:kern w:val="0"/>
          <w:szCs w:val="32"/>
          <w:highlight w:val="none"/>
          <w:shd w:val="clear" w:color="auto" w:fill="FFFFFF"/>
          <w:lang w:val="en-US" w:eastAsia="zh-CN"/>
        </w:rPr>
        <w:t>5.</w:t>
      </w:r>
      <w:r>
        <w:rPr>
          <w:rFonts w:hint="default" w:ascii="楷体_GB2312" w:hAnsi="楷体_GB2312" w:eastAsia="楷体_GB2312" w:cs="楷体_GB2312"/>
          <w:color w:val="000000"/>
          <w:kern w:val="0"/>
          <w:szCs w:val="32"/>
          <w:highlight w:val="none"/>
          <w:shd w:val="clear" w:color="auto" w:fill="FFFFFF"/>
          <w:lang w:val="zh-CN"/>
        </w:rPr>
        <w:t>采购管理</w:t>
      </w:r>
      <w:r>
        <w:rPr>
          <w:rFonts w:hint="eastAsia" w:ascii="楷体_GB2312" w:hAnsi="楷体_GB2312" w:eastAsia="楷体_GB2312" w:cs="楷体_GB2312"/>
          <w:color w:val="000000"/>
          <w:kern w:val="0"/>
          <w:szCs w:val="32"/>
          <w:highlight w:val="none"/>
          <w:shd w:val="clear" w:color="auto" w:fill="FFFFFF"/>
          <w:lang w:val="zh-CN"/>
        </w:rPr>
        <w:t>。</w:t>
      </w:r>
    </w:p>
    <w:p w14:paraId="44DE2904">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我单位按法定采购方式和程序实施采购，不存在无预算采购、超预算采购情况，按规定进行政府采购计划备案，不存在拆分项目预算规避政府采购或公开招标情况，按采购文件确定事项签订政府采购合同，按规定公告、备案政府采购合同，按照合同约定及时支付资金。</w:t>
      </w:r>
    </w:p>
    <w:p w14:paraId="5BF65DA8">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（二）部门预算项目绩效分析。</w:t>
      </w:r>
    </w:p>
    <w:p w14:paraId="38DC5DD7">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eastAsia="zh-CN" w:bidi="ar-SA"/>
        </w:rPr>
      </w:pPr>
      <w:r>
        <w:rPr>
          <w:rFonts w:hint="default" w:ascii="Times New Roman" w:hAnsi="Times New Roman" w:eastAsia="仿宋_GB2312" w:cs="Times New Roman"/>
          <w:color w:val="auto"/>
          <w:kern w:val="0"/>
          <w:sz w:val="32"/>
          <w:szCs w:val="32"/>
          <w:highlight w:val="none"/>
          <w:shd w:val="clear" w:color="auto" w:fill="FFFFFF"/>
          <w:lang w:val="en-US" w:eastAsia="zh-CN" w:bidi="ar-SA"/>
        </w:rPr>
        <w:t>常年项目绩效分析。</w:t>
      </w:r>
      <w:r>
        <w:rPr>
          <w:rFonts w:hint="default" w:ascii="Times New Roman" w:hAnsi="Times New Roman" w:eastAsia="仿宋_GB2312" w:cs="Times New Roman"/>
          <w:color w:val="auto"/>
          <w:kern w:val="0"/>
          <w:sz w:val="32"/>
          <w:szCs w:val="32"/>
          <w:highlight w:val="none"/>
          <w:shd w:val="clear" w:color="auto" w:fill="FFFFFF"/>
          <w:lang w:val="zh-CN" w:eastAsia="zh-CN" w:bidi="ar-SA"/>
        </w:rPr>
        <w:t>该类项目总数</w:t>
      </w:r>
      <w:r>
        <w:rPr>
          <w:rFonts w:hint="eastAsia" w:cs="Times New Roman"/>
          <w:color w:val="auto"/>
          <w:kern w:val="0"/>
          <w:sz w:val="32"/>
          <w:szCs w:val="32"/>
          <w:highlight w:val="none"/>
          <w:shd w:val="clear" w:color="auto" w:fill="FFFFFF"/>
          <w:lang w:val="en-US" w:eastAsia="zh-CN" w:bidi="ar-SA"/>
        </w:rPr>
        <w:t>6</w:t>
      </w:r>
      <w:r>
        <w:rPr>
          <w:rFonts w:hint="default" w:ascii="Times New Roman" w:hAnsi="Times New Roman" w:eastAsia="仿宋_GB2312" w:cs="Times New Roman"/>
          <w:color w:val="auto"/>
          <w:kern w:val="0"/>
          <w:sz w:val="32"/>
          <w:szCs w:val="32"/>
          <w:highlight w:val="none"/>
          <w:shd w:val="clear" w:color="auto" w:fill="FFFFFF"/>
          <w:lang w:val="zh-CN" w:eastAsia="zh-CN" w:bidi="ar-SA"/>
        </w:rPr>
        <w:t>个，涉及预算总金额</w:t>
      </w:r>
      <w:r>
        <w:rPr>
          <w:rFonts w:hint="eastAsia" w:cs="Times New Roman"/>
          <w:color w:val="auto"/>
          <w:kern w:val="0"/>
          <w:sz w:val="32"/>
          <w:szCs w:val="32"/>
          <w:highlight w:val="none"/>
          <w:shd w:val="clear" w:color="auto" w:fill="FFFFFF"/>
          <w:lang w:val="en-US" w:eastAsia="zh-CN" w:bidi="ar-SA"/>
        </w:rPr>
        <w:t>62.9</w:t>
      </w:r>
      <w:r>
        <w:rPr>
          <w:rFonts w:hint="default" w:ascii="Times New Roman" w:hAnsi="Times New Roman" w:eastAsia="仿宋_GB2312" w:cs="Times New Roman"/>
          <w:color w:val="auto"/>
          <w:kern w:val="0"/>
          <w:sz w:val="32"/>
          <w:szCs w:val="32"/>
          <w:highlight w:val="none"/>
          <w:shd w:val="clear" w:color="auto" w:fill="FFFFFF"/>
          <w:lang w:val="zh-CN" w:eastAsia="zh-CN" w:bidi="ar-SA"/>
        </w:rPr>
        <w:t>万元，1</w:t>
      </w:r>
      <w:r>
        <w:rPr>
          <w:rFonts w:hint="eastAsia" w:ascii="Times New Roman" w:hAnsi="Times New Roman" w:eastAsia="仿宋_GB2312" w:cs="Times New Roman"/>
          <w:color w:val="auto"/>
          <w:kern w:val="0"/>
          <w:sz w:val="32"/>
          <w:szCs w:val="32"/>
          <w:highlight w:val="none"/>
          <w:shd w:val="clear" w:color="auto" w:fill="FFFFFF"/>
          <w:lang w:val="zh-CN" w:eastAsia="zh-CN" w:bidi="ar-SA"/>
        </w:rPr>
        <w:t>—</w:t>
      </w:r>
      <w:r>
        <w:rPr>
          <w:rFonts w:hint="default" w:ascii="Times New Roman" w:hAnsi="Times New Roman" w:eastAsia="仿宋_GB2312" w:cs="Times New Roman"/>
          <w:color w:val="auto"/>
          <w:kern w:val="0"/>
          <w:sz w:val="32"/>
          <w:szCs w:val="32"/>
          <w:highlight w:val="none"/>
          <w:shd w:val="clear" w:color="auto" w:fill="FFFFFF"/>
          <w:lang w:val="zh-CN" w:eastAsia="zh-CN" w:bidi="ar-SA"/>
        </w:rPr>
        <w:t>1</w:t>
      </w:r>
      <w:r>
        <w:rPr>
          <w:rFonts w:hint="default" w:ascii="Times New Roman" w:hAnsi="Times New Roman" w:eastAsia="仿宋_GB2312" w:cs="Times New Roman"/>
          <w:color w:val="auto"/>
          <w:kern w:val="0"/>
          <w:sz w:val="32"/>
          <w:szCs w:val="32"/>
          <w:highlight w:val="none"/>
          <w:shd w:val="clear" w:color="auto" w:fill="FFFFFF"/>
          <w:lang w:val="en-US" w:eastAsia="zh-CN" w:bidi="ar-SA"/>
        </w:rPr>
        <w:t>2</w:t>
      </w:r>
      <w:r>
        <w:rPr>
          <w:rFonts w:hint="default" w:ascii="Times New Roman" w:hAnsi="Times New Roman" w:eastAsia="仿宋_GB2312" w:cs="Times New Roman"/>
          <w:color w:val="auto"/>
          <w:kern w:val="0"/>
          <w:sz w:val="32"/>
          <w:szCs w:val="32"/>
          <w:highlight w:val="none"/>
          <w:shd w:val="clear" w:color="auto" w:fill="FFFFFF"/>
          <w:lang w:val="zh-CN" w:eastAsia="zh-CN" w:bidi="ar-SA"/>
        </w:rPr>
        <w:t>月预算执行总体进度为</w:t>
      </w:r>
      <w:r>
        <w:rPr>
          <w:rFonts w:hint="eastAsia" w:ascii="Times New Roman" w:hAnsi="Times New Roman" w:eastAsia="仿宋_GB2312" w:cs="Times New Roman"/>
          <w:color w:val="auto"/>
          <w:kern w:val="0"/>
          <w:sz w:val="32"/>
          <w:szCs w:val="32"/>
          <w:highlight w:val="none"/>
          <w:shd w:val="clear" w:color="auto" w:fill="FFFFFF"/>
          <w:lang w:val="en-US" w:eastAsia="zh-CN" w:bidi="ar-SA"/>
        </w:rPr>
        <w:t>100</w:t>
      </w:r>
      <w:r>
        <w:rPr>
          <w:rFonts w:hint="default" w:ascii="Times New Roman" w:hAnsi="Times New Roman" w:eastAsia="仿宋_GB2312" w:cs="Times New Roman"/>
          <w:color w:val="auto"/>
          <w:kern w:val="0"/>
          <w:sz w:val="32"/>
          <w:szCs w:val="32"/>
          <w:highlight w:val="none"/>
          <w:shd w:val="clear" w:color="auto" w:fill="FFFFFF"/>
          <w:lang w:val="zh-CN" w:eastAsia="zh-CN" w:bidi="ar-SA"/>
        </w:rPr>
        <w:t>%，其中：预算结余率大于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bidi="ar-SA"/>
        </w:rPr>
        <w:t>10%</w:t>
      </w:r>
      <w:r>
        <w:rPr>
          <w:rFonts w:hint="default" w:ascii="Times New Roman" w:hAnsi="Times New Roman" w:eastAsia="仿宋_GB2312" w:cs="Times New Roman"/>
          <w:color w:val="auto"/>
          <w:kern w:val="0"/>
          <w:sz w:val="32"/>
          <w:szCs w:val="32"/>
          <w:highlight w:val="none"/>
          <w:shd w:val="clear" w:color="auto" w:fill="FFFFFF"/>
          <w:lang w:val="zh-CN" w:eastAsia="zh-CN" w:bidi="ar-SA"/>
        </w:rPr>
        <w:t>的项目共计</w:t>
      </w:r>
      <w:r>
        <w:rPr>
          <w:rFonts w:hint="eastAsia" w:ascii="Times New Roman" w:hAnsi="Times New Roman" w:eastAsia="仿宋_GB2312" w:cs="Times New Roman"/>
          <w:color w:val="auto"/>
          <w:kern w:val="0"/>
          <w:sz w:val="32"/>
          <w:szCs w:val="32"/>
          <w:highlight w:val="none"/>
          <w:shd w:val="clear" w:color="auto" w:fill="FFFFFF"/>
          <w:lang w:val="en-US" w:eastAsia="zh-CN" w:bidi="ar-SA"/>
        </w:rPr>
        <w:t>0</w:t>
      </w:r>
      <w:r>
        <w:rPr>
          <w:rFonts w:hint="default" w:ascii="Times New Roman" w:hAnsi="Times New Roman" w:eastAsia="仿宋_GB2312" w:cs="Times New Roman"/>
          <w:color w:val="auto"/>
          <w:kern w:val="0"/>
          <w:sz w:val="32"/>
          <w:szCs w:val="32"/>
          <w:highlight w:val="none"/>
          <w:shd w:val="clear" w:color="auto" w:fill="FFFFFF"/>
          <w:lang w:val="zh-CN" w:eastAsia="zh-CN" w:bidi="ar-SA"/>
        </w:rPr>
        <w:t>个。</w:t>
      </w:r>
    </w:p>
    <w:p w14:paraId="32248071">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cs="Times New Roman"/>
          <w:color w:val="auto"/>
          <w:kern w:val="0"/>
          <w:sz w:val="32"/>
          <w:szCs w:val="32"/>
          <w:highlight w:val="none"/>
          <w:shd w:val="clear" w:color="auto" w:fill="FFFFFF"/>
          <w:lang w:val="zh-CN" w:eastAsia="zh-CN" w:bidi="ar-SA"/>
        </w:rPr>
      </w:pPr>
      <w:r>
        <w:rPr>
          <w:rFonts w:hint="default" w:ascii="Times New Roman" w:hAnsi="Times New Roman" w:eastAsia="仿宋_GB2312" w:cs="Times New Roman"/>
          <w:color w:val="auto"/>
          <w:kern w:val="0"/>
          <w:sz w:val="32"/>
          <w:szCs w:val="32"/>
          <w:highlight w:val="none"/>
          <w:shd w:val="clear" w:color="auto" w:fill="FFFFFF"/>
          <w:lang w:val="en-US" w:eastAsia="zh-CN" w:bidi="ar-SA"/>
        </w:rPr>
        <w:t>阶段</w:t>
      </w:r>
      <w:r>
        <w:rPr>
          <w:rFonts w:hint="eastAsia" w:ascii="Times New Roman" w:hAnsi="Times New Roman" w:eastAsia="仿宋_GB2312" w:cs="Times New Roman"/>
          <w:color w:val="auto"/>
          <w:kern w:val="0"/>
          <w:sz w:val="32"/>
          <w:szCs w:val="32"/>
          <w:highlight w:val="none"/>
          <w:shd w:val="clear" w:color="auto" w:fill="FFFFFF"/>
          <w:lang w:val="en-US" w:eastAsia="zh-CN" w:bidi="ar-SA"/>
        </w:rPr>
        <w:t>（</w:t>
      </w:r>
      <w:r>
        <w:rPr>
          <w:rFonts w:hint="default" w:ascii="Times New Roman" w:hAnsi="Times New Roman" w:eastAsia="仿宋_GB2312" w:cs="Times New Roman"/>
          <w:color w:val="auto"/>
          <w:kern w:val="0"/>
          <w:sz w:val="32"/>
          <w:szCs w:val="32"/>
          <w:highlight w:val="none"/>
          <w:shd w:val="clear" w:color="auto" w:fill="FFFFFF"/>
          <w:lang w:val="en-US" w:eastAsia="zh-CN" w:bidi="ar-SA"/>
        </w:rPr>
        <w:t>一次性</w:t>
      </w:r>
      <w:r>
        <w:rPr>
          <w:rFonts w:hint="eastAsia" w:ascii="Times New Roman" w:hAnsi="Times New Roman" w:eastAsia="仿宋_GB2312" w:cs="Times New Roman"/>
          <w:color w:val="auto"/>
          <w:kern w:val="0"/>
          <w:sz w:val="32"/>
          <w:szCs w:val="32"/>
          <w:highlight w:val="none"/>
          <w:shd w:val="clear" w:color="auto" w:fill="FFFFFF"/>
          <w:lang w:val="en-US" w:eastAsia="zh-CN" w:bidi="ar-SA"/>
        </w:rPr>
        <w:t>）</w:t>
      </w:r>
      <w:r>
        <w:rPr>
          <w:rFonts w:hint="default" w:ascii="Times New Roman" w:hAnsi="Times New Roman" w:eastAsia="仿宋_GB2312" w:cs="Times New Roman"/>
          <w:color w:val="auto"/>
          <w:kern w:val="0"/>
          <w:sz w:val="32"/>
          <w:szCs w:val="32"/>
          <w:highlight w:val="none"/>
          <w:shd w:val="clear" w:color="auto" w:fill="FFFFFF"/>
          <w:lang w:val="en-US" w:eastAsia="zh-CN" w:bidi="ar-SA"/>
        </w:rPr>
        <w:t>项目绩效分析。</w:t>
      </w:r>
      <w:r>
        <w:rPr>
          <w:rFonts w:hint="eastAsia" w:ascii="Times New Roman" w:hAnsi="Times New Roman" w:eastAsia="仿宋_GB2312" w:cs="Times New Roman"/>
          <w:color w:val="auto"/>
          <w:kern w:val="0"/>
          <w:sz w:val="32"/>
          <w:szCs w:val="32"/>
          <w:highlight w:val="none"/>
          <w:shd w:val="clear" w:color="auto" w:fill="FFFFFF"/>
          <w:lang w:val="en-US" w:eastAsia="zh-CN" w:bidi="ar-SA"/>
        </w:rPr>
        <w:t>其他收入</w:t>
      </w:r>
      <w:r>
        <w:rPr>
          <w:rFonts w:hint="eastAsia" w:cs="Times New Roman"/>
          <w:color w:val="auto"/>
          <w:kern w:val="0"/>
          <w:sz w:val="32"/>
          <w:szCs w:val="32"/>
          <w:highlight w:val="none"/>
          <w:shd w:val="clear" w:color="auto" w:fill="FFFFFF"/>
          <w:lang w:val="en-US" w:eastAsia="zh-CN" w:bidi="ar-SA"/>
        </w:rPr>
        <w:t>（代管资金）</w:t>
      </w:r>
      <w:r>
        <w:rPr>
          <w:rFonts w:hint="eastAsia" w:ascii="Times New Roman" w:hAnsi="Times New Roman" w:eastAsia="仿宋_GB2312" w:cs="Times New Roman"/>
          <w:color w:val="auto"/>
          <w:kern w:val="0"/>
          <w:sz w:val="32"/>
          <w:szCs w:val="32"/>
          <w:highlight w:val="none"/>
          <w:shd w:val="clear" w:color="auto" w:fill="FFFFFF"/>
          <w:lang w:val="en-US" w:eastAsia="zh-CN" w:bidi="ar-SA"/>
        </w:rPr>
        <w:t>项目：</w:t>
      </w:r>
      <w:r>
        <w:rPr>
          <w:rFonts w:hint="default" w:ascii="Times New Roman" w:hAnsi="Times New Roman" w:eastAsia="仿宋_GB2312" w:cs="Times New Roman"/>
          <w:color w:val="auto"/>
          <w:kern w:val="0"/>
          <w:sz w:val="32"/>
          <w:szCs w:val="32"/>
          <w:highlight w:val="none"/>
          <w:shd w:val="clear" w:color="auto" w:fill="FFFFFF"/>
          <w:lang w:val="zh-CN" w:eastAsia="zh-CN" w:bidi="ar-SA"/>
        </w:rPr>
        <w:t>该类项目总数</w:t>
      </w:r>
      <w:r>
        <w:rPr>
          <w:rFonts w:hint="eastAsia" w:cs="Times New Roman"/>
          <w:color w:val="auto"/>
          <w:kern w:val="0"/>
          <w:sz w:val="32"/>
          <w:szCs w:val="32"/>
          <w:highlight w:val="none"/>
          <w:shd w:val="clear" w:color="auto" w:fill="FFFFFF"/>
          <w:lang w:val="en-US" w:eastAsia="zh-CN" w:bidi="ar-SA"/>
        </w:rPr>
        <w:t>6</w:t>
      </w:r>
      <w:r>
        <w:rPr>
          <w:rFonts w:hint="default" w:ascii="Times New Roman" w:hAnsi="Times New Roman" w:eastAsia="仿宋_GB2312" w:cs="Times New Roman"/>
          <w:color w:val="auto"/>
          <w:kern w:val="0"/>
          <w:sz w:val="32"/>
          <w:szCs w:val="32"/>
          <w:highlight w:val="none"/>
          <w:shd w:val="clear" w:color="auto" w:fill="FFFFFF"/>
          <w:lang w:val="zh-CN" w:eastAsia="zh-CN" w:bidi="ar-SA"/>
        </w:rPr>
        <w:t>个，涉及预算总金额</w:t>
      </w:r>
      <w:r>
        <w:rPr>
          <w:rFonts w:hint="eastAsia" w:cs="Times New Roman"/>
          <w:color w:val="auto"/>
          <w:kern w:val="0"/>
          <w:sz w:val="32"/>
          <w:szCs w:val="32"/>
          <w:highlight w:val="none"/>
          <w:shd w:val="clear" w:color="auto" w:fill="FFFFFF"/>
          <w:lang w:val="en-US" w:eastAsia="zh-CN" w:bidi="ar-SA"/>
        </w:rPr>
        <w:t>1412.98</w:t>
      </w:r>
      <w:r>
        <w:rPr>
          <w:rFonts w:hint="default" w:ascii="Times New Roman" w:hAnsi="Times New Roman" w:eastAsia="仿宋_GB2312" w:cs="Times New Roman"/>
          <w:color w:val="auto"/>
          <w:kern w:val="0"/>
          <w:sz w:val="32"/>
          <w:szCs w:val="32"/>
          <w:highlight w:val="none"/>
          <w:shd w:val="clear" w:color="auto" w:fill="FFFFFF"/>
          <w:lang w:val="zh-CN" w:eastAsia="zh-CN" w:bidi="ar-SA"/>
        </w:rPr>
        <w:t>万元</w:t>
      </w:r>
      <w:r>
        <w:rPr>
          <w:rFonts w:hint="eastAsia" w:ascii="Times New Roman" w:hAnsi="Times New Roman" w:eastAsia="仿宋_GB2312" w:cs="Times New Roman"/>
          <w:color w:val="auto"/>
          <w:kern w:val="0"/>
          <w:sz w:val="32"/>
          <w:szCs w:val="32"/>
          <w:highlight w:val="none"/>
          <w:shd w:val="clear" w:color="auto" w:fill="FFFFFF"/>
          <w:lang w:val="zh-CN" w:eastAsia="zh-CN" w:bidi="ar-SA"/>
        </w:rPr>
        <w:t>，</w:t>
      </w:r>
      <w:r>
        <w:rPr>
          <w:rFonts w:hint="eastAsia" w:cs="Times New Roman"/>
          <w:color w:val="auto"/>
          <w:kern w:val="0"/>
          <w:sz w:val="32"/>
          <w:szCs w:val="32"/>
          <w:highlight w:val="none"/>
          <w:shd w:val="clear" w:color="auto" w:fill="FFFFFF"/>
          <w:lang w:val="en-US" w:eastAsia="zh-CN" w:bidi="ar-SA"/>
        </w:rPr>
        <w:t>支出1230.03万元，</w:t>
      </w:r>
      <w:r>
        <w:rPr>
          <w:rFonts w:hint="default" w:ascii="Times New Roman" w:hAnsi="Times New Roman" w:eastAsia="仿宋_GB2312" w:cs="Times New Roman"/>
          <w:color w:val="auto"/>
          <w:kern w:val="0"/>
          <w:sz w:val="32"/>
          <w:szCs w:val="32"/>
          <w:highlight w:val="none"/>
          <w:shd w:val="clear" w:color="auto" w:fill="FFFFFF"/>
          <w:lang w:val="zh-CN" w:eastAsia="zh-CN" w:bidi="ar-SA"/>
        </w:rPr>
        <w:t>1</w:t>
      </w:r>
      <w:r>
        <w:rPr>
          <w:rFonts w:hint="eastAsia" w:ascii="Times New Roman" w:hAnsi="Times New Roman" w:eastAsia="仿宋_GB2312" w:cs="Times New Roman"/>
          <w:color w:val="auto"/>
          <w:kern w:val="0"/>
          <w:sz w:val="32"/>
          <w:szCs w:val="32"/>
          <w:highlight w:val="none"/>
          <w:shd w:val="clear" w:color="auto" w:fill="FFFFFF"/>
          <w:lang w:val="zh-CN" w:eastAsia="zh-CN" w:bidi="ar-SA"/>
        </w:rPr>
        <w:t>—</w:t>
      </w:r>
      <w:r>
        <w:rPr>
          <w:rFonts w:hint="default" w:ascii="Times New Roman" w:hAnsi="Times New Roman" w:eastAsia="仿宋_GB2312" w:cs="Times New Roman"/>
          <w:color w:val="auto"/>
          <w:kern w:val="0"/>
          <w:sz w:val="32"/>
          <w:szCs w:val="32"/>
          <w:highlight w:val="none"/>
          <w:shd w:val="clear" w:color="auto" w:fill="FFFFFF"/>
          <w:lang w:val="zh-CN" w:eastAsia="zh-CN" w:bidi="ar-SA"/>
        </w:rPr>
        <w:t>1</w:t>
      </w:r>
      <w:r>
        <w:rPr>
          <w:rFonts w:hint="default" w:ascii="Times New Roman" w:hAnsi="Times New Roman" w:eastAsia="仿宋_GB2312" w:cs="Times New Roman"/>
          <w:color w:val="auto"/>
          <w:kern w:val="0"/>
          <w:sz w:val="32"/>
          <w:szCs w:val="32"/>
          <w:highlight w:val="none"/>
          <w:shd w:val="clear" w:color="auto" w:fill="FFFFFF"/>
          <w:lang w:val="en-US" w:eastAsia="zh-CN" w:bidi="ar-SA"/>
        </w:rPr>
        <w:t>2</w:t>
      </w:r>
      <w:r>
        <w:rPr>
          <w:rFonts w:hint="default" w:ascii="Times New Roman" w:hAnsi="Times New Roman" w:eastAsia="仿宋_GB2312" w:cs="Times New Roman"/>
          <w:color w:val="auto"/>
          <w:kern w:val="0"/>
          <w:sz w:val="32"/>
          <w:szCs w:val="32"/>
          <w:highlight w:val="none"/>
          <w:shd w:val="clear" w:color="auto" w:fill="FFFFFF"/>
          <w:lang w:val="zh-CN" w:eastAsia="zh-CN" w:bidi="ar-SA"/>
        </w:rPr>
        <w:t>月预算执行总体进度为</w:t>
      </w:r>
      <w:r>
        <w:rPr>
          <w:rFonts w:hint="eastAsia" w:cs="Times New Roman"/>
          <w:color w:val="auto"/>
          <w:kern w:val="0"/>
          <w:sz w:val="32"/>
          <w:szCs w:val="32"/>
          <w:highlight w:val="none"/>
          <w:shd w:val="clear" w:color="auto" w:fill="FFFFFF"/>
          <w:lang w:val="en-US" w:eastAsia="zh-CN" w:bidi="ar-SA"/>
        </w:rPr>
        <w:t>78.7</w:t>
      </w:r>
      <w:r>
        <w:rPr>
          <w:rFonts w:hint="default" w:ascii="Times New Roman" w:hAnsi="Times New Roman" w:eastAsia="仿宋_GB2312" w:cs="Times New Roman"/>
          <w:color w:val="auto"/>
          <w:kern w:val="0"/>
          <w:sz w:val="32"/>
          <w:szCs w:val="32"/>
          <w:highlight w:val="none"/>
          <w:shd w:val="clear" w:color="auto" w:fill="FFFFFF"/>
          <w:lang w:val="zh-CN" w:eastAsia="zh-CN" w:bidi="ar-SA"/>
        </w:rPr>
        <w:t>%，其中：预算结余率大于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bidi="ar-SA"/>
        </w:rPr>
        <w:t>10%</w:t>
      </w:r>
      <w:r>
        <w:rPr>
          <w:rFonts w:hint="default" w:ascii="Times New Roman" w:hAnsi="Times New Roman" w:eastAsia="仿宋_GB2312" w:cs="Times New Roman"/>
          <w:color w:val="auto"/>
          <w:kern w:val="0"/>
          <w:sz w:val="32"/>
          <w:szCs w:val="32"/>
          <w:highlight w:val="none"/>
          <w:shd w:val="clear" w:color="auto" w:fill="FFFFFF"/>
          <w:lang w:val="zh-CN" w:eastAsia="zh-CN" w:bidi="ar-SA"/>
        </w:rPr>
        <w:t>的项目共计</w:t>
      </w:r>
      <w:r>
        <w:rPr>
          <w:rFonts w:hint="eastAsia" w:ascii="Times New Roman" w:hAnsi="Times New Roman" w:eastAsia="仿宋_GB2312" w:cs="Times New Roman"/>
          <w:color w:val="auto"/>
          <w:kern w:val="0"/>
          <w:sz w:val="32"/>
          <w:szCs w:val="32"/>
          <w:highlight w:val="none"/>
          <w:shd w:val="clear" w:color="auto" w:fill="FFFFFF"/>
          <w:lang w:val="en-US" w:eastAsia="zh-CN" w:bidi="ar-SA"/>
        </w:rPr>
        <w:t>0</w:t>
      </w:r>
      <w:r>
        <w:rPr>
          <w:rFonts w:hint="default" w:ascii="Times New Roman" w:hAnsi="Times New Roman" w:eastAsia="仿宋_GB2312" w:cs="Times New Roman"/>
          <w:color w:val="auto"/>
          <w:kern w:val="0"/>
          <w:sz w:val="32"/>
          <w:szCs w:val="32"/>
          <w:highlight w:val="none"/>
          <w:shd w:val="clear" w:color="auto" w:fill="FFFFFF"/>
          <w:lang w:val="zh-CN" w:eastAsia="zh-CN" w:bidi="ar-SA"/>
        </w:rPr>
        <w:t>个。</w:t>
      </w:r>
      <w:r>
        <w:rPr>
          <w:rFonts w:hint="eastAsia" w:ascii="Times New Roman" w:hAnsi="Times New Roman" w:eastAsia="仿宋_GB2312" w:cs="Times New Roman"/>
          <w:color w:val="auto"/>
          <w:kern w:val="0"/>
          <w:sz w:val="32"/>
          <w:szCs w:val="32"/>
          <w:highlight w:val="none"/>
          <w:shd w:val="clear" w:color="auto" w:fill="FFFFFF"/>
          <w:lang w:val="en-US" w:eastAsia="zh-CN" w:bidi="ar-SA"/>
        </w:rPr>
        <w:t>上级资金收入项目：</w:t>
      </w:r>
      <w:r>
        <w:rPr>
          <w:rFonts w:hint="default" w:ascii="Times New Roman" w:hAnsi="Times New Roman" w:eastAsia="仿宋_GB2312" w:cs="Times New Roman"/>
          <w:color w:val="auto"/>
          <w:kern w:val="0"/>
          <w:sz w:val="32"/>
          <w:szCs w:val="32"/>
          <w:highlight w:val="none"/>
          <w:shd w:val="clear" w:color="auto" w:fill="FFFFFF"/>
          <w:lang w:val="zh-CN" w:eastAsia="zh-CN" w:bidi="ar-SA"/>
        </w:rPr>
        <w:t>该类项目总数</w:t>
      </w:r>
      <w:r>
        <w:rPr>
          <w:rFonts w:hint="eastAsia" w:cs="Times New Roman"/>
          <w:color w:val="auto"/>
          <w:kern w:val="0"/>
          <w:sz w:val="32"/>
          <w:szCs w:val="32"/>
          <w:highlight w:val="none"/>
          <w:shd w:val="clear" w:color="auto" w:fill="FFFFFF"/>
          <w:lang w:val="en-US" w:eastAsia="zh-CN" w:bidi="ar-SA"/>
        </w:rPr>
        <w:t>7</w:t>
      </w:r>
      <w:r>
        <w:rPr>
          <w:rFonts w:hint="default" w:ascii="Times New Roman" w:hAnsi="Times New Roman" w:eastAsia="仿宋_GB2312" w:cs="Times New Roman"/>
          <w:color w:val="auto"/>
          <w:kern w:val="0"/>
          <w:sz w:val="32"/>
          <w:szCs w:val="32"/>
          <w:highlight w:val="none"/>
          <w:shd w:val="clear" w:color="auto" w:fill="FFFFFF"/>
          <w:lang w:val="zh-CN" w:eastAsia="zh-CN" w:bidi="ar-SA"/>
        </w:rPr>
        <w:t>个，涉及预算总金额</w:t>
      </w:r>
      <w:r>
        <w:rPr>
          <w:rFonts w:hint="eastAsia" w:cs="Times New Roman"/>
          <w:color w:val="auto"/>
          <w:kern w:val="0"/>
          <w:sz w:val="32"/>
          <w:szCs w:val="32"/>
          <w:highlight w:val="none"/>
          <w:shd w:val="clear" w:color="auto" w:fill="FFFFFF"/>
          <w:lang w:val="en-US" w:eastAsia="zh-CN" w:bidi="ar-SA"/>
        </w:rPr>
        <w:t>783.55</w:t>
      </w:r>
      <w:r>
        <w:rPr>
          <w:rFonts w:hint="default" w:ascii="Times New Roman" w:hAnsi="Times New Roman" w:eastAsia="仿宋_GB2312" w:cs="Times New Roman"/>
          <w:color w:val="auto"/>
          <w:kern w:val="0"/>
          <w:sz w:val="32"/>
          <w:szCs w:val="32"/>
          <w:highlight w:val="none"/>
          <w:shd w:val="clear" w:color="auto" w:fill="FFFFFF"/>
          <w:lang w:val="zh-CN" w:eastAsia="zh-CN" w:bidi="ar-SA"/>
        </w:rPr>
        <w:t>万元</w:t>
      </w:r>
      <w:r>
        <w:rPr>
          <w:rFonts w:hint="eastAsia" w:ascii="Times New Roman" w:hAnsi="Times New Roman" w:eastAsia="仿宋_GB2312" w:cs="Times New Roman"/>
          <w:color w:val="auto"/>
          <w:kern w:val="0"/>
          <w:sz w:val="32"/>
          <w:szCs w:val="32"/>
          <w:highlight w:val="none"/>
          <w:shd w:val="clear" w:color="auto" w:fill="FFFFFF"/>
          <w:lang w:val="zh-CN" w:eastAsia="zh-CN" w:bidi="ar-SA"/>
        </w:rPr>
        <w:t>，</w:t>
      </w:r>
      <w:r>
        <w:rPr>
          <w:rFonts w:hint="eastAsia" w:cs="Times New Roman"/>
          <w:color w:val="auto"/>
          <w:kern w:val="0"/>
          <w:sz w:val="32"/>
          <w:szCs w:val="32"/>
          <w:highlight w:val="none"/>
          <w:shd w:val="clear" w:color="auto" w:fill="FFFFFF"/>
          <w:lang w:val="en-US" w:eastAsia="zh-CN" w:bidi="ar-SA"/>
        </w:rPr>
        <w:t>支出数529.31万元，</w:t>
      </w:r>
      <w:r>
        <w:rPr>
          <w:rFonts w:hint="default" w:ascii="Times New Roman" w:hAnsi="Times New Roman" w:eastAsia="仿宋_GB2312" w:cs="Times New Roman"/>
          <w:color w:val="auto"/>
          <w:kern w:val="0"/>
          <w:sz w:val="32"/>
          <w:szCs w:val="32"/>
          <w:highlight w:val="none"/>
          <w:shd w:val="clear" w:color="auto" w:fill="FFFFFF"/>
          <w:lang w:val="zh-CN" w:eastAsia="zh-CN" w:bidi="ar-SA"/>
        </w:rPr>
        <w:t>1</w:t>
      </w:r>
      <w:r>
        <w:rPr>
          <w:rFonts w:hint="eastAsia" w:ascii="Times New Roman" w:hAnsi="Times New Roman" w:eastAsia="仿宋_GB2312" w:cs="Times New Roman"/>
          <w:color w:val="auto"/>
          <w:kern w:val="0"/>
          <w:sz w:val="32"/>
          <w:szCs w:val="32"/>
          <w:highlight w:val="none"/>
          <w:shd w:val="clear" w:color="auto" w:fill="FFFFFF"/>
          <w:lang w:val="zh-CN" w:eastAsia="zh-CN" w:bidi="ar-SA"/>
        </w:rPr>
        <w:t>—</w:t>
      </w:r>
      <w:r>
        <w:rPr>
          <w:rFonts w:hint="default" w:ascii="Times New Roman" w:hAnsi="Times New Roman" w:eastAsia="仿宋_GB2312" w:cs="Times New Roman"/>
          <w:color w:val="auto"/>
          <w:kern w:val="0"/>
          <w:sz w:val="32"/>
          <w:szCs w:val="32"/>
          <w:highlight w:val="none"/>
          <w:shd w:val="clear" w:color="auto" w:fill="FFFFFF"/>
          <w:lang w:val="zh-CN" w:eastAsia="zh-CN" w:bidi="ar-SA"/>
        </w:rPr>
        <w:t>1</w:t>
      </w:r>
      <w:r>
        <w:rPr>
          <w:rFonts w:hint="default" w:ascii="Times New Roman" w:hAnsi="Times New Roman" w:eastAsia="仿宋_GB2312" w:cs="Times New Roman"/>
          <w:color w:val="auto"/>
          <w:kern w:val="0"/>
          <w:sz w:val="32"/>
          <w:szCs w:val="32"/>
          <w:highlight w:val="none"/>
          <w:shd w:val="clear" w:color="auto" w:fill="FFFFFF"/>
          <w:lang w:val="en-US" w:eastAsia="zh-CN" w:bidi="ar-SA"/>
        </w:rPr>
        <w:t>2</w:t>
      </w:r>
      <w:r>
        <w:rPr>
          <w:rFonts w:hint="default" w:ascii="Times New Roman" w:hAnsi="Times New Roman" w:eastAsia="仿宋_GB2312" w:cs="Times New Roman"/>
          <w:color w:val="auto"/>
          <w:kern w:val="0"/>
          <w:sz w:val="32"/>
          <w:szCs w:val="32"/>
          <w:highlight w:val="none"/>
          <w:shd w:val="clear" w:color="auto" w:fill="FFFFFF"/>
          <w:lang w:val="zh-CN" w:eastAsia="zh-CN" w:bidi="ar-SA"/>
        </w:rPr>
        <w:t>月预算执行总体进度为</w:t>
      </w:r>
      <w:r>
        <w:rPr>
          <w:rFonts w:hint="eastAsia" w:cs="Times New Roman"/>
          <w:color w:val="auto"/>
          <w:kern w:val="0"/>
          <w:sz w:val="32"/>
          <w:szCs w:val="32"/>
          <w:highlight w:val="none"/>
          <w:shd w:val="clear" w:color="auto" w:fill="FFFFFF"/>
          <w:lang w:val="en-US" w:eastAsia="zh-CN" w:bidi="ar-SA"/>
        </w:rPr>
        <w:t>67.55</w:t>
      </w:r>
      <w:r>
        <w:rPr>
          <w:rFonts w:hint="default" w:ascii="Times New Roman" w:hAnsi="Times New Roman" w:eastAsia="仿宋_GB2312" w:cs="Times New Roman"/>
          <w:color w:val="auto"/>
          <w:kern w:val="0"/>
          <w:sz w:val="32"/>
          <w:szCs w:val="32"/>
          <w:highlight w:val="none"/>
          <w:shd w:val="clear" w:color="auto" w:fill="FFFFFF"/>
          <w:lang w:val="zh-CN" w:eastAsia="zh-CN" w:bidi="ar-SA"/>
        </w:rPr>
        <w:t>%，</w:t>
      </w:r>
      <w:r>
        <w:rPr>
          <w:rFonts w:hint="default" w:cs="Times New Roman"/>
          <w:color w:val="auto"/>
          <w:kern w:val="0"/>
          <w:szCs w:val="32"/>
          <w:highlight w:val="none"/>
          <w:shd w:val="clear" w:color="auto" w:fill="FFFFFF"/>
          <w:lang w:val="zh-CN"/>
        </w:rPr>
        <w:t>其中：</w:t>
      </w:r>
      <w:r>
        <w:rPr>
          <w:rFonts w:hint="default" w:cs="Times New Roman"/>
          <w:color w:val="auto"/>
          <w:kern w:val="0"/>
          <w:szCs w:val="32"/>
          <w:highlight w:val="none"/>
          <w:shd w:val="clear" w:color="auto" w:fill="FFFFFF"/>
          <w:lang w:val="zh-CN" w:eastAsia="zh-CN"/>
        </w:rPr>
        <w:t>预算结余率大于</w:t>
      </w:r>
      <w:r>
        <w:rPr>
          <w:rFonts w:hint="default" w:cs="Times New Roman"/>
          <w:color w:val="auto"/>
          <w:kern w:val="0"/>
          <w:szCs w:val="32"/>
          <w:highlight w:val="none"/>
          <w:shd w:val="clear" w:color="auto" w:fill="FFFFFF"/>
          <w:lang w:val="en-US" w:eastAsia="zh-CN"/>
        </w:rPr>
        <w:t>10%</w:t>
      </w:r>
      <w:r>
        <w:rPr>
          <w:rFonts w:hint="default" w:cs="Times New Roman"/>
          <w:color w:val="auto"/>
          <w:kern w:val="0"/>
          <w:szCs w:val="32"/>
          <w:highlight w:val="none"/>
          <w:shd w:val="clear" w:color="auto" w:fill="FFFFFF"/>
          <w:lang w:val="zh-CN" w:eastAsia="zh-CN"/>
        </w:rPr>
        <w:t>的项目共计</w:t>
      </w:r>
      <w:r>
        <w:rPr>
          <w:rFonts w:hint="eastAsia" w:cs="Times New Roman"/>
          <w:color w:val="auto"/>
          <w:kern w:val="0"/>
          <w:sz w:val="32"/>
          <w:szCs w:val="32"/>
          <w:highlight w:val="none"/>
          <w:shd w:val="clear" w:color="auto" w:fill="FFFFFF"/>
          <w:lang w:val="en-US" w:eastAsia="zh-CN" w:bidi="ar-SA"/>
        </w:rPr>
        <w:t>0</w:t>
      </w:r>
      <w:r>
        <w:rPr>
          <w:rFonts w:hint="default" w:ascii="Times New Roman" w:hAnsi="Times New Roman" w:eastAsia="仿宋_GB2312" w:cs="Times New Roman"/>
          <w:color w:val="auto"/>
          <w:kern w:val="0"/>
          <w:sz w:val="32"/>
          <w:szCs w:val="32"/>
          <w:highlight w:val="none"/>
          <w:shd w:val="clear" w:color="auto" w:fill="FFFFFF"/>
          <w:lang w:val="zh-CN" w:eastAsia="zh-CN" w:bidi="ar-SA"/>
        </w:rPr>
        <w:t>个</w:t>
      </w:r>
      <w:r>
        <w:rPr>
          <w:rFonts w:hint="eastAsia" w:cs="Times New Roman"/>
          <w:color w:val="auto"/>
          <w:kern w:val="0"/>
          <w:sz w:val="32"/>
          <w:szCs w:val="32"/>
          <w:highlight w:val="none"/>
          <w:shd w:val="clear" w:color="auto" w:fill="FFFFFF"/>
          <w:lang w:val="zh-CN" w:eastAsia="zh-CN" w:bidi="ar-SA"/>
        </w:rPr>
        <w:t>。</w:t>
      </w:r>
    </w:p>
    <w:p w14:paraId="47736D97">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auto"/>
          <w:kern w:val="0"/>
          <w:szCs w:val="32"/>
          <w:highlight w:val="none"/>
          <w:shd w:val="clear" w:color="auto" w:fill="FFFFFF"/>
          <w:lang w:val="zh-CN"/>
        </w:rPr>
      </w:pPr>
      <w:r>
        <w:rPr>
          <w:rFonts w:hint="eastAsia" w:ascii="Times New Roman" w:hAnsi="Times New Roman" w:cs="Times New Roman"/>
          <w:color w:val="auto"/>
          <w:kern w:val="0"/>
          <w:szCs w:val="32"/>
          <w:highlight w:val="none"/>
          <w:shd w:val="clear" w:color="auto" w:fill="FFFFFF"/>
          <w:lang w:val="en-US" w:eastAsia="zh-CN"/>
        </w:rPr>
        <w:t>1.</w:t>
      </w:r>
      <w:r>
        <w:rPr>
          <w:rFonts w:hint="eastAsia" w:ascii="Times New Roman" w:hAnsi="Times New Roman" w:cs="Times New Roman"/>
          <w:color w:val="auto"/>
          <w:kern w:val="0"/>
          <w:szCs w:val="32"/>
          <w:highlight w:val="none"/>
          <w:shd w:val="clear" w:color="auto" w:fill="FFFFFF"/>
          <w:lang w:val="zh-CN"/>
        </w:rPr>
        <w:t>项目决策。</w:t>
      </w:r>
    </w:p>
    <w:p w14:paraId="2506FE00">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我单位所有项目均按照上级要求级单位内控制度，开展项目决算，在项目入库时设置项目绩效目标，确保能定期、按照目标要求完成项目。</w:t>
      </w:r>
    </w:p>
    <w:p w14:paraId="18B1A477">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auto"/>
          <w:kern w:val="0"/>
          <w:szCs w:val="32"/>
          <w:highlight w:val="none"/>
          <w:shd w:val="clear" w:color="auto" w:fill="FFFFFF"/>
          <w:lang w:val="zh-CN"/>
        </w:rPr>
      </w:pPr>
      <w:r>
        <w:rPr>
          <w:rFonts w:hint="eastAsia" w:ascii="Times New Roman" w:hAnsi="Times New Roman" w:cs="Times New Roman"/>
          <w:color w:val="auto"/>
          <w:kern w:val="0"/>
          <w:szCs w:val="32"/>
          <w:highlight w:val="none"/>
          <w:shd w:val="clear" w:color="auto" w:fill="FFFFFF"/>
          <w:lang w:val="en-US" w:eastAsia="zh-CN"/>
        </w:rPr>
        <w:t>2.项目执行</w:t>
      </w:r>
      <w:r>
        <w:rPr>
          <w:rFonts w:hint="eastAsia" w:ascii="Times New Roman" w:hAnsi="Times New Roman" w:cs="Times New Roman"/>
          <w:color w:val="auto"/>
          <w:kern w:val="0"/>
          <w:szCs w:val="32"/>
          <w:highlight w:val="none"/>
          <w:shd w:val="clear" w:color="auto" w:fill="FFFFFF"/>
          <w:lang w:val="zh-CN"/>
        </w:rPr>
        <w:t>。</w:t>
      </w:r>
    </w:p>
    <w:p w14:paraId="5A4B05E9">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我单位项目分为年初预算项目、上级专项项目、其他收入项目（县财政保障州财政代管资金采购项目）三类，我单位年初预算项目完全能按照年初目标设置完成并及时支付；上级专项项目完全按照资金投向使用，及时调整项目目标绩效，按照项目进度支付项目资金；其他收入项目为县财政保障采购项目资金，按照采购要求，及时签订采购合同，并按照项目进度支付资金。</w:t>
      </w:r>
    </w:p>
    <w:p w14:paraId="7846438C">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Times New Roman" w:hAnsi="Times New Roman" w:cs="Times New Roman"/>
          <w:color w:val="auto"/>
          <w:kern w:val="0"/>
          <w:szCs w:val="32"/>
          <w:highlight w:val="none"/>
          <w:shd w:val="clear" w:color="auto" w:fill="FFFFFF"/>
          <w:lang w:val="zh-CN"/>
        </w:rPr>
      </w:pPr>
      <w:r>
        <w:rPr>
          <w:rFonts w:hint="eastAsia" w:ascii="Times New Roman" w:hAnsi="Times New Roman" w:cs="Times New Roman"/>
          <w:color w:val="auto"/>
          <w:kern w:val="0"/>
          <w:szCs w:val="32"/>
          <w:highlight w:val="none"/>
          <w:shd w:val="clear" w:color="auto" w:fill="FFFFFF"/>
          <w:lang w:val="en-US" w:eastAsia="zh-CN"/>
        </w:rPr>
        <w:t>3.</w:t>
      </w:r>
      <w:r>
        <w:rPr>
          <w:rFonts w:hint="eastAsia" w:ascii="Times New Roman" w:hAnsi="Times New Roman" w:cs="Times New Roman"/>
          <w:color w:val="auto"/>
          <w:kern w:val="0"/>
          <w:szCs w:val="32"/>
          <w:highlight w:val="none"/>
          <w:shd w:val="clear" w:color="auto" w:fill="FFFFFF"/>
          <w:lang w:val="zh-CN"/>
        </w:rPr>
        <w:t>目标实现。</w:t>
      </w:r>
    </w:p>
    <w:p w14:paraId="566F7EF1">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cs="Times New Roman"/>
          <w:color w:val="auto"/>
          <w:kern w:val="0"/>
          <w:szCs w:val="32"/>
          <w:highlight w:val="none"/>
          <w:shd w:val="clear" w:color="auto" w:fill="FFFFFF"/>
          <w:lang w:val="en-US" w:eastAsia="zh-CN"/>
        </w:rPr>
      </w:pPr>
      <w:r>
        <w:rPr>
          <w:rFonts w:hint="eastAsia" w:ascii="Times New Roman" w:hAnsi="Times New Roman" w:cs="Times New Roman"/>
          <w:color w:val="auto"/>
          <w:kern w:val="0"/>
          <w:szCs w:val="32"/>
          <w:highlight w:val="none"/>
          <w:shd w:val="clear" w:color="auto" w:fill="FFFFFF"/>
          <w:lang w:val="en-US" w:eastAsia="zh-CN"/>
        </w:rPr>
        <w:t>我单位对照基本支出和项目支出，基本能完成项目目标，并及时设置年度绩效目标，如出现预警等情况，我单位及时调整目标，确保项目目标的实现。</w:t>
      </w:r>
    </w:p>
    <w:p w14:paraId="3656E5FF">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leftChars="0"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w:t>
      </w:r>
      <w:r>
        <w:rPr>
          <w:rFonts w:hint="eastAsia" w:eastAsia="楷体_GB2312" w:cs="Times New Roman"/>
          <w:b/>
          <w:bCs/>
          <w:color w:val="000000"/>
          <w:kern w:val="0"/>
          <w:szCs w:val="32"/>
          <w:highlight w:val="none"/>
          <w:shd w:val="clear" w:color="auto" w:fill="FFFFFF"/>
          <w:lang w:val="en-US" w:eastAsia="zh-CN"/>
        </w:rPr>
        <w:t>三</w:t>
      </w:r>
      <w:r>
        <w:rPr>
          <w:rFonts w:hint="eastAsia" w:eastAsia="楷体_GB2312" w:cs="Times New Roman"/>
          <w:b/>
          <w:bCs/>
          <w:color w:val="000000"/>
          <w:kern w:val="0"/>
          <w:szCs w:val="32"/>
          <w:highlight w:val="none"/>
          <w:shd w:val="clear" w:color="auto" w:fill="FFFFFF"/>
          <w:lang w:val="zh-CN" w:eastAsia="zh-CN"/>
        </w:rPr>
        <w:t>）</w:t>
      </w:r>
      <w:r>
        <w:rPr>
          <w:rFonts w:hint="default" w:ascii="Times New Roman" w:hAnsi="Times New Roman" w:eastAsia="楷体_GB2312" w:cs="Times New Roman"/>
          <w:b/>
          <w:bCs/>
          <w:color w:val="000000"/>
          <w:kern w:val="0"/>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eastAsia="zh-CN"/>
        </w:rPr>
        <w:t>。</w:t>
      </w:r>
    </w:p>
    <w:p w14:paraId="3753DC52">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leftChars="0"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sz w:val="32"/>
          <w:szCs w:val="32"/>
          <w:highlight w:val="none"/>
          <w:u w:val="none"/>
          <w:lang w:val="en-US" w:eastAsia="zh-CN" w:bidi="ar"/>
        </w:rPr>
        <w:t>我单位2025年不涉及</w:t>
      </w:r>
      <w:r>
        <w:rPr>
          <w:rFonts w:hint="default" w:ascii="Times New Roman" w:hAnsi="Times New Roman" w:eastAsia="仿宋_GB2312" w:cs="Times New Roman"/>
          <w:sz w:val="32"/>
          <w:szCs w:val="32"/>
          <w:highlight w:val="none"/>
          <w:u w:val="none"/>
        </w:rPr>
        <w:t>国有资本、行政事业性国有资产、</w:t>
      </w:r>
      <w:r>
        <w:rPr>
          <w:rFonts w:hint="default" w:ascii="Times New Roman" w:hAnsi="Times New Roman" w:eastAsia="仿宋_GB2312" w:cs="Times New Roman"/>
          <w:b w:val="0"/>
          <w:bCs w:val="0"/>
          <w:sz w:val="32"/>
          <w:szCs w:val="32"/>
          <w:highlight w:val="none"/>
          <w:u w:val="none"/>
        </w:rPr>
        <w:t>债</w:t>
      </w:r>
      <w:r>
        <w:rPr>
          <w:rFonts w:hint="default" w:ascii="Times New Roman" w:hAnsi="Times New Roman" w:eastAsia="仿宋_GB2312" w:cs="Times New Roman"/>
          <w:sz w:val="32"/>
          <w:szCs w:val="32"/>
          <w:highlight w:val="none"/>
          <w:u w:val="none"/>
          <w:lang w:eastAsia="zh-CN" w:bidi="ar"/>
        </w:rPr>
        <w:t>券资金、政府采购和政府购买服务等重点领域</w:t>
      </w:r>
      <w:r>
        <w:rPr>
          <w:rFonts w:hint="eastAsia" w:ascii="Times New Roman" w:hAnsi="Times New Roman" w:eastAsia="仿宋_GB2312" w:cs="Times New Roman"/>
          <w:sz w:val="32"/>
          <w:szCs w:val="32"/>
          <w:highlight w:val="none"/>
          <w:u w:val="none"/>
          <w:lang w:val="en-US" w:eastAsia="zh-CN" w:bidi="ar"/>
        </w:rPr>
        <w:t>资金项目。</w:t>
      </w:r>
    </w:p>
    <w:p w14:paraId="6D4E722F">
      <w:pPr>
        <w:keepNext w:val="0"/>
        <w:keepLines w:val="0"/>
        <w:pageBreakBefore w:val="0"/>
        <w:widowControl/>
        <w:numPr>
          <w:ilvl w:val="0"/>
          <w:numId w:val="6"/>
        </w:numPr>
        <w:kinsoku/>
        <w:wordWrap/>
        <w:overflowPunct/>
        <w:topLinePunct w:val="0"/>
        <w:autoSpaceDE/>
        <w:autoSpaceDN/>
        <w:bidi w:val="0"/>
        <w:adjustRightInd w:val="0"/>
        <w:snapToGrid w:val="0"/>
        <w:spacing w:line="580" w:lineRule="exact"/>
        <w:ind w:left="0" w:leftChars="0" w:firstLine="643" w:firstLineChars="200"/>
        <w:contextualSpacing/>
        <w:jc w:val="left"/>
        <w:textAlignment w:val="auto"/>
        <w:rPr>
          <w:rFonts w:hint="eastAsia" w:ascii="Times New Roman" w:hAnsi="Times New Roman" w:eastAsia="楷体_GB2312" w:cs="Times New Roman"/>
          <w:b/>
          <w:bCs/>
          <w:szCs w:val="32"/>
          <w:lang w:val="zh-CN"/>
        </w:rPr>
      </w:pPr>
      <w:r>
        <w:rPr>
          <w:rFonts w:hint="default"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14:paraId="069D94D3">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leftChars="0" w:firstLine="640" w:firstLineChars="200"/>
        <w:contextualSpacing/>
        <w:jc w:val="left"/>
        <w:textAlignment w:val="auto"/>
        <w:rPr>
          <w:rFonts w:hint="eastAsia" w:ascii="仿宋_GB2312"/>
          <w:sz w:val="32"/>
          <w:lang w:val="en-US" w:eastAsia="zh-CN"/>
        </w:rPr>
      </w:pPr>
      <w:r>
        <w:rPr>
          <w:rFonts w:hint="eastAsia" w:cs="Times New Roman"/>
          <w:color w:val="000000"/>
          <w:kern w:val="0"/>
          <w:szCs w:val="32"/>
          <w:highlight w:val="none"/>
          <w:shd w:val="clear" w:color="auto" w:fill="FFFFFF"/>
          <w:lang w:val="en-US" w:eastAsia="zh-CN"/>
        </w:rPr>
        <w:t>我单位</w:t>
      </w:r>
      <w:r>
        <w:rPr>
          <w:rFonts w:hint="eastAsia" w:ascii="仿宋_GB2312" w:eastAsia="仿宋_GB2312"/>
          <w:sz w:val="32"/>
          <w:lang w:val="en-US" w:eastAsia="zh-CN"/>
        </w:rPr>
        <w:t>按照规定编制年度预算，取得的各项收入据实入账，无隐瞒，更无另设账户或者私设小金库。单位编制的支出预算，保证本单位履行基本职能所需人员经费和公用经费。对其他专项支出严格控制。项目资金严格管理，坚持专款专用，资金拨付采取先检查申请，后拨付。做到内容真实、数据准确、资料可靠。做到账务处理及时、会计核算规范、账账相符、账实相符。</w:t>
      </w:r>
      <w:r>
        <w:rPr>
          <w:rFonts w:hint="eastAsia" w:ascii="仿宋_GB2312"/>
          <w:sz w:val="32"/>
          <w:lang w:val="en-US" w:eastAsia="zh-CN"/>
        </w:rPr>
        <w:t>及时公开单位预决算和项目绩效评价信息。</w:t>
      </w:r>
    </w:p>
    <w:p w14:paraId="742BA90F">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118082F1">
      <w:pPr>
        <w:keepNext w:val="0"/>
        <w:keepLines w:val="0"/>
        <w:pageBreakBefore w:val="0"/>
        <w:widowControl/>
        <w:kinsoku/>
        <w:wordWrap/>
        <w:overflowPunct/>
        <w:topLinePunct w:val="0"/>
        <w:autoSpaceDE/>
        <w:autoSpaceDN/>
        <w:bidi w:val="0"/>
        <w:adjustRightInd w:val="0"/>
        <w:snapToGrid w:val="0"/>
        <w:spacing w:line="580" w:lineRule="exact"/>
        <w:ind w:leftChars="0" w:firstLine="643"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74CA31C4">
      <w:pPr>
        <w:pStyle w:val="15"/>
        <w:keepNext w:val="0"/>
        <w:keepLines w:val="0"/>
        <w:pageBreakBefore w:val="0"/>
        <w:kinsoku/>
        <w:wordWrap/>
        <w:overflowPunct/>
        <w:topLinePunct w:val="0"/>
        <w:autoSpaceDE/>
        <w:autoSpaceDN/>
        <w:bidi w:val="0"/>
        <w:ind w:leftChars="0"/>
        <w:textAlignment w:val="auto"/>
        <w:rPr>
          <w:rFonts w:hint="default" w:ascii="仿宋_GB2312" w:eastAsia="仿宋_GB2312" w:hAnsiTheme="minorHAnsi" w:cstheme="minorBidi"/>
          <w:color w:val="000000" w:themeColor="text1"/>
          <w:kern w:val="2"/>
          <w:sz w:val="32"/>
          <w:szCs w:val="24"/>
          <w:lang w:val="en-US" w:eastAsia="zh-CN" w:bidi="ar-SA"/>
          <w14:textFill>
            <w14:solidFill>
              <w14:schemeClr w14:val="tx1"/>
            </w14:solidFill>
          </w14:textFill>
        </w:rPr>
      </w:pPr>
      <w:r>
        <w:rPr>
          <w:rFonts w:hint="eastAsia" w:ascii="仿宋_GB2312" w:eastAsia="仿宋_GB2312"/>
          <w:sz w:val="32"/>
          <w:lang w:val="en-US" w:eastAsia="zh-CN"/>
        </w:rPr>
        <w:t>202</w:t>
      </w:r>
      <w:r>
        <w:rPr>
          <w:rFonts w:hint="eastAsia"/>
          <w:sz w:val="32"/>
          <w:lang w:val="en-US" w:eastAsia="zh-CN"/>
        </w:rPr>
        <w:t>5</w:t>
      </w:r>
      <w:r>
        <w:rPr>
          <w:rFonts w:hint="eastAsia" w:ascii="仿宋_GB2312" w:eastAsia="仿宋_GB2312"/>
          <w:sz w:val="32"/>
          <w:lang w:val="en-US" w:eastAsia="zh-CN"/>
        </w:rPr>
        <w:t>年</w:t>
      </w:r>
      <w:r>
        <w:rPr>
          <w:rFonts w:hint="eastAsia" w:ascii="仿宋_GB2312"/>
          <w:sz w:val="32"/>
          <w:lang w:val="en-US" w:eastAsia="zh-CN"/>
        </w:rPr>
        <w:t>，</w:t>
      </w:r>
      <w:r>
        <w:rPr>
          <w:rFonts w:hint="eastAsia" w:ascii="仿宋_GB2312" w:hAnsi="仿宋_GB2312" w:eastAsia="仿宋_GB2312" w:cs="仿宋_GB2312"/>
          <w:color w:val="auto"/>
          <w:kern w:val="0"/>
          <w:sz w:val="32"/>
          <w:szCs w:val="32"/>
          <w:shd w:val="clear" w:color="auto" w:fill="FFFFFF"/>
        </w:rPr>
        <w:t>根据考核评分细则，我单位整体支出，严格按照国家的相关财务管理制度规定，财务制度健全，会计核算规范，依照计划管理使用，整体支出对保障部门工作的正常运行，依法履行法定工作职能，强化部门责任，</w:t>
      </w:r>
      <w:r>
        <w:rPr>
          <w:rFonts w:hint="eastAsia" w:ascii="仿宋_GB2312" w:hAnsi="仿宋_GB2312" w:eastAsia="仿宋_GB2312" w:cs="仿宋_GB2312"/>
          <w:color w:val="auto"/>
          <w:kern w:val="0"/>
          <w:sz w:val="32"/>
          <w:szCs w:val="32"/>
          <w:shd w:val="clear" w:color="auto" w:fill="FFFFFF"/>
          <w:lang w:eastAsia="zh-CN"/>
        </w:rPr>
        <w:t>在</w:t>
      </w:r>
      <w:r>
        <w:rPr>
          <w:rFonts w:hint="eastAsia" w:ascii="仿宋_GB2312" w:hAnsi="仿宋_GB2312" w:cs="仿宋_GB2312"/>
          <w:color w:val="auto"/>
          <w:kern w:val="0"/>
          <w:sz w:val="32"/>
          <w:szCs w:val="32"/>
          <w:shd w:val="clear" w:color="auto" w:fill="FFFFFF"/>
          <w:lang w:val="en-US" w:eastAsia="zh-CN"/>
        </w:rPr>
        <w:t>生态环境保护</w:t>
      </w:r>
      <w:r>
        <w:rPr>
          <w:rFonts w:hint="eastAsia" w:ascii="仿宋_GB2312" w:hAnsi="仿宋_GB2312" w:eastAsia="仿宋_GB2312" w:cs="仿宋_GB2312"/>
          <w:color w:val="auto"/>
          <w:kern w:val="0"/>
          <w:sz w:val="32"/>
          <w:szCs w:val="32"/>
          <w:shd w:val="clear" w:color="auto" w:fill="FFFFFF"/>
          <w:lang w:eastAsia="zh-CN"/>
        </w:rPr>
        <w:t>工作中</w:t>
      </w:r>
      <w:r>
        <w:rPr>
          <w:rFonts w:hint="eastAsia" w:ascii="仿宋_GB2312" w:hAnsi="仿宋_GB2312" w:eastAsia="仿宋_GB2312" w:cs="仿宋_GB2312"/>
          <w:color w:val="auto"/>
          <w:kern w:val="0"/>
          <w:sz w:val="32"/>
          <w:szCs w:val="32"/>
          <w:shd w:val="clear" w:color="auto" w:fill="FFFFFF"/>
        </w:rPr>
        <w:t>取得了较好的成</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绩</w:t>
      </w:r>
      <w:r>
        <w:rPr>
          <w:rFonts w:hint="eastAsia" w:ascii="仿宋_GB2312" w:hAnsi="仿宋_GB2312" w:cs="仿宋_GB2312"/>
          <w:color w:val="000000" w:themeColor="text1"/>
          <w:kern w:val="0"/>
          <w:sz w:val="32"/>
          <w:szCs w:val="32"/>
          <w:shd w:val="clear" w:color="auto" w:fill="FFFFFF"/>
          <w:lang w:eastAsia="zh-CN"/>
          <w14:textFill>
            <w14:solidFill>
              <w14:schemeClr w14:val="tx1"/>
            </w14:solidFill>
          </w14:textFill>
        </w:rPr>
        <w:t>，</w:t>
      </w:r>
      <w:r>
        <w:rPr>
          <w:rFonts w:hint="eastAsia" w:ascii="仿宋_GB2312" w:hAnsi="仿宋_GB2312" w:cs="仿宋_GB2312"/>
          <w:color w:val="000000" w:themeColor="text1"/>
          <w:kern w:val="0"/>
          <w:sz w:val="32"/>
          <w:szCs w:val="32"/>
          <w:shd w:val="clear" w:color="auto" w:fill="FFFFFF"/>
          <w:lang w:val="en-US" w:eastAsia="zh-CN"/>
          <w14:textFill>
            <w14:solidFill>
              <w14:schemeClr w14:val="tx1"/>
            </w14:solidFill>
          </w14:textFill>
        </w:rPr>
        <w:t>自评</w:t>
      </w:r>
      <w:r>
        <w:rPr>
          <w:rFonts w:hint="eastAsia" w:ascii="仿宋_GB2312" w:eastAsia="仿宋_GB2312" w:hAnsiTheme="minorHAnsi" w:cstheme="minorBidi"/>
          <w:color w:val="000000" w:themeColor="text1"/>
          <w:kern w:val="2"/>
          <w:sz w:val="32"/>
          <w:szCs w:val="24"/>
          <w:lang w:val="en-US" w:eastAsia="zh-CN" w:bidi="ar-SA"/>
          <w14:textFill>
            <w14:solidFill>
              <w14:schemeClr w14:val="tx1"/>
            </w14:solidFill>
          </w14:textFill>
        </w:rPr>
        <w:t>分为</w:t>
      </w:r>
      <w:r>
        <w:rPr>
          <w:rFonts w:hint="eastAsia" w:hAnsiTheme="minorHAnsi" w:cstheme="minorBidi"/>
          <w:color w:val="000000" w:themeColor="text1"/>
          <w:kern w:val="2"/>
          <w:sz w:val="32"/>
          <w:szCs w:val="24"/>
          <w:lang w:val="en-US" w:eastAsia="zh-CN" w:bidi="ar-SA"/>
          <w14:textFill>
            <w14:solidFill>
              <w14:schemeClr w14:val="tx1"/>
            </w14:solidFill>
          </w14:textFill>
        </w:rPr>
        <w:t>95</w:t>
      </w:r>
      <w:r>
        <w:rPr>
          <w:rFonts w:hint="eastAsia" w:ascii="仿宋_GB2312" w:eastAsia="仿宋_GB2312" w:hAnsiTheme="minorHAnsi" w:cstheme="minorBidi"/>
          <w:color w:val="000000" w:themeColor="text1"/>
          <w:kern w:val="2"/>
          <w:sz w:val="32"/>
          <w:szCs w:val="24"/>
          <w:lang w:val="en-US" w:eastAsia="zh-CN" w:bidi="ar-SA"/>
          <w14:textFill>
            <w14:solidFill>
              <w14:schemeClr w14:val="tx1"/>
            </w14:solidFill>
          </w14:textFill>
        </w:rPr>
        <w:t>分</w:t>
      </w:r>
      <w:r>
        <w:rPr>
          <w:rFonts w:hint="eastAsia" w:hAnsiTheme="minorHAnsi" w:cstheme="minorBidi"/>
          <w:color w:val="000000" w:themeColor="text1"/>
          <w:kern w:val="2"/>
          <w:sz w:val="32"/>
          <w:szCs w:val="24"/>
          <w:lang w:val="en-US" w:eastAsia="zh-CN" w:bidi="ar-SA"/>
          <w14:textFill>
            <w14:solidFill>
              <w14:schemeClr w14:val="tx1"/>
            </w14:solidFill>
          </w14:textFill>
        </w:rPr>
        <w:t>。</w:t>
      </w:r>
    </w:p>
    <w:p w14:paraId="13B08329">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leftChars="200"/>
        <w:contextualSpacing/>
        <w:jc w:val="left"/>
        <w:textAlignment w:val="auto"/>
        <w:outlineLvl w:val="9"/>
        <w:rPr>
          <w:rFonts w:hint="eastAsia" w:ascii="仿宋_GB2312" w:hAnsi="仿宋_GB2312" w:eastAsia="仿宋_GB2312" w:cs="仿宋_GB2312"/>
          <w:b w:val="0"/>
          <w:bCs w:val="0"/>
          <w:w w:val="95"/>
          <w:kern w:val="0"/>
          <w:position w:val="0"/>
          <w:sz w:val="32"/>
          <w:szCs w:val="32"/>
          <w:highlight w:val="none"/>
          <w:lang w:val="en-US" w:eastAsia="zh-CN" w:bidi="ar-SA"/>
        </w:rPr>
      </w:pP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二</w:t>
      </w:r>
      <w:r>
        <w:rPr>
          <w:rFonts w:hint="eastAsia"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bCs/>
          <w:color w:val="000000"/>
          <w:kern w:val="0"/>
          <w:szCs w:val="32"/>
          <w:highlight w:val="none"/>
          <w:shd w:val="clear" w:color="auto" w:fill="FFFFFF"/>
          <w:lang w:val="zh-CN"/>
        </w:rPr>
        <w:t>存在问题。</w:t>
      </w:r>
    </w:p>
    <w:p w14:paraId="63EFE65A">
      <w:pPr>
        <w:pStyle w:val="10"/>
        <w:keepNext w:val="0"/>
        <w:keepLines w:val="0"/>
        <w:pageBreakBefore w:val="0"/>
        <w:widowControl w:val="0"/>
        <w:kinsoku/>
        <w:wordWrap/>
        <w:overflowPunct/>
        <w:topLinePunct w:val="0"/>
        <w:autoSpaceDE/>
        <w:autoSpaceDN/>
        <w:bidi w:val="0"/>
        <w:adjustRightInd/>
        <w:snapToGrid/>
        <w:spacing w:afterAutospacing="0" w:line="580" w:lineRule="exact"/>
        <w:ind w:firstLine="640" w:firstLineChars="200"/>
        <w:textAlignment w:val="auto"/>
        <w:rPr>
          <w:rFonts w:hint="eastAsia" w:ascii="仿宋_GB2312" w:eastAsia="仿宋_GB2312" w:hAnsiTheme="minorHAnsi" w:cstheme="minorBidi"/>
          <w:kern w:val="2"/>
          <w:sz w:val="32"/>
          <w:szCs w:val="24"/>
          <w:lang w:val="en-US" w:eastAsia="zh-CN" w:bidi="ar-SA"/>
        </w:rPr>
      </w:pPr>
      <w:r>
        <w:rPr>
          <w:rFonts w:hint="eastAsia" w:ascii="仿宋_GB2312" w:eastAsia="仿宋_GB2312" w:hAnsiTheme="minorHAnsi" w:cstheme="minorBidi"/>
          <w:kern w:val="2"/>
          <w:sz w:val="32"/>
          <w:szCs w:val="24"/>
          <w:lang w:val="en-US" w:eastAsia="zh-CN" w:bidi="ar-SA"/>
        </w:rPr>
        <w:t>1.对于绩效评价的认识不够深入，把预算绩效简单等同于工作目标、工作考核和业务管理。</w:t>
      </w:r>
    </w:p>
    <w:p w14:paraId="07F5B7A7">
      <w:pPr>
        <w:pStyle w:val="10"/>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hAnsiTheme="minorHAnsi" w:cstheme="minorBidi"/>
          <w:kern w:val="2"/>
          <w:sz w:val="32"/>
          <w:szCs w:val="24"/>
          <w:lang w:val="en-US" w:eastAsia="zh-CN" w:bidi="ar-SA"/>
        </w:rPr>
      </w:pPr>
      <w:r>
        <w:rPr>
          <w:rFonts w:hint="eastAsia" w:ascii="仿宋_GB2312" w:eastAsia="仿宋_GB2312" w:hAnsiTheme="minorHAnsi" w:cstheme="minorBidi"/>
          <w:kern w:val="2"/>
          <w:sz w:val="32"/>
          <w:szCs w:val="24"/>
          <w:lang w:val="en-US" w:eastAsia="zh-CN" w:bidi="ar-SA"/>
        </w:rPr>
        <w:t>2.绩效目标和指标往往根据项实际完成情况制定，对执行过程有效约束不够，存在一定的偏差。</w:t>
      </w:r>
    </w:p>
    <w:p w14:paraId="25FB7063">
      <w:pPr>
        <w:pStyle w:val="10"/>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lang w:val="en-US" w:eastAsia="zh-CN"/>
        </w:rPr>
      </w:pPr>
      <w:r>
        <w:rPr>
          <w:rFonts w:hint="eastAsia" w:ascii="仿宋_GB2312" w:eastAsia="仿宋_GB2312" w:hAnsiTheme="minorHAnsi" w:cstheme="minorBidi"/>
          <w:kern w:val="2"/>
          <w:sz w:val="32"/>
          <w:szCs w:val="24"/>
          <w:lang w:val="en-US" w:eastAsia="zh-CN" w:bidi="ar-SA"/>
        </w:rPr>
        <w:t>3.内控制度更新不及时,有执行不到位的地方,监督乏力。</w:t>
      </w:r>
    </w:p>
    <w:p w14:paraId="25AFFA24">
      <w:pPr>
        <w:keepNext w:val="0"/>
        <w:keepLines w:val="0"/>
        <w:pageBreakBefore w:val="0"/>
        <w:kinsoku/>
        <w:wordWrap/>
        <w:overflowPunct/>
        <w:topLinePunct w:val="0"/>
        <w:autoSpaceDE/>
        <w:autoSpaceDN/>
        <w:bidi w:val="0"/>
        <w:spacing w:line="580" w:lineRule="exact"/>
        <w:ind w:firstLine="640" w:firstLineChars="200"/>
        <w:textAlignment w:val="auto"/>
        <w:rPr>
          <w:rFonts w:hint="eastAsia"/>
          <w:lang w:val="en-US" w:eastAsia="zh-CN"/>
        </w:rPr>
      </w:pPr>
      <w:r>
        <w:rPr>
          <w:rFonts w:hint="eastAsia" w:ascii="仿宋_GB2312" w:hAnsi="仿宋_GB2312" w:cs="仿宋_GB2312"/>
          <w:color w:val="auto"/>
          <w:kern w:val="0"/>
          <w:sz w:val="32"/>
          <w:szCs w:val="32"/>
          <w:shd w:val="clear" w:color="auto" w:fill="FFFFFF"/>
          <w:lang w:val="en-US" w:eastAsia="zh-CN"/>
        </w:rPr>
        <w:t>4.</w:t>
      </w:r>
      <w:r>
        <w:rPr>
          <w:rFonts w:hint="eastAsia" w:ascii="仿宋_GB2312" w:hAnsi="仿宋_GB2312" w:eastAsia="仿宋_GB2312" w:cs="仿宋_GB2312"/>
          <w:color w:val="auto"/>
          <w:kern w:val="0"/>
          <w:sz w:val="32"/>
          <w:szCs w:val="32"/>
          <w:shd w:val="clear" w:color="auto" w:fill="FFFFFF"/>
        </w:rPr>
        <w:t>机关的支出管理项目还有待进一步细化和量化，强化机关经费预算管理的刚性约束，项目支出按预算和工作进度执行，进一步规范各项支出。</w:t>
      </w:r>
    </w:p>
    <w:p w14:paraId="21F72FB9">
      <w:pPr>
        <w:keepNext w:val="0"/>
        <w:keepLines w:val="0"/>
        <w:pageBreakBefore w:val="0"/>
        <w:widowControl/>
        <w:kinsoku/>
        <w:wordWrap/>
        <w:overflowPunct/>
        <w:topLinePunct w:val="0"/>
        <w:autoSpaceDE/>
        <w:autoSpaceDN/>
        <w:bidi w:val="0"/>
        <w:adjustRightInd w:val="0"/>
        <w:snapToGrid w:val="0"/>
        <w:spacing w:line="580" w:lineRule="exact"/>
        <w:ind w:firstLine="643" w:firstLineChars="200"/>
        <w:contextualSpacing/>
        <w:jc w:val="left"/>
        <w:textAlignment w:val="auto"/>
        <w:outlineLvl w:val="9"/>
        <w:rPr>
          <w:rFonts w:hint="eastAsia" w:ascii="仿宋_GB2312" w:hAnsi="仿宋_GB2312" w:eastAsia="仿宋_GB2312" w:cs="仿宋_GB2312"/>
          <w:b w:val="0"/>
          <w:bCs w:val="0"/>
          <w:kern w:val="0"/>
          <w:position w:val="0"/>
          <w:sz w:val="32"/>
          <w:szCs w:val="32"/>
          <w:highlight w:val="none"/>
          <w:lang w:val="en" w:eastAsia="zh-CN" w:bidi="ar-SA"/>
        </w:rPr>
      </w:pPr>
      <w:r>
        <w:rPr>
          <w:rFonts w:hint="default" w:ascii="Times New Roman" w:hAnsi="Times New Roman" w:eastAsia="楷体_GB2312" w:cs="Times New Roman"/>
          <w:b/>
          <w:bCs/>
          <w:color w:val="000000"/>
          <w:kern w:val="0"/>
          <w:szCs w:val="32"/>
          <w:highlight w:val="none"/>
          <w:shd w:val="clear" w:color="auto" w:fill="FFFFFF"/>
          <w:lang w:val="zh-CN" w:eastAsia="zh-CN"/>
        </w:rPr>
        <w:t>（三）改进建议。</w:t>
      </w:r>
      <w:r>
        <w:rPr>
          <w:rFonts w:hint="eastAsia" w:ascii="仿宋_GB2312" w:hAnsi="仿宋_GB2312" w:eastAsia="仿宋_GB2312" w:cs="仿宋_GB2312"/>
          <w:b w:val="0"/>
          <w:bCs w:val="0"/>
          <w:kern w:val="0"/>
          <w:position w:val="0"/>
          <w:sz w:val="32"/>
          <w:szCs w:val="32"/>
          <w:highlight w:val="none"/>
          <w:lang w:val="en-US" w:eastAsia="zh-CN" w:bidi="ar-SA"/>
        </w:rPr>
        <w:t>简要阐述</w:t>
      </w:r>
      <w:bookmarkStart w:id="129" w:name="_Hlk110546638"/>
      <w:r>
        <w:rPr>
          <w:rFonts w:hint="eastAsia" w:ascii="仿宋_GB2312" w:hAnsi="仿宋_GB2312" w:eastAsia="仿宋_GB2312" w:cs="仿宋_GB2312"/>
          <w:b w:val="0"/>
          <w:bCs w:val="0"/>
          <w:kern w:val="0"/>
          <w:position w:val="0"/>
          <w:sz w:val="32"/>
          <w:szCs w:val="32"/>
          <w:highlight w:val="none"/>
          <w:lang w:val="en" w:eastAsia="zh-CN" w:bidi="ar-SA"/>
        </w:rPr>
        <w:t>预算安排、完善政策、改进管理等方面的</w:t>
      </w:r>
      <w:r>
        <w:rPr>
          <w:rFonts w:hint="eastAsia" w:ascii="仿宋_GB2312" w:hAnsi="仿宋_GB2312" w:eastAsia="仿宋_GB2312" w:cs="仿宋_GB2312"/>
          <w:b w:val="0"/>
          <w:bCs w:val="0"/>
          <w:kern w:val="0"/>
          <w:position w:val="0"/>
          <w:sz w:val="32"/>
          <w:szCs w:val="32"/>
          <w:highlight w:val="none"/>
          <w:lang w:val="en-US" w:eastAsia="zh-CN" w:bidi="ar-SA"/>
        </w:rPr>
        <w:t>措施</w:t>
      </w:r>
      <w:r>
        <w:rPr>
          <w:rFonts w:hint="eastAsia" w:ascii="仿宋_GB2312" w:hAnsi="仿宋_GB2312" w:eastAsia="仿宋_GB2312" w:cs="仿宋_GB2312"/>
          <w:b w:val="0"/>
          <w:bCs w:val="0"/>
          <w:kern w:val="0"/>
          <w:position w:val="0"/>
          <w:sz w:val="32"/>
          <w:szCs w:val="32"/>
          <w:highlight w:val="none"/>
          <w:lang w:val="en" w:eastAsia="zh-CN" w:bidi="ar-SA"/>
        </w:rPr>
        <w:t>建议，其中</w:t>
      </w:r>
      <w:r>
        <w:rPr>
          <w:rFonts w:hint="eastAsia" w:ascii="仿宋_GB2312" w:hAnsi="仿宋_GB2312" w:eastAsia="仿宋_GB2312" w:cs="仿宋_GB2312"/>
          <w:b w:val="0"/>
          <w:bCs w:val="0"/>
          <w:kern w:val="0"/>
          <w:position w:val="0"/>
          <w:sz w:val="32"/>
          <w:szCs w:val="32"/>
          <w:highlight w:val="none"/>
          <w:lang w:val="en-US" w:eastAsia="zh-CN" w:bidi="ar-SA"/>
        </w:rPr>
        <w:t>必须对应评价发现的主要问题一一提出措施建议。</w:t>
      </w:r>
    </w:p>
    <w:bookmarkEnd w:id="129"/>
    <w:p w14:paraId="4853A2A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eastAsia="仿宋_GB2312" w:hAnsiTheme="minorHAnsi" w:cstheme="minorBidi"/>
          <w:kern w:val="2"/>
          <w:sz w:val="32"/>
          <w:szCs w:val="24"/>
          <w:lang w:val="en-US" w:eastAsia="zh-CN" w:bidi="ar-SA"/>
        </w:rPr>
      </w:pPr>
      <w:r>
        <w:rPr>
          <w:rFonts w:hint="eastAsia" w:ascii="仿宋_GB2312" w:cstheme="minorBidi"/>
          <w:b/>
          <w:bCs/>
          <w:kern w:val="2"/>
          <w:sz w:val="32"/>
          <w:szCs w:val="24"/>
          <w:lang w:val="en-US" w:eastAsia="zh-CN" w:bidi="ar-SA"/>
        </w:rPr>
        <w:t>1.</w:t>
      </w:r>
      <w:r>
        <w:rPr>
          <w:rFonts w:hint="eastAsia" w:ascii="仿宋_GB2312" w:eastAsia="仿宋_GB2312" w:hAnsiTheme="minorHAnsi" w:cstheme="minorBidi"/>
          <w:kern w:val="2"/>
          <w:sz w:val="32"/>
          <w:szCs w:val="24"/>
          <w:lang w:val="en-US" w:eastAsia="zh-CN" w:bidi="ar-SA"/>
        </w:rPr>
        <w:t>建议财政部门多开展部门预算绩效评价工作的业务工作培训，组织开展部门之间、单位之间的经验交流，特别是要组织非财务部门的人员参与评价工作，切实推进绩效评价工作的开展。</w:t>
      </w:r>
    </w:p>
    <w:p w14:paraId="10581F1E">
      <w:pPr>
        <w:pStyle w:val="10"/>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eastAsia="仿宋_GB2312" w:hAnsiTheme="minorHAnsi" w:cstheme="minorBidi"/>
          <w:kern w:val="2"/>
          <w:sz w:val="32"/>
          <w:szCs w:val="24"/>
          <w:lang w:val="en-US" w:eastAsia="zh-CN" w:bidi="ar-SA"/>
        </w:rPr>
      </w:pPr>
      <w:r>
        <w:rPr>
          <w:rFonts w:hint="eastAsia" w:ascii="仿宋_GB2312" w:hAnsiTheme="minorHAnsi" w:cstheme="minorBidi"/>
          <w:b/>
          <w:bCs/>
          <w:kern w:val="2"/>
          <w:sz w:val="32"/>
          <w:szCs w:val="24"/>
          <w:lang w:val="en-US" w:eastAsia="zh-CN" w:bidi="ar-SA"/>
        </w:rPr>
        <w:t>2.</w:t>
      </w:r>
      <w:r>
        <w:rPr>
          <w:rFonts w:hint="eastAsia" w:ascii="仿宋_GB2312" w:eastAsia="仿宋_GB2312" w:hAnsiTheme="minorHAnsi" w:cstheme="minorBidi"/>
          <w:kern w:val="2"/>
          <w:sz w:val="32"/>
          <w:szCs w:val="24"/>
          <w:lang w:val="en-US" w:eastAsia="zh-CN" w:bidi="ar-SA"/>
        </w:rPr>
        <w:t>进一步加强内控管理,提高认知程度,加强思想灌输,从思想上强化内部控制管理制度。强化单位纪检监督作用。</w:t>
      </w:r>
    </w:p>
    <w:p w14:paraId="2961E771">
      <w:pPr>
        <w:keepNext w:val="0"/>
        <w:keepLines w:val="0"/>
        <w:pageBreakBefore w:val="0"/>
        <w:widowControl/>
        <w:kinsoku/>
        <w:wordWrap/>
        <w:overflowPunct/>
        <w:topLinePunct w:val="0"/>
        <w:autoSpaceDE/>
        <w:autoSpaceDN/>
        <w:bidi w:val="0"/>
        <w:spacing w:line="580" w:lineRule="exact"/>
        <w:ind w:firstLine="640" w:firstLineChars="200"/>
        <w:textAlignment w:val="auto"/>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lang w:val="en-US" w:eastAsia="zh-CN"/>
        </w:rPr>
        <w:t>3.</w:t>
      </w:r>
      <w:r>
        <w:rPr>
          <w:rFonts w:hint="eastAsia" w:ascii="仿宋" w:hAnsi="仿宋" w:eastAsia="仿宋" w:cs="仿宋"/>
          <w:sz w:val="32"/>
          <w:szCs w:val="32"/>
          <w:shd w:val="clear" w:color="auto" w:fill="FFFFFF"/>
        </w:rPr>
        <w:t>提高预算执行的科学化、规范化、精细化水平。积极推行公务卡制度，严格财务报销手续</w:t>
      </w:r>
      <w:r>
        <w:rPr>
          <w:rFonts w:hint="eastAsia" w:ascii="仿宋" w:hAnsi="仿宋" w:eastAsia="仿宋" w:cs="仿宋"/>
          <w:sz w:val="32"/>
          <w:szCs w:val="32"/>
          <w:shd w:val="clear" w:color="auto" w:fill="FFFFFF"/>
          <w:lang w:eastAsia="zh-CN"/>
        </w:rPr>
        <w:t>。</w:t>
      </w:r>
    </w:p>
    <w:p w14:paraId="7D7528C3">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outlineLvl w:val="9"/>
        <w:rPr>
          <w:rFonts w:hint="eastAsia" w:ascii="仿宋" w:hAnsi="仿宋" w:eastAsia="仿宋" w:cs="仿宋"/>
          <w:sz w:val="32"/>
          <w:szCs w:val="32"/>
          <w:shd w:val="clear" w:color="auto" w:fill="FFFFFF"/>
          <w:lang w:eastAsia="zh-CN"/>
        </w:rPr>
      </w:pP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严格按照部门预算管理和国库集中支付管理的各项规章制度要求</w:t>
      </w:r>
      <w:r>
        <w:rPr>
          <w:rFonts w:hint="eastAsia" w:ascii="仿宋" w:hAnsi="仿宋" w:eastAsia="仿宋" w:cs="仿宋"/>
          <w:sz w:val="32"/>
          <w:szCs w:val="32"/>
          <w:shd w:val="clear" w:color="auto" w:fill="FFFFFF"/>
          <w:lang w:eastAsia="zh-CN"/>
        </w:rPr>
        <w:t>。</w:t>
      </w:r>
    </w:p>
    <w:p w14:paraId="5B72C019">
      <w:pPr>
        <w:pStyle w:val="15"/>
        <w:spacing w:line="560" w:lineRule="exact"/>
        <w:ind w:left="0" w:leftChars="0" w:firstLine="640"/>
        <w:rPr>
          <w:rFonts w:ascii="Times New Roman" w:eastAsia="仿宋_GB2312"/>
          <w:sz w:val="32"/>
          <w:lang w:val="zh-CN" w:bidi="ar"/>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w:t>
      </w:r>
      <w:r>
        <w:rPr>
          <w:rFonts w:hint="eastAsia" w:ascii="Times New Roman" w:eastAsia="仿宋_GB2312"/>
          <w:sz w:val="32"/>
          <w:lang w:eastAsia="zh-CN" w:bidi="ar"/>
        </w:rPr>
        <w:t>2025</w:t>
      </w:r>
      <w:r>
        <w:rPr>
          <w:rFonts w:hint="eastAsia" w:ascii="Times New Roman" w:eastAsia="仿宋_GB2312"/>
          <w:sz w:val="32"/>
          <w:lang w:bidi="ar"/>
        </w:rPr>
        <w:t>年度）</w:t>
      </w:r>
    </w:p>
    <w:p w14:paraId="60C2724B">
      <w:pPr>
        <w:pStyle w:val="15"/>
        <w:spacing w:line="560" w:lineRule="exact"/>
        <w:ind w:left="0" w:leftChars="0" w:firstLine="640"/>
        <w:rPr>
          <w:rFonts w:hint="eastAsia" w:ascii="黑体" w:hAnsi="黑体" w:eastAsia="黑体" w:cs="黑体"/>
          <w:b w:val="0"/>
          <w:bCs w:val="0"/>
          <w:lang w:val="en-US" w:eastAsia="zh-CN"/>
        </w:rPr>
      </w:pPr>
      <w:r>
        <w:rPr>
          <w:rFonts w:hint="eastAsia" w:ascii="Times New Roman" w:eastAsia="仿宋_GB2312" w:cs="仿宋_GB2312"/>
          <w:kern w:val="0"/>
          <w:sz w:val="32"/>
        </w:rPr>
        <w:t>（注：按照绩效自评工作安排，各部门已在预算管理一体化系统绩效自评模块上传“部门预算项目支出绩效自评表（</w:t>
      </w:r>
      <w:r>
        <w:rPr>
          <w:rFonts w:hint="eastAsia" w:ascii="Times New Roman" w:eastAsia="仿宋_GB2312" w:cs="仿宋_GB2312"/>
          <w:kern w:val="0"/>
          <w:sz w:val="32"/>
          <w:lang w:eastAsia="zh-CN"/>
        </w:rPr>
        <w:t>2025</w:t>
      </w:r>
      <w:r>
        <w:rPr>
          <w:rFonts w:hint="eastAsia" w:ascii="Times New Roman" w:eastAsia="仿宋_GB2312" w:cs="仿宋_GB2312"/>
          <w:kern w:val="0"/>
          <w:sz w:val="32"/>
        </w:rPr>
        <w:t>年度）”，该表格应作为附表予以公开）</w:t>
      </w:r>
      <w:bookmarkStart w:id="130" w:name="_Toc19413"/>
      <w:bookmarkStart w:id="131" w:name="_Toc14514"/>
      <w:bookmarkStart w:id="132" w:name="部门预算项目支出绩效自评表（2024年度）"/>
    </w:p>
    <w:p w14:paraId="51D1864D">
      <w:pPr>
        <w:pStyle w:val="3"/>
        <w:bidi w:val="0"/>
        <w:ind w:left="0" w:leftChars="0" w:firstLine="1280" w:firstLineChars="400"/>
        <w:jc w:val="both"/>
        <w:rPr>
          <w:rFonts w:hint="eastAsia" w:ascii="黑体" w:hAnsi="黑体" w:eastAsia="黑体" w:cs="黑体"/>
          <w:b w:val="0"/>
          <w:bCs w:val="0"/>
          <w:lang w:val="en-US" w:eastAsia="zh-CN"/>
        </w:rPr>
      </w:pPr>
    </w:p>
    <w:p w14:paraId="21AAB1D3">
      <w:pPr>
        <w:pStyle w:val="3"/>
        <w:bidi w:val="0"/>
        <w:ind w:left="0" w:leftChars="0" w:firstLine="1280" w:firstLineChars="400"/>
        <w:jc w:val="both"/>
        <w:rPr>
          <w:rFonts w:hint="eastAsia" w:ascii="黑体" w:hAnsi="黑体" w:eastAsia="黑体" w:cs="黑体"/>
          <w:b w:val="0"/>
          <w:bCs w:val="0"/>
          <w:lang w:val="en-US" w:eastAsia="zh-CN"/>
        </w:rPr>
      </w:pPr>
    </w:p>
    <w:p w14:paraId="0EAF0C8F">
      <w:pPr>
        <w:pStyle w:val="3"/>
        <w:bidi w:val="0"/>
        <w:ind w:left="0" w:leftChars="0" w:firstLine="1280" w:firstLineChars="400"/>
        <w:jc w:val="both"/>
        <w:rPr>
          <w:rFonts w:hint="eastAsia" w:ascii="黑体" w:hAnsi="黑体" w:eastAsia="黑体" w:cs="黑体"/>
          <w:b w:val="0"/>
          <w:bCs w:val="0"/>
          <w:lang w:val="en-US" w:eastAsia="zh-CN"/>
        </w:rPr>
      </w:pPr>
    </w:p>
    <w:p w14:paraId="65C8B103">
      <w:pPr>
        <w:pStyle w:val="3"/>
        <w:bidi w:val="0"/>
        <w:ind w:left="0" w:leftChars="0" w:firstLine="1280" w:firstLineChars="400"/>
        <w:jc w:val="both"/>
        <w:rPr>
          <w:rFonts w:hint="eastAsia" w:ascii="黑体" w:hAnsi="黑体" w:eastAsia="黑体" w:cs="黑体"/>
          <w:b w:val="0"/>
          <w:bCs w:val="0"/>
          <w:lang w:val="en-US" w:eastAsia="zh-CN"/>
        </w:rPr>
      </w:pPr>
    </w:p>
    <w:p w14:paraId="6664A968">
      <w:pPr>
        <w:pStyle w:val="3"/>
        <w:bidi w:val="0"/>
        <w:ind w:left="0" w:leftChars="0" w:firstLine="1280" w:firstLineChars="400"/>
        <w:jc w:val="both"/>
        <w:rPr>
          <w:rFonts w:hint="eastAsia" w:ascii="黑体" w:hAnsi="黑体" w:eastAsia="黑体" w:cs="黑体"/>
          <w:b w:val="0"/>
          <w:bCs w:val="0"/>
          <w:lang w:val="en-US" w:eastAsia="zh-CN"/>
        </w:rPr>
      </w:pPr>
    </w:p>
    <w:p w14:paraId="37FBF845">
      <w:pPr>
        <w:pStyle w:val="3"/>
        <w:bidi w:val="0"/>
        <w:ind w:left="0" w:leftChars="0" w:firstLine="1280" w:firstLineChars="400"/>
        <w:jc w:val="both"/>
        <w:rPr>
          <w:rFonts w:hint="eastAsia" w:ascii="黑体" w:hAnsi="黑体" w:eastAsia="黑体" w:cs="黑体"/>
          <w:b w:val="0"/>
          <w:bCs w:val="0"/>
          <w:lang w:val="en-US" w:eastAsia="zh-CN"/>
        </w:rPr>
      </w:pPr>
    </w:p>
    <w:p w14:paraId="120048F4">
      <w:pPr>
        <w:pStyle w:val="3"/>
        <w:bidi w:val="0"/>
        <w:ind w:left="0" w:leftChars="0" w:firstLine="1280" w:firstLineChars="400"/>
        <w:jc w:val="both"/>
        <w:rPr>
          <w:rFonts w:hint="eastAsia" w:ascii="黑体" w:hAnsi="黑体" w:eastAsia="黑体" w:cs="黑体"/>
          <w:b w:val="0"/>
          <w:bCs w:val="0"/>
          <w:lang w:val="en-US" w:eastAsia="zh-CN"/>
        </w:rPr>
      </w:pPr>
    </w:p>
    <w:p w14:paraId="73D85138">
      <w:pPr>
        <w:pStyle w:val="3"/>
        <w:bidi w:val="0"/>
        <w:ind w:left="0" w:leftChars="0" w:firstLine="1280" w:firstLineChars="400"/>
        <w:jc w:val="both"/>
        <w:rPr>
          <w:rFonts w:hint="eastAsia" w:ascii="黑体" w:hAnsi="黑体" w:eastAsia="黑体" w:cs="黑体"/>
          <w:b w:val="0"/>
          <w:bCs w:val="0"/>
          <w:lang w:val="en-US" w:eastAsia="zh-CN"/>
        </w:rPr>
      </w:pPr>
    </w:p>
    <w:p w14:paraId="5DA15503">
      <w:pPr>
        <w:pStyle w:val="3"/>
        <w:bidi w:val="0"/>
        <w:ind w:left="0" w:leftChars="0" w:firstLine="1280" w:firstLineChars="400"/>
        <w:jc w:val="both"/>
        <w:rPr>
          <w:rFonts w:hint="eastAsia" w:ascii="黑体" w:hAnsi="黑体" w:eastAsia="黑体" w:cs="黑体"/>
          <w:b w:val="0"/>
          <w:bCs w:val="0"/>
          <w:lang w:val="en-US" w:eastAsia="zh-CN"/>
        </w:rPr>
      </w:pPr>
    </w:p>
    <w:p w14:paraId="4375744C">
      <w:pPr>
        <w:pStyle w:val="3"/>
        <w:bidi w:val="0"/>
        <w:ind w:left="0" w:leftChars="0" w:firstLine="1280" w:firstLineChars="400"/>
        <w:jc w:val="both"/>
        <w:rPr>
          <w:rFonts w:hint="eastAsia" w:ascii="黑体" w:hAnsi="黑体" w:eastAsia="黑体" w:cs="黑体"/>
          <w:b w:val="0"/>
          <w:bCs w:val="0"/>
          <w:lang w:val="en-US" w:eastAsia="zh-CN"/>
        </w:rPr>
        <w:sectPr>
          <w:footerReference r:id="rId9" w:type="first"/>
          <w:footerReference r:id="rId8" w:type="default"/>
          <w:pgSz w:w="11906" w:h="16838"/>
          <w:pgMar w:top="1803" w:right="1440" w:bottom="1803" w:left="1440" w:header="851" w:footer="992" w:gutter="0"/>
          <w:pgNumType w:fmt="decimal" w:start="1"/>
          <w:cols w:space="425" w:num="1"/>
          <w:titlePg/>
          <w:docGrid w:type="lines" w:linePitch="312" w:charSpace="0"/>
        </w:sectPr>
      </w:pPr>
    </w:p>
    <w:p w14:paraId="6AB336CA">
      <w:pPr>
        <w:ind w:left="0" w:leftChars="0" w:firstLine="0" w:firstLineChars="0"/>
        <w:rPr>
          <w:rFonts w:hint="eastAsia" w:ascii="Times New Roman" w:hAnsi="Times New Roman" w:eastAsia="仿宋_GB2312" w:cs="仿宋_GB2312"/>
          <w:kern w:val="0"/>
          <w:sz w:val="32"/>
          <w:szCs w:val="32"/>
          <w:lang w:val="en-US" w:eastAsia="zh-CN" w:bidi="ar-SA"/>
        </w:rPr>
      </w:pPr>
    </w:p>
    <w:p w14:paraId="495F31A3">
      <w:pPr>
        <w:pStyle w:val="3"/>
        <w:bidi w:val="0"/>
        <w:ind w:left="0" w:leftChars="0" w:firstLine="1285" w:firstLineChars="400"/>
        <w:jc w:val="center"/>
        <w:rPr>
          <w:rFonts w:hint="eastAsia" w:ascii="Times New Roman" w:hAnsi="Times New Roman" w:eastAsia="仿宋_GB2312" w:cs="仿宋_GB2312"/>
          <w:kern w:val="0"/>
          <w:sz w:val="32"/>
          <w:szCs w:val="32"/>
          <w:lang w:val="en-US" w:eastAsia="zh-CN" w:bidi="ar-SA"/>
        </w:rPr>
      </w:pPr>
      <w:r>
        <w:rPr>
          <w:rFonts w:hint="eastAsia" w:ascii="Times New Roman" w:hAnsi="Times New Roman" w:eastAsia="仿宋_GB2312" w:cs="仿宋_GB2312"/>
          <w:kern w:val="0"/>
          <w:sz w:val="32"/>
          <w:szCs w:val="32"/>
          <w:lang w:val="en-US" w:eastAsia="zh-CN" w:bidi="ar-SA"/>
        </w:rPr>
        <w:t>部门预算项目支出绩效自评表（2025年度）</w:t>
      </w:r>
      <w:bookmarkEnd w:id="130"/>
      <w:bookmarkEnd w:id="131"/>
    </w:p>
    <w:tbl>
      <w:tblPr>
        <w:tblStyle w:val="18"/>
        <w:tblpPr w:leftFromText="180" w:rightFromText="180" w:vertAnchor="text" w:horzAnchor="page" w:tblpX="1790" w:tblpY="54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0"/>
        <w:gridCol w:w="920"/>
        <w:gridCol w:w="1152"/>
        <w:gridCol w:w="2466"/>
        <w:gridCol w:w="920"/>
        <w:gridCol w:w="1461"/>
        <w:gridCol w:w="920"/>
        <w:gridCol w:w="1307"/>
        <w:gridCol w:w="998"/>
        <w:gridCol w:w="999"/>
        <w:gridCol w:w="1385"/>
      </w:tblGrid>
      <w:tr w14:paraId="5841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5FAE10">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04B7A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ADB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27AD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51320023T000009285578-汶川县2023年度国家重点生态功能区监测与评价项目</w:t>
            </w:r>
          </w:p>
        </w:tc>
      </w:tr>
      <w:tr w14:paraId="5DE0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A79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FE2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0BB35A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2A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45BA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0AC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E79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E71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EA9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7B288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1A8D5">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7E540">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25C9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完成汶川县国家重点生态功能区县城及乡镇集中式生活饮用水源地水质监测（60万）、汶川县国家重点生态功能区重点区域地下水水质监测（40万）、汶川县国家重点生态功能区评价监测（包含重点污染源、农村环境质量监测）（40万）、汶川县县域环境质量监测（包含水功能区、趋势科研断面、声环境质量监测）（50万） 、汶川县生态环境局环境监测站仪器设备购置及维修，日常药品及耗材，县域重点支流及突发委托监测（100万）、汶川县紫坪铺库区水质变化趋势科研（30万）、汶川县出入境水质自动监测站运行维护（100万）、汶川县空气自动监测站运维服务（60万）、汶川县省控空气自动监测站点位选址变更（60万），主要涉及省级空气质量考核站点搬迁、设备安装调式等，以及搬迁后的房屋设施恢复维修、环境执法性监测（40万）等10个子项目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目标2：进一步掌握县域内环境功能区等质量状况，了解出入境水质和城镇环境空气质量状况，完成年度考核内容报送，为国家及省、州考核提供数据支撑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A8BF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气自动站点位变更项目因所在地区旧城改造，暂不具备搬迁条件。其余所有年度目标均已完成，进一步掌握县域内环境功能区等质量状况，了解出入境水质和城镇环境空气质量状况，完成了年度考核内容报送，为国家及省、州考核提供数据支撑。</w:t>
            </w:r>
          </w:p>
        </w:tc>
      </w:tr>
      <w:tr w14:paraId="6773D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DE26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BE0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8876BD">
            <w:pPr>
              <w:rPr>
                <w:rFonts w:hint="eastAsia" w:ascii="宋体" w:hAnsi="宋体" w:eastAsia="宋体" w:cs="宋体"/>
                <w:i w:val="0"/>
                <w:iCs w:val="0"/>
                <w:color w:val="000000"/>
                <w:sz w:val="18"/>
                <w:szCs w:val="18"/>
                <w:u w:val="none"/>
              </w:rPr>
            </w:pPr>
          </w:p>
        </w:tc>
      </w:tr>
      <w:tr w14:paraId="2A5DF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77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73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6A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74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E6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5B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38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DA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32E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7B519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4A18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22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23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45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60.30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86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66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F6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34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53A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D6B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B921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47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60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6FD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99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AE3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6F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6E3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664EE">
            <w:pPr>
              <w:rPr>
                <w:rFonts w:hint="eastAsia" w:ascii="宋体" w:hAnsi="宋体" w:eastAsia="宋体" w:cs="宋体"/>
                <w:i w:val="0"/>
                <w:iCs w:val="0"/>
                <w:color w:val="000000"/>
                <w:sz w:val="18"/>
                <w:szCs w:val="18"/>
                <w:u w:val="none"/>
              </w:rPr>
            </w:pPr>
          </w:p>
        </w:tc>
      </w:tr>
      <w:tr w14:paraId="35C8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F67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C8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A0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D94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E9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B3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86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4A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4AF16">
            <w:pPr>
              <w:rPr>
                <w:rFonts w:hint="eastAsia" w:ascii="宋体" w:hAnsi="宋体" w:eastAsia="宋体" w:cs="宋体"/>
                <w:i w:val="0"/>
                <w:iCs w:val="0"/>
                <w:color w:val="000000"/>
                <w:sz w:val="18"/>
                <w:szCs w:val="18"/>
                <w:u w:val="none"/>
              </w:rPr>
            </w:pPr>
          </w:p>
        </w:tc>
      </w:tr>
      <w:tr w14:paraId="44F6E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EB1A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EA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70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A5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60.30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AB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66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1D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29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93AFF">
            <w:pPr>
              <w:rPr>
                <w:rFonts w:hint="eastAsia" w:ascii="宋体" w:hAnsi="宋体" w:eastAsia="宋体" w:cs="宋体"/>
                <w:i w:val="0"/>
                <w:iCs w:val="0"/>
                <w:color w:val="000000"/>
                <w:sz w:val="18"/>
                <w:szCs w:val="18"/>
                <w:u w:val="none"/>
              </w:rPr>
            </w:pPr>
          </w:p>
        </w:tc>
      </w:tr>
      <w:tr w14:paraId="79AF6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3CD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57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42DA6">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45EF9">
            <w:pPr>
              <w:jc w:val="center"/>
              <w:rPr>
                <w:rFonts w:hint="eastAsia" w:ascii="宋体" w:hAnsi="宋体" w:eastAsia="宋体" w:cs="宋体"/>
                <w:i w:val="0"/>
                <w:iCs w:val="0"/>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EFE4A">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CC831">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DA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46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38D92">
            <w:pPr>
              <w:rPr>
                <w:rFonts w:hint="eastAsia" w:ascii="宋体" w:hAnsi="宋体" w:eastAsia="宋体" w:cs="宋体"/>
                <w:i w:val="0"/>
                <w:iCs w:val="0"/>
                <w:color w:val="000000"/>
                <w:sz w:val="18"/>
                <w:szCs w:val="18"/>
                <w:u w:val="none"/>
              </w:rPr>
            </w:pPr>
          </w:p>
        </w:tc>
      </w:tr>
      <w:tr w14:paraId="2BDE6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09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C6E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3A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D8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0C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3A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67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25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55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10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B7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1401D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05EF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E4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59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FE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监测仪器维修、日常药瓶购买，环境执法监测、空气自动站点位变更，空气自动站运维服务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D6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2A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20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08A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72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75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55E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空气自动站点位变更项目因所在地区旧城改造，暂不具备搬迁条件</w:t>
            </w:r>
          </w:p>
        </w:tc>
      </w:tr>
      <w:tr w14:paraId="248B8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C26D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8F18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8BD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E73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开展重点区域地下水水质监测点位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D4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4E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CE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C405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39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E3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9E179">
            <w:pPr>
              <w:jc w:val="center"/>
              <w:rPr>
                <w:rFonts w:hint="eastAsia" w:ascii="宋体" w:hAnsi="宋体" w:eastAsia="宋体" w:cs="宋体"/>
                <w:i w:val="0"/>
                <w:iCs w:val="0"/>
                <w:color w:val="000000"/>
                <w:sz w:val="16"/>
                <w:szCs w:val="16"/>
                <w:u w:val="none"/>
              </w:rPr>
            </w:pPr>
          </w:p>
        </w:tc>
      </w:tr>
      <w:tr w14:paraId="1F93D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4F87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2576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7542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84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水功能区、趋势断面、声环境质量监测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ABE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F9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473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192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3E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207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48FD1">
            <w:pPr>
              <w:jc w:val="center"/>
              <w:rPr>
                <w:rFonts w:hint="eastAsia" w:ascii="宋体" w:hAnsi="宋体" w:eastAsia="宋体" w:cs="宋体"/>
                <w:i w:val="0"/>
                <w:iCs w:val="0"/>
                <w:color w:val="000000"/>
                <w:sz w:val="16"/>
                <w:szCs w:val="16"/>
                <w:u w:val="none"/>
              </w:rPr>
            </w:pPr>
          </w:p>
        </w:tc>
      </w:tr>
      <w:tr w14:paraId="164FA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F0A9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ACCA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FA5A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65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开展县城及各镇集中式饮用水水质监测点位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66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80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68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57B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E8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384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799CC">
            <w:pPr>
              <w:jc w:val="center"/>
              <w:rPr>
                <w:rFonts w:hint="eastAsia" w:ascii="宋体" w:hAnsi="宋体" w:eastAsia="宋体" w:cs="宋体"/>
                <w:i w:val="0"/>
                <w:iCs w:val="0"/>
                <w:color w:val="000000"/>
                <w:sz w:val="16"/>
                <w:szCs w:val="16"/>
                <w:u w:val="none"/>
              </w:rPr>
            </w:pPr>
          </w:p>
        </w:tc>
      </w:tr>
      <w:tr w14:paraId="47FAE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74DD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5173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607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F7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开展重点污染源、农村环境质量监测点位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9D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E5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1B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202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AE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FA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CE025">
            <w:pPr>
              <w:jc w:val="center"/>
              <w:rPr>
                <w:rFonts w:hint="eastAsia" w:ascii="宋体" w:hAnsi="宋体" w:eastAsia="宋体" w:cs="宋体"/>
                <w:i w:val="0"/>
                <w:iCs w:val="0"/>
                <w:color w:val="000000"/>
                <w:sz w:val="16"/>
                <w:szCs w:val="16"/>
                <w:u w:val="none"/>
              </w:rPr>
            </w:pPr>
          </w:p>
        </w:tc>
      </w:tr>
      <w:tr w14:paraId="0769D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AE5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16F0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EF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FB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产品合格率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BF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DD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FB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10A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78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AF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8C553">
            <w:pPr>
              <w:jc w:val="center"/>
              <w:rPr>
                <w:rFonts w:hint="eastAsia" w:ascii="宋体" w:hAnsi="宋体" w:eastAsia="宋体" w:cs="宋体"/>
                <w:i w:val="0"/>
                <w:iCs w:val="0"/>
                <w:color w:val="000000"/>
                <w:sz w:val="16"/>
                <w:szCs w:val="16"/>
                <w:u w:val="none"/>
              </w:rPr>
            </w:pPr>
          </w:p>
        </w:tc>
      </w:tr>
      <w:tr w14:paraId="2D04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9716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4CE7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BFC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694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BB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6D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8C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5BF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AC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D0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51361">
            <w:pPr>
              <w:jc w:val="center"/>
              <w:rPr>
                <w:rFonts w:hint="eastAsia" w:ascii="宋体" w:hAnsi="宋体" w:eastAsia="宋体" w:cs="宋体"/>
                <w:i w:val="0"/>
                <w:iCs w:val="0"/>
                <w:color w:val="000000"/>
                <w:sz w:val="16"/>
                <w:szCs w:val="16"/>
                <w:u w:val="none"/>
              </w:rPr>
            </w:pPr>
          </w:p>
        </w:tc>
      </w:tr>
      <w:tr w14:paraId="10AE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6DF3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D649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12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76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运维周期、监测服务周期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D8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15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852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44A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DC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4A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4C99C">
            <w:pPr>
              <w:jc w:val="center"/>
              <w:rPr>
                <w:rFonts w:hint="eastAsia" w:ascii="宋体" w:hAnsi="宋体" w:eastAsia="宋体" w:cs="宋体"/>
                <w:i w:val="0"/>
                <w:iCs w:val="0"/>
                <w:color w:val="000000"/>
                <w:sz w:val="16"/>
                <w:szCs w:val="16"/>
                <w:u w:val="none"/>
              </w:rPr>
            </w:pPr>
          </w:p>
        </w:tc>
      </w:tr>
      <w:tr w14:paraId="5DB49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6F6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D3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BD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8E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通过对饮用水源地、地表水、地下水和环境空气的持续监测，实施掌握其质量状况，对污染水体和大气环境及时发现，减少群众就医成本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673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9F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9A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03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7D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41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E4BC9E">
            <w:pPr>
              <w:jc w:val="center"/>
              <w:rPr>
                <w:rFonts w:hint="eastAsia" w:ascii="宋体" w:hAnsi="宋体" w:eastAsia="宋体" w:cs="宋体"/>
                <w:i w:val="0"/>
                <w:iCs w:val="0"/>
                <w:color w:val="000000"/>
                <w:sz w:val="16"/>
                <w:szCs w:val="16"/>
                <w:u w:val="none"/>
              </w:rPr>
            </w:pPr>
          </w:p>
        </w:tc>
      </w:tr>
      <w:tr w14:paraId="3AABE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2E93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E1B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9D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EB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通过对饮用水源地、地表水、地下水和环境空气的持续监测，实施掌握其质量状况，对污染水体和大气环境及时发现，保障群众居住环境和用水安全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11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E0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4D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CE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7F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42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4710E">
            <w:pPr>
              <w:jc w:val="center"/>
              <w:rPr>
                <w:rFonts w:hint="eastAsia" w:ascii="宋体" w:hAnsi="宋体" w:eastAsia="宋体" w:cs="宋体"/>
                <w:i w:val="0"/>
                <w:iCs w:val="0"/>
                <w:color w:val="000000"/>
                <w:sz w:val="16"/>
                <w:szCs w:val="16"/>
                <w:u w:val="none"/>
              </w:rPr>
            </w:pPr>
          </w:p>
        </w:tc>
      </w:tr>
      <w:tr w14:paraId="0D7DE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9D2E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D65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3E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97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有效掌握汶川县环境空气、地表水、地下水及饮用水源地质量状况，完成年度考核内容报送，为国家及省、州考核提供数据支撑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48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791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6D9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8F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E1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C9A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0FCA0">
            <w:pPr>
              <w:jc w:val="center"/>
              <w:rPr>
                <w:rFonts w:hint="eastAsia" w:ascii="宋体" w:hAnsi="宋体" w:eastAsia="宋体" w:cs="宋体"/>
                <w:i w:val="0"/>
                <w:iCs w:val="0"/>
                <w:color w:val="000000"/>
                <w:sz w:val="16"/>
                <w:szCs w:val="16"/>
                <w:u w:val="none"/>
              </w:rPr>
            </w:pPr>
          </w:p>
        </w:tc>
      </w:tr>
      <w:tr w14:paraId="68A3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60B3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550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05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C9A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通过项目的连续实施，能够对汶川县现有环境质量状况及其可能的发展趋势进行研判，提前预防可能存在的环境风险问题，做到预警预防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B4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E5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8D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B8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F4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BB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C158B">
            <w:pPr>
              <w:jc w:val="center"/>
              <w:rPr>
                <w:rFonts w:hint="eastAsia" w:ascii="宋体" w:hAnsi="宋体" w:eastAsia="宋体" w:cs="宋体"/>
                <w:i w:val="0"/>
                <w:iCs w:val="0"/>
                <w:color w:val="000000"/>
                <w:sz w:val="16"/>
                <w:szCs w:val="16"/>
                <w:u w:val="none"/>
              </w:rPr>
            </w:pPr>
          </w:p>
        </w:tc>
      </w:tr>
      <w:tr w14:paraId="45CBC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993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A7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6F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9C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1F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E7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9D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C85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42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47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914FF">
            <w:pPr>
              <w:jc w:val="center"/>
              <w:rPr>
                <w:rFonts w:hint="eastAsia" w:ascii="宋体" w:hAnsi="宋体" w:eastAsia="宋体" w:cs="宋体"/>
                <w:i w:val="0"/>
                <w:iCs w:val="0"/>
                <w:color w:val="000000"/>
                <w:sz w:val="16"/>
                <w:szCs w:val="16"/>
                <w:u w:val="none"/>
              </w:rPr>
            </w:pPr>
          </w:p>
        </w:tc>
      </w:tr>
      <w:tr w14:paraId="496B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0BF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8E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8FA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52877">
            <w:pPr>
              <w:rPr>
                <w:rFonts w:hint="eastAsia" w:ascii="宋体" w:hAnsi="宋体" w:eastAsia="宋体" w:cs="宋体"/>
                <w:i w:val="0"/>
                <w:iCs w:val="0"/>
                <w:color w:val="000000"/>
                <w:sz w:val="18"/>
                <w:szCs w:val="18"/>
                <w:u w:val="none"/>
              </w:rPr>
            </w:pPr>
          </w:p>
        </w:tc>
      </w:tr>
      <w:tr w14:paraId="5F144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F1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FBD0B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空气自动站点位变更项目因所在地区旧城改造，暂不具备搬迁条件。其余所有年度目标均已完成，进一步掌握了当年的县域内环境功能区等质量状况，了解出入境水质和城镇环境空气质量状况，完成了年度考核内容报送，为国家及省、州考核提供数据支撑。</w:t>
            </w:r>
          </w:p>
        </w:tc>
      </w:tr>
      <w:tr w14:paraId="4D69B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60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14395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空气自动站点位变更项目因所在地区旧城改造，暂不具备搬迁条件。</w:t>
            </w:r>
          </w:p>
        </w:tc>
      </w:tr>
      <w:tr w14:paraId="70B3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59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8E777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项目前期分析规划不够细致，下一步工作开展过程中将更加细致严谨研判项目全过程实施规划。</w:t>
            </w:r>
          </w:p>
        </w:tc>
      </w:tr>
      <w:tr w14:paraId="3BB84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D4D6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项目负责人：曾庆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DA18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0641B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1F64487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6BFBAC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F78EBC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C236D2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4A1C72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7CCED8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444EEA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3E8ADC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2CC817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A7827B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49540C7">
            <w:pPr>
              <w:rPr>
                <w:rFonts w:hint="eastAsia" w:ascii="宋体" w:hAnsi="宋体" w:eastAsia="宋体" w:cs="宋体"/>
                <w:i w:val="0"/>
                <w:iCs w:val="0"/>
                <w:color w:val="000000"/>
                <w:sz w:val="18"/>
                <w:szCs w:val="18"/>
                <w:u w:val="none"/>
              </w:rPr>
            </w:pPr>
          </w:p>
        </w:tc>
      </w:tr>
      <w:tr w14:paraId="45BDE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C4BE9A">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1EA2E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812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B2BC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51320024T000010368975-法律服务咨询费</w:t>
            </w:r>
          </w:p>
        </w:tc>
      </w:tr>
      <w:tr w14:paraId="36CB1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BA8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D823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4C9750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DD5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52DB5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8BD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AA0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68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948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3C99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5D072">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03DA2">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FAA4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审查项目合同合法性及行政审批及处罚合法性、审查行政复议等，聘请法律顾问。通过法律顾问服务，提高行政决策的合法性和公平性，降低法律风险。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BB4B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w:t>
            </w:r>
          </w:p>
        </w:tc>
      </w:tr>
      <w:tr w14:paraId="1EC21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B76E8">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7B5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D8D4DD">
            <w:pPr>
              <w:rPr>
                <w:rFonts w:hint="eastAsia" w:ascii="宋体" w:hAnsi="宋体" w:eastAsia="宋体" w:cs="宋体"/>
                <w:i w:val="0"/>
                <w:iCs w:val="0"/>
                <w:color w:val="000000"/>
                <w:sz w:val="18"/>
                <w:szCs w:val="18"/>
                <w:u w:val="none"/>
              </w:rPr>
            </w:pPr>
          </w:p>
        </w:tc>
      </w:tr>
      <w:tr w14:paraId="79A34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94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2B0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17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27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A1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A9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6C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9BF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9E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53ABA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926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4B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5C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74F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46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9A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19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BA31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9FD33">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已完成</w:t>
            </w:r>
          </w:p>
        </w:tc>
      </w:tr>
      <w:tr w14:paraId="5148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CF9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92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FA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5D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62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77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70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A9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41106">
            <w:pPr>
              <w:rPr>
                <w:rFonts w:hint="eastAsia" w:ascii="宋体" w:hAnsi="宋体" w:eastAsia="宋体" w:cs="宋体"/>
                <w:i/>
                <w:iCs/>
                <w:color w:val="000000"/>
                <w:sz w:val="18"/>
                <w:szCs w:val="18"/>
                <w:u w:val="none"/>
              </w:rPr>
            </w:pPr>
          </w:p>
        </w:tc>
      </w:tr>
      <w:tr w14:paraId="60C14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E06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EF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88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E6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04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4C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04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20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29C9A">
            <w:pPr>
              <w:rPr>
                <w:rFonts w:hint="eastAsia" w:ascii="宋体" w:hAnsi="宋体" w:eastAsia="宋体" w:cs="宋体"/>
                <w:i/>
                <w:iCs/>
                <w:color w:val="000000"/>
                <w:sz w:val="18"/>
                <w:szCs w:val="18"/>
                <w:u w:val="none"/>
              </w:rPr>
            </w:pPr>
          </w:p>
        </w:tc>
      </w:tr>
      <w:tr w14:paraId="2BE9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474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52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A3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9AF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A8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66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FE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BF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CEA58">
            <w:pPr>
              <w:rPr>
                <w:rFonts w:hint="eastAsia" w:ascii="宋体" w:hAnsi="宋体" w:eastAsia="宋体" w:cs="宋体"/>
                <w:i/>
                <w:iCs/>
                <w:color w:val="000000"/>
                <w:sz w:val="18"/>
                <w:szCs w:val="18"/>
                <w:u w:val="none"/>
              </w:rPr>
            </w:pPr>
          </w:p>
        </w:tc>
      </w:tr>
      <w:tr w14:paraId="21DC4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7526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C1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FFD7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B533F">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8ADB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B9EE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DA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CC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DA092">
            <w:pPr>
              <w:rPr>
                <w:rFonts w:hint="eastAsia" w:ascii="宋体" w:hAnsi="宋体" w:eastAsia="宋体" w:cs="宋体"/>
                <w:i/>
                <w:iCs/>
                <w:color w:val="000000"/>
                <w:sz w:val="18"/>
                <w:szCs w:val="18"/>
                <w:u w:val="none"/>
              </w:rPr>
            </w:pPr>
          </w:p>
        </w:tc>
      </w:tr>
      <w:tr w14:paraId="3E249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969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72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D9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91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AF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8F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D5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D96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8C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C7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10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66B0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0635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23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45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5F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审查项目合同数量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71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8A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7C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7B60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43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9E3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F0D0B">
            <w:pPr>
              <w:jc w:val="center"/>
              <w:rPr>
                <w:rFonts w:hint="eastAsia" w:ascii="宋体" w:hAnsi="宋体" w:eastAsia="宋体" w:cs="宋体"/>
                <w:i/>
                <w:iCs/>
                <w:color w:val="000000"/>
                <w:sz w:val="16"/>
                <w:szCs w:val="16"/>
                <w:u w:val="none"/>
              </w:rPr>
            </w:pPr>
          </w:p>
        </w:tc>
      </w:tr>
      <w:tr w14:paraId="6E2F4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FA85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B745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766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DE6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提供有效法律意见数量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D90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34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E6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6D6FF">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C7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FA7E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7F7F3">
            <w:pPr>
              <w:jc w:val="center"/>
              <w:rPr>
                <w:rFonts w:hint="eastAsia" w:ascii="宋体" w:hAnsi="宋体" w:eastAsia="宋体" w:cs="宋体"/>
                <w:i/>
                <w:iCs/>
                <w:color w:val="000000"/>
                <w:sz w:val="16"/>
                <w:szCs w:val="16"/>
                <w:u w:val="none"/>
              </w:rPr>
            </w:pPr>
          </w:p>
        </w:tc>
      </w:tr>
      <w:tr w14:paraId="2B65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5F7A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C751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BD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CC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合同合法率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90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03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D3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664E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8C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561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9D69D">
            <w:pPr>
              <w:jc w:val="center"/>
              <w:rPr>
                <w:rFonts w:hint="eastAsia" w:ascii="宋体" w:hAnsi="宋体" w:eastAsia="宋体" w:cs="宋体"/>
                <w:i/>
                <w:iCs/>
                <w:color w:val="000000"/>
                <w:sz w:val="16"/>
                <w:szCs w:val="16"/>
                <w:u w:val="none"/>
              </w:rPr>
            </w:pPr>
          </w:p>
        </w:tc>
      </w:tr>
      <w:tr w14:paraId="25688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6FCC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31E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BE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84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审查响应时长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E6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E5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77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个工作日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23B0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662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D19A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582EB">
            <w:pPr>
              <w:jc w:val="center"/>
              <w:rPr>
                <w:rFonts w:hint="eastAsia" w:ascii="宋体" w:hAnsi="宋体" w:eastAsia="宋体" w:cs="宋体"/>
                <w:i/>
                <w:iCs/>
                <w:color w:val="000000"/>
                <w:sz w:val="16"/>
                <w:szCs w:val="16"/>
                <w:u w:val="none"/>
              </w:rPr>
            </w:pPr>
          </w:p>
        </w:tc>
      </w:tr>
      <w:tr w14:paraId="27A4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42F39">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E1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9E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A5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为项目合同合法性提供依据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58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BB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188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4601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C2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A27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6363B">
            <w:pPr>
              <w:jc w:val="center"/>
              <w:rPr>
                <w:rFonts w:hint="eastAsia" w:ascii="宋体" w:hAnsi="宋体" w:eastAsia="宋体" w:cs="宋体"/>
                <w:i/>
                <w:iCs/>
                <w:color w:val="000000"/>
                <w:sz w:val="16"/>
                <w:szCs w:val="16"/>
                <w:u w:val="none"/>
              </w:rPr>
            </w:pPr>
          </w:p>
        </w:tc>
      </w:tr>
      <w:tr w14:paraId="26A9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E50A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280E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41B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4A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双方合同公平性评价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16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E5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A0A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25FC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F6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60BB1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65B86">
            <w:pPr>
              <w:jc w:val="center"/>
              <w:rPr>
                <w:rFonts w:hint="eastAsia" w:ascii="宋体" w:hAnsi="宋体" w:eastAsia="宋体" w:cs="宋体"/>
                <w:i/>
                <w:iCs/>
                <w:color w:val="000000"/>
                <w:sz w:val="16"/>
                <w:szCs w:val="16"/>
                <w:u w:val="none"/>
              </w:rPr>
            </w:pPr>
          </w:p>
        </w:tc>
      </w:tr>
      <w:tr w14:paraId="182F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CF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5A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096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A7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50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3E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1D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6898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E2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5EE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13934">
            <w:pPr>
              <w:jc w:val="center"/>
              <w:rPr>
                <w:rFonts w:hint="eastAsia" w:ascii="宋体" w:hAnsi="宋体" w:eastAsia="宋体" w:cs="宋体"/>
                <w:i/>
                <w:iCs/>
                <w:color w:val="000000"/>
                <w:sz w:val="16"/>
                <w:szCs w:val="16"/>
                <w:u w:val="none"/>
              </w:rPr>
            </w:pPr>
          </w:p>
        </w:tc>
      </w:tr>
      <w:tr w14:paraId="19A5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A6C0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FA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817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84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项目年度总资金金额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08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24D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32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64AC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A8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C35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053ED">
            <w:pPr>
              <w:jc w:val="center"/>
              <w:rPr>
                <w:rFonts w:hint="eastAsia" w:ascii="宋体" w:hAnsi="宋体" w:eastAsia="宋体" w:cs="宋体"/>
                <w:i/>
                <w:iCs/>
                <w:color w:val="000000"/>
                <w:sz w:val="16"/>
                <w:szCs w:val="16"/>
                <w:u w:val="none"/>
              </w:rPr>
            </w:pPr>
          </w:p>
        </w:tc>
      </w:tr>
      <w:tr w14:paraId="2E214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759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53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C079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08726">
            <w:pPr>
              <w:rPr>
                <w:rFonts w:hint="eastAsia" w:ascii="宋体" w:hAnsi="宋体" w:eastAsia="宋体" w:cs="宋体"/>
                <w:i w:val="0"/>
                <w:iCs w:val="0"/>
                <w:color w:val="000000"/>
                <w:sz w:val="18"/>
                <w:szCs w:val="18"/>
                <w:u w:val="none"/>
              </w:rPr>
            </w:pPr>
          </w:p>
        </w:tc>
      </w:tr>
      <w:tr w14:paraId="52E9A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364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3A2F8B">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按照预算指标完成年度预算任务，自评100分。</w:t>
            </w:r>
          </w:p>
        </w:tc>
      </w:tr>
      <w:tr w14:paraId="6A5D8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24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428B63">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3CBA0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38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F88442">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7FC8A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6F1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3558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72165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0BCC0E7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AEE048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DB62FE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31C199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EC3E5D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D5E80E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2CEC8B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6D511A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8D72C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677D2B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AB2FCB">
            <w:pPr>
              <w:rPr>
                <w:rFonts w:hint="eastAsia" w:ascii="宋体" w:hAnsi="宋体" w:eastAsia="宋体" w:cs="宋体"/>
                <w:i w:val="0"/>
                <w:iCs w:val="0"/>
                <w:color w:val="000000"/>
                <w:sz w:val="18"/>
                <w:szCs w:val="18"/>
                <w:u w:val="none"/>
              </w:rPr>
            </w:pPr>
          </w:p>
        </w:tc>
      </w:tr>
      <w:tr w14:paraId="257CC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A968B7">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15DC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4B5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289F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51320024T000011128324-汶川生态环境局水污染防治监管能力建设</w:t>
            </w:r>
          </w:p>
        </w:tc>
      </w:tr>
      <w:tr w14:paraId="48A92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6A8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B7D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0A1D97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46D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5A0B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1D7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AEA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4E0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6CC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3763E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B08FF">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F51B4">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69C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目标1：1完成水质自动监测站和监测站提升改造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目标2：完成紫坪铺水库日常巡检采样及相关运维工作</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A0FC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完成水质自动监测站和监测站提升改造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，完成紫坪铺水库日常巡检采样及相关运维工作</w:t>
            </w:r>
          </w:p>
        </w:tc>
      </w:tr>
      <w:tr w14:paraId="13F73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3414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F56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655F3E">
            <w:pPr>
              <w:rPr>
                <w:rFonts w:hint="eastAsia" w:ascii="宋体" w:hAnsi="宋体" w:eastAsia="宋体" w:cs="宋体"/>
                <w:i w:val="0"/>
                <w:iCs w:val="0"/>
                <w:color w:val="000000"/>
                <w:sz w:val="18"/>
                <w:szCs w:val="18"/>
                <w:u w:val="none"/>
              </w:rPr>
            </w:pPr>
          </w:p>
        </w:tc>
      </w:tr>
      <w:tr w14:paraId="18A97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16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A7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1C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D1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83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9A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61C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5E6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18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2B6FF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35C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7E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C9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B1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CC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FF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2D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6F15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FBAD2">
            <w:pPr>
              <w:rPr>
                <w:rFonts w:hint="eastAsia" w:ascii="宋体" w:hAnsi="宋体" w:eastAsia="宋体" w:cs="宋体"/>
                <w:i/>
                <w:iCs/>
                <w:color w:val="000000"/>
                <w:sz w:val="18"/>
                <w:szCs w:val="18"/>
                <w:u w:val="none"/>
              </w:rPr>
            </w:pPr>
          </w:p>
        </w:tc>
      </w:tr>
      <w:tr w14:paraId="18D71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7D4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86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B5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970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D3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58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C4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A2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12411">
            <w:pPr>
              <w:rPr>
                <w:rFonts w:hint="eastAsia" w:ascii="宋体" w:hAnsi="宋体" w:eastAsia="宋体" w:cs="宋体"/>
                <w:i/>
                <w:iCs/>
                <w:color w:val="000000"/>
                <w:sz w:val="18"/>
                <w:szCs w:val="18"/>
                <w:u w:val="none"/>
              </w:rPr>
            </w:pPr>
          </w:p>
        </w:tc>
      </w:tr>
      <w:tr w14:paraId="2A16A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6B9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391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3C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D1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67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A2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13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D1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EF6FC">
            <w:pPr>
              <w:rPr>
                <w:rFonts w:hint="eastAsia" w:ascii="宋体" w:hAnsi="宋体" w:eastAsia="宋体" w:cs="宋体"/>
                <w:i/>
                <w:iCs/>
                <w:color w:val="000000"/>
                <w:sz w:val="18"/>
                <w:szCs w:val="18"/>
                <w:u w:val="none"/>
              </w:rPr>
            </w:pPr>
          </w:p>
        </w:tc>
      </w:tr>
      <w:tr w14:paraId="6A420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BF5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E3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697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DF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853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F4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F2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61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E050">
            <w:pPr>
              <w:rPr>
                <w:rFonts w:hint="eastAsia" w:ascii="宋体" w:hAnsi="宋体" w:eastAsia="宋体" w:cs="宋体"/>
                <w:i/>
                <w:iCs/>
                <w:color w:val="000000"/>
                <w:sz w:val="18"/>
                <w:szCs w:val="18"/>
                <w:u w:val="none"/>
              </w:rPr>
            </w:pPr>
          </w:p>
        </w:tc>
      </w:tr>
      <w:tr w14:paraId="75E4A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762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D6D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7789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9756A">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352B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E0C8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5F2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06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FC1C3">
            <w:pPr>
              <w:rPr>
                <w:rFonts w:hint="eastAsia" w:ascii="宋体" w:hAnsi="宋体" w:eastAsia="宋体" w:cs="宋体"/>
                <w:i/>
                <w:iCs/>
                <w:color w:val="000000"/>
                <w:sz w:val="18"/>
                <w:szCs w:val="18"/>
                <w:u w:val="none"/>
              </w:rPr>
            </w:pPr>
          </w:p>
        </w:tc>
      </w:tr>
      <w:tr w14:paraId="04F3B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72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EC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C4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22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16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EA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66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5A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950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9C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64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6400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33F5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09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A6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7E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紫坪铺水库日常巡检采样及相关运维工作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41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54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C9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220B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5D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A54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C6895">
            <w:pPr>
              <w:jc w:val="center"/>
              <w:rPr>
                <w:rFonts w:hint="eastAsia" w:ascii="宋体" w:hAnsi="宋体" w:eastAsia="宋体" w:cs="宋体"/>
                <w:i/>
                <w:iCs/>
                <w:color w:val="000000"/>
                <w:sz w:val="16"/>
                <w:szCs w:val="16"/>
                <w:u w:val="none"/>
              </w:rPr>
            </w:pPr>
          </w:p>
        </w:tc>
      </w:tr>
      <w:tr w14:paraId="3A08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B59D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650D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3CC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DB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水质自动监测站和监测站提升改造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BF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3F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2A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43207">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D3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B3C5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51E32">
            <w:pPr>
              <w:jc w:val="center"/>
              <w:rPr>
                <w:rFonts w:hint="eastAsia" w:ascii="宋体" w:hAnsi="宋体" w:eastAsia="宋体" w:cs="宋体"/>
                <w:i/>
                <w:iCs/>
                <w:color w:val="000000"/>
                <w:sz w:val="16"/>
                <w:szCs w:val="16"/>
                <w:u w:val="none"/>
              </w:rPr>
            </w:pPr>
          </w:p>
        </w:tc>
      </w:tr>
      <w:tr w14:paraId="47D1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59CF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37F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06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03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1C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9D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5F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B506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FB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BB72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F5B1B">
            <w:pPr>
              <w:jc w:val="center"/>
              <w:rPr>
                <w:rFonts w:hint="eastAsia" w:ascii="宋体" w:hAnsi="宋体" w:eastAsia="宋体" w:cs="宋体"/>
                <w:i/>
                <w:iCs/>
                <w:color w:val="000000"/>
                <w:sz w:val="16"/>
                <w:szCs w:val="16"/>
                <w:u w:val="none"/>
              </w:rPr>
            </w:pPr>
          </w:p>
        </w:tc>
      </w:tr>
      <w:tr w14:paraId="5E61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AD32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12A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BC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F9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8E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61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E871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E6C5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3AB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C78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A6CE4">
            <w:pPr>
              <w:jc w:val="center"/>
              <w:rPr>
                <w:rFonts w:hint="eastAsia" w:ascii="宋体" w:hAnsi="宋体" w:eastAsia="宋体" w:cs="宋体"/>
                <w:i/>
                <w:iCs/>
                <w:color w:val="000000"/>
                <w:sz w:val="16"/>
                <w:szCs w:val="16"/>
                <w:u w:val="none"/>
              </w:rPr>
            </w:pPr>
          </w:p>
        </w:tc>
      </w:tr>
      <w:tr w14:paraId="2C1F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BDD7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BC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9C6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9A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保障库区水质，降低饮水安全事故发生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C1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57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3D5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EC6D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74A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EBBA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ABBF9">
            <w:pPr>
              <w:jc w:val="center"/>
              <w:rPr>
                <w:rFonts w:hint="eastAsia" w:ascii="宋体" w:hAnsi="宋体" w:eastAsia="宋体" w:cs="宋体"/>
                <w:i/>
                <w:iCs/>
                <w:color w:val="000000"/>
                <w:sz w:val="16"/>
                <w:szCs w:val="16"/>
                <w:u w:val="none"/>
              </w:rPr>
            </w:pPr>
          </w:p>
        </w:tc>
      </w:tr>
      <w:tr w14:paraId="7FE34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3E12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0B71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C1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DC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进一步掌握了解紫坪铺水库水质变化情况，做好水质预警监测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B8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9F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BCA0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E70B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06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7F8B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09B76">
            <w:pPr>
              <w:jc w:val="center"/>
              <w:rPr>
                <w:rFonts w:hint="eastAsia" w:ascii="宋体" w:hAnsi="宋体" w:eastAsia="宋体" w:cs="宋体"/>
                <w:i/>
                <w:iCs/>
                <w:color w:val="000000"/>
                <w:sz w:val="16"/>
                <w:szCs w:val="16"/>
                <w:u w:val="none"/>
              </w:rPr>
            </w:pPr>
          </w:p>
        </w:tc>
      </w:tr>
      <w:tr w14:paraId="1F769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2062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69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C9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31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BE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6E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B8A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742C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6B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581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DC5B0">
            <w:pPr>
              <w:jc w:val="center"/>
              <w:rPr>
                <w:rFonts w:hint="eastAsia" w:ascii="宋体" w:hAnsi="宋体" w:eastAsia="宋体" w:cs="宋体"/>
                <w:i/>
                <w:iCs/>
                <w:color w:val="000000"/>
                <w:sz w:val="16"/>
                <w:szCs w:val="16"/>
                <w:u w:val="none"/>
              </w:rPr>
            </w:pPr>
          </w:p>
        </w:tc>
      </w:tr>
      <w:tr w14:paraId="4DB8A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028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0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2C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1B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下达资金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27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B8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9D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3B9C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D6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7F8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F2E50">
            <w:pPr>
              <w:jc w:val="center"/>
              <w:rPr>
                <w:rFonts w:hint="eastAsia" w:ascii="宋体" w:hAnsi="宋体" w:eastAsia="宋体" w:cs="宋体"/>
                <w:i/>
                <w:iCs/>
                <w:color w:val="000000"/>
                <w:sz w:val="16"/>
                <w:szCs w:val="16"/>
                <w:u w:val="none"/>
              </w:rPr>
            </w:pPr>
          </w:p>
        </w:tc>
      </w:tr>
      <w:tr w14:paraId="47FF5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E1F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6B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AC82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22A31">
            <w:pPr>
              <w:rPr>
                <w:rFonts w:hint="eastAsia" w:ascii="宋体" w:hAnsi="宋体" w:eastAsia="宋体" w:cs="宋体"/>
                <w:i w:val="0"/>
                <w:iCs w:val="0"/>
                <w:color w:val="000000"/>
                <w:sz w:val="18"/>
                <w:szCs w:val="18"/>
                <w:u w:val="none"/>
              </w:rPr>
            </w:pPr>
          </w:p>
        </w:tc>
      </w:tr>
      <w:tr w14:paraId="6D71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C6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16934D">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结合自评情况，说明项目自评总分，说明项目实施取得的成效或成果。（200字以内）</w:t>
            </w:r>
          </w:p>
        </w:tc>
      </w:tr>
      <w:tr w14:paraId="5B95A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95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224AC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结合自评情况，分析存在的问题及原因。（200字以内）</w:t>
            </w:r>
          </w:p>
        </w:tc>
      </w:tr>
      <w:tr w14:paraId="55320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E61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8BDB31">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针对项目自评中发现的问题，提出下一步改进完善的意见及有关政策性建议。（200字以内）</w:t>
            </w:r>
          </w:p>
        </w:tc>
      </w:tr>
      <w:tr w14:paraId="46072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15E9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B331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11E41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4D70488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ABF62C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13234E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FB6205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644F32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CD3767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1EDD67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784E22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23C7C9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5789A3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DB1710D">
            <w:pPr>
              <w:rPr>
                <w:rFonts w:hint="eastAsia" w:ascii="宋体" w:hAnsi="宋体" w:eastAsia="宋体" w:cs="宋体"/>
                <w:i w:val="0"/>
                <w:iCs w:val="0"/>
                <w:color w:val="000000"/>
                <w:sz w:val="18"/>
                <w:szCs w:val="18"/>
                <w:u w:val="none"/>
              </w:rPr>
            </w:pPr>
          </w:p>
        </w:tc>
      </w:tr>
      <w:tr w14:paraId="019DA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EBF9D2">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6C93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FEF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67C4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51320024T000011159114-汶川片区监测站能力提升建设</w:t>
            </w:r>
          </w:p>
        </w:tc>
      </w:tr>
      <w:tr w14:paraId="050AE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268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4BAF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2C6C9F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6E6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2B561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BF5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83A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84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326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2424B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2BA46">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C3FC6">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C5F5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完成汶川片区监测站能力提升建设项目包含九大项内容：一、装饰装修工程，二、暖通工程，三、电气工程，四、给排水工程，五、钢结构平台，六、楼梯工程，七、实验室台柜，八、实验室废水处理系统，九、实验室集中供气系统。</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0DCA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项目正在实施中，主体工程完成80%，待项目全部完成后进行验收和竣工结算。</w:t>
            </w:r>
          </w:p>
        </w:tc>
      </w:tr>
      <w:tr w14:paraId="18428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1E060">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06E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669B41">
            <w:pPr>
              <w:rPr>
                <w:rFonts w:hint="eastAsia" w:ascii="宋体" w:hAnsi="宋体" w:eastAsia="宋体" w:cs="宋体"/>
                <w:i w:val="0"/>
                <w:iCs w:val="0"/>
                <w:color w:val="000000"/>
                <w:sz w:val="18"/>
                <w:szCs w:val="18"/>
                <w:u w:val="none"/>
              </w:rPr>
            </w:pPr>
          </w:p>
        </w:tc>
      </w:tr>
      <w:tr w14:paraId="091D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22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E9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12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CC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BED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7C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CA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28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95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0646F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199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14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51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E4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439.85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D6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31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14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154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3AFBC">
            <w:pPr>
              <w:rPr>
                <w:rFonts w:hint="eastAsia" w:ascii="宋体" w:hAnsi="宋体" w:eastAsia="宋体" w:cs="宋体"/>
                <w:i/>
                <w:iCs/>
                <w:color w:val="000000"/>
                <w:sz w:val="18"/>
                <w:szCs w:val="18"/>
                <w:u w:val="none"/>
              </w:rPr>
            </w:pPr>
          </w:p>
        </w:tc>
      </w:tr>
      <w:tr w14:paraId="451A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8B8E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6C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24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B2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439.85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83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67F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EB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E4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C7943">
            <w:pPr>
              <w:rPr>
                <w:rFonts w:hint="eastAsia" w:ascii="宋体" w:hAnsi="宋体" w:eastAsia="宋体" w:cs="宋体"/>
                <w:i/>
                <w:iCs/>
                <w:color w:val="000000"/>
                <w:sz w:val="18"/>
                <w:szCs w:val="18"/>
                <w:u w:val="none"/>
              </w:rPr>
            </w:pPr>
          </w:p>
        </w:tc>
      </w:tr>
      <w:tr w14:paraId="3841E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D99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CE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2A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C8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EF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74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37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72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59218">
            <w:pPr>
              <w:rPr>
                <w:rFonts w:hint="eastAsia" w:ascii="宋体" w:hAnsi="宋体" w:eastAsia="宋体" w:cs="宋体"/>
                <w:i/>
                <w:iCs/>
                <w:color w:val="000000"/>
                <w:sz w:val="18"/>
                <w:szCs w:val="18"/>
                <w:u w:val="none"/>
              </w:rPr>
            </w:pPr>
          </w:p>
        </w:tc>
      </w:tr>
      <w:tr w14:paraId="1B8B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9F1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6F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CA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CC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C9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CA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CC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BD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3F761">
            <w:pPr>
              <w:rPr>
                <w:rFonts w:hint="eastAsia" w:ascii="宋体" w:hAnsi="宋体" w:eastAsia="宋体" w:cs="宋体"/>
                <w:i/>
                <w:iCs/>
                <w:color w:val="000000"/>
                <w:sz w:val="18"/>
                <w:szCs w:val="18"/>
                <w:u w:val="none"/>
              </w:rPr>
            </w:pPr>
          </w:p>
        </w:tc>
      </w:tr>
      <w:tr w14:paraId="3369F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01A3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F2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E04B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CEBB7">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0274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CC77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75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00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61783">
            <w:pPr>
              <w:rPr>
                <w:rFonts w:hint="eastAsia" w:ascii="宋体" w:hAnsi="宋体" w:eastAsia="宋体" w:cs="宋体"/>
                <w:i/>
                <w:iCs/>
                <w:color w:val="000000"/>
                <w:sz w:val="18"/>
                <w:szCs w:val="18"/>
                <w:u w:val="none"/>
              </w:rPr>
            </w:pPr>
          </w:p>
        </w:tc>
      </w:tr>
      <w:tr w14:paraId="18D4C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E2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20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E4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81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67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22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D7C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24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AC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83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CAE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2D771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274A9">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22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2F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B2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楼梯工程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FB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53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8E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24F79">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0B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041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ED35B">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项目正在实施中，主体工程完成80%，因整体工程完成情况待验收和竣工结算，涉及后续整改和报账，暂无法给数量指标子项和验收子项打分。</w:t>
            </w:r>
          </w:p>
        </w:tc>
      </w:tr>
      <w:tr w14:paraId="2F792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C1FE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C235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F9C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11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4B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AB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6A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98284">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1E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3A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34AE8">
            <w:pPr>
              <w:jc w:val="center"/>
              <w:rPr>
                <w:rFonts w:hint="eastAsia" w:ascii="宋体" w:hAnsi="宋体" w:eastAsia="宋体" w:cs="宋体"/>
                <w:i/>
                <w:iCs/>
                <w:color w:val="000000"/>
                <w:sz w:val="16"/>
                <w:szCs w:val="16"/>
                <w:u w:val="none"/>
              </w:rPr>
            </w:pPr>
          </w:p>
        </w:tc>
      </w:tr>
      <w:tr w14:paraId="66537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C6F7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C9A0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1612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AB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钢构平台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37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F5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D3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83D67B">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92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11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69AC4">
            <w:pPr>
              <w:jc w:val="center"/>
              <w:rPr>
                <w:rFonts w:hint="eastAsia" w:ascii="宋体" w:hAnsi="宋体" w:eastAsia="宋体" w:cs="宋体"/>
                <w:i/>
                <w:iCs/>
                <w:color w:val="000000"/>
                <w:sz w:val="16"/>
                <w:szCs w:val="16"/>
                <w:u w:val="none"/>
              </w:rPr>
            </w:pPr>
          </w:p>
        </w:tc>
      </w:tr>
      <w:tr w14:paraId="4B03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39A4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CD39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3A3B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77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电气工程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062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31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9B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D498A">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89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57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CC451">
            <w:pPr>
              <w:jc w:val="center"/>
              <w:rPr>
                <w:rFonts w:hint="eastAsia" w:ascii="宋体" w:hAnsi="宋体" w:eastAsia="宋体" w:cs="宋体"/>
                <w:i/>
                <w:iCs/>
                <w:color w:val="000000"/>
                <w:sz w:val="16"/>
                <w:szCs w:val="16"/>
                <w:u w:val="none"/>
              </w:rPr>
            </w:pPr>
          </w:p>
        </w:tc>
      </w:tr>
      <w:tr w14:paraId="72AE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6DB6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1657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083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EF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装饰装修工程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D6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8D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AD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1DFC1">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43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58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16288">
            <w:pPr>
              <w:jc w:val="center"/>
              <w:rPr>
                <w:rFonts w:hint="eastAsia" w:ascii="宋体" w:hAnsi="宋体" w:eastAsia="宋体" w:cs="宋体"/>
                <w:i/>
                <w:iCs/>
                <w:color w:val="000000"/>
                <w:sz w:val="16"/>
                <w:szCs w:val="16"/>
                <w:u w:val="none"/>
              </w:rPr>
            </w:pPr>
          </w:p>
        </w:tc>
      </w:tr>
      <w:tr w14:paraId="753D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46E5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B9AA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B8E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23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实验室集中供气系统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FE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59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32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DC3972">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41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4C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35857">
            <w:pPr>
              <w:jc w:val="center"/>
              <w:rPr>
                <w:rFonts w:hint="eastAsia" w:ascii="宋体" w:hAnsi="宋体" w:eastAsia="宋体" w:cs="宋体"/>
                <w:i/>
                <w:iCs/>
                <w:color w:val="000000"/>
                <w:sz w:val="16"/>
                <w:szCs w:val="16"/>
                <w:u w:val="none"/>
              </w:rPr>
            </w:pPr>
          </w:p>
        </w:tc>
      </w:tr>
      <w:tr w14:paraId="189DE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E431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5DED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94A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33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实验室废水处理系统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67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CF2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66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CDA1B">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8A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3DA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2C39A">
            <w:pPr>
              <w:jc w:val="center"/>
              <w:rPr>
                <w:rFonts w:hint="eastAsia" w:ascii="宋体" w:hAnsi="宋体" w:eastAsia="宋体" w:cs="宋体"/>
                <w:i/>
                <w:iCs/>
                <w:color w:val="000000"/>
                <w:sz w:val="16"/>
                <w:szCs w:val="16"/>
                <w:u w:val="none"/>
              </w:rPr>
            </w:pPr>
          </w:p>
        </w:tc>
      </w:tr>
      <w:tr w14:paraId="3444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FB54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807A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65B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5D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实验室台柜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2F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C4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92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07117">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0C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80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C6332">
            <w:pPr>
              <w:jc w:val="center"/>
              <w:rPr>
                <w:rFonts w:hint="eastAsia" w:ascii="宋体" w:hAnsi="宋体" w:eastAsia="宋体" w:cs="宋体"/>
                <w:i/>
                <w:iCs/>
                <w:color w:val="000000"/>
                <w:sz w:val="16"/>
                <w:szCs w:val="16"/>
                <w:u w:val="none"/>
              </w:rPr>
            </w:pPr>
          </w:p>
        </w:tc>
      </w:tr>
      <w:tr w14:paraId="0D51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835B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D019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14E8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47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暖通工程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3E6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2B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F6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B84E7">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96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34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5282E">
            <w:pPr>
              <w:jc w:val="center"/>
              <w:rPr>
                <w:rFonts w:hint="eastAsia" w:ascii="宋体" w:hAnsi="宋体" w:eastAsia="宋体" w:cs="宋体"/>
                <w:i/>
                <w:iCs/>
                <w:color w:val="000000"/>
                <w:sz w:val="16"/>
                <w:szCs w:val="16"/>
                <w:u w:val="none"/>
              </w:rPr>
            </w:pPr>
          </w:p>
        </w:tc>
      </w:tr>
      <w:tr w14:paraId="19135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3E0E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F927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BC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EC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FE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34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5E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C9D30">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DFF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7B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80E3C">
            <w:pPr>
              <w:jc w:val="center"/>
              <w:rPr>
                <w:rFonts w:hint="eastAsia" w:ascii="宋体" w:hAnsi="宋体" w:eastAsia="宋体" w:cs="宋体"/>
                <w:i/>
                <w:iCs/>
                <w:color w:val="000000"/>
                <w:sz w:val="16"/>
                <w:szCs w:val="16"/>
                <w:u w:val="none"/>
              </w:rPr>
            </w:pPr>
          </w:p>
        </w:tc>
      </w:tr>
      <w:tr w14:paraId="2D5AA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D1F2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0895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DA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4414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8F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28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按照合同要求完成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67CA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E9DE0">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B4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EF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7E78F">
            <w:pPr>
              <w:jc w:val="center"/>
              <w:rPr>
                <w:rFonts w:hint="eastAsia" w:ascii="宋体" w:hAnsi="宋体" w:eastAsia="宋体" w:cs="宋体"/>
                <w:i/>
                <w:iCs/>
                <w:color w:val="000000"/>
                <w:sz w:val="16"/>
                <w:szCs w:val="16"/>
                <w:u w:val="none"/>
              </w:rPr>
            </w:pPr>
          </w:p>
        </w:tc>
      </w:tr>
      <w:tr w14:paraId="6E72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4064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92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2A3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9A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统一思想，优化生态环境监测力量配置，强化生态环境监测队伍建设，完善生态环境保护监管体系，最大限度发挥好生态环境保护监督管理职责。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94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6F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4484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EF0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57E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46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2EF04">
            <w:pPr>
              <w:jc w:val="center"/>
              <w:rPr>
                <w:rFonts w:hint="eastAsia" w:ascii="宋体" w:hAnsi="宋体" w:eastAsia="宋体" w:cs="宋体"/>
                <w:i/>
                <w:iCs/>
                <w:color w:val="000000"/>
                <w:sz w:val="16"/>
                <w:szCs w:val="16"/>
                <w:u w:val="none"/>
              </w:rPr>
            </w:pPr>
          </w:p>
        </w:tc>
      </w:tr>
      <w:tr w14:paraId="696F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0EE2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A4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92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7F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6A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5C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535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3D3AF">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2A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0D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00445">
            <w:pPr>
              <w:jc w:val="center"/>
              <w:rPr>
                <w:rFonts w:hint="eastAsia" w:ascii="宋体" w:hAnsi="宋体" w:eastAsia="宋体" w:cs="宋体"/>
                <w:i/>
                <w:iCs/>
                <w:color w:val="000000"/>
                <w:sz w:val="16"/>
                <w:szCs w:val="16"/>
                <w:u w:val="none"/>
              </w:rPr>
            </w:pPr>
          </w:p>
        </w:tc>
      </w:tr>
      <w:tr w14:paraId="5E0E5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FD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11B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C8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886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支出小于预算资金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00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086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60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06A07">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04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87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9308A">
            <w:pPr>
              <w:jc w:val="center"/>
              <w:rPr>
                <w:rFonts w:hint="eastAsia" w:ascii="宋体" w:hAnsi="宋体" w:eastAsia="宋体" w:cs="宋体"/>
                <w:i/>
                <w:iCs/>
                <w:color w:val="000000"/>
                <w:sz w:val="16"/>
                <w:szCs w:val="16"/>
                <w:u w:val="none"/>
              </w:rPr>
            </w:pPr>
          </w:p>
        </w:tc>
      </w:tr>
      <w:tr w14:paraId="0759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622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D1E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73FE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96947">
            <w:pPr>
              <w:rPr>
                <w:rFonts w:hint="eastAsia" w:ascii="宋体" w:hAnsi="宋体" w:eastAsia="宋体" w:cs="宋体"/>
                <w:i w:val="0"/>
                <w:iCs w:val="0"/>
                <w:color w:val="000000"/>
                <w:sz w:val="18"/>
                <w:szCs w:val="18"/>
                <w:u w:val="none"/>
              </w:rPr>
            </w:pPr>
          </w:p>
        </w:tc>
      </w:tr>
      <w:tr w14:paraId="1315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7C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F9887D">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汶川片区监测站已于2025年12月31日完成挂牌，主体工程完成80%，待剩余工程完成后进行验收和竣工结算。该项目的建设有效整合监测资源，提升跨县域、全流域的生态环境监测、预警预报、溯源分析与综合评估能力，为精准治污、科学决策和筑牢长江黄河上游生态屏障提供坚实的数据与技术支撑。</w:t>
            </w:r>
          </w:p>
        </w:tc>
      </w:tr>
      <w:tr w14:paraId="0300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40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BF2A07">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70EB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27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4E754">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39F7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1900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项目负责人：曾庆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336C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6F2F5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3B20158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B3C297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040BBA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7FD2A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793DAA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ADCACA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CF06C6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DA2D96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0BDFC3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05A153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D1118BE">
            <w:pPr>
              <w:rPr>
                <w:rFonts w:hint="eastAsia" w:ascii="宋体" w:hAnsi="宋体" w:eastAsia="宋体" w:cs="宋体"/>
                <w:i w:val="0"/>
                <w:iCs w:val="0"/>
                <w:color w:val="000000"/>
                <w:sz w:val="18"/>
                <w:szCs w:val="18"/>
                <w:u w:val="none"/>
              </w:rPr>
            </w:pPr>
          </w:p>
        </w:tc>
      </w:tr>
      <w:tr w14:paraId="49104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576E61">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41080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200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C499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51320024T000011967231-汶川县2024年度国家重点生态功能区监测与评价项目</w:t>
            </w:r>
          </w:p>
        </w:tc>
      </w:tr>
      <w:tr w14:paraId="3FF8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4BD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E40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6CDF50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19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0D46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49F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B13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25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7B5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533D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F259">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F523A">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A54C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汶川县国家重点生态功能区县城及乡镇集中式生活饮用水源地水质监测（60万）、汶川县国家重点生态功能区重点区域地下水水质监测（40万）、汶川县国家重点生态功能区评价监测（包含重点污染源、农村环境质量监测）（40万）、汶川县县域环境质量监测（包含水功能区、趋势科研断面、声环境质量监测）（50万） 、汶川县生态环境局环境监测站仪器设备购置及维修，日常药品及耗材，县域重点支流及突发委托监测（100万）、汶川县紫坪铺库区水质变化趋势科研（30万）、汶川县出入境水质自动监测站运行维护（100万）、环境执法性监测（40万）、汶川县空气指标发布及负氧离子监测和数据发布平台运维服务（60万）等10个子项目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目标2：进一步掌握县域内环境功能区等质量状况，了解出入境水质和城镇环境空气质量状况，完成年度考核内容报送，为国家及省、州考核提供数据支撑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FB0D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均已完成10个的子项目建设，为进一步掌握县域内环境功能区等质量状况，了解出入境水质和城镇环境空气质量状况提供了有效支撑，同时完成了年度考核内容报送，为国家及省、州考核提供数据保障。</w:t>
            </w:r>
          </w:p>
        </w:tc>
      </w:tr>
      <w:tr w14:paraId="5079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4A64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C80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8751B6">
            <w:pPr>
              <w:rPr>
                <w:rFonts w:hint="eastAsia" w:ascii="宋体" w:hAnsi="宋体" w:eastAsia="宋体" w:cs="宋体"/>
                <w:i w:val="0"/>
                <w:iCs w:val="0"/>
                <w:color w:val="000000"/>
                <w:sz w:val="18"/>
                <w:szCs w:val="18"/>
                <w:u w:val="none"/>
              </w:rPr>
            </w:pPr>
          </w:p>
        </w:tc>
      </w:tr>
      <w:tr w14:paraId="3FA8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02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16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46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48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48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4C5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521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D2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37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1476E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47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CD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1C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16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556.58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FC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446.63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E9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86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482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AD9F4">
            <w:pPr>
              <w:rPr>
                <w:rFonts w:hint="eastAsia" w:ascii="宋体" w:hAnsi="宋体" w:eastAsia="宋体" w:cs="宋体"/>
                <w:i/>
                <w:iCs/>
                <w:color w:val="000000"/>
                <w:sz w:val="18"/>
                <w:szCs w:val="18"/>
                <w:u w:val="none"/>
              </w:rPr>
            </w:pPr>
          </w:p>
        </w:tc>
      </w:tr>
      <w:tr w14:paraId="7CF24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7BB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B7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A9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7B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38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2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C0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A0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53656">
            <w:pPr>
              <w:rPr>
                <w:rFonts w:hint="eastAsia" w:ascii="宋体" w:hAnsi="宋体" w:eastAsia="宋体" w:cs="宋体"/>
                <w:i/>
                <w:iCs/>
                <w:color w:val="000000"/>
                <w:sz w:val="18"/>
                <w:szCs w:val="18"/>
                <w:u w:val="none"/>
              </w:rPr>
            </w:pPr>
          </w:p>
        </w:tc>
      </w:tr>
      <w:tr w14:paraId="12B1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43A8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69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F2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82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3D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F0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9B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EC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EF6A1">
            <w:pPr>
              <w:rPr>
                <w:rFonts w:hint="eastAsia" w:ascii="宋体" w:hAnsi="宋体" w:eastAsia="宋体" w:cs="宋体"/>
                <w:i/>
                <w:iCs/>
                <w:color w:val="000000"/>
                <w:sz w:val="18"/>
                <w:szCs w:val="18"/>
                <w:u w:val="none"/>
              </w:rPr>
            </w:pPr>
          </w:p>
        </w:tc>
      </w:tr>
      <w:tr w14:paraId="2F5A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120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E2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B28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9D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556.58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D1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446.63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B7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9E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ED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D5456">
            <w:pPr>
              <w:rPr>
                <w:rFonts w:hint="eastAsia" w:ascii="宋体" w:hAnsi="宋体" w:eastAsia="宋体" w:cs="宋体"/>
                <w:i/>
                <w:iCs/>
                <w:color w:val="000000"/>
                <w:sz w:val="18"/>
                <w:szCs w:val="18"/>
                <w:u w:val="none"/>
              </w:rPr>
            </w:pPr>
          </w:p>
        </w:tc>
      </w:tr>
      <w:tr w14:paraId="60EF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8A2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36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BF0B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D9C64">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6AAB7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6301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7E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E8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946E">
            <w:pPr>
              <w:rPr>
                <w:rFonts w:hint="eastAsia" w:ascii="宋体" w:hAnsi="宋体" w:eastAsia="宋体" w:cs="宋体"/>
                <w:i/>
                <w:iCs/>
                <w:color w:val="000000"/>
                <w:sz w:val="18"/>
                <w:szCs w:val="18"/>
                <w:u w:val="none"/>
              </w:rPr>
            </w:pPr>
          </w:p>
        </w:tc>
      </w:tr>
      <w:tr w14:paraId="0C763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D3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CF4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E7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F7B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30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3B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68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DB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4E0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9B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5C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21C0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D948B">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0A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D5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C3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监测站仪器设备购置及维修，日常药品及耗材采购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0B7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A2F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31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D97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E6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CF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24151">
            <w:pPr>
              <w:jc w:val="center"/>
              <w:rPr>
                <w:rFonts w:hint="eastAsia" w:ascii="宋体" w:hAnsi="宋体" w:eastAsia="宋体" w:cs="宋体"/>
                <w:i/>
                <w:iCs/>
                <w:color w:val="000000"/>
                <w:sz w:val="16"/>
                <w:szCs w:val="16"/>
                <w:u w:val="none"/>
              </w:rPr>
            </w:pPr>
          </w:p>
        </w:tc>
      </w:tr>
      <w:tr w14:paraId="39FB3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F100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BD51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4E4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D5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开展重点区域地下水水质监测点位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AA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0E2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7B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A9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77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E6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907A1">
            <w:pPr>
              <w:jc w:val="center"/>
              <w:rPr>
                <w:rFonts w:hint="eastAsia" w:ascii="宋体" w:hAnsi="宋体" w:eastAsia="宋体" w:cs="宋体"/>
                <w:i/>
                <w:iCs/>
                <w:color w:val="000000"/>
                <w:sz w:val="16"/>
                <w:szCs w:val="16"/>
                <w:u w:val="none"/>
              </w:rPr>
            </w:pPr>
          </w:p>
        </w:tc>
      </w:tr>
      <w:tr w14:paraId="6BCDE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826C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7E24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82B4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B9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开展重点污染源、农村环境质量监测点位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77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AC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0B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AB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A8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FD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3DEAF">
            <w:pPr>
              <w:jc w:val="center"/>
              <w:rPr>
                <w:rFonts w:hint="eastAsia" w:ascii="宋体" w:hAnsi="宋体" w:eastAsia="宋体" w:cs="宋体"/>
                <w:i/>
                <w:iCs/>
                <w:color w:val="000000"/>
                <w:sz w:val="16"/>
                <w:szCs w:val="16"/>
                <w:u w:val="none"/>
              </w:rPr>
            </w:pPr>
          </w:p>
        </w:tc>
      </w:tr>
      <w:tr w14:paraId="35C3F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429A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F6F8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5991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A3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开展汶川县出入境水质自动监测站运行维护站点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11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15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30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20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E6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1C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357D7">
            <w:pPr>
              <w:jc w:val="center"/>
              <w:rPr>
                <w:rFonts w:hint="eastAsia" w:ascii="宋体" w:hAnsi="宋体" w:eastAsia="宋体" w:cs="宋体"/>
                <w:i/>
                <w:iCs/>
                <w:color w:val="000000"/>
                <w:sz w:val="16"/>
                <w:szCs w:val="16"/>
                <w:u w:val="none"/>
              </w:rPr>
            </w:pPr>
          </w:p>
        </w:tc>
      </w:tr>
      <w:tr w14:paraId="5F87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9D66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76D5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D79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E0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开展汶川县空气自动监测站运维服务站点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57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D2D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4F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99A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43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92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75996">
            <w:pPr>
              <w:jc w:val="center"/>
              <w:rPr>
                <w:rFonts w:hint="eastAsia" w:ascii="宋体" w:hAnsi="宋体" w:eastAsia="宋体" w:cs="宋体"/>
                <w:i/>
                <w:iCs/>
                <w:color w:val="000000"/>
                <w:sz w:val="16"/>
                <w:szCs w:val="16"/>
                <w:u w:val="none"/>
              </w:rPr>
            </w:pPr>
          </w:p>
        </w:tc>
      </w:tr>
      <w:tr w14:paraId="3A408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F21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0C00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353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A4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水功能区、趋势科研断面、声环境质量监测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335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BD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F0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7F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EC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8F4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9598D">
            <w:pPr>
              <w:jc w:val="center"/>
              <w:rPr>
                <w:rFonts w:hint="eastAsia" w:ascii="宋体" w:hAnsi="宋体" w:eastAsia="宋体" w:cs="宋体"/>
                <w:i/>
                <w:iCs/>
                <w:color w:val="000000"/>
                <w:sz w:val="16"/>
                <w:szCs w:val="16"/>
                <w:u w:val="none"/>
              </w:rPr>
            </w:pPr>
          </w:p>
        </w:tc>
      </w:tr>
      <w:tr w14:paraId="725E3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833C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D8E3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D589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46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汶川县空气指标发布及负氧离子监测和数据发布平台运维服务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78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8EA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06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37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84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23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33ADF">
            <w:pPr>
              <w:jc w:val="center"/>
              <w:rPr>
                <w:rFonts w:hint="eastAsia" w:ascii="宋体" w:hAnsi="宋体" w:eastAsia="宋体" w:cs="宋体"/>
                <w:i/>
                <w:iCs/>
                <w:color w:val="000000"/>
                <w:sz w:val="16"/>
                <w:szCs w:val="16"/>
                <w:u w:val="none"/>
              </w:rPr>
            </w:pPr>
          </w:p>
        </w:tc>
      </w:tr>
      <w:tr w14:paraId="2958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5AF4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B196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E1D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5CF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汶川县紫坪铺库区水质变化趋势科研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F8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CB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AD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63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11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09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43C80">
            <w:pPr>
              <w:jc w:val="center"/>
              <w:rPr>
                <w:rFonts w:hint="eastAsia" w:ascii="宋体" w:hAnsi="宋体" w:eastAsia="宋体" w:cs="宋体"/>
                <w:i/>
                <w:iCs/>
                <w:color w:val="000000"/>
                <w:sz w:val="16"/>
                <w:szCs w:val="16"/>
                <w:u w:val="none"/>
              </w:rPr>
            </w:pPr>
          </w:p>
        </w:tc>
      </w:tr>
      <w:tr w14:paraId="65CBC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5889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224E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330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1D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开展县城各镇集中式饮用水水源地水质监测点位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48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F2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4B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ED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F5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B0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01DE0">
            <w:pPr>
              <w:jc w:val="center"/>
              <w:rPr>
                <w:rFonts w:hint="eastAsia" w:ascii="宋体" w:hAnsi="宋体" w:eastAsia="宋体" w:cs="宋体"/>
                <w:i/>
                <w:iCs/>
                <w:color w:val="000000"/>
                <w:sz w:val="16"/>
                <w:szCs w:val="16"/>
                <w:u w:val="none"/>
              </w:rPr>
            </w:pPr>
          </w:p>
        </w:tc>
      </w:tr>
      <w:tr w14:paraId="1473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D15E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5A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9D7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43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环境执法性监测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8D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27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E5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7B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84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24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2683C">
            <w:pPr>
              <w:jc w:val="center"/>
              <w:rPr>
                <w:rFonts w:hint="eastAsia" w:ascii="宋体" w:hAnsi="宋体" w:eastAsia="宋体" w:cs="宋体"/>
                <w:i/>
                <w:iCs/>
                <w:color w:val="000000"/>
                <w:sz w:val="16"/>
                <w:szCs w:val="16"/>
                <w:u w:val="none"/>
              </w:rPr>
            </w:pPr>
          </w:p>
        </w:tc>
      </w:tr>
      <w:tr w14:paraId="64B14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24B7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FD9C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AF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6E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1A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33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9B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D9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CB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3C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1AEE0">
            <w:pPr>
              <w:jc w:val="center"/>
              <w:rPr>
                <w:rFonts w:hint="eastAsia" w:ascii="宋体" w:hAnsi="宋体" w:eastAsia="宋体" w:cs="宋体"/>
                <w:i/>
                <w:iCs/>
                <w:color w:val="000000"/>
                <w:sz w:val="16"/>
                <w:szCs w:val="16"/>
                <w:u w:val="none"/>
              </w:rPr>
            </w:pPr>
          </w:p>
        </w:tc>
      </w:tr>
      <w:tr w14:paraId="01FF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1D20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4F5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EB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39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监测。运维周期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00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F1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65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DF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05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68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193FC">
            <w:pPr>
              <w:jc w:val="center"/>
              <w:rPr>
                <w:rFonts w:hint="eastAsia" w:ascii="宋体" w:hAnsi="宋体" w:eastAsia="宋体" w:cs="宋体"/>
                <w:i/>
                <w:iCs/>
                <w:color w:val="000000"/>
                <w:sz w:val="16"/>
                <w:szCs w:val="16"/>
                <w:u w:val="none"/>
              </w:rPr>
            </w:pPr>
          </w:p>
        </w:tc>
      </w:tr>
      <w:tr w14:paraId="376AA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1313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67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13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0A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通过对饮用水源地、地表水、地下水和环境空气的持续监测，实施掌握其质量状况，对污染水体和大气环境及时发现，减少群众就医成本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7C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00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175D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89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0C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9F8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2B735">
            <w:pPr>
              <w:jc w:val="center"/>
              <w:rPr>
                <w:rFonts w:hint="eastAsia" w:ascii="宋体" w:hAnsi="宋体" w:eastAsia="宋体" w:cs="宋体"/>
                <w:i/>
                <w:iCs/>
                <w:color w:val="000000"/>
                <w:sz w:val="16"/>
                <w:szCs w:val="16"/>
                <w:u w:val="none"/>
              </w:rPr>
            </w:pPr>
          </w:p>
        </w:tc>
      </w:tr>
      <w:tr w14:paraId="49DB8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8A78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EB47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05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26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通过对饮用水源地、地表水、地下水和环境空气的持续监测，实施掌握其质量状况，对污染水体和大气环境及时发现，保障群众居住环境和用水安全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DE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22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C3C4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43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1D7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5E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B95BF">
            <w:pPr>
              <w:jc w:val="center"/>
              <w:rPr>
                <w:rFonts w:hint="eastAsia" w:ascii="宋体" w:hAnsi="宋体" w:eastAsia="宋体" w:cs="宋体"/>
                <w:i/>
                <w:iCs/>
                <w:color w:val="000000"/>
                <w:sz w:val="16"/>
                <w:szCs w:val="16"/>
                <w:u w:val="none"/>
              </w:rPr>
            </w:pPr>
          </w:p>
        </w:tc>
      </w:tr>
      <w:tr w14:paraId="1BF07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7BFA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4CDE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9BC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50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有效掌握汶川县环境空气、地表水、地下水及饮用水源地质量状况，完成年度考核内容报送，为国家及省、州考核提供数据支撑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31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74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A4E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CE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3D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B2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D5787">
            <w:pPr>
              <w:jc w:val="center"/>
              <w:rPr>
                <w:rFonts w:hint="eastAsia" w:ascii="宋体" w:hAnsi="宋体" w:eastAsia="宋体" w:cs="宋体"/>
                <w:i/>
                <w:iCs/>
                <w:color w:val="000000"/>
                <w:sz w:val="16"/>
                <w:szCs w:val="16"/>
                <w:u w:val="none"/>
              </w:rPr>
            </w:pPr>
          </w:p>
        </w:tc>
      </w:tr>
      <w:tr w14:paraId="3686F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AC2E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9273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C7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B8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通过项目的连续实施，能够对汶川县现有环境质量状况及其可能的发展趋势进行研判，提前预防可能存在的环境风险问题，做到预警预防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53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94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844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70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35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23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0AAD7">
            <w:pPr>
              <w:jc w:val="center"/>
              <w:rPr>
                <w:rFonts w:hint="eastAsia" w:ascii="宋体" w:hAnsi="宋体" w:eastAsia="宋体" w:cs="宋体"/>
                <w:i/>
                <w:iCs/>
                <w:color w:val="000000"/>
                <w:sz w:val="16"/>
                <w:szCs w:val="16"/>
                <w:u w:val="none"/>
              </w:rPr>
            </w:pPr>
          </w:p>
        </w:tc>
      </w:tr>
      <w:tr w14:paraId="79CF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37D2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08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59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BD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项目参与人员满意度及受益人群满意度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9F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0D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EB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108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36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46F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AE615">
            <w:pPr>
              <w:jc w:val="center"/>
              <w:rPr>
                <w:rFonts w:hint="eastAsia" w:ascii="宋体" w:hAnsi="宋体" w:eastAsia="宋体" w:cs="宋体"/>
                <w:i/>
                <w:iCs/>
                <w:color w:val="000000"/>
                <w:sz w:val="16"/>
                <w:szCs w:val="16"/>
                <w:u w:val="none"/>
              </w:rPr>
            </w:pPr>
          </w:p>
        </w:tc>
      </w:tr>
      <w:tr w14:paraId="2C6E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1740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357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23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7D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项目成交金额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52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35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69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7F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64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03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79439">
            <w:pPr>
              <w:jc w:val="center"/>
              <w:rPr>
                <w:rFonts w:hint="eastAsia" w:ascii="宋体" w:hAnsi="宋体" w:eastAsia="宋体" w:cs="宋体"/>
                <w:i/>
                <w:iCs/>
                <w:color w:val="000000"/>
                <w:sz w:val="16"/>
                <w:szCs w:val="16"/>
                <w:u w:val="none"/>
              </w:rPr>
            </w:pPr>
          </w:p>
        </w:tc>
      </w:tr>
      <w:tr w14:paraId="78951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292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EB7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5D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6BC1E">
            <w:pPr>
              <w:rPr>
                <w:rFonts w:hint="eastAsia" w:ascii="宋体" w:hAnsi="宋体" w:eastAsia="宋体" w:cs="宋体"/>
                <w:i w:val="0"/>
                <w:iCs w:val="0"/>
                <w:color w:val="000000"/>
                <w:sz w:val="18"/>
                <w:szCs w:val="18"/>
                <w:u w:val="none"/>
              </w:rPr>
            </w:pPr>
          </w:p>
        </w:tc>
      </w:tr>
      <w:tr w14:paraId="039D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E1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9580B6">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均已完成10个的子项目建设，为进一步掌握县域内环境功能区等质量状况，了解出入境水质和城镇环境空气质量状况提供了有效支撑，同时完成了年度考核内容报送，为国家及省、州考核提供数据保障。</w:t>
            </w:r>
          </w:p>
        </w:tc>
      </w:tr>
      <w:tr w14:paraId="31909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BC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1F65B6">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67842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A6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EDFF4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6B5C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5C96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项目负责人：曾庆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22F2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4552A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467D829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1357C0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C5F9A4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7E7D74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C73819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299424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E5B601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970BE9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B44AE3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0AAB4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870D96C">
            <w:pPr>
              <w:rPr>
                <w:rFonts w:hint="eastAsia" w:ascii="宋体" w:hAnsi="宋体" w:eastAsia="宋体" w:cs="宋体"/>
                <w:i w:val="0"/>
                <w:iCs w:val="0"/>
                <w:color w:val="000000"/>
                <w:sz w:val="18"/>
                <w:szCs w:val="18"/>
                <w:u w:val="none"/>
              </w:rPr>
            </w:pPr>
          </w:p>
        </w:tc>
      </w:tr>
      <w:tr w14:paraId="068A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AA519A">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54AB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403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AD0C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51320025T000012347040-汶川县饮用水水源地风险源应急防护采购项目</w:t>
            </w:r>
          </w:p>
        </w:tc>
      </w:tr>
      <w:tr w14:paraId="5C99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7EB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708B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59ED80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01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0A336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B8F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CFA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F80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BFF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7D03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8114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BCDFD">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4F57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依托计算机网络技术为各类数字设备设施互联、各类应用的协同处理和整个系统的运行提供基础环境，同时充分融合地理信息系统(GIS)技术及可视化技术，实现对过境危险化学品车辆基础地理数据、监测数据、污染源数据和生态环境数据等地理空间数据的管理、分析和建模等。。                                                                                             2.项目建设过程中采用的无线智能终端技术、监测管理技术、基于XML的数据交换引擎和工作流技术等，均为当今数字政府应用领域使用的成熟技术，并且在生态环境信息化建</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0CA9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依托计算机网络技术为各类数字设备设施互联、各类应用的协同处理和整个系统的运行提供基础环境，同时充分融合地理信息系统(GIS)技术及可视化技术，实现对过境危险化学品车辆基础地理数据、监测数据、污染源数据和生态环境数据等地理空间数据的管理、分析和建模等。。                                                                                             2.项目建设过程中采用的无线智能终端技术、监测管理技术、基于XML的数据交换引擎和工作流技术等，均为当今数字政府应用领域使用的成熟技术，并且在生态环境信息化建</w:t>
            </w:r>
          </w:p>
        </w:tc>
      </w:tr>
      <w:tr w14:paraId="0C0D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F658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CC7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F46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已完成设备安装，正在调试运行中。</w:t>
            </w:r>
          </w:p>
        </w:tc>
      </w:tr>
      <w:tr w14:paraId="3CDB5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EF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14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40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B2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3C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EF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E4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E8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83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54AE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C54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0A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0E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5D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610.53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3B7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AD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E9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76BA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FD967">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74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E12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05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74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7F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93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69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E1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641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E3344">
            <w:pPr>
              <w:rPr>
                <w:rFonts w:hint="eastAsia" w:ascii="宋体" w:hAnsi="宋体" w:eastAsia="宋体" w:cs="宋体"/>
                <w:i/>
                <w:iCs/>
                <w:color w:val="000000"/>
                <w:sz w:val="18"/>
                <w:szCs w:val="18"/>
                <w:u w:val="none"/>
              </w:rPr>
            </w:pPr>
          </w:p>
        </w:tc>
      </w:tr>
      <w:tr w14:paraId="5F05D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D1B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59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54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90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26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75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86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2A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6449">
            <w:pPr>
              <w:rPr>
                <w:rFonts w:hint="eastAsia" w:ascii="宋体" w:hAnsi="宋体" w:eastAsia="宋体" w:cs="宋体"/>
                <w:i/>
                <w:iCs/>
                <w:color w:val="000000"/>
                <w:sz w:val="18"/>
                <w:szCs w:val="18"/>
                <w:u w:val="none"/>
              </w:rPr>
            </w:pPr>
          </w:p>
        </w:tc>
      </w:tr>
      <w:tr w14:paraId="7DDCC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6FE3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B5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16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83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610.53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E1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1E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F2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8E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AD270">
            <w:pPr>
              <w:rPr>
                <w:rFonts w:hint="eastAsia" w:ascii="宋体" w:hAnsi="宋体" w:eastAsia="宋体" w:cs="宋体"/>
                <w:i/>
                <w:iCs/>
                <w:color w:val="000000"/>
                <w:sz w:val="18"/>
                <w:szCs w:val="18"/>
                <w:u w:val="none"/>
              </w:rPr>
            </w:pPr>
          </w:p>
        </w:tc>
      </w:tr>
      <w:tr w14:paraId="52FB3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5B8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F19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9010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95655">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2CF8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ED97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17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BB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F1AC6">
            <w:pPr>
              <w:rPr>
                <w:rFonts w:hint="eastAsia" w:ascii="宋体" w:hAnsi="宋体" w:eastAsia="宋体" w:cs="宋体"/>
                <w:i/>
                <w:iCs/>
                <w:color w:val="000000"/>
                <w:sz w:val="18"/>
                <w:szCs w:val="18"/>
                <w:u w:val="none"/>
              </w:rPr>
            </w:pPr>
          </w:p>
        </w:tc>
      </w:tr>
      <w:tr w14:paraId="32F66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41E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AD7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EA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BE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34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F6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69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68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E4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48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6FB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3B89A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3A6B">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90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EC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CFB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饮用水水源地风险源视频监控及综合信息化平台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65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EF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92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E4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21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1C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75099">
            <w:pPr>
              <w:jc w:val="center"/>
              <w:rPr>
                <w:rFonts w:hint="eastAsia" w:ascii="宋体" w:hAnsi="宋体" w:eastAsia="宋体" w:cs="宋体"/>
                <w:i/>
                <w:iCs/>
                <w:color w:val="000000"/>
                <w:sz w:val="16"/>
                <w:szCs w:val="16"/>
                <w:u w:val="none"/>
              </w:rPr>
            </w:pPr>
          </w:p>
        </w:tc>
      </w:tr>
      <w:tr w14:paraId="69F6C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51EB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BF04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FB5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EB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应急物资储备库提升及补充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23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AF2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09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E9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21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15B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6E370">
            <w:pPr>
              <w:jc w:val="center"/>
              <w:rPr>
                <w:rFonts w:hint="eastAsia" w:ascii="宋体" w:hAnsi="宋体" w:eastAsia="宋体" w:cs="宋体"/>
                <w:i/>
                <w:iCs/>
                <w:color w:val="000000"/>
                <w:sz w:val="16"/>
                <w:szCs w:val="16"/>
                <w:u w:val="none"/>
              </w:rPr>
            </w:pPr>
          </w:p>
        </w:tc>
      </w:tr>
      <w:tr w14:paraId="2F95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C471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D539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30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B5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1B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71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1A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183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还未验收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27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0DD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0694A">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项目因雨季等诸多因素影响导致目前还未验收</w:t>
            </w:r>
          </w:p>
        </w:tc>
      </w:tr>
      <w:tr w14:paraId="45AB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3914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A6D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69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A2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2024年12月前完成项目验收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EE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ED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7C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0A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还未验收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EB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8D5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E4C41">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项目因雨季等诸多因素影响导致目前还未验收</w:t>
            </w:r>
          </w:p>
        </w:tc>
      </w:tr>
      <w:tr w14:paraId="016FA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1E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C8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CB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49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提升区域高水平保护、高质量发展水平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AEE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87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3243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ED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17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77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715AD">
            <w:pPr>
              <w:jc w:val="center"/>
              <w:rPr>
                <w:rFonts w:hint="eastAsia" w:ascii="宋体" w:hAnsi="宋体" w:eastAsia="宋体" w:cs="宋体"/>
                <w:i/>
                <w:iCs/>
                <w:color w:val="000000"/>
                <w:sz w:val="16"/>
                <w:szCs w:val="16"/>
                <w:u w:val="none"/>
              </w:rPr>
            </w:pPr>
          </w:p>
        </w:tc>
      </w:tr>
      <w:tr w14:paraId="17F5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AE5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D6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17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B5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DA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4F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B8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44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4B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10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E8B27">
            <w:pPr>
              <w:jc w:val="center"/>
              <w:rPr>
                <w:rFonts w:hint="eastAsia" w:ascii="宋体" w:hAnsi="宋体" w:eastAsia="宋体" w:cs="宋体"/>
                <w:i/>
                <w:iCs/>
                <w:color w:val="000000"/>
                <w:sz w:val="16"/>
                <w:szCs w:val="16"/>
                <w:u w:val="none"/>
              </w:rPr>
            </w:pPr>
          </w:p>
        </w:tc>
      </w:tr>
      <w:tr w14:paraId="661CA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48C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F8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FF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50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37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F6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A7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DF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还未验收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A9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B402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78D06">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项目因雨季等诸多因素影响导致目前还未验收，待验收完成后支付项目尾款。</w:t>
            </w:r>
          </w:p>
        </w:tc>
      </w:tr>
      <w:tr w14:paraId="139A9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75C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D3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B5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B37B2">
            <w:pPr>
              <w:rPr>
                <w:rFonts w:hint="eastAsia" w:ascii="宋体" w:hAnsi="宋体" w:eastAsia="宋体" w:cs="宋体"/>
                <w:i w:val="0"/>
                <w:iCs w:val="0"/>
                <w:color w:val="000000"/>
                <w:sz w:val="18"/>
                <w:szCs w:val="18"/>
                <w:u w:val="none"/>
              </w:rPr>
            </w:pPr>
          </w:p>
        </w:tc>
      </w:tr>
      <w:tr w14:paraId="2EA6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0D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90E5F3">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项目因雨季等诸多因素影响导致目前还未验收，设备已安装完成正在调试中。</w:t>
            </w:r>
          </w:p>
        </w:tc>
      </w:tr>
      <w:tr w14:paraId="77286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77A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A572B9">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4696D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3C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9C4CB5">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6CCF4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E312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2DA3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1B564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1A73296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2821E6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E7A0F9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C02D08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5F373C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3EE178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83FD44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A60F2E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ED9EB1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719B63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7B71AA4">
            <w:pPr>
              <w:rPr>
                <w:rFonts w:hint="eastAsia" w:ascii="宋体" w:hAnsi="宋体" w:eastAsia="宋体" w:cs="宋体"/>
                <w:i w:val="0"/>
                <w:iCs w:val="0"/>
                <w:color w:val="000000"/>
                <w:sz w:val="18"/>
                <w:szCs w:val="18"/>
                <w:u w:val="none"/>
              </w:rPr>
            </w:pPr>
          </w:p>
        </w:tc>
      </w:tr>
      <w:tr w14:paraId="31D3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AA5C0D">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329D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C8C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E084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51320025T000012347389-汶川县农村生活污水治理设施设备运行维护项目</w:t>
            </w:r>
          </w:p>
        </w:tc>
      </w:tr>
      <w:tr w14:paraId="2A175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3BA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0BD9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02F95F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7B4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6814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7DB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2D2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327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E2B6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5E4A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F131">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4B792">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4627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完成已建成农村生活污水处理点位采购三方服务机构进行运行管理维护，确保设备正常运行，污水水质处理达标。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F3C5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对照年度目标，说明相关任务目标的完成情况（100字以内）</w:t>
            </w:r>
          </w:p>
        </w:tc>
      </w:tr>
      <w:tr w14:paraId="5FD4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6CDA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2E4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1973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对县域已建成53处农村生活污水处理站点开展运维服务，运维期限1年。</w:t>
            </w:r>
          </w:p>
        </w:tc>
      </w:tr>
      <w:tr w14:paraId="53B07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17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F0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B3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9E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3D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DC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05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8A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8D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1807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C7EC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BE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0F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D4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43E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5B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73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4A47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3F2AA">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D2C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6DE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48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19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BD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B8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0E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333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39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82066">
            <w:pPr>
              <w:rPr>
                <w:rFonts w:hint="eastAsia" w:ascii="宋体" w:hAnsi="宋体" w:eastAsia="宋体" w:cs="宋体"/>
                <w:i/>
                <w:iCs/>
                <w:color w:val="000000"/>
                <w:sz w:val="18"/>
                <w:szCs w:val="18"/>
                <w:u w:val="none"/>
              </w:rPr>
            </w:pPr>
          </w:p>
        </w:tc>
      </w:tr>
      <w:tr w14:paraId="43BC4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B948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FC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FE6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50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98D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60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AF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0E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F42CF">
            <w:pPr>
              <w:rPr>
                <w:rFonts w:hint="eastAsia" w:ascii="宋体" w:hAnsi="宋体" w:eastAsia="宋体" w:cs="宋体"/>
                <w:i/>
                <w:iCs/>
                <w:color w:val="000000"/>
                <w:sz w:val="18"/>
                <w:szCs w:val="18"/>
                <w:u w:val="none"/>
              </w:rPr>
            </w:pPr>
          </w:p>
        </w:tc>
      </w:tr>
      <w:tr w14:paraId="07DE3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C86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D7E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A4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DC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7B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A7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EC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C9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71CFB">
            <w:pPr>
              <w:rPr>
                <w:rFonts w:hint="eastAsia" w:ascii="宋体" w:hAnsi="宋体" w:eastAsia="宋体" w:cs="宋体"/>
                <w:i/>
                <w:iCs/>
                <w:color w:val="000000"/>
                <w:sz w:val="18"/>
                <w:szCs w:val="18"/>
                <w:u w:val="none"/>
              </w:rPr>
            </w:pPr>
          </w:p>
        </w:tc>
      </w:tr>
      <w:tr w14:paraId="3581D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D36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39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8197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3DD11">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A3979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CD2D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05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B5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BF8FD">
            <w:pPr>
              <w:rPr>
                <w:rFonts w:hint="eastAsia" w:ascii="宋体" w:hAnsi="宋体" w:eastAsia="宋体" w:cs="宋体"/>
                <w:i/>
                <w:iCs/>
                <w:color w:val="000000"/>
                <w:sz w:val="18"/>
                <w:szCs w:val="18"/>
                <w:u w:val="none"/>
              </w:rPr>
            </w:pPr>
          </w:p>
        </w:tc>
      </w:tr>
      <w:tr w14:paraId="56369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FF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38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78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82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10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A4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CA1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10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F8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4C0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11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361B3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265C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36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2E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5BE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运维设施数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07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0C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5A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B2153">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D53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B7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CB699">
            <w:pPr>
              <w:jc w:val="center"/>
              <w:rPr>
                <w:rFonts w:hint="eastAsia" w:ascii="宋体" w:hAnsi="宋体" w:eastAsia="宋体" w:cs="宋体"/>
                <w:i/>
                <w:iCs/>
                <w:color w:val="000000"/>
                <w:sz w:val="16"/>
                <w:szCs w:val="16"/>
                <w:u w:val="none"/>
              </w:rPr>
            </w:pPr>
          </w:p>
        </w:tc>
      </w:tr>
      <w:tr w14:paraId="3C714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BF98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96B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C3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A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96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65C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E95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EC8E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E4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C0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54E1C">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项目服务期未满</w:t>
            </w:r>
          </w:p>
        </w:tc>
      </w:tr>
      <w:tr w14:paraId="44795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F333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C77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B12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F21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运维服务年限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21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2F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2024-2025年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26B8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9AB3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D3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FD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93ED8">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2025-2026年</w:t>
            </w:r>
          </w:p>
        </w:tc>
      </w:tr>
      <w:tr w14:paraId="77C84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222C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0B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475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09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强化环境监管，降低环境污染治理成本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34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90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E17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B586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24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BA2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5E36E">
            <w:pPr>
              <w:jc w:val="center"/>
              <w:rPr>
                <w:rFonts w:hint="eastAsia" w:ascii="宋体" w:hAnsi="宋体" w:eastAsia="宋体" w:cs="宋体"/>
                <w:i/>
                <w:iCs/>
                <w:color w:val="000000"/>
                <w:sz w:val="16"/>
                <w:szCs w:val="16"/>
                <w:u w:val="none"/>
              </w:rPr>
            </w:pPr>
          </w:p>
        </w:tc>
      </w:tr>
      <w:tr w14:paraId="3801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344A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A6A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FBF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CF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村民环境保护意识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CB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71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779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7517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00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CF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BC5A4">
            <w:pPr>
              <w:jc w:val="center"/>
              <w:rPr>
                <w:rFonts w:hint="eastAsia" w:ascii="宋体" w:hAnsi="宋体" w:eastAsia="宋体" w:cs="宋体"/>
                <w:i/>
                <w:iCs/>
                <w:color w:val="000000"/>
                <w:sz w:val="16"/>
                <w:szCs w:val="16"/>
                <w:u w:val="none"/>
              </w:rPr>
            </w:pPr>
          </w:p>
        </w:tc>
      </w:tr>
      <w:tr w14:paraId="2AA4A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CB73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AF4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DB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60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农村人居环境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A16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F2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D4E9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07F4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3E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34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9CA7E">
            <w:pPr>
              <w:jc w:val="center"/>
              <w:rPr>
                <w:rFonts w:hint="eastAsia" w:ascii="宋体" w:hAnsi="宋体" w:eastAsia="宋体" w:cs="宋体"/>
                <w:i/>
                <w:iCs/>
                <w:color w:val="000000"/>
                <w:sz w:val="16"/>
                <w:szCs w:val="16"/>
                <w:u w:val="none"/>
              </w:rPr>
            </w:pPr>
          </w:p>
        </w:tc>
      </w:tr>
      <w:tr w14:paraId="0409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C86A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D30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CD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A5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支撑农村经济社会可持续发展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BA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D0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837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7297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1B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4F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FF4C4">
            <w:pPr>
              <w:jc w:val="center"/>
              <w:rPr>
                <w:rFonts w:hint="eastAsia" w:ascii="宋体" w:hAnsi="宋体" w:eastAsia="宋体" w:cs="宋体"/>
                <w:i/>
                <w:iCs/>
                <w:color w:val="000000"/>
                <w:sz w:val="16"/>
                <w:szCs w:val="16"/>
                <w:u w:val="none"/>
              </w:rPr>
            </w:pPr>
          </w:p>
        </w:tc>
      </w:tr>
      <w:tr w14:paraId="011C8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1F5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D8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74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25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E9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5E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FF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3F0FD">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9B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F6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45888">
            <w:pPr>
              <w:jc w:val="center"/>
              <w:rPr>
                <w:rFonts w:hint="eastAsia" w:ascii="宋体" w:hAnsi="宋体" w:eastAsia="宋体" w:cs="宋体"/>
                <w:i/>
                <w:iCs/>
                <w:color w:val="000000"/>
                <w:sz w:val="16"/>
                <w:szCs w:val="16"/>
                <w:u w:val="none"/>
              </w:rPr>
            </w:pPr>
          </w:p>
        </w:tc>
      </w:tr>
      <w:tr w14:paraId="6430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45E2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F11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D8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23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项目总投入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9A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EB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A1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FE604">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9D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E9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53A11">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项目服务期未满，暂不满足付款条件，中标价275万元。</w:t>
            </w:r>
          </w:p>
        </w:tc>
      </w:tr>
      <w:tr w14:paraId="3ECE7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D4E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4D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B0E51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AFC487">
            <w:pPr>
              <w:rPr>
                <w:rFonts w:hint="eastAsia" w:ascii="宋体" w:hAnsi="宋体" w:eastAsia="宋体" w:cs="宋体"/>
                <w:i w:val="0"/>
                <w:iCs w:val="0"/>
                <w:color w:val="000000"/>
                <w:sz w:val="18"/>
                <w:szCs w:val="18"/>
                <w:u w:val="none"/>
              </w:rPr>
            </w:pPr>
          </w:p>
        </w:tc>
      </w:tr>
      <w:tr w14:paraId="14D6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EC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A189F8">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于2025年7月完成三方运维服务采购，运维期1年，暂不满足支付条件。</w:t>
            </w:r>
          </w:p>
        </w:tc>
      </w:tr>
      <w:tr w14:paraId="7F27D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48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89AA61">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需运维服务期满后，根据实际考核结果支付金额。</w:t>
            </w:r>
          </w:p>
        </w:tc>
      </w:tr>
      <w:tr w14:paraId="25A9F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7A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1ADE3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督导三方运维单位规范开展运维服务工作。</w:t>
            </w:r>
          </w:p>
        </w:tc>
      </w:tr>
      <w:tr w14:paraId="01584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324E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8380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3A4C4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2E60F8A2">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05F5831F">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56DDEADD">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4DB9C7DA">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2EA35E6C">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539A3BE0">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24A6D287">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6BFA65C4">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789D0B3E">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02184C4B">
            <w:pPr>
              <w:rPr>
                <w:rFonts w:hint="eastAsia" w:ascii="宋体" w:hAnsi="宋体" w:eastAsia="宋体" w:cs="宋体"/>
                <w:i w:val="0"/>
                <w:iCs w:val="0"/>
                <w:color w:val="FF0000"/>
                <w:sz w:val="18"/>
                <w:szCs w:val="18"/>
                <w:u w:val="none"/>
              </w:rPr>
            </w:pPr>
          </w:p>
        </w:tc>
        <w:tc>
          <w:tcPr>
            <w:tcW w:w="0" w:type="auto"/>
            <w:tcBorders>
              <w:top w:val="nil"/>
              <w:left w:val="nil"/>
              <w:bottom w:val="nil"/>
              <w:right w:val="nil"/>
            </w:tcBorders>
            <w:shd w:val="clear" w:color="auto" w:fill="auto"/>
            <w:vAlign w:val="center"/>
          </w:tcPr>
          <w:p w14:paraId="2ADAB5BF">
            <w:pPr>
              <w:rPr>
                <w:rFonts w:hint="eastAsia" w:ascii="宋体" w:hAnsi="宋体" w:eastAsia="宋体" w:cs="宋体"/>
                <w:i w:val="0"/>
                <w:iCs w:val="0"/>
                <w:color w:val="FF0000"/>
                <w:sz w:val="18"/>
                <w:szCs w:val="18"/>
                <w:u w:val="none"/>
              </w:rPr>
            </w:pPr>
          </w:p>
        </w:tc>
      </w:tr>
      <w:tr w14:paraId="5FD0D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132ED6">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3EB5A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2B2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EF6C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51320025T000012614158-2024年-2025年汶川县网格化监管网格员及企业、在建项目管理人员业务能力提升培训以及采购环保管家管理机构项目</w:t>
            </w:r>
          </w:p>
        </w:tc>
      </w:tr>
      <w:tr w14:paraId="78D3B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761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1811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6ECE36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41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063D5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081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505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320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008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0D646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22118">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9826B">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427F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目标1：提高汶川县生态环境监管人员、网格员业务能力，规范环境监管行为.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目标2：增强企业和公众的环境守法意识与环境法律素养， 促进企业守法生产、守法经营。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目标3：结合汶川生态空间规划行业资料提供环保政策咨询，为生态环境保护决策和监管提供支撑                                                                                                             目标4：企业日常监管服务开展专项和常规巡查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730F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对照年度目标，说明相关任务目标的完成情况（100字以内）</w:t>
            </w:r>
          </w:p>
        </w:tc>
      </w:tr>
      <w:tr w14:paraId="35E6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E7A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F88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209057">
            <w:pPr>
              <w:rPr>
                <w:rFonts w:hint="eastAsia" w:ascii="宋体" w:hAnsi="宋体" w:eastAsia="宋体" w:cs="宋体"/>
                <w:i w:val="0"/>
                <w:iCs w:val="0"/>
                <w:color w:val="000000"/>
                <w:sz w:val="18"/>
                <w:szCs w:val="18"/>
                <w:u w:val="none"/>
              </w:rPr>
            </w:pPr>
          </w:p>
        </w:tc>
      </w:tr>
      <w:tr w14:paraId="6C765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03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34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C5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BE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E774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76D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8B6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5D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3F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7018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CCC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EF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59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5D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A9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25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A97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B4BB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1147A">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A79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0FE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E4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28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5F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0E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92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3C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2A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82E50">
            <w:pPr>
              <w:rPr>
                <w:rFonts w:hint="eastAsia" w:ascii="宋体" w:hAnsi="宋体" w:eastAsia="宋体" w:cs="宋体"/>
                <w:i/>
                <w:iCs/>
                <w:color w:val="000000"/>
                <w:sz w:val="18"/>
                <w:szCs w:val="18"/>
                <w:u w:val="none"/>
              </w:rPr>
            </w:pPr>
          </w:p>
        </w:tc>
      </w:tr>
      <w:tr w14:paraId="5C37C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6B3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15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AF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6D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8A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B5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9C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2F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E076">
            <w:pPr>
              <w:rPr>
                <w:rFonts w:hint="eastAsia" w:ascii="宋体" w:hAnsi="宋体" w:eastAsia="宋体" w:cs="宋体"/>
                <w:i/>
                <w:iCs/>
                <w:color w:val="000000"/>
                <w:sz w:val="18"/>
                <w:szCs w:val="18"/>
                <w:u w:val="none"/>
              </w:rPr>
            </w:pPr>
          </w:p>
        </w:tc>
      </w:tr>
      <w:tr w14:paraId="4130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1E1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F9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5C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A5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DFB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6C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13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2D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F70F">
            <w:pPr>
              <w:rPr>
                <w:rFonts w:hint="eastAsia" w:ascii="宋体" w:hAnsi="宋体" w:eastAsia="宋体" w:cs="宋体"/>
                <w:i/>
                <w:iCs/>
                <w:color w:val="000000"/>
                <w:sz w:val="18"/>
                <w:szCs w:val="18"/>
                <w:u w:val="none"/>
              </w:rPr>
            </w:pPr>
          </w:p>
        </w:tc>
      </w:tr>
      <w:tr w14:paraId="1D2EC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56B1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B2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396E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5D2C0">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5EDA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449F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C7B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42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99B2F">
            <w:pPr>
              <w:rPr>
                <w:rFonts w:hint="eastAsia" w:ascii="宋体" w:hAnsi="宋体" w:eastAsia="宋体" w:cs="宋体"/>
                <w:i/>
                <w:iCs/>
                <w:color w:val="000000"/>
                <w:sz w:val="18"/>
                <w:szCs w:val="18"/>
                <w:u w:val="none"/>
              </w:rPr>
            </w:pPr>
          </w:p>
        </w:tc>
      </w:tr>
      <w:tr w14:paraId="4C8EF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4C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09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BF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DF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BC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C7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C7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A6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35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7B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6F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49512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CF919">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A6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59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E4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8D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81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CE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8B8FC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E4B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BCD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3775E">
            <w:pPr>
              <w:jc w:val="center"/>
              <w:rPr>
                <w:rFonts w:hint="eastAsia" w:ascii="宋体" w:hAnsi="宋体" w:eastAsia="宋体" w:cs="宋体"/>
                <w:i/>
                <w:iCs/>
                <w:color w:val="000000"/>
                <w:sz w:val="16"/>
                <w:szCs w:val="16"/>
                <w:u w:val="none"/>
              </w:rPr>
            </w:pPr>
          </w:p>
        </w:tc>
      </w:tr>
      <w:tr w14:paraId="4AFF7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B3BC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34DB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F3F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F0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定期检查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40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76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B7D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542BF">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75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B6AD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92752">
            <w:pPr>
              <w:jc w:val="center"/>
              <w:rPr>
                <w:rFonts w:hint="eastAsia" w:ascii="宋体" w:hAnsi="宋体" w:eastAsia="宋体" w:cs="宋体"/>
                <w:i/>
                <w:iCs/>
                <w:color w:val="000000"/>
                <w:sz w:val="16"/>
                <w:szCs w:val="16"/>
                <w:u w:val="none"/>
              </w:rPr>
            </w:pPr>
          </w:p>
        </w:tc>
      </w:tr>
      <w:tr w14:paraId="48EEF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6CDF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3554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2F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AB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68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D4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21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EBEE0D">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EE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2C34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B03C7">
            <w:pPr>
              <w:jc w:val="center"/>
              <w:rPr>
                <w:rFonts w:hint="eastAsia" w:ascii="宋体" w:hAnsi="宋体" w:eastAsia="宋体" w:cs="宋体"/>
                <w:i/>
                <w:iCs/>
                <w:color w:val="000000"/>
                <w:sz w:val="16"/>
                <w:szCs w:val="16"/>
                <w:u w:val="none"/>
              </w:rPr>
            </w:pPr>
          </w:p>
        </w:tc>
      </w:tr>
      <w:tr w14:paraId="2ADFC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C5B2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C378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D8B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BB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提供政策咨询服务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A9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46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不限次数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A41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D224D">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19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61AE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65D47">
            <w:pPr>
              <w:jc w:val="center"/>
              <w:rPr>
                <w:rFonts w:hint="eastAsia" w:ascii="宋体" w:hAnsi="宋体" w:eastAsia="宋体" w:cs="宋体"/>
                <w:i/>
                <w:iCs/>
                <w:color w:val="000000"/>
                <w:sz w:val="16"/>
                <w:szCs w:val="16"/>
                <w:u w:val="none"/>
              </w:rPr>
            </w:pPr>
          </w:p>
        </w:tc>
      </w:tr>
      <w:tr w14:paraId="6D1F3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019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4E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EC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8B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规范企业环保管理，减少环境破坏，降低环境治理成本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4F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66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71D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8256C">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F3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FC2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B3990">
            <w:pPr>
              <w:jc w:val="center"/>
              <w:rPr>
                <w:rFonts w:hint="eastAsia" w:ascii="宋体" w:hAnsi="宋体" w:eastAsia="宋体" w:cs="宋体"/>
                <w:i/>
                <w:iCs/>
                <w:color w:val="000000"/>
                <w:sz w:val="16"/>
                <w:szCs w:val="16"/>
                <w:u w:val="none"/>
              </w:rPr>
            </w:pPr>
          </w:p>
        </w:tc>
      </w:tr>
      <w:tr w14:paraId="6F1E5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3A31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9EF5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7E8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2B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提升网格员业务能力，提升企业环保意识，营造更加和谐园区发展环境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FB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D4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59FA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23B58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F3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9C9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A7636">
            <w:pPr>
              <w:jc w:val="center"/>
              <w:rPr>
                <w:rFonts w:hint="eastAsia" w:ascii="宋体" w:hAnsi="宋体" w:eastAsia="宋体" w:cs="宋体"/>
                <w:i/>
                <w:iCs/>
                <w:color w:val="000000"/>
                <w:sz w:val="16"/>
                <w:szCs w:val="16"/>
                <w:u w:val="none"/>
              </w:rPr>
            </w:pPr>
          </w:p>
        </w:tc>
      </w:tr>
      <w:tr w14:paraId="6F5F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9BD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71D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1A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8D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评估成果运用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08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81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035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87FD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44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67F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60850">
            <w:pPr>
              <w:jc w:val="center"/>
              <w:rPr>
                <w:rFonts w:hint="eastAsia" w:ascii="宋体" w:hAnsi="宋体" w:eastAsia="宋体" w:cs="宋体"/>
                <w:i/>
                <w:iCs/>
                <w:color w:val="000000"/>
                <w:sz w:val="16"/>
                <w:szCs w:val="16"/>
                <w:u w:val="none"/>
              </w:rPr>
            </w:pPr>
          </w:p>
        </w:tc>
      </w:tr>
      <w:tr w14:paraId="45FD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6020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C8E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2F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FC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项目参与人员满意度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D3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97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F9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93BC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5C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9A61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A2BC4">
            <w:pPr>
              <w:jc w:val="center"/>
              <w:rPr>
                <w:rFonts w:hint="eastAsia" w:ascii="宋体" w:hAnsi="宋体" w:eastAsia="宋体" w:cs="宋体"/>
                <w:i/>
                <w:iCs/>
                <w:color w:val="000000"/>
                <w:sz w:val="16"/>
                <w:szCs w:val="16"/>
                <w:u w:val="none"/>
              </w:rPr>
            </w:pPr>
          </w:p>
        </w:tc>
      </w:tr>
      <w:tr w14:paraId="478D2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558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F5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3F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51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7B7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16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4E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F3CB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503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B03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5A365">
            <w:pPr>
              <w:jc w:val="center"/>
              <w:rPr>
                <w:rFonts w:hint="eastAsia" w:ascii="宋体" w:hAnsi="宋体" w:eastAsia="宋体" w:cs="宋体"/>
                <w:i/>
                <w:iCs/>
                <w:color w:val="000000"/>
                <w:sz w:val="16"/>
                <w:szCs w:val="16"/>
                <w:u w:val="none"/>
              </w:rPr>
            </w:pPr>
          </w:p>
        </w:tc>
      </w:tr>
      <w:tr w14:paraId="73181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C0A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91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B10D9">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A564E">
            <w:pPr>
              <w:rPr>
                <w:rFonts w:hint="eastAsia" w:ascii="宋体" w:hAnsi="宋体" w:eastAsia="宋体" w:cs="宋体"/>
                <w:i w:val="0"/>
                <w:iCs w:val="0"/>
                <w:color w:val="000000"/>
                <w:sz w:val="18"/>
                <w:szCs w:val="18"/>
                <w:u w:val="none"/>
              </w:rPr>
            </w:pPr>
          </w:p>
        </w:tc>
      </w:tr>
      <w:tr w14:paraId="093C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DE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B32A5B">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提高了汶川县生态环境监管人员、网格员业务能力，规范环境监管行为，增强企业和公众的环境守法意识与环境法律素养， 促进企业守法生产、守法经营。结合汶川生态空间规划行业资料提供环保政策咨询，为生态环境保护决策和监管提供支撑。</w:t>
            </w:r>
          </w:p>
        </w:tc>
      </w:tr>
      <w:tr w14:paraId="3BC07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72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5DAB08">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7F38A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55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289320">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28F0D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CEA8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AD24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4E51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41F918D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5D2472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F2CB16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BDA549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EC9B48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3C12A4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9D1AC0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94E3DC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74493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7FC31B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282CC6E">
            <w:pPr>
              <w:rPr>
                <w:rFonts w:hint="eastAsia" w:ascii="宋体" w:hAnsi="宋体" w:eastAsia="宋体" w:cs="宋体"/>
                <w:i w:val="0"/>
                <w:iCs w:val="0"/>
                <w:color w:val="000000"/>
                <w:sz w:val="18"/>
                <w:szCs w:val="18"/>
                <w:u w:val="none"/>
              </w:rPr>
            </w:pPr>
          </w:p>
        </w:tc>
      </w:tr>
      <w:tr w14:paraId="58E2C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F761BD">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1929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547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87BF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51320025T000012654010-汶川片区综合执法工作经费</w:t>
            </w:r>
          </w:p>
        </w:tc>
      </w:tr>
      <w:tr w14:paraId="235E4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A91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D3DF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28BA68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2E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52F94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791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CE4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E1B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04C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01F7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6F461">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95E3E">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298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行政执法部门通过引入移动信息化手段，可以明确和规范执法主体、执法依据、执法程序、处罚标准、执法监督和执法责任等，可以立案、登记、执行、自有裁量等各个支付环节规范化程度得到提高，通过现场执法、行政处罚下达等完成年度行政执法工作，开展汶川、理县、茂县、黑水和卧龙四县一区专项执法工作和汶川县域内日常执法检查工作，完成每季度双随机工作，完成专项帮扶执法检查，完成日常突击检查，完成信访调查处理，执法立案查处等相关工作。通过开展执法检查工作，提高环境执法效能，改善生态环境质量。</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964D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w:t>
            </w:r>
          </w:p>
        </w:tc>
      </w:tr>
      <w:tr w14:paraId="18F9C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61FA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A78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16A7FA">
            <w:pPr>
              <w:rPr>
                <w:rFonts w:hint="eastAsia" w:ascii="宋体" w:hAnsi="宋体" w:eastAsia="宋体" w:cs="宋体"/>
                <w:i w:val="0"/>
                <w:iCs w:val="0"/>
                <w:color w:val="000000"/>
                <w:sz w:val="18"/>
                <w:szCs w:val="18"/>
                <w:u w:val="none"/>
              </w:rPr>
            </w:pPr>
          </w:p>
        </w:tc>
      </w:tr>
      <w:tr w14:paraId="3256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73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3B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0AD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D563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CE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6D9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2B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21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CC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576F1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0A2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69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96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E03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A0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F91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4AD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D01B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DC4EF">
            <w:pPr>
              <w:rPr>
                <w:rFonts w:hint="eastAsia" w:ascii="宋体" w:hAnsi="宋体" w:eastAsia="宋体" w:cs="宋体"/>
                <w:i/>
                <w:iCs/>
                <w:color w:val="000000"/>
                <w:sz w:val="18"/>
                <w:szCs w:val="18"/>
                <w:u w:val="none"/>
              </w:rPr>
            </w:pPr>
          </w:p>
        </w:tc>
      </w:tr>
      <w:tr w14:paraId="15AA2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C24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B15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137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CF1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D4C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8A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B8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64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DE20A">
            <w:pPr>
              <w:rPr>
                <w:rFonts w:hint="eastAsia" w:ascii="宋体" w:hAnsi="宋体" w:eastAsia="宋体" w:cs="宋体"/>
                <w:i/>
                <w:iCs/>
                <w:color w:val="000000"/>
                <w:sz w:val="18"/>
                <w:szCs w:val="18"/>
                <w:u w:val="none"/>
              </w:rPr>
            </w:pPr>
          </w:p>
        </w:tc>
      </w:tr>
      <w:tr w14:paraId="71C96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1416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5E5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B9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6E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E8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9B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82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44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91C7B">
            <w:pPr>
              <w:rPr>
                <w:rFonts w:hint="eastAsia" w:ascii="宋体" w:hAnsi="宋体" w:eastAsia="宋体" w:cs="宋体"/>
                <w:i/>
                <w:iCs/>
                <w:color w:val="000000"/>
                <w:sz w:val="18"/>
                <w:szCs w:val="18"/>
                <w:u w:val="none"/>
              </w:rPr>
            </w:pPr>
          </w:p>
        </w:tc>
      </w:tr>
      <w:tr w14:paraId="7C146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11F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08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56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7B4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51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2F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D5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70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437A">
            <w:pPr>
              <w:rPr>
                <w:rFonts w:hint="eastAsia" w:ascii="宋体" w:hAnsi="宋体" w:eastAsia="宋体" w:cs="宋体"/>
                <w:i/>
                <w:iCs/>
                <w:color w:val="000000"/>
                <w:sz w:val="18"/>
                <w:szCs w:val="18"/>
                <w:u w:val="none"/>
              </w:rPr>
            </w:pPr>
          </w:p>
        </w:tc>
      </w:tr>
      <w:tr w14:paraId="488F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B47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75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8229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56FD1">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D54FB4">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E678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87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C6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79A67">
            <w:pPr>
              <w:rPr>
                <w:rFonts w:hint="eastAsia" w:ascii="宋体" w:hAnsi="宋体" w:eastAsia="宋体" w:cs="宋体"/>
                <w:i/>
                <w:iCs/>
                <w:color w:val="000000"/>
                <w:sz w:val="18"/>
                <w:szCs w:val="18"/>
                <w:u w:val="none"/>
              </w:rPr>
            </w:pPr>
          </w:p>
        </w:tc>
      </w:tr>
      <w:tr w14:paraId="08184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6A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C05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6A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45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04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F7B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53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CA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0C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55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6A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06657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24309">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07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D9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88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片区每季度执法检查次数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80E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F9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A0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67E87">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DE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D3F0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30C27">
            <w:pPr>
              <w:jc w:val="center"/>
              <w:rPr>
                <w:rFonts w:hint="eastAsia" w:ascii="宋体" w:hAnsi="宋体" w:eastAsia="宋体" w:cs="宋体"/>
                <w:i/>
                <w:iCs/>
                <w:color w:val="000000"/>
                <w:sz w:val="16"/>
                <w:szCs w:val="16"/>
                <w:u w:val="none"/>
              </w:rPr>
            </w:pPr>
          </w:p>
        </w:tc>
      </w:tr>
      <w:tr w14:paraId="4824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2B7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C06B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F8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30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双随机达标率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FD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7D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8D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61DF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F2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9F5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014B8">
            <w:pPr>
              <w:jc w:val="center"/>
              <w:rPr>
                <w:rFonts w:hint="eastAsia" w:ascii="宋体" w:hAnsi="宋体" w:eastAsia="宋体" w:cs="宋体"/>
                <w:i/>
                <w:iCs/>
                <w:color w:val="000000"/>
                <w:sz w:val="16"/>
                <w:szCs w:val="16"/>
                <w:u w:val="none"/>
              </w:rPr>
            </w:pPr>
          </w:p>
        </w:tc>
      </w:tr>
      <w:tr w14:paraId="6AB89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220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26CE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972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D0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执法任务完成率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ED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7A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7A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95B7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FA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808E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A80F8">
            <w:pPr>
              <w:jc w:val="center"/>
              <w:rPr>
                <w:rFonts w:hint="eastAsia" w:ascii="宋体" w:hAnsi="宋体" w:eastAsia="宋体" w:cs="宋体"/>
                <w:i/>
                <w:iCs/>
                <w:color w:val="000000"/>
                <w:sz w:val="16"/>
                <w:szCs w:val="16"/>
                <w:u w:val="none"/>
              </w:rPr>
            </w:pPr>
          </w:p>
        </w:tc>
      </w:tr>
      <w:tr w14:paraId="2098B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8561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232C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93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E9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按时完成率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56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F3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21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ABE5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16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28EF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09A51">
            <w:pPr>
              <w:jc w:val="center"/>
              <w:rPr>
                <w:rFonts w:hint="eastAsia" w:ascii="宋体" w:hAnsi="宋体" w:eastAsia="宋体" w:cs="宋体"/>
                <w:i/>
                <w:iCs/>
                <w:color w:val="000000"/>
                <w:sz w:val="16"/>
                <w:szCs w:val="16"/>
                <w:u w:val="none"/>
              </w:rPr>
            </w:pPr>
          </w:p>
        </w:tc>
      </w:tr>
      <w:tr w14:paraId="6390D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8E78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BE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CED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E4D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生态环境质量改善率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A9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FA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有所改善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FD0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1596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F2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46B3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938AA">
            <w:pPr>
              <w:jc w:val="center"/>
              <w:rPr>
                <w:rFonts w:hint="eastAsia" w:ascii="宋体" w:hAnsi="宋体" w:eastAsia="宋体" w:cs="宋体"/>
                <w:i/>
                <w:iCs/>
                <w:color w:val="000000"/>
                <w:sz w:val="16"/>
                <w:szCs w:val="16"/>
                <w:u w:val="none"/>
              </w:rPr>
            </w:pPr>
          </w:p>
        </w:tc>
      </w:tr>
      <w:tr w14:paraId="7ACD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CB0D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3592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4753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2C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环境执法规范化水平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29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6F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6122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E34A4">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4D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CBEC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680027">
            <w:pPr>
              <w:jc w:val="center"/>
              <w:rPr>
                <w:rFonts w:hint="eastAsia" w:ascii="宋体" w:hAnsi="宋体" w:eastAsia="宋体" w:cs="宋体"/>
                <w:i/>
                <w:iCs/>
                <w:color w:val="000000"/>
                <w:sz w:val="16"/>
                <w:szCs w:val="16"/>
                <w:u w:val="none"/>
              </w:rPr>
            </w:pPr>
          </w:p>
        </w:tc>
      </w:tr>
      <w:tr w14:paraId="13D45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1E6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82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04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4A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D5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09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DA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BF3A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1A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077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4A00D">
            <w:pPr>
              <w:jc w:val="center"/>
              <w:rPr>
                <w:rFonts w:hint="eastAsia" w:ascii="宋体" w:hAnsi="宋体" w:eastAsia="宋体" w:cs="宋体"/>
                <w:i/>
                <w:iCs/>
                <w:color w:val="000000"/>
                <w:sz w:val="16"/>
                <w:szCs w:val="16"/>
                <w:u w:val="none"/>
              </w:rPr>
            </w:pPr>
          </w:p>
        </w:tc>
      </w:tr>
      <w:tr w14:paraId="4CF3D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D6C4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6E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4BB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B3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项目成本金额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3F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11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E6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9C857F">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4F3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FDB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1EAD8">
            <w:pPr>
              <w:jc w:val="center"/>
              <w:rPr>
                <w:rFonts w:hint="eastAsia" w:ascii="宋体" w:hAnsi="宋体" w:eastAsia="宋体" w:cs="宋体"/>
                <w:i/>
                <w:iCs/>
                <w:color w:val="000000"/>
                <w:sz w:val="16"/>
                <w:szCs w:val="16"/>
                <w:u w:val="none"/>
              </w:rPr>
            </w:pPr>
          </w:p>
        </w:tc>
      </w:tr>
      <w:tr w14:paraId="70405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644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5A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2DB91">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EC589">
            <w:pPr>
              <w:rPr>
                <w:rFonts w:hint="eastAsia" w:ascii="宋体" w:hAnsi="宋体" w:eastAsia="宋体" w:cs="宋体"/>
                <w:i w:val="0"/>
                <w:iCs w:val="0"/>
                <w:color w:val="000000"/>
                <w:sz w:val="18"/>
                <w:szCs w:val="18"/>
                <w:u w:val="none"/>
              </w:rPr>
            </w:pPr>
          </w:p>
        </w:tc>
      </w:tr>
      <w:tr w14:paraId="65773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D7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903BCE">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我单独按照单位工作开展需要，及时完成执法双随机任务的同时，积极参与企业监管，生态环境保护监管等执法工作，较好的完成莉执法任务，自评100分</w:t>
            </w:r>
          </w:p>
        </w:tc>
      </w:tr>
      <w:tr w14:paraId="79072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BF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CB2D30">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77B3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A8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7109A2">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13356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86F8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F160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6975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5ED7B38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F4012D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FC72F1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BFA5CF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B75A3A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E2882C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454298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075517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F06614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4231BB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29E5180">
            <w:pPr>
              <w:rPr>
                <w:rFonts w:hint="eastAsia" w:ascii="宋体" w:hAnsi="宋体" w:eastAsia="宋体" w:cs="宋体"/>
                <w:i w:val="0"/>
                <w:iCs w:val="0"/>
                <w:color w:val="000000"/>
                <w:sz w:val="18"/>
                <w:szCs w:val="18"/>
                <w:u w:val="none"/>
              </w:rPr>
            </w:pPr>
          </w:p>
        </w:tc>
      </w:tr>
      <w:tr w14:paraId="4DD1E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32214D2">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7089A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19E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8785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51320025T000012660902-汶川片区监测站日常工作运行经费项目</w:t>
            </w:r>
          </w:p>
        </w:tc>
      </w:tr>
      <w:tr w14:paraId="183E4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815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8DD4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74F21D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4F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70D3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E98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65C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43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883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2856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743D7">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37491">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3185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阿坝州生态环境监测方案》和汶川片区监测站初步工作方案要求，汶川片区监测站负责对汶川、理县、茂县、松潘县、黑水县、九寨沟县约10个监测水质断面进行例行监测工作，监测频次为每月1次；支付办公场所相关运行经费。通过对水质断面进行监测，保障用水安全，促进当地生态可持续发展。</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0CC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依托现有的汶川环境监测站对水质断面进行例行监测工作、同时包含声功能区等监测。通过对水质断面进行监测，保障用水安全，促进当地生态可持续发展。</w:t>
            </w:r>
          </w:p>
        </w:tc>
      </w:tr>
      <w:tr w14:paraId="30337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FCB1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F39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BCC4C2">
            <w:pPr>
              <w:rPr>
                <w:rFonts w:hint="eastAsia" w:ascii="宋体" w:hAnsi="宋体" w:eastAsia="宋体" w:cs="宋体"/>
                <w:i w:val="0"/>
                <w:iCs w:val="0"/>
                <w:color w:val="000000"/>
                <w:sz w:val="18"/>
                <w:szCs w:val="18"/>
                <w:u w:val="none"/>
              </w:rPr>
            </w:pPr>
          </w:p>
        </w:tc>
      </w:tr>
      <w:tr w14:paraId="561F2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31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4ED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63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22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9C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8C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8D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B3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1A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6F44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02A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69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C6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D6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55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48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08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751E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969AB">
            <w:pPr>
              <w:rPr>
                <w:rFonts w:hint="eastAsia" w:ascii="宋体" w:hAnsi="宋体" w:eastAsia="宋体" w:cs="宋体"/>
                <w:i/>
                <w:iCs/>
                <w:color w:val="000000"/>
                <w:sz w:val="18"/>
                <w:szCs w:val="18"/>
                <w:u w:val="none"/>
              </w:rPr>
            </w:pPr>
          </w:p>
        </w:tc>
      </w:tr>
      <w:tr w14:paraId="78CB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58A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0B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6B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5A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F0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30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86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F9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A1E18">
            <w:pPr>
              <w:rPr>
                <w:rFonts w:hint="eastAsia" w:ascii="宋体" w:hAnsi="宋体" w:eastAsia="宋体" w:cs="宋体"/>
                <w:i/>
                <w:iCs/>
                <w:color w:val="000000"/>
                <w:sz w:val="18"/>
                <w:szCs w:val="18"/>
                <w:u w:val="none"/>
              </w:rPr>
            </w:pPr>
          </w:p>
        </w:tc>
      </w:tr>
      <w:tr w14:paraId="52C4F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05A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DB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87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6E6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56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96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E9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FE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83559">
            <w:pPr>
              <w:rPr>
                <w:rFonts w:hint="eastAsia" w:ascii="宋体" w:hAnsi="宋体" w:eastAsia="宋体" w:cs="宋体"/>
                <w:i/>
                <w:iCs/>
                <w:color w:val="000000"/>
                <w:sz w:val="18"/>
                <w:szCs w:val="18"/>
                <w:u w:val="none"/>
              </w:rPr>
            </w:pPr>
          </w:p>
        </w:tc>
      </w:tr>
      <w:tr w14:paraId="2DBE9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E13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6B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D4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5C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5D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25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B4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97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13B9E">
            <w:pPr>
              <w:rPr>
                <w:rFonts w:hint="eastAsia" w:ascii="宋体" w:hAnsi="宋体" w:eastAsia="宋体" w:cs="宋体"/>
                <w:i/>
                <w:iCs/>
                <w:color w:val="000000"/>
                <w:sz w:val="18"/>
                <w:szCs w:val="18"/>
                <w:u w:val="none"/>
              </w:rPr>
            </w:pPr>
          </w:p>
        </w:tc>
      </w:tr>
      <w:tr w14:paraId="1057F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9A4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47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3360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E7846">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5647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9426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1B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D1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B6D24">
            <w:pPr>
              <w:rPr>
                <w:rFonts w:hint="eastAsia" w:ascii="宋体" w:hAnsi="宋体" w:eastAsia="宋体" w:cs="宋体"/>
                <w:i/>
                <w:iCs/>
                <w:color w:val="000000"/>
                <w:sz w:val="18"/>
                <w:szCs w:val="18"/>
                <w:u w:val="none"/>
              </w:rPr>
            </w:pPr>
          </w:p>
        </w:tc>
      </w:tr>
      <w:tr w14:paraId="5F452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F9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78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A5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EC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7A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0E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CE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D4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39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BB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BD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6AC2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DD4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8B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1D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33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水质断面实验报告数量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76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D7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7A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F9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44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E5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0E7B9">
            <w:pPr>
              <w:jc w:val="center"/>
              <w:rPr>
                <w:rFonts w:hint="eastAsia" w:ascii="宋体" w:hAnsi="宋体" w:eastAsia="宋体" w:cs="宋体"/>
                <w:i/>
                <w:iCs/>
                <w:color w:val="000000"/>
                <w:sz w:val="16"/>
                <w:szCs w:val="16"/>
                <w:u w:val="none"/>
              </w:rPr>
            </w:pPr>
          </w:p>
        </w:tc>
      </w:tr>
      <w:tr w14:paraId="6B80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F1D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7B79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D52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8D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水质断面采样次数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26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5C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49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E2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1D1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F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5FF34">
            <w:pPr>
              <w:jc w:val="center"/>
              <w:rPr>
                <w:rFonts w:hint="eastAsia" w:ascii="宋体" w:hAnsi="宋体" w:eastAsia="宋体" w:cs="宋体"/>
                <w:i/>
                <w:iCs/>
                <w:color w:val="000000"/>
                <w:sz w:val="16"/>
                <w:szCs w:val="16"/>
                <w:u w:val="none"/>
              </w:rPr>
            </w:pPr>
          </w:p>
        </w:tc>
      </w:tr>
      <w:tr w14:paraId="5E73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00B1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CA2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80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74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监测完成率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E7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AD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F0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A0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37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45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89CFF">
            <w:pPr>
              <w:jc w:val="center"/>
              <w:rPr>
                <w:rFonts w:hint="eastAsia" w:ascii="宋体" w:hAnsi="宋体" w:eastAsia="宋体" w:cs="宋体"/>
                <w:i/>
                <w:iCs/>
                <w:color w:val="000000"/>
                <w:sz w:val="16"/>
                <w:szCs w:val="16"/>
                <w:u w:val="none"/>
              </w:rPr>
            </w:pPr>
          </w:p>
        </w:tc>
      </w:tr>
      <w:tr w14:paraId="71D3B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C9C9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178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88F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6B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采样后出监测报告时长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FBD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7F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33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个工作日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50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F5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A7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A1C7C">
            <w:pPr>
              <w:jc w:val="center"/>
              <w:rPr>
                <w:rFonts w:hint="eastAsia" w:ascii="宋体" w:hAnsi="宋体" w:eastAsia="宋体" w:cs="宋体"/>
                <w:i/>
                <w:iCs/>
                <w:color w:val="000000"/>
                <w:sz w:val="16"/>
                <w:szCs w:val="16"/>
                <w:u w:val="none"/>
              </w:rPr>
            </w:pPr>
          </w:p>
        </w:tc>
      </w:tr>
      <w:tr w14:paraId="03418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868C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5B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FD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DA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保障城镇及周边居民的用水安全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A1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1B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1DD7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45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2C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16E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D8C60">
            <w:pPr>
              <w:jc w:val="center"/>
              <w:rPr>
                <w:rFonts w:hint="eastAsia" w:ascii="宋体" w:hAnsi="宋体" w:eastAsia="宋体" w:cs="宋体"/>
                <w:i/>
                <w:iCs/>
                <w:color w:val="000000"/>
                <w:sz w:val="16"/>
                <w:szCs w:val="16"/>
                <w:u w:val="none"/>
              </w:rPr>
            </w:pPr>
          </w:p>
        </w:tc>
      </w:tr>
      <w:tr w14:paraId="64F5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9341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276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E8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E2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促进当地的生态可持续发展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94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13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975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96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03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5A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DAB93">
            <w:pPr>
              <w:jc w:val="center"/>
              <w:rPr>
                <w:rFonts w:hint="eastAsia" w:ascii="宋体" w:hAnsi="宋体" w:eastAsia="宋体" w:cs="宋体"/>
                <w:i/>
                <w:iCs/>
                <w:color w:val="000000"/>
                <w:sz w:val="16"/>
                <w:szCs w:val="16"/>
                <w:u w:val="none"/>
              </w:rPr>
            </w:pPr>
          </w:p>
        </w:tc>
      </w:tr>
      <w:tr w14:paraId="7C82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B9F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A5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65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EF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33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5E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1C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DC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0B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E8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49BDF">
            <w:pPr>
              <w:jc w:val="center"/>
              <w:rPr>
                <w:rFonts w:hint="eastAsia" w:ascii="宋体" w:hAnsi="宋体" w:eastAsia="宋体" w:cs="宋体"/>
                <w:i/>
                <w:iCs/>
                <w:color w:val="000000"/>
                <w:sz w:val="16"/>
                <w:szCs w:val="16"/>
                <w:u w:val="none"/>
              </w:rPr>
            </w:pPr>
          </w:p>
        </w:tc>
      </w:tr>
      <w:tr w14:paraId="444C5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8A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928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0B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6F2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项目年度总投入金额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40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A6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70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6F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2A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59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7BFA7">
            <w:pPr>
              <w:jc w:val="center"/>
              <w:rPr>
                <w:rFonts w:hint="eastAsia" w:ascii="宋体" w:hAnsi="宋体" w:eastAsia="宋体" w:cs="宋体"/>
                <w:i/>
                <w:iCs/>
                <w:color w:val="000000"/>
                <w:sz w:val="16"/>
                <w:szCs w:val="16"/>
                <w:u w:val="none"/>
              </w:rPr>
            </w:pPr>
          </w:p>
        </w:tc>
      </w:tr>
      <w:tr w14:paraId="4784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E6D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2E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5DAF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B27F8">
            <w:pPr>
              <w:rPr>
                <w:rFonts w:hint="eastAsia" w:ascii="宋体" w:hAnsi="宋体" w:eastAsia="宋体" w:cs="宋体"/>
                <w:i w:val="0"/>
                <w:iCs w:val="0"/>
                <w:color w:val="000000"/>
                <w:sz w:val="18"/>
                <w:szCs w:val="18"/>
                <w:u w:val="none"/>
              </w:rPr>
            </w:pPr>
          </w:p>
        </w:tc>
      </w:tr>
      <w:tr w14:paraId="3DDC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7C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1C380A">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依托现有的汶川环境监测站对水质断面进行例行监测工作、同时包含声功能区等监测。通过对水质断面进行监测，保障用水安全，促进当地生态可持续发展。</w:t>
            </w:r>
          </w:p>
        </w:tc>
      </w:tr>
      <w:tr w14:paraId="5C73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AB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7BA2FD">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25BE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AD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86501A">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暂无</w:t>
            </w:r>
          </w:p>
        </w:tc>
      </w:tr>
      <w:tr w14:paraId="5F2C6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C2F3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BB24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052F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51CA302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B1AB0D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63EE89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512069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DB3234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937E1C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D03882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E63291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2BC3F4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544911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753F12A">
            <w:pPr>
              <w:rPr>
                <w:rFonts w:hint="eastAsia" w:ascii="宋体" w:hAnsi="宋体" w:eastAsia="宋体" w:cs="宋体"/>
                <w:i w:val="0"/>
                <w:iCs w:val="0"/>
                <w:color w:val="000000"/>
                <w:sz w:val="18"/>
                <w:szCs w:val="18"/>
                <w:u w:val="none"/>
              </w:rPr>
            </w:pPr>
          </w:p>
        </w:tc>
      </w:tr>
      <w:tr w14:paraId="72B6A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7EC854">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4DCB4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E46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423A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51320025T000012988439-专家评审服务费</w:t>
            </w:r>
          </w:p>
        </w:tc>
      </w:tr>
      <w:tr w14:paraId="07A34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EFC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F23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560540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2E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4AEA5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823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926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B3D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06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48A7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2D10C">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1E284">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2C38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开展汶川生态环境局项目及环境影响评价评审专项劳务报酬支出，确采购项目评审及环境影响评价审查工作的公开透明。</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2A79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w:t>
            </w:r>
          </w:p>
        </w:tc>
      </w:tr>
      <w:tr w14:paraId="1F10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EBE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DA9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33AC10">
            <w:pPr>
              <w:rPr>
                <w:rFonts w:hint="eastAsia" w:ascii="宋体" w:hAnsi="宋体" w:eastAsia="宋体" w:cs="宋体"/>
                <w:i w:val="0"/>
                <w:iCs w:val="0"/>
                <w:color w:val="000000"/>
                <w:sz w:val="18"/>
                <w:szCs w:val="18"/>
                <w:u w:val="none"/>
              </w:rPr>
            </w:pPr>
          </w:p>
        </w:tc>
      </w:tr>
      <w:tr w14:paraId="42F3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68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BD4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E0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2FF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35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26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0A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F4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E7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2012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49FA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6D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CF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25D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B2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1C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85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B74F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8367C">
            <w:pPr>
              <w:keepNext w:val="0"/>
              <w:keepLines w:val="0"/>
              <w:widowControl/>
              <w:suppressLineNumbers w:val="0"/>
              <w:jc w:val="left"/>
              <w:textAlignment w:val="center"/>
              <w:rPr>
                <w:rFonts w:hint="eastAsia" w:ascii="宋体" w:hAnsi="宋体" w:eastAsia="宋体" w:cs="宋体"/>
                <w:i/>
                <w:iCs/>
                <w:color w:val="000000"/>
                <w:sz w:val="18"/>
                <w:szCs w:val="18"/>
                <w:u w:val="none"/>
              </w:rPr>
            </w:pPr>
            <w:r>
              <w:rPr>
                <w:rFonts w:hint="eastAsia" w:ascii="宋体" w:hAnsi="宋体" w:eastAsia="宋体" w:cs="宋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BFC7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97E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96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A8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52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B6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A9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DB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4A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564B7">
            <w:pPr>
              <w:rPr>
                <w:rFonts w:hint="eastAsia" w:ascii="宋体" w:hAnsi="宋体" w:eastAsia="宋体" w:cs="宋体"/>
                <w:i/>
                <w:iCs/>
                <w:color w:val="000000"/>
                <w:sz w:val="18"/>
                <w:szCs w:val="18"/>
                <w:u w:val="none"/>
              </w:rPr>
            </w:pPr>
          </w:p>
        </w:tc>
      </w:tr>
      <w:tr w14:paraId="2D3E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E2A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99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FC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7F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90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D8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86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84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49284">
            <w:pPr>
              <w:rPr>
                <w:rFonts w:hint="eastAsia" w:ascii="宋体" w:hAnsi="宋体" w:eastAsia="宋体" w:cs="宋体"/>
                <w:i/>
                <w:iCs/>
                <w:color w:val="000000"/>
                <w:sz w:val="18"/>
                <w:szCs w:val="18"/>
                <w:u w:val="none"/>
              </w:rPr>
            </w:pPr>
          </w:p>
        </w:tc>
      </w:tr>
      <w:tr w14:paraId="5498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96C6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BC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3E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DA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B0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57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8C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74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939F4">
            <w:pPr>
              <w:rPr>
                <w:rFonts w:hint="eastAsia" w:ascii="宋体" w:hAnsi="宋体" w:eastAsia="宋体" w:cs="宋体"/>
                <w:i/>
                <w:iCs/>
                <w:color w:val="000000"/>
                <w:sz w:val="18"/>
                <w:szCs w:val="18"/>
                <w:u w:val="none"/>
              </w:rPr>
            </w:pPr>
          </w:p>
        </w:tc>
      </w:tr>
      <w:tr w14:paraId="24EB3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DD3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19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1054B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54B9F">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6E17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E804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14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DC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A4C0A">
            <w:pPr>
              <w:rPr>
                <w:rFonts w:hint="eastAsia" w:ascii="宋体" w:hAnsi="宋体" w:eastAsia="宋体" w:cs="宋体"/>
                <w:i/>
                <w:iCs/>
                <w:color w:val="000000"/>
                <w:sz w:val="18"/>
                <w:szCs w:val="18"/>
                <w:u w:val="none"/>
              </w:rPr>
            </w:pPr>
          </w:p>
        </w:tc>
      </w:tr>
      <w:tr w14:paraId="27E5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06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BF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F51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FF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64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60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85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CB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C1F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4E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88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77E96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0D24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4A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BB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11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完成评审率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F9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BD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E2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5E834">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A4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5AD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5DCD3">
            <w:pPr>
              <w:jc w:val="center"/>
              <w:rPr>
                <w:rFonts w:hint="eastAsia" w:ascii="宋体" w:hAnsi="宋体" w:eastAsia="宋体" w:cs="宋体"/>
                <w:i/>
                <w:iCs/>
                <w:color w:val="000000"/>
                <w:sz w:val="16"/>
                <w:szCs w:val="16"/>
                <w:u w:val="none"/>
              </w:rPr>
            </w:pPr>
          </w:p>
        </w:tc>
      </w:tr>
      <w:tr w14:paraId="2BC0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B2AB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A95F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DA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71EC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项目评审验收合格率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7DA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04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3A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B5AB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85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187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E951E">
            <w:pPr>
              <w:jc w:val="center"/>
              <w:rPr>
                <w:rFonts w:hint="eastAsia" w:ascii="宋体" w:hAnsi="宋体" w:eastAsia="宋体" w:cs="宋体"/>
                <w:i/>
                <w:iCs/>
                <w:color w:val="000000"/>
                <w:sz w:val="16"/>
                <w:szCs w:val="16"/>
                <w:u w:val="none"/>
              </w:rPr>
            </w:pPr>
          </w:p>
        </w:tc>
      </w:tr>
      <w:tr w14:paraId="65F18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3716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BC34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6D6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67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专家评审费支出率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BFB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E5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83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8268D">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B1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FB5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4397C">
            <w:pPr>
              <w:jc w:val="center"/>
              <w:rPr>
                <w:rFonts w:hint="eastAsia" w:ascii="宋体" w:hAnsi="宋体" w:eastAsia="宋体" w:cs="宋体"/>
                <w:i/>
                <w:iCs/>
                <w:color w:val="000000"/>
                <w:sz w:val="16"/>
                <w:szCs w:val="16"/>
                <w:u w:val="none"/>
              </w:rPr>
            </w:pPr>
          </w:p>
        </w:tc>
      </w:tr>
      <w:tr w14:paraId="2645F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0C66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9EFE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EE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42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B0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BEB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12月21日前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D104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8D5D4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54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53FE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2DA17">
            <w:pPr>
              <w:jc w:val="center"/>
              <w:rPr>
                <w:rFonts w:hint="eastAsia" w:ascii="宋体" w:hAnsi="宋体" w:eastAsia="宋体" w:cs="宋体"/>
                <w:i/>
                <w:iCs/>
                <w:color w:val="000000"/>
                <w:sz w:val="16"/>
                <w:szCs w:val="16"/>
                <w:u w:val="none"/>
              </w:rPr>
            </w:pPr>
          </w:p>
        </w:tc>
      </w:tr>
      <w:tr w14:paraId="1087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7E7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01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0F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92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评审过程无异议记录，结果公开透明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84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F2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结果公开透明，无异议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B49B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9343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9F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C14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A92F9">
            <w:pPr>
              <w:jc w:val="center"/>
              <w:rPr>
                <w:rFonts w:hint="eastAsia" w:ascii="宋体" w:hAnsi="宋体" w:eastAsia="宋体" w:cs="宋体"/>
                <w:i/>
                <w:iCs/>
                <w:color w:val="000000"/>
                <w:sz w:val="16"/>
                <w:szCs w:val="16"/>
                <w:u w:val="none"/>
              </w:rPr>
            </w:pPr>
          </w:p>
        </w:tc>
      </w:tr>
      <w:tr w14:paraId="7ED18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26F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08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6A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ED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E2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B8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7F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DFCC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B9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D4A4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DEF56">
            <w:pPr>
              <w:jc w:val="center"/>
              <w:rPr>
                <w:rFonts w:hint="eastAsia" w:ascii="宋体" w:hAnsi="宋体" w:eastAsia="宋体" w:cs="宋体"/>
                <w:i/>
                <w:iCs/>
                <w:color w:val="000000"/>
                <w:sz w:val="16"/>
                <w:szCs w:val="16"/>
                <w:u w:val="none"/>
              </w:rPr>
            </w:pPr>
          </w:p>
        </w:tc>
      </w:tr>
      <w:tr w14:paraId="57694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F84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D3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2E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2C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项目年度总资金金额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29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F8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20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9AFC7">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39E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FE97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6C338">
            <w:pPr>
              <w:jc w:val="center"/>
              <w:rPr>
                <w:rFonts w:hint="eastAsia" w:ascii="宋体" w:hAnsi="宋体" w:eastAsia="宋体" w:cs="宋体"/>
                <w:i/>
                <w:iCs/>
                <w:color w:val="000000"/>
                <w:sz w:val="16"/>
                <w:szCs w:val="16"/>
                <w:u w:val="none"/>
              </w:rPr>
            </w:pPr>
          </w:p>
        </w:tc>
      </w:tr>
      <w:tr w14:paraId="57A6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7F4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07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44E3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134EC">
            <w:pPr>
              <w:rPr>
                <w:rFonts w:hint="eastAsia" w:ascii="宋体" w:hAnsi="宋体" w:eastAsia="宋体" w:cs="宋体"/>
                <w:i w:val="0"/>
                <w:iCs w:val="0"/>
                <w:color w:val="000000"/>
                <w:sz w:val="18"/>
                <w:szCs w:val="18"/>
                <w:u w:val="none"/>
              </w:rPr>
            </w:pPr>
          </w:p>
        </w:tc>
      </w:tr>
      <w:tr w14:paraId="44B31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E5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610DC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按照年度目标任务完成，预算执行率100%。</w:t>
            </w:r>
          </w:p>
        </w:tc>
      </w:tr>
      <w:tr w14:paraId="6B0D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92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286EDD">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3DD0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10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E4FA16">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0786B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21A5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F2E8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6ABC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79D86C0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420D0F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F19568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CFCB66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7B28D4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00EEB3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DF3BF5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43407E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CC1CEA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41AD59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883D8F2">
            <w:pPr>
              <w:rPr>
                <w:rFonts w:hint="eastAsia" w:ascii="宋体" w:hAnsi="宋体" w:eastAsia="宋体" w:cs="宋体"/>
                <w:i w:val="0"/>
                <w:iCs w:val="0"/>
                <w:color w:val="000000"/>
                <w:sz w:val="18"/>
                <w:szCs w:val="18"/>
                <w:u w:val="none"/>
              </w:rPr>
            </w:pPr>
          </w:p>
        </w:tc>
      </w:tr>
      <w:tr w14:paraId="46FA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7FAA04">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0402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B414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62D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51320022T000000420127-环境执法应急监测重点污染监督性监测及监测运维经费</w:t>
            </w:r>
          </w:p>
        </w:tc>
      </w:tr>
      <w:tr w14:paraId="345A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A4F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3AB5A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FFFFFF"/>
            <w:vAlign w:val="center"/>
          </w:tcPr>
          <w:p w14:paraId="2DE501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91E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67A1F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67F1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C9A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ED719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E56C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6564A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6876C">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D90B7">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D62B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省州下发的环境质量监测工作方案以及地方政府要求的环境质量监测及风险评估等要求，开展此项工作，环境执法应急监测重点污染源监督性监测及监测运维经费主要用于完成年度环境应急监测，监测站运维，重点污染源常规监测。</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9966F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w:t>
            </w:r>
          </w:p>
        </w:tc>
      </w:tr>
      <w:tr w14:paraId="2C9E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C122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EF87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609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我单位准时开展常规性监测，根据实际情况开展应急监测和执法监测，以及重点污染源监测。</w:t>
            </w:r>
          </w:p>
        </w:tc>
      </w:tr>
      <w:tr w14:paraId="745A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748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4C9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5B25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8F2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3B1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23D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0F7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2C9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C40C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341A4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005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2A9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C5A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428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E1C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F1B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145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87D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A1A588">
            <w:pPr>
              <w:rPr>
                <w:rFonts w:hint="eastAsia" w:ascii="宋体" w:hAnsi="宋体" w:eastAsia="宋体" w:cs="宋体"/>
                <w:i/>
                <w:iCs/>
                <w:color w:val="000000"/>
                <w:sz w:val="18"/>
                <w:szCs w:val="18"/>
                <w:u w:val="none"/>
              </w:rPr>
            </w:pPr>
          </w:p>
        </w:tc>
      </w:tr>
      <w:tr w14:paraId="5A50D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760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47A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F5E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E71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B48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AEC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E16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776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CC5A9">
            <w:pPr>
              <w:rPr>
                <w:rFonts w:hint="eastAsia" w:ascii="宋体" w:hAnsi="宋体" w:eastAsia="宋体" w:cs="宋体"/>
                <w:i/>
                <w:iCs/>
                <w:color w:val="000000"/>
                <w:sz w:val="18"/>
                <w:szCs w:val="18"/>
                <w:u w:val="none"/>
              </w:rPr>
            </w:pPr>
          </w:p>
        </w:tc>
      </w:tr>
      <w:tr w14:paraId="5E1F3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6BF8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A7C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D77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638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420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2E5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E81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159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675A9">
            <w:pPr>
              <w:rPr>
                <w:rFonts w:hint="eastAsia" w:ascii="宋体" w:hAnsi="宋体" w:eastAsia="宋体" w:cs="宋体"/>
                <w:i/>
                <w:iCs/>
                <w:color w:val="000000"/>
                <w:sz w:val="18"/>
                <w:szCs w:val="18"/>
                <w:u w:val="none"/>
              </w:rPr>
            </w:pPr>
          </w:p>
        </w:tc>
      </w:tr>
      <w:tr w14:paraId="69CA9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697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F23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6A9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CD8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D63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338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C4A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2CA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B9495">
            <w:pPr>
              <w:rPr>
                <w:rFonts w:hint="eastAsia" w:ascii="宋体" w:hAnsi="宋体" w:eastAsia="宋体" w:cs="宋体"/>
                <w:i/>
                <w:iCs/>
                <w:color w:val="000000"/>
                <w:sz w:val="18"/>
                <w:szCs w:val="18"/>
                <w:u w:val="none"/>
              </w:rPr>
            </w:pPr>
          </w:p>
        </w:tc>
      </w:tr>
      <w:tr w14:paraId="5D92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039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F2A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BFE21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BC51AA">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D0E37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7BF9A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4E6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F46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22F820">
            <w:pPr>
              <w:rPr>
                <w:rFonts w:hint="eastAsia" w:ascii="宋体" w:hAnsi="宋体" w:eastAsia="宋体" w:cs="宋体"/>
                <w:i/>
                <w:iCs/>
                <w:color w:val="000000"/>
                <w:sz w:val="18"/>
                <w:szCs w:val="18"/>
                <w:u w:val="none"/>
              </w:rPr>
            </w:pPr>
          </w:p>
        </w:tc>
      </w:tr>
      <w:tr w14:paraId="3A3D8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BA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A05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F1A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363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060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FB3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5B3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594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691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AAD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ACD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3CC3C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3427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4E4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D20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B2D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监测完成率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9EC2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C1A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391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10E56D">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546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7A1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8CDA21">
            <w:pPr>
              <w:jc w:val="center"/>
              <w:rPr>
                <w:rFonts w:hint="eastAsia" w:ascii="宋体" w:hAnsi="宋体" w:eastAsia="宋体" w:cs="宋体"/>
                <w:i/>
                <w:iCs/>
                <w:color w:val="000000"/>
                <w:sz w:val="16"/>
                <w:szCs w:val="16"/>
                <w:u w:val="none"/>
              </w:rPr>
            </w:pPr>
          </w:p>
        </w:tc>
      </w:tr>
      <w:tr w14:paraId="39A6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2EF3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8FFE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0DA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1D7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监测准确率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16B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569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F73E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162C6B">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BD1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9B1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56ADF3">
            <w:pPr>
              <w:jc w:val="center"/>
              <w:rPr>
                <w:rFonts w:hint="eastAsia" w:ascii="宋体" w:hAnsi="宋体" w:eastAsia="宋体" w:cs="宋体"/>
                <w:i/>
                <w:iCs/>
                <w:color w:val="000000"/>
                <w:sz w:val="16"/>
                <w:szCs w:val="16"/>
                <w:u w:val="none"/>
              </w:rPr>
            </w:pPr>
          </w:p>
        </w:tc>
      </w:tr>
      <w:tr w14:paraId="2B83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6A5C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1241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4609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55C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应急出勤率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EA1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DE7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639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A9F1E3">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1AF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A02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42298D">
            <w:pPr>
              <w:jc w:val="center"/>
              <w:rPr>
                <w:rFonts w:hint="eastAsia" w:ascii="宋体" w:hAnsi="宋体" w:eastAsia="宋体" w:cs="宋体"/>
                <w:i/>
                <w:iCs/>
                <w:color w:val="000000"/>
                <w:sz w:val="16"/>
                <w:szCs w:val="16"/>
                <w:u w:val="none"/>
              </w:rPr>
            </w:pPr>
          </w:p>
        </w:tc>
      </w:tr>
      <w:tr w14:paraId="7424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A5F6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73A0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55D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1E1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应急出勤时间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1C9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08C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C4679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FD1F33">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立即</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032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DEC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65B1DE">
            <w:pPr>
              <w:jc w:val="center"/>
              <w:rPr>
                <w:rFonts w:hint="eastAsia" w:ascii="宋体" w:hAnsi="宋体" w:eastAsia="宋体" w:cs="宋体"/>
                <w:i/>
                <w:iCs/>
                <w:color w:val="000000"/>
                <w:sz w:val="16"/>
                <w:szCs w:val="16"/>
                <w:u w:val="none"/>
              </w:rPr>
            </w:pPr>
          </w:p>
        </w:tc>
      </w:tr>
      <w:tr w14:paraId="29310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BDC1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CBE8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D02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77D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7D9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A50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2024年12月度前完成</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1A57F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C0FAEC">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12月底前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9E9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E5D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056A65">
            <w:pPr>
              <w:jc w:val="center"/>
              <w:rPr>
                <w:rFonts w:hint="eastAsia" w:ascii="宋体" w:hAnsi="宋体" w:eastAsia="宋体" w:cs="宋体"/>
                <w:i/>
                <w:iCs/>
                <w:color w:val="000000"/>
                <w:sz w:val="16"/>
                <w:szCs w:val="16"/>
                <w:u w:val="none"/>
              </w:rPr>
            </w:pPr>
          </w:p>
        </w:tc>
      </w:tr>
      <w:tr w14:paraId="0CA82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15E3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B31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EF9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BA5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自然环境持续改善</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06C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3F7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持续改善</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17E1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1F36DC">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持续改进</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43E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A61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7674FA">
            <w:pPr>
              <w:jc w:val="center"/>
              <w:rPr>
                <w:rFonts w:hint="eastAsia" w:ascii="宋体" w:hAnsi="宋体" w:eastAsia="宋体" w:cs="宋体"/>
                <w:i/>
                <w:iCs/>
                <w:color w:val="000000"/>
                <w:sz w:val="16"/>
                <w:szCs w:val="16"/>
                <w:u w:val="none"/>
              </w:rPr>
            </w:pPr>
          </w:p>
        </w:tc>
      </w:tr>
      <w:tr w14:paraId="0FF55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7CB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1AB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97C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52A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987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8A3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8A5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4A14C1">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C0D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CB0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02DCEF">
            <w:pPr>
              <w:jc w:val="center"/>
              <w:rPr>
                <w:rFonts w:hint="eastAsia" w:ascii="宋体" w:hAnsi="宋体" w:eastAsia="宋体" w:cs="宋体"/>
                <w:i/>
                <w:iCs/>
                <w:color w:val="000000"/>
                <w:sz w:val="16"/>
                <w:szCs w:val="16"/>
                <w:u w:val="none"/>
              </w:rPr>
            </w:pPr>
          </w:p>
        </w:tc>
      </w:tr>
      <w:tr w14:paraId="14DF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B63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7C8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E04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AAF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预算支付金额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E02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980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FD6E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B95CAB">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E9D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DD7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E0B19DA">
            <w:pPr>
              <w:jc w:val="center"/>
              <w:rPr>
                <w:rFonts w:hint="eastAsia" w:ascii="宋体" w:hAnsi="宋体" w:eastAsia="宋体" w:cs="宋体"/>
                <w:i/>
                <w:iCs/>
                <w:color w:val="000000"/>
                <w:sz w:val="16"/>
                <w:szCs w:val="16"/>
                <w:u w:val="none"/>
              </w:rPr>
            </w:pPr>
          </w:p>
        </w:tc>
      </w:tr>
      <w:tr w14:paraId="77CC8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0C38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C85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3F14F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177186">
            <w:pPr>
              <w:rPr>
                <w:rFonts w:hint="eastAsia" w:ascii="宋体" w:hAnsi="宋体" w:eastAsia="宋体" w:cs="宋体"/>
                <w:i w:val="0"/>
                <w:iCs w:val="0"/>
                <w:color w:val="000000"/>
                <w:sz w:val="18"/>
                <w:szCs w:val="18"/>
                <w:u w:val="none"/>
              </w:rPr>
            </w:pPr>
          </w:p>
        </w:tc>
      </w:tr>
      <w:tr w14:paraId="44A5A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1EB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87FAD0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我单位按照上级要求准时开展常规性监测，根据实际情况及时开展应急监测和执法监测，以及重点污染源监测，全年目标完成较好，自评100分。</w:t>
            </w:r>
          </w:p>
        </w:tc>
      </w:tr>
      <w:tr w14:paraId="4404E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280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58D4639">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在监测过程中偶尔存在操作不规范行为。</w:t>
            </w:r>
          </w:p>
        </w:tc>
      </w:tr>
      <w:tr w14:paraId="208E8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F05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B98C426">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进一步规范实验操作。</w:t>
            </w:r>
          </w:p>
        </w:tc>
      </w:tr>
      <w:tr w14:paraId="73E39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9D0AB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4EF4F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66E51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7D440C">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695A6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5D65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3B86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51320022T000000419313-宣教经费</w:t>
            </w:r>
          </w:p>
        </w:tc>
      </w:tr>
      <w:tr w14:paraId="2B83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8925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CE870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FFFFFF"/>
            <w:vAlign w:val="center"/>
          </w:tcPr>
          <w:p w14:paraId="1C4495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1E3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0A351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122E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789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B5EE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85BE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5571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DC9B0A">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AF706">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DAA99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保证单位宣传教育工作正常开展，加大6.5世界环境日宣传力度，利用每个宣传日，强化环境宣传，提高全民环保意识，加大生态环保工作成效。完成年度宣传教育工作。</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D5C55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w:t>
            </w:r>
          </w:p>
        </w:tc>
      </w:tr>
      <w:tr w14:paraId="7518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45DCC">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7FAB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D1A95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通过6.5等特殊日期，在全县进行宣传</w:t>
            </w:r>
          </w:p>
        </w:tc>
      </w:tr>
      <w:tr w14:paraId="7CAFA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480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F1E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CB6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C30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BD9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FCC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62E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DF3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1A3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18E9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17AE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6E4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17F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9D7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232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8AA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EFE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738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F04086">
            <w:pPr>
              <w:rPr>
                <w:rFonts w:hint="eastAsia" w:ascii="宋体" w:hAnsi="宋体" w:eastAsia="宋体" w:cs="宋体"/>
                <w:i/>
                <w:iCs/>
                <w:color w:val="000000"/>
                <w:sz w:val="18"/>
                <w:szCs w:val="18"/>
                <w:u w:val="none"/>
              </w:rPr>
            </w:pPr>
          </w:p>
        </w:tc>
      </w:tr>
      <w:tr w14:paraId="168FA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FA0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385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3A1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E63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512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8E55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3A7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8A7D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B8EA5">
            <w:pPr>
              <w:rPr>
                <w:rFonts w:hint="eastAsia" w:ascii="宋体" w:hAnsi="宋体" w:eastAsia="宋体" w:cs="宋体"/>
                <w:i/>
                <w:iCs/>
                <w:color w:val="000000"/>
                <w:sz w:val="18"/>
                <w:szCs w:val="18"/>
                <w:u w:val="none"/>
              </w:rPr>
            </w:pPr>
          </w:p>
        </w:tc>
      </w:tr>
      <w:tr w14:paraId="38C6B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0AB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F35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1FB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89A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F8D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CA2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C98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666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27A97">
            <w:pPr>
              <w:rPr>
                <w:rFonts w:hint="eastAsia" w:ascii="宋体" w:hAnsi="宋体" w:eastAsia="宋体" w:cs="宋体"/>
                <w:i/>
                <w:iCs/>
                <w:color w:val="000000"/>
                <w:sz w:val="18"/>
                <w:szCs w:val="18"/>
                <w:u w:val="none"/>
              </w:rPr>
            </w:pPr>
          </w:p>
        </w:tc>
      </w:tr>
      <w:tr w14:paraId="5585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38D8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600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7AF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7F2D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8F7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480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0A7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2B3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DF6416">
            <w:pPr>
              <w:rPr>
                <w:rFonts w:hint="eastAsia" w:ascii="宋体" w:hAnsi="宋体" w:eastAsia="宋体" w:cs="宋体"/>
                <w:i/>
                <w:iCs/>
                <w:color w:val="000000"/>
                <w:sz w:val="18"/>
                <w:szCs w:val="18"/>
                <w:u w:val="none"/>
              </w:rPr>
            </w:pPr>
          </w:p>
        </w:tc>
      </w:tr>
      <w:tr w14:paraId="15C19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18B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035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A0582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7A342D">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8AD10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67E42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DA8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E3C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823BB">
            <w:pPr>
              <w:rPr>
                <w:rFonts w:hint="eastAsia" w:ascii="宋体" w:hAnsi="宋体" w:eastAsia="宋体" w:cs="宋体"/>
                <w:i/>
                <w:iCs/>
                <w:color w:val="000000"/>
                <w:sz w:val="18"/>
                <w:szCs w:val="18"/>
                <w:u w:val="none"/>
              </w:rPr>
            </w:pPr>
          </w:p>
        </w:tc>
      </w:tr>
      <w:tr w14:paraId="6326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69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ED8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5F43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713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D2B2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A85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F88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925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117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34F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9D6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7AE90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37E5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627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44B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840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宣传次数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B4D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50E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AC7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24DB12">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1F1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7D5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BB69A3">
            <w:pPr>
              <w:jc w:val="center"/>
              <w:rPr>
                <w:rFonts w:hint="eastAsia" w:ascii="宋体" w:hAnsi="宋体" w:eastAsia="宋体" w:cs="宋体"/>
                <w:i/>
                <w:iCs/>
                <w:color w:val="000000"/>
                <w:sz w:val="16"/>
                <w:szCs w:val="16"/>
                <w:u w:val="none"/>
              </w:rPr>
            </w:pPr>
          </w:p>
        </w:tc>
      </w:tr>
      <w:tr w14:paraId="57A0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43FB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22F5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2D2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885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宣传覆盖率较上年提高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F6E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7ED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1C3C1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396A0D">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E65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F89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49EB1A">
            <w:pPr>
              <w:jc w:val="center"/>
              <w:rPr>
                <w:rFonts w:hint="eastAsia" w:ascii="宋体" w:hAnsi="宋体" w:eastAsia="宋体" w:cs="宋体"/>
                <w:i/>
                <w:iCs/>
                <w:color w:val="000000"/>
                <w:sz w:val="16"/>
                <w:szCs w:val="16"/>
                <w:u w:val="none"/>
              </w:rPr>
            </w:pPr>
          </w:p>
        </w:tc>
      </w:tr>
      <w:tr w14:paraId="27C7C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89A5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901E3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1B7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864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宣传效果良好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27D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0D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3251C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8B4E2A">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8F2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4B0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943DB3">
            <w:pPr>
              <w:jc w:val="center"/>
              <w:rPr>
                <w:rFonts w:hint="eastAsia" w:ascii="宋体" w:hAnsi="宋体" w:eastAsia="宋体" w:cs="宋体"/>
                <w:i/>
                <w:iCs/>
                <w:color w:val="000000"/>
                <w:sz w:val="16"/>
                <w:szCs w:val="16"/>
                <w:u w:val="none"/>
              </w:rPr>
            </w:pPr>
          </w:p>
        </w:tc>
      </w:tr>
      <w:tr w14:paraId="3078C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2C8D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A069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D7B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7C4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7B5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475D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2024年12月底前完成</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AAD6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D5FBEA">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12月底前</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3B5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30A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E9EF76">
            <w:pPr>
              <w:jc w:val="center"/>
              <w:rPr>
                <w:rFonts w:hint="eastAsia" w:ascii="宋体" w:hAnsi="宋体" w:eastAsia="宋体" w:cs="宋体"/>
                <w:i/>
                <w:iCs/>
                <w:color w:val="000000"/>
                <w:sz w:val="16"/>
                <w:szCs w:val="16"/>
                <w:u w:val="none"/>
              </w:rPr>
            </w:pPr>
          </w:p>
        </w:tc>
      </w:tr>
      <w:tr w14:paraId="4AB1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0B6F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17A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3C8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67B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群众接受率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F8F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8C0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FB8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5C6B5D">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90B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03AD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FAFB70">
            <w:pPr>
              <w:jc w:val="center"/>
              <w:rPr>
                <w:rFonts w:hint="eastAsia" w:ascii="宋体" w:hAnsi="宋体" w:eastAsia="宋体" w:cs="宋体"/>
                <w:i/>
                <w:iCs/>
                <w:color w:val="000000"/>
                <w:sz w:val="16"/>
                <w:szCs w:val="16"/>
                <w:u w:val="none"/>
              </w:rPr>
            </w:pPr>
          </w:p>
        </w:tc>
      </w:tr>
      <w:tr w14:paraId="30BFD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D75D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0D74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2CB9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A4E4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提高群众环保意识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618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9EE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5C5E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24075E">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870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11EB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4BB426">
            <w:pPr>
              <w:jc w:val="center"/>
              <w:rPr>
                <w:rFonts w:hint="eastAsia" w:ascii="宋体" w:hAnsi="宋体" w:eastAsia="宋体" w:cs="宋体"/>
                <w:i/>
                <w:iCs/>
                <w:color w:val="000000"/>
                <w:sz w:val="16"/>
                <w:szCs w:val="16"/>
                <w:u w:val="none"/>
              </w:rPr>
            </w:pPr>
          </w:p>
        </w:tc>
      </w:tr>
      <w:tr w14:paraId="441F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BA1B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ECA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A97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071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562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795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C6E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64BAC5">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EE7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9CB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50D563">
            <w:pPr>
              <w:jc w:val="center"/>
              <w:rPr>
                <w:rFonts w:hint="eastAsia" w:ascii="宋体" w:hAnsi="宋体" w:eastAsia="宋体" w:cs="宋体"/>
                <w:i/>
                <w:iCs/>
                <w:color w:val="000000"/>
                <w:sz w:val="16"/>
                <w:szCs w:val="16"/>
                <w:u w:val="none"/>
              </w:rPr>
            </w:pPr>
          </w:p>
        </w:tc>
      </w:tr>
      <w:tr w14:paraId="58C5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4BC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889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490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23B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1CBA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7ED6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BFC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B8B6CD">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7B5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19B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6DC5C2">
            <w:pPr>
              <w:jc w:val="center"/>
              <w:rPr>
                <w:rFonts w:hint="eastAsia" w:ascii="宋体" w:hAnsi="宋体" w:eastAsia="宋体" w:cs="宋体"/>
                <w:i/>
                <w:iCs/>
                <w:color w:val="000000"/>
                <w:sz w:val="16"/>
                <w:szCs w:val="16"/>
                <w:u w:val="none"/>
              </w:rPr>
            </w:pPr>
          </w:p>
        </w:tc>
      </w:tr>
      <w:tr w14:paraId="368F9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4F24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48D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45C8A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FB6D66">
            <w:pPr>
              <w:rPr>
                <w:rFonts w:hint="eastAsia" w:ascii="宋体" w:hAnsi="宋体" w:eastAsia="宋体" w:cs="宋体"/>
                <w:i w:val="0"/>
                <w:iCs w:val="0"/>
                <w:color w:val="000000"/>
                <w:sz w:val="18"/>
                <w:szCs w:val="18"/>
                <w:u w:val="none"/>
              </w:rPr>
            </w:pPr>
          </w:p>
        </w:tc>
      </w:tr>
      <w:tr w14:paraId="685C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D05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8E28F02">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我单位在年初制定年度宣传任务，定期和特殊时间积极宣传，通过发放宣传单，网络等方式，在年底完成全年宣传任务，能较好完成年初制定任务目标，自评100分。</w:t>
            </w:r>
          </w:p>
        </w:tc>
      </w:tr>
      <w:tr w14:paraId="46251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D75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3E18412">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偶尔存在票据拿来不及时情况，预算执行缓慢。</w:t>
            </w:r>
          </w:p>
        </w:tc>
      </w:tr>
      <w:tr w14:paraId="23EEC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438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B24E4F0">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进一步规范单位财务管理制度。</w:t>
            </w:r>
          </w:p>
        </w:tc>
      </w:tr>
      <w:tr w14:paraId="771FB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931B7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1E6E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0FA5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724C9EE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2824FA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F4FD534">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3B2265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489274A">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D1C76B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193AAD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33C7A9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1C0B17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1E5D0CE">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E339EC7">
            <w:pPr>
              <w:rPr>
                <w:rFonts w:hint="eastAsia" w:ascii="宋体" w:hAnsi="宋体" w:eastAsia="宋体" w:cs="宋体"/>
                <w:i w:val="0"/>
                <w:iCs w:val="0"/>
                <w:color w:val="000000"/>
                <w:sz w:val="18"/>
                <w:szCs w:val="18"/>
                <w:u w:val="none"/>
              </w:rPr>
            </w:pPr>
          </w:p>
        </w:tc>
      </w:tr>
      <w:tr w14:paraId="2E6F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D01FFF">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0E613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9FE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A54C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51320025T000013805340-汶川县县城集中式饮用水水源地勘界定标项目</w:t>
            </w:r>
          </w:p>
        </w:tc>
      </w:tr>
      <w:tr w14:paraId="05C5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ACF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ECE3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20AC56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42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37484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90C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E2E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692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AED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1C8C6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327DD">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4C105">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5D6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2025年完成县城2处集中式饮用水水源地勘界定标工作，通过提升监管能力，可有效降低饮用水源地污染风险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E09C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已完成</w:t>
            </w:r>
          </w:p>
        </w:tc>
      </w:tr>
      <w:tr w14:paraId="1AA16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A6FD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63B5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9FC2A8">
            <w:pPr>
              <w:rPr>
                <w:rFonts w:hint="eastAsia" w:ascii="宋体" w:hAnsi="宋体" w:eastAsia="宋体" w:cs="宋体"/>
                <w:i w:val="0"/>
                <w:iCs w:val="0"/>
                <w:color w:val="000000"/>
                <w:sz w:val="18"/>
                <w:szCs w:val="18"/>
                <w:u w:val="none"/>
              </w:rPr>
            </w:pPr>
          </w:p>
        </w:tc>
      </w:tr>
      <w:tr w14:paraId="2D46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76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A6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57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6E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54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D1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F6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13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C2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0C39A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AF7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05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C3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AD5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F26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35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DD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90B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17EC7">
            <w:pPr>
              <w:rPr>
                <w:rFonts w:hint="eastAsia" w:ascii="宋体" w:hAnsi="宋体" w:eastAsia="宋体" w:cs="宋体"/>
                <w:i/>
                <w:iCs/>
                <w:color w:val="000000"/>
                <w:sz w:val="18"/>
                <w:szCs w:val="18"/>
                <w:u w:val="none"/>
              </w:rPr>
            </w:pPr>
          </w:p>
        </w:tc>
      </w:tr>
      <w:tr w14:paraId="7A547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5B6B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AC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A5D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0BCE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17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15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77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ED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F2FDC">
            <w:pPr>
              <w:rPr>
                <w:rFonts w:hint="eastAsia" w:ascii="宋体" w:hAnsi="宋体" w:eastAsia="宋体" w:cs="宋体"/>
                <w:i/>
                <w:iCs/>
                <w:color w:val="000000"/>
                <w:sz w:val="18"/>
                <w:szCs w:val="18"/>
                <w:u w:val="none"/>
              </w:rPr>
            </w:pPr>
          </w:p>
        </w:tc>
      </w:tr>
      <w:tr w14:paraId="48B9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3D59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F9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0F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77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BA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4212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22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000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DA4B3">
            <w:pPr>
              <w:rPr>
                <w:rFonts w:hint="eastAsia" w:ascii="宋体" w:hAnsi="宋体" w:eastAsia="宋体" w:cs="宋体"/>
                <w:i/>
                <w:iCs/>
                <w:color w:val="000000"/>
                <w:sz w:val="18"/>
                <w:szCs w:val="18"/>
                <w:u w:val="none"/>
              </w:rPr>
            </w:pPr>
          </w:p>
        </w:tc>
      </w:tr>
      <w:tr w14:paraId="2FCA9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810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027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7C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DE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C0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99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672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17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02955">
            <w:pPr>
              <w:rPr>
                <w:rFonts w:hint="eastAsia" w:ascii="宋体" w:hAnsi="宋体" w:eastAsia="宋体" w:cs="宋体"/>
                <w:i/>
                <w:iCs/>
                <w:color w:val="000000"/>
                <w:sz w:val="18"/>
                <w:szCs w:val="18"/>
                <w:u w:val="none"/>
              </w:rPr>
            </w:pPr>
          </w:p>
        </w:tc>
      </w:tr>
      <w:tr w14:paraId="059E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DB2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13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20514">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5EC5F">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7E22D">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9467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A8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C10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2A33">
            <w:pPr>
              <w:rPr>
                <w:rFonts w:hint="eastAsia" w:ascii="宋体" w:hAnsi="宋体" w:eastAsia="宋体" w:cs="宋体"/>
                <w:i/>
                <w:iCs/>
                <w:color w:val="000000"/>
                <w:sz w:val="18"/>
                <w:szCs w:val="18"/>
                <w:u w:val="none"/>
              </w:rPr>
            </w:pPr>
          </w:p>
        </w:tc>
      </w:tr>
      <w:tr w14:paraId="1C46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9F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0E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EC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80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A4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04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A8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0C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332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21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0C7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739C0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D4EE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27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51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A5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完成集中式水源地勘界定标数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95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0A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84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792A5">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69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998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B3A92">
            <w:pPr>
              <w:jc w:val="center"/>
              <w:rPr>
                <w:rFonts w:hint="eastAsia" w:ascii="宋体" w:hAnsi="宋体" w:eastAsia="宋体" w:cs="宋体"/>
                <w:i/>
                <w:iCs/>
                <w:color w:val="000000"/>
                <w:sz w:val="16"/>
                <w:szCs w:val="16"/>
                <w:u w:val="none"/>
              </w:rPr>
            </w:pPr>
          </w:p>
        </w:tc>
      </w:tr>
      <w:tr w14:paraId="0360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51AE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263F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3D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BD1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DB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5C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74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5DE78">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83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6C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AEB2F">
            <w:pPr>
              <w:jc w:val="center"/>
              <w:rPr>
                <w:rFonts w:hint="eastAsia" w:ascii="宋体" w:hAnsi="宋体" w:eastAsia="宋体" w:cs="宋体"/>
                <w:i/>
                <w:iCs/>
                <w:color w:val="000000"/>
                <w:sz w:val="16"/>
                <w:szCs w:val="16"/>
                <w:u w:val="none"/>
              </w:rPr>
            </w:pPr>
          </w:p>
        </w:tc>
      </w:tr>
      <w:tr w14:paraId="2581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EB27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EE1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29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009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12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A4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2025年底前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B1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6A0E0">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2025年底前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BA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E9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575A7A">
            <w:pPr>
              <w:jc w:val="center"/>
              <w:rPr>
                <w:rFonts w:hint="eastAsia" w:ascii="宋体" w:hAnsi="宋体" w:eastAsia="宋体" w:cs="宋体"/>
                <w:i/>
                <w:iCs/>
                <w:color w:val="000000"/>
                <w:sz w:val="16"/>
                <w:szCs w:val="16"/>
                <w:u w:val="none"/>
              </w:rPr>
            </w:pPr>
          </w:p>
        </w:tc>
      </w:tr>
      <w:tr w14:paraId="1A231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1E6E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422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9BF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4E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饮水安全保障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EF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7E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027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F56EF">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35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40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7C0190">
            <w:pPr>
              <w:jc w:val="center"/>
              <w:rPr>
                <w:rFonts w:hint="eastAsia" w:ascii="宋体" w:hAnsi="宋体" w:eastAsia="宋体" w:cs="宋体"/>
                <w:i/>
                <w:iCs/>
                <w:color w:val="000000"/>
                <w:sz w:val="16"/>
                <w:szCs w:val="16"/>
                <w:u w:val="none"/>
              </w:rPr>
            </w:pPr>
          </w:p>
        </w:tc>
      </w:tr>
      <w:tr w14:paraId="0157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86DA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DC8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9B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F8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减少污染事件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32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4D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9B6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519C61">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达成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15D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05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3EDC7">
            <w:pPr>
              <w:jc w:val="center"/>
              <w:rPr>
                <w:rFonts w:hint="eastAsia" w:ascii="宋体" w:hAnsi="宋体" w:eastAsia="宋体" w:cs="宋体"/>
                <w:i/>
                <w:iCs/>
                <w:color w:val="000000"/>
                <w:sz w:val="16"/>
                <w:szCs w:val="16"/>
                <w:u w:val="none"/>
              </w:rPr>
            </w:pPr>
          </w:p>
        </w:tc>
      </w:tr>
      <w:tr w14:paraId="3137D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9454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3CA7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16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ED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成果运用时限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D89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C43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6627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9FE46">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15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10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D4C23">
            <w:pPr>
              <w:jc w:val="center"/>
              <w:rPr>
                <w:rFonts w:hint="eastAsia" w:ascii="宋体" w:hAnsi="宋体" w:eastAsia="宋体" w:cs="宋体"/>
                <w:i/>
                <w:iCs/>
                <w:color w:val="000000"/>
                <w:sz w:val="16"/>
                <w:szCs w:val="16"/>
                <w:u w:val="none"/>
              </w:rPr>
            </w:pPr>
          </w:p>
        </w:tc>
      </w:tr>
      <w:tr w14:paraId="5D512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86FE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2D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D0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0A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37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5F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6D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C4758">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A9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56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84EEC">
            <w:pPr>
              <w:jc w:val="center"/>
              <w:rPr>
                <w:rFonts w:hint="eastAsia" w:ascii="宋体" w:hAnsi="宋体" w:eastAsia="宋体" w:cs="宋体"/>
                <w:i/>
                <w:iCs/>
                <w:color w:val="000000"/>
                <w:sz w:val="16"/>
                <w:szCs w:val="16"/>
                <w:u w:val="none"/>
              </w:rPr>
            </w:pPr>
          </w:p>
        </w:tc>
      </w:tr>
      <w:tr w14:paraId="40544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645B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B4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5E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D5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项目总投资（万元）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87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A7B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D2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AB3A3">
            <w:pPr>
              <w:keepNext w:val="0"/>
              <w:keepLines w:val="0"/>
              <w:widowControl/>
              <w:suppressLineNumbers w:val="0"/>
              <w:jc w:val="center"/>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27.8万元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CB7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CC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B3FD62">
            <w:pPr>
              <w:jc w:val="center"/>
              <w:rPr>
                <w:rFonts w:hint="eastAsia" w:ascii="宋体" w:hAnsi="宋体" w:eastAsia="宋体" w:cs="宋体"/>
                <w:i/>
                <w:iCs/>
                <w:color w:val="000000"/>
                <w:sz w:val="16"/>
                <w:szCs w:val="16"/>
                <w:u w:val="none"/>
              </w:rPr>
            </w:pPr>
          </w:p>
        </w:tc>
      </w:tr>
      <w:tr w14:paraId="152F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062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63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9433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04BB9">
            <w:pPr>
              <w:rPr>
                <w:rFonts w:hint="eastAsia" w:ascii="宋体" w:hAnsi="宋体" w:eastAsia="宋体" w:cs="宋体"/>
                <w:i w:val="0"/>
                <w:iCs w:val="0"/>
                <w:color w:val="000000"/>
                <w:sz w:val="18"/>
                <w:szCs w:val="18"/>
                <w:u w:val="none"/>
              </w:rPr>
            </w:pPr>
          </w:p>
        </w:tc>
      </w:tr>
      <w:tr w14:paraId="068B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4F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A24477">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已按要求完成县城2处水源地勘界并出具勘界报告及界桩安装。</w:t>
            </w:r>
          </w:p>
        </w:tc>
      </w:tr>
      <w:tr w14:paraId="2629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7A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30DC42">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31EE2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D56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08499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无</w:t>
            </w:r>
          </w:p>
        </w:tc>
      </w:tr>
      <w:tr w14:paraId="3B014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D02A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7E0E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1CA06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75EF1B6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CFC3EF9">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1A38AFB">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90FD09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C119AD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6CCE35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383B3E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2D71FA5">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D24A43D">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9884481">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D9F8BD0">
            <w:pPr>
              <w:rPr>
                <w:rFonts w:hint="eastAsia" w:ascii="宋体" w:hAnsi="宋体" w:eastAsia="宋体" w:cs="宋体"/>
                <w:i w:val="0"/>
                <w:iCs w:val="0"/>
                <w:color w:val="000000"/>
                <w:sz w:val="18"/>
                <w:szCs w:val="18"/>
                <w:u w:val="none"/>
              </w:rPr>
            </w:pPr>
          </w:p>
        </w:tc>
      </w:tr>
      <w:tr w14:paraId="2300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77C0FE">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7CC2F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E94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750B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51320025T000014019825-2025年汶川县入河排污口规范化建设项目</w:t>
            </w:r>
          </w:p>
        </w:tc>
      </w:tr>
      <w:tr w14:paraId="457B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70D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7FEF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77BC88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3C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35BA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A1E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409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78C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ABE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705E0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82AD0">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3B5EB">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17F7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目标1：标志牌与显示屏设立，对汶川县25个排污口规范设立标志牌与显示屏各25块；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目标3：视频监控系统，对汶川县25个排污口建设视频监控系统共25套；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目标3：监测取样点与计量系统，对汶川县25个排污口规范建设监测取样点与计量系统共25套；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目标4：在线监测系统，对汶川县11个规模以上排污口建设在线监测系统共11套；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目标5：信息管理平台，建设汶川县入河排污口信息管理平台1套。</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F339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未完成年度目标</w:t>
            </w:r>
          </w:p>
        </w:tc>
      </w:tr>
      <w:tr w14:paraId="4809A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DA67A">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3E0C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C60C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项目在完成初次勘察设计及预算编制后，送州财政局进行财评，因汶川卧龙特别行政区地方事务移交，生态环境保护属地管理事权下放我局，需调整部分建设点位，目前正在对设计方案及预算进行重新编制。</w:t>
            </w:r>
          </w:p>
        </w:tc>
      </w:tr>
      <w:tr w14:paraId="7E56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CD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67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30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B6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2B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D7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29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A7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5C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77DC6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533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53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97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E8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93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E98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B3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4043B">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7A8C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2024年9月20日下达第一笔资金864万元，因建设资金缺口较大，庚即对项目建设内容进行了研判，随即向上级部门汇报，争取到剩余资金于当年底或2025年初给予补充下达的安排，2025年4月下达了资金364万元，两笔资金整合一并实施，已再第一笔资金中支出勘察设计费用31.77万元，第二笔资金暂未使用。项目在完成初次勘察设计及预算编制后，送州财政局进行财评，因汶川卧龙特别行政区地方事务移交，生态环境保护属地管理事权下放我局，需调整部分建设点位，目前正在对设计方案及预算进行重新编制。</w:t>
            </w:r>
          </w:p>
        </w:tc>
      </w:tr>
      <w:tr w14:paraId="101F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6C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63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EF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5C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47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D5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EB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E4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3C38">
            <w:pPr>
              <w:rPr>
                <w:rFonts w:hint="eastAsia" w:ascii="宋体" w:hAnsi="宋体" w:eastAsia="宋体" w:cs="宋体"/>
                <w:i w:val="0"/>
                <w:iCs w:val="0"/>
                <w:color w:val="000000"/>
                <w:sz w:val="16"/>
                <w:szCs w:val="16"/>
                <w:u w:val="none"/>
              </w:rPr>
            </w:pPr>
          </w:p>
        </w:tc>
      </w:tr>
      <w:tr w14:paraId="41E0D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4F26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5C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C5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87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CA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E5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A5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06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841EB">
            <w:pPr>
              <w:rPr>
                <w:rFonts w:hint="eastAsia" w:ascii="宋体" w:hAnsi="宋体" w:eastAsia="宋体" w:cs="宋体"/>
                <w:i w:val="0"/>
                <w:iCs w:val="0"/>
                <w:color w:val="000000"/>
                <w:sz w:val="16"/>
                <w:szCs w:val="16"/>
                <w:u w:val="none"/>
              </w:rPr>
            </w:pPr>
          </w:p>
        </w:tc>
      </w:tr>
      <w:tr w14:paraId="1F20E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770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66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30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46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DD3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9A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8A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8A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E5392">
            <w:pPr>
              <w:rPr>
                <w:rFonts w:hint="eastAsia" w:ascii="宋体" w:hAnsi="宋体" w:eastAsia="宋体" w:cs="宋体"/>
                <w:i w:val="0"/>
                <w:iCs w:val="0"/>
                <w:color w:val="000000"/>
                <w:sz w:val="16"/>
                <w:szCs w:val="16"/>
                <w:u w:val="none"/>
              </w:rPr>
            </w:pPr>
          </w:p>
        </w:tc>
      </w:tr>
      <w:tr w14:paraId="2ECA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99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BA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008B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BA5BE">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B86F1">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80F6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0A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46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AE0A3">
            <w:pPr>
              <w:rPr>
                <w:rFonts w:hint="eastAsia" w:ascii="宋体" w:hAnsi="宋体" w:eastAsia="宋体" w:cs="宋体"/>
                <w:i w:val="0"/>
                <w:iCs w:val="0"/>
                <w:color w:val="000000"/>
                <w:sz w:val="16"/>
                <w:szCs w:val="16"/>
                <w:u w:val="none"/>
              </w:rPr>
            </w:pPr>
          </w:p>
        </w:tc>
      </w:tr>
      <w:tr w14:paraId="544E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B6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F4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9CF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59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15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3E1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B9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A3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16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1BF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8B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2DF4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F70D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A4B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30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5C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指标3:监测取样点与计量系统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49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A1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F5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F614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D7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FA1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CE7C1">
            <w:pPr>
              <w:jc w:val="center"/>
              <w:rPr>
                <w:rFonts w:hint="eastAsia" w:ascii="宋体" w:hAnsi="宋体" w:eastAsia="宋体" w:cs="宋体"/>
                <w:i/>
                <w:iCs/>
                <w:color w:val="000000"/>
                <w:sz w:val="16"/>
                <w:szCs w:val="16"/>
                <w:u w:val="none"/>
              </w:rPr>
            </w:pPr>
          </w:p>
        </w:tc>
      </w:tr>
      <w:tr w14:paraId="56126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3EBE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A582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EF2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46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指标4：视频监控系统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54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A28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145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E6F01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DB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2E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6343C">
            <w:pPr>
              <w:jc w:val="center"/>
              <w:rPr>
                <w:rFonts w:hint="eastAsia" w:ascii="宋体" w:hAnsi="宋体" w:eastAsia="宋体" w:cs="宋体"/>
                <w:i/>
                <w:iCs/>
                <w:color w:val="000000"/>
                <w:sz w:val="16"/>
                <w:szCs w:val="16"/>
                <w:u w:val="none"/>
              </w:rPr>
            </w:pPr>
          </w:p>
        </w:tc>
      </w:tr>
      <w:tr w14:paraId="70C5B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70A9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A9B9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03A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8C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指标1：标牌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A3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5E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08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个（台、套、件、辆）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C365D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15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45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64159">
            <w:pPr>
              <w:jc w:val="center"/>
              <w:rPr>
                <w:rFonts w:hint="eastAsia" w:ascii="宋体" w:hAnsi="宋体" w:eastAsia="宋体" w:cs="宋体"/>
                <w:i/>
                <w:iCs/>
                <w:color w:val="000000"/>
                <w:sz w:val="16"/>
                <w:szCs w:val="16"/>
                <w:u w:val="none"/>
              </w:rPr>
            </w:pPr>
          </w:p>
        </w:tc>
      </w:tr>
      <w:tr w14:paraId="35C9A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199B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8E52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76F1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33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指标2：显示屏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63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C1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73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595C9">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878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55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6D132">
            <w:pPr>
              <w:jc w:val="center"/>
              <w:rPr>
                <w:rFonts w:hint="eastAsia" w:ascii="宋体" w:hAnsi="宋体" w:eastAsia="宋体" w:cs="宋体"/>
                <w:i/>
                <w:iCs/>
                <w:color w:val="000000"/>
                <w:sz w:val="16"/>
                <w:szCs w:val="16"/>
                <w:u w:val="none"/>
              </w:rPr>
            </w:pPr>
          </w:p>
        </w:tc>
      </w:tr>
      <w:tr w14:paraId="312E9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57AD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3D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B15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AC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指标6:信息管理平台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D8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D9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7F9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7956F">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4E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39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505F86">
            <w:pPr>
              <w:jc w:val="center"/>
              <w:rPr>
                <w:rFonts w:hint="eastAsia" w:ascii="宋体" w:hAnsi="宋体" w:eastAsia="宋体" w:cs="宋体"/>
                <w:i/>
                <w:iCs/>
                <w:color w:val="000000"/>
                <w:sz w:val="16"/>
                <w:szCs w:val="16"/>
                <w:u w:val="none"/>
              </w:rPr>
            </w:pPr>
          </w:p>
        </w:tc>
      </w:tr>
      <w:tr w14:paraId="493C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384C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AF05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F43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C95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指标5：在线监测系统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0F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00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0D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6C22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98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33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C2AA49">
            <w:pPr>
              <w:jc w:val="center"/>
              <w:rPr>
                <w:rFonts w:hint="eastAsia" w:ascii="宋体" w:hAnsi="宋体" w:eastAsia="宋体" w:cs="宋体"/>
                <w:i/>
                <w:iCs/>
                <w:color w:val="000000"/>
                <w:sz w:val="16"/>
                <w:szCs w:val="16"/>
                <w:u w:val="none"/>
              </w:rPr>
            </w:pPr>
          </w:p>
        </w:tc>
      </w:tr>
      <w:tr w14:paraId="7DEA3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7477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BDB6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C4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13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指标3：项目质量安全达标率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4C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D0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791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6AC0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450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24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7A3B1">
            <w:pPr>
              <w:jc w:val="center"/>
              <w:rPr>
                <w:rFonts w:hint="eastAsia" w:ascii="宋体" w:hAnsi="宋体" w:eastAsia="宋体" w:cs="宋体"/>
                <w:i/>
                <w:iCs/>
                <w:color w:val="000000"/>
                <w:sz w:val="16"/>
                <w:szCs w:val="16"/>
                <w:u w:val="none"/>
              </w:rPr>
            </w:pPr>
          </w:p>
        </w:tc>
      </w:tr>
      <w:tr w14:paraId="44BB6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D36C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E0F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FBC0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B09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指标4：项目验收通过率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659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36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B4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C8FDA">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34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EC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50840E">
            <w:pPr>
              <w:jc w:val="center"/>
              <w:rPr>
                <w:rFonts w:hint="eastAsia" w:ascii="宋体" w:hAnsi="宋体" w:eastAsia="宋体" w:cs="宋体"/>
                <w:i/>
                <w:iCs/>
                <w:color w:val="000000"/>
                <w:sz w:val="16"/>
                <w:szCs w:val="16"/>
                <w:u w:val="none"/>
              </w:rPr>
            </w:pPr>
          </w:p>
        </w:tc>
      </w:tr>
      <w:tr w14:paraId="243C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7F36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D891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C1C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A1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指标1：项目完成进度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5A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C2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二合格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8BB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5390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80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2D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77773">
            <w:pPr>
              <w:jc w:val="center"/>
              <w:rPr>
                <w:rFonts w:hint="eastAsia" w:ascii="宋体" w:hAnsi="宋体" w:eastAsia="宋体" w:cs="宋体"/>
                <w:i/>
                <w:iCs/>
                <w:color w:val="000000"/>
                <w:sz w:val="16"/>
                <w:szCs w:val="16"/>
                <w:u w:val="none"/>
              </w:rPr>
            </w:pPr>
          </w:p>
        </w:tc>
      </w:tr>
      <w:tr w14:paraId="441A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0B9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BAF0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C087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72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指标2：项目完成质量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1E6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63F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满足设计需求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D4DF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838FF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18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F5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664F2">
            <w:pPr>
              <w:jc w:val="center"/>
              <w:rPr>
                <w:rFonts w:hint="eastAsia" w:ascii="宋体" w:hAnsi="宋体" w:eastAsia="宋体" w:cs="宋体"/>
                <w:i/>
                <w:iCs/>
                <w:color w:val="000000"/>
                <w:sz w:val="16"/>
                <w:szCs w:val="16"/>
                <w:u w:val="none"/>
              </w:rPr>
            </w:pPr>
          </w:p>
        </w:tc>
      </w:tr>
      <w:tr w14:paraId="1459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EC57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E32F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05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C9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指标1：项目实施时间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3E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21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2024年11月前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EC7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E3FAF">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44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56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04164">
            <w:pPr>
              <w:jc w:val="center"/>
              <w:rPr>
                <w:rFonts w:hint="eastAsia" w:ascii="宋体" w:hAnsi="宋体" w:eastAsia="宋体" w:cs="宋体"/>
                <w:i/>
                <w:iCs/>
                <w:color w:val="000000"/>
                <w:sz w:val="16"/>
                <w:szCs w:val="16"/>
                <w:u w:val="none"/>
              </w:rPr>
            </w:pPr>
          </w:p>
        </w:tc>
      </w:tr>
      <w:tr w14:paraId="7B1CC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A000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A44A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8D09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49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指标2:项目完成时间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0D9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BB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5C9A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C309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D3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96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C39D4">
            <w:pPr>
              <w:jc w:val="center"/>
              <w:rPr>
                <w:rFonts w:hint="eastAsia" w:ascii="宋体" w:hAnsi="宋体" w:eastAsia="宋体" w:cs="宋体"/>
                <w:i/>
                <w:iCs/>
                <w:color w:val="000000"/>
                <w:sz w:val="16"/>
                <w:szCs w:val="16"/>
                <w:u w:val="none"/>
              </w:rPr>
            </w:pPr>
          </w:p>
        </w:tc>
      </w:tr>
      <w:tr w14:paraId="43671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685C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41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70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80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指标1：提升区域监管能力，促进区域良好发展。指标2：规范区域入河排污口建设，使城市环境优美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2D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34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560C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3EFA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821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958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229EF">
            <w:pPr>
              <w:jc w:val="center"/>
              <w:rPr>
                <w:rFonts w:hint="eastAsia" w:ascii="宋体" w:hAnsi="宋体" w:eastAsia="宋体" w:cs="宋体"/>
                <w:i/>
                <w:iCs/>
                <w:color w:val="000000"/>
                <w:sz w:val="16"/>
                <w:szCs w:val="16"/>
                <w:u w:val="none"/>
              </w:rPr>
            </w:pPr>
          </w:p>
        </w:tc>
      </w:tr>
      <w:tr w14:paraId="0C19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D24E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9394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1A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6A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指标1：增加就业机会 指标2：提高居民环境保护意识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B9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79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4A6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951D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D2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467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3F9C2C">
            <w:pPr>
              <w:jc w:val="center"/>
              <w:rPr>
                <w:rFonts w:hint="eastAsia" w:ascii="宋体" w:hAnsi="宋体" w:eastAsia="宋体" w:cs="宋体"/>
                <w:i/>
                <w:iCs/>
                <w:color w:val="000000"/>
                <w:sz w:val="16"/>
                <w:szCs w:val="16"/>
                <w:u w:val="none"/>
              </w:rPr>
            </w:pPr>
          </w:p>
        </w:tc>
      </w:tr>
      <w:tr w14:paraId="53C0F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C5F5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8B7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84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F1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指标1：促进区域经济可持续发展 指标2：入河排污口运行正常</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B0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33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07E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F4E3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9D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0D9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95387E">
            <w:pPr>
              <w:jc w:val="center"/>
              <w:rPr>
                <w:rFonts w:hint="eastAsia" w:ascii="宋体" w:hAnsi="宋体" w:eastAsia="宋体" w:cs="宋体"/>
                <w:i/>
                <w:iCs/>
                <w:color w:val="000000"/>
                <w:sz w:val="16"/>
                <w:szCs w:val="16"/>
                <w:u w:val="none"/>
              </w:rPr>
            </w:pPr>
          </w:p>
        </w:tc>
      </w:tr>
      <w:tr w14:paraId="2ABED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806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84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64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2C7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指标3：公众满意度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C1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ED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AC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203C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53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76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F4D77">
            <w:pPr>
              <w:jc w:val="center"/>
              <w:rPr>
                <w:rFonts w:hint="eastAsia" w:ascii="宋体" w:hAnsi="宋体" w:eastAsia="宋体" w:cs="宋体"/>
                <w:i/>
                <w:iCs/>
                <w:color w:val="000000"/>
                <w:sz w:val="16"/>
                <w:szCs w:val="16"/>
                <w:u w:val="none"/>
              </w:rPr>
            </w:pPr>
          </w:p>
        </w:tc>
      </w:tr>
      <w:tr w14:paraId="4C31E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D0A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FB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02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F5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指标1：项目总投资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00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8C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不超过总投资的10%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157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60127">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D9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680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22D159">
            <w:pPr>
              <w:jc w:val="center"/>
              <w:rPr>
                <w:rFonts w:hint="eastAsia" w:ascii="宋体" w:hAnsi="宋体" w:eastAsia="宋体" w:cs="宋体"/>
                <w:i/>
                <w:iCs/>
                <w:color w:val="000000"/>
                <w:sz w:val="16"/>
                <w:szCs w:val="16"/>
                <w:u w:val="none"/>
              </w:rPr>
            </w:pPr>
          </w:p>
        </w:tc>
      </w:tr>
      <w:tr w14:paraId="57EF2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A8C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12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E11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AA730">
            <w:pPr>
              <w:rPr>
                <w:rFonts w:hint="eastAsia" w:ascii="宋体" w:hAnsi="宋体" w:eastAsia="宋体" w:cs="宋体"/>
                <w:i w:val="0"/>
                <w:iCs w:val="0"/>
                <w:color w:val="000000"/>
                <w:sz w:val="18"/>
                <w:szCs w:val="18"/>
                <w:u w:val="none"/>
              </w:rPr>
            </w:pPr>
          </w:p>
        </w:tc>
      </w:tr>
      <w:tr w14:paraId="57872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EB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239206">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因汶川卧龙特别行政区地方事务移交，原定于本周期内完成的项目年度目标，未能如期达成。</w:t>
            </w:r>
          </w:p>
        </w:tc>
      </w:tr>
      <w:tr w14:paraId="52B9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91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50BFB9">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在面对项目部分内容需要调整时，应变速度有待提升。</w:t>
            </w:r>
          </w:p>
        </w:tc>
      </w:tr>
      <w:tr w14:paraId="47E2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E7B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EA3344">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建立跨部门快速联动通道，打破信息壁垒，提升协同效率；开展项目应变实战演练，提升干部快速分析、处置、汇报的业务素养。</w:t>
            </w:r>
          </w:p>
        </w:tc>
      </w:tr>
      <w:tr w14:paraId="6FE2C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FD3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项目负责人：刘红越</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DC97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r w14:paraId="07FC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14:paraId="1BEB392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63D1CED2">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D5D42C8">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4CE94D3">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228B9F6">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91F2377">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7A72D20">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334C059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7CCABEF">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5917963C">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E6BF4D5">
            <w:pPr>
              <w:rPr>
                <w:rFonts w:hint="eastAsia" w:ascii="宋体" w:hAnsi="宋体" w:eastAsia="宋体" w:cs="宋体"/>
                <w:i w:val="0"/>
                <w:iCs w:val="0"/>
                <w:color w:val="000000"/>
                <w:sz w:val="18"/>
                <w:szCs w:val="18"/>
                <w:u w:val="none"/>
              </w:rPr>
            </w:pPr>
          </w:p>
        </w:tc>
      </w:tr>
      <w:tr w14:paraId="2EA69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DBCEC0">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部门预算项目支出绩效自评表（2025年度）</w:t>
            </w:r>
          </w:p>
        </w:tc>
      </w:tr>
      <w:tr w14:paraId="69000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E04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C622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51322125T000012534929-汶川县入河排污口规范化建设项目</w:t>
            </w:r>
          </w:p>
        </w:tc>
      </w:tr>
      <w:tr w14:paraId="73EC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47B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2913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州生态环境局部门</w:t>
            </w:r>
          </w:p>
        </w:tc>
        <w:tc>
          <w:tcPr>
            <w:tcW w:w="0" w:type="auto"/>
            <w:tcBorders>
              <w:top w:val="nil"/>
              <w:left w:val="nil"/>
              <w:bottom w:val="nil"/>
              <w:right w:val="nil"/>
            </w:tcBorders>
            <w:shd w:val="clear" w:color="auto" w:fill="auto"/>
            <w:vAlign w:val="center"/>
          </w:tcPr>
          <w:p w14:paraId="021C2B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997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汶川县生态环境局</w:t>
            </w:r>
          </w:p>
        </w:tc>
      </w:tr>
      <w:tr w14:paraId="795B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374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6F8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275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49B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14:paraId="4C185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96A7F">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D65B1">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096B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汶川县入河排污口规范化建设项目范围内提供测量、勘察、初步设计、施工图设计、工程量清单编制、配合报审和后续服务等工作，并配合业主完成相关阶段的成果报批、审查和批准工作，并按审查意见完成对勘察设计成果的修改。</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F084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完成年度目标</w:t>
            </w:r>
          </w:p>
        </w:tc>
      </w:tr>
      <w:tr w14:paraId="01E9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7A816">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EAA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DCF1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项目在完成初次勘察设计及预算编制后，送州财政局进行财评，因汶川卧龙特别行政区地方事务移交，生态环境保护属地管理事权下放我局，需调整部分建设点位，目前正在对设计方案及预算进行重新编制。</w:t>
            </w:r>
          </w:p>
        </w:tc>
      </w:tr>
      <w:tr w14:paraId="6B02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83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7C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637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E5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5C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67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F6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41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80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14:paraId="251D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E01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D4B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DE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91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1F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34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66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B0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947B1">
            <w:pPr>
              <w:rPr>
                <w:rFonts w:hint="eastAsia" w:ascii="宋体" w:hAnsi="宋体" w:eastAsia="宋体" w:cs="宋体"/>
                <w:i/>
                <w:iCs/>
                <w:color w:val="000000"/>
                <w:sz w:val="18"/>
                <w:szCs w:val="18"/>
                <w:u w:val="none"/>
              </w:rPr>
            </w:pPr>
          </w:p>
        </w:tc>
      </w:tr>
      <w:tr w14:paraId="0AA5B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300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628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13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4B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31.77</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F2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08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288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49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D85F0">
            <w:pPr>
              <w:rPr>
                <w:rFonts w:hint="eastAsia" w:ascii="宋体" w:hAnsi="宋体" w:eastAsia="宋体" w:cs="宋体"/>
                <w:i/>
                <w:iCs/>
                <w:color w:val="000000"/>
                <w:sz w:val="18"/>
                <w:szCs w:val="18"/>
                <w:u w:val="none"/>
              </w:rPr>
            </w:pPr>
          </w:p>
        </w:tc>
      </w:tr>
      <w:tr w14:paraId="52674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AF6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6D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34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AF1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61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994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EB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51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F6AD4">
            <w:pPr>
              <w:rPr>
                <w:rFonts w:hint="eastAsia" w:ascii="宋体" w:hAnsi="宋体" w:eastAsia="宋体" w:cs="宋体"/>
                <w:i/>
                <w:iCs/>
                <w:color w:val="000000"/>
                <w:sz w:val="18"/>
                <w:szCs w:val="18"/>
                <w:u w:val="none"/>
              </w:rPr>
            </w:pPr>
          </w:p>
        </w:tc>
      </w:tr>
      <w:tr w14:paraId="5471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1F60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1EF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D4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69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97D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EE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74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A7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25BD0">
            <w:pPr>
              <w:rPr>
                <w:rFonts w:hint="eastAsia" w:ascii="宋体" w:hAnsi="宋体" w:eastAsia="宋体" w:cs="宋体"/>
                <w:i/>
                <w:iCs/>
                <w:color w:val="000000"/>
                <w:sz w:val="18"/>
                <w:szCs w:val="18"/>
                <w:u w:val="none"/>
              </w:rPr>
            </w:pPr>
          </w:p>
        </w:tc>
      </w:tr>
      <w:tr w14:paraId="18A5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BB0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33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830F5">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F6524">
            <w:pPr>
              <w:jc w:val="center"/>
              <w:rPr>
                <w:rFonts w:hint="eastAsia" w:ascii="宋体" w:hAnsi="宋体" w:eastAsia="宋体" w:cs="宋体"/>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E4713">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C6CA0">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48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447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22873">
            <w:pPr>
              <w:rPr>
                <w:rFonts w:hint="eastAsia" w:ascii="宋体" w:hAnsi="宋体" w:eastAsia="宋体" w:cs="宋体"/>
                <w:i/>
                <w:iCs/>
                <w:color w:val="000000"/>
                <w:sz w:val="18"/>
                <w:szCs w:val="18"/>
                <w:u w:val="none"/>
              </w:rPr>
            </w:pPr>
          </w:p>
        </w:tc>
      </w:tr>
      <w:tr w14:paraId="5E20B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30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DC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70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97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AF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81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9D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40B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A0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DDC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D47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36356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B02E3">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EDD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50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nil"/>
              <w:left w:val="nil"/>
              <w:bottom w:val="nil"/>
              <w:right w:val="nil"/>
            </w:tcBorders>
            <w:shd w:val="clear" w:color="auto" w:fill="auto"/>
            <w:noWrap/>
            <w:vAlign w:val="center"/>
          </w:tcPr>
          <w:p w14:paraId="604822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核心工作成果完成量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41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13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35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D24DF">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1A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36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FDBF7">
            <w:pPr>
              <w:jc w:val="center"/>
              <w:rPr>
                <w:rFonts w:hint="eastAsia" w:ascii="宋体" w:hAnsi="宋体" w:eastAsia="宋体" w:cs="宋体"/>
                <w:i/>
                <w:iCs/>
                <w:color w:val="000000"/>
                <w:sz w:val="16"/>
                <w:szCs w:val="16"/>
                <w:u w:val="none"/>
              </w:rPr>
            </w:pPr>
          </w:p>
        </w:tc>
      </w:tr>
      <w:tr w14:paraId="4804D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68CB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9DA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5B4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C1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D9C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8C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50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00E98">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23D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FD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CA749">
            <w:pPr>
              <w:rPr>
                <w:rFonts w:hint="eastAsia" w:ascii="宋体" w:hAnsi="宋体" w:eastAsia="宋体" w:cs="宋体"/>
                <w:i w:val="0"/>
                <w:iCs w:val="0"/>
                <w:color w:val="000000"/>
                <w:sz w:val="18"/>
                <w:szCs w:val="18"/>
                <w:u w:val="none"/>
              </w:rPr>
            </w:pPr>
          </w:p>
        </w:tc>
      </w:tr>
      <w:tr w14:paraId="6167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346A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691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60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C1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4D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CDB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A0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78B6E">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2B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7E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66AD5">
            <w:pPr>
              <w:rPr>
                <w:rFonts w:hint="eastAsia" w:ascii="宋体" w:hAnsi="宋体" w:eastAsia="宋体" w:cs="宋体"/>
                <w:i w:val="0"/>
                <w:iCs w:val="0"/>
                <w:color w:val="000000"/>
                <w:sz w:val="18"/>
                <w:szCs w:val="18"/>
                <w:u w:val="none"/>
              </w:rPr>
            </w:pPr>
          </w:p>
        </w:tc>
      </w:tr>
      <w:tr w14:paraId="0BFE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70B3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40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71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FE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成果 100% 符合环保、水利等法规规范，保障项目合法落地，支撑水环境管理。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E3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EE3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2F8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B35D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87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4F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1EC3E">
            <w:pPr>
              <w:rPr>
                <w:rFonts w:hint="eastAsia" w:ascii="宋体" w:hAnsi="宋体" w:eastAsia="宋体" w:cs="宋体"/>
                <w:i w:val="0"/>
                <w:iCs w:val="0"/>
                <w:color w:val="000000"/>
                <w:sz w:val="18"/>
                <w:szCs w:val="18"/>
                <w:u w:val="none"/>
              </w:rPr>
            </w:pPr>
          </w:p>
        </w:tc>
      </w:tr>
      <w:tr w14:paraId="0D88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549F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C1D7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E6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5A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成果 100% 契合区域生态保护要求，助力减少入河污染，提升流域水质。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97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4E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FBB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A04E2">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781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DB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4DDAA">
            <w:pPr>
              <w:rPr>
                <w:rFonts w:hint="eastAsia" w:ascii="宋体" w:hAnsi="宋体" w:eastAsia="宋体" w:cs="宋体"/>
                <w:i w:val="0"/>
                <w:iCs w:val="0"/>
                <w:color w:val="000000"/>
                <w:sz w:val="18"/>
                <w:szCs w:val="18"/>
                <w:u w:val="none"/>
              </w:rPr>
            </w:pPr>
          </w:p>
        </w:tc>
      </w:tr>
      <w:tr w14:paraId="72EF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D992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454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07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BF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成果运用时限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34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F6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709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932D6">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A8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1A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B66CF">
            <w:pPr>
              <w:rPr>
                <w:rFonts w:hint="eastAsia" w:ascii="宋体" w:hAnsi="宋体" w:eastAsia="宋体" w:cs="宋体"/>
                <w:i w:val="0"/>
                <w:iCs w:val="0"/>
                <w:color w:val="000000"/>
                <w:sz w:val="18"/>
                <w:szCs w:val="18"/>
                <w:u w:val="none"/>
              </w:rPr>
            </w:pPr>
          </w:p>
        </w:tc>
      </w:tr>
      <w:tr w14:paraId="16420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380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F14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E5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AA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FB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841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61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3CB8B">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AA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6C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9BFC0">
            <w:pPr>
              <w:rPr>
                <w:rFonts w:hint="eastAsia" w:ascii="宋体" w:hAnsi="宋体" w:eastAsia="宋体" w:cs="宋体"/>
                <w:i w:val="0"/>
                <w:iCs w:val="0"/>
                <w:color w:val="000000"/>
                <w:sz w:val="18"/>
                <w:szCs w:val="18"/>
                <w:u w:val="none"/>
              </w:rPr>
            </w:pPr>
          </w:p>
        </w:tc>
      </w:tr>
      <w:tr w14:paraId="00E8F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636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0CC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2D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0E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项目总投资（万元）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35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02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80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D3A84">
            <w:pPr>
              <w:jc w:val="center"/>
              <w:rPr>
                <w:rFonts w:hint="eastAsia" w:ascii="宋体" w:hAnsi="宋体" w:eastAsia="宋体" w:cs="宋体"/>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28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E18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C28E83">
            <w:pPr>
              <w:rPr>
                <w:rFonts w:hint="eastAsia" w:ascii="宋体" w:hAnsi="宋体" w:eastAsia="宋体" w:cs="宋体"/>
                <w:i w:val="0"/>
                <w:iCs w:val="0"/>
                <w:color w:val="000000"/>
                <w:sz w:val="18"/>
                <w:szCs w:val="18"/>
                <w:u w:val="none"/>
              </w:rPr>
            </w:pPr>
          </w:p>
        </w:tc>
      </w:tr>
      <w:tr w14:paraId="08DF0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BA7A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A1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84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96699">
            <w:pPr>
              <w:rPr>
                <w:rFonts w:hint="eastAsia" w:ascii="宋体" w:hAnsi="宋体" w:eastAsia="宋体" w:cs="宋体"/>
                <w:i w:val="0"/>
                <w:iCs w:val="0"/>
                <w:color w:val="000000"/>
                <w:sz w:val="18"/>
                <w:szCs w:val="18"/>
                <w:u w:val="none"/>
              </w:rPr>
            </w:pPr>
          </w:p>
        </w:tc>
      </w:tr>
      <w:tr w14:paraId="75629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DB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AD384C">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本项目严格按照年度目标完成了汶川县入河排污口规范化建设范围内的测量、勘察、初步设计、施工图设计、工程量清单编制、配合报审及后续服务等全部工作，按期完成各阶段成果报批、审查与修改，整体绩效表现良好。</w:t>
            </w:r>
            <w:r>
              <w:rPr>
                <w:rFonts w:hint="eastAsia" w:ascii="宋体" w:hAnsi="宋体" w:eastAsia="宋体" w:cs="宋体"/>
                <w:i/>
                <w:iCs/>
                <w:color w:val="000000"/>
                <w:kern w:val="0"/>
                <w:sz w:val="16"/>
                <w:szCs w:val="16"/>
                <w:u w:val="none"/>
                <w:lang w:val="en-US" w:eastAsia="zh-CN" w:bidi="ar"/>
              </w:rPr>
              <w:br w:type="textWrapping"/>
            </w:r>
            <w:r>
              <w:rPr>
                <w:rFonts w:hint="eastAsia" w:ascii="宋体" w:hAnsi="宋体" w:eastAsia="宋体" w:cs="宋体"/>
                <w:i/>
                <w:iCs/>
                <w:color w:val="000000"/>
                <w:kern w:val="0"/>
                <w:sz w:val="16"/>
                <w:szCs w:val="16"/>
                <w:u w:val="none"/>
                <w:lang w:val="en-US" w:eastAsia="zh-CN" w:bidi="ar"/>
              </w:rPr>
              <w:t>从产出维度看，核心工作成果 100% 完成并提交，成果审查通过率与提交及时率均达到预期目标，有效保障了项目推进节奏；从效益维度看，成果 100% 符合环保、水利等法规规范及区域生态保护要求，为入河排污口规范化整治提供了可靠技术支撑，既保障了公共用水安全，也为区域水环境治理与长效运维奠定了基础；从服务与成本维度看，业主及相关部门综合满意度≥95 分，项目总成本控制在预算范围内，资金使用高效合规。</w:t>
            </w:r>
            <w:r>
              <w:rPr>
                <w:rFonts w:hint="eastAsia" w:ascii="宋体" w:hAnsi="宋体" w:eastAsia="宋体" w:cs="宋体"/>
                <w:i/>
                <w:iCs/>
                <w:color w:val="000000"/>
                <w:kern w:val="0"/>
                <w:sz w:val="16"/>
                <w:szCs w:val="16"/>
                <w:u w:val="none"/>
                <w:lang w:val="en-US" w:eastAsia="zh-CN" w:bidi="ar"/>
              </w:rPr>
              <w:br w:type="textWrapping"/>
            </w:r>
            <w:r>
              <w:rPr>
                <w:rFonts w:hint="eastAsia" w:ascii="宋体" w:hAnsi="宋体" w:eastAsia="宋体" w:cs="宋体"/>
                <w:i/>
                <w:iCs/>
                <w:color w:val="000000"/>
                <w:kern w:val="0"/>
                <w:sz w:val="16"/>
                <w:szCs w:val="16"/>
                <w:u w:val="none"/>
                <w:lang w:val="en-US" w:eastAsia="zh-CN" w:bidi="ar"/>
              </w:rPr>
              <w:t>综上，本项目全面完成了年度绩效目标，实现了 “产出达标、效益显著、服务满意、成本可控” 的预期成效，为后续项目实施及区域水环境质量提升提供了有力保障。</w:t>
            </w:r>
          </w:p>
        </w:tc>
      </w:tr>
      <w:tr w14:paraId="3429C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40D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DF41D8">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在面对项目部分内容需要调整时，应变速度有待提升。</w:t>
            </w:r>
          </w:p>
        </w:tc>
      </w:tr>
      <w:tr w14:paraId="0BC6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A4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6DFF9">
            <w:pPr>
              <w:keepNext w:val="0"/>
              <w:keepLines w:val="0"/>
              <w:widowControl/>
              <w:suppressLineNumbers w:val="0"/>
              <w:jc w:val="left"/>
              <w:textAlignment w:val="center"/>
              <w:rPr>
                <w:rFonts w:hint="eastAsia" w:ascii="宋体" w:hAnsi="宋体" w:eastAsia="宋体" w:cs="宋体"/>
                <w:i/>
                <w:iCs/>
                <w:color w:val="000000"/>
                <w:sz w:val="16"/>
                <w:szCs w:val="16"/>
                <w:u w:val="none"/>
              </w:rPr>
            </w:pPr>
            <w:r>
              <w:rPr>
                <w:rFonts w:hint="eastAsia" w:ascii="宋体" w:hAnsi="宋体" w:eastAsia="宋体" w:cs="宋体"/>
                <w:i/>
                <w:iCs/>
                <w:color w:val="000000"/>
                <w:kern w:val="0"/>
                <w:sz w:val="16"/>
                <w:szCs w:val="16"/>
                <w:u w:val="none"/>
                <w:lang w:val="en-US" w:eastAsia="zh-CN" w:bidi="ar"/>
              </w:rPr>
              <w:t>建立跨部门快速联动通道，打破信息壁垒，提升协同效率；开展项目应变实战演练，提升干部快速分析、处置、汇报的业务素养。</w:t>
            </w:r>
          </w:p>
        </w:tc>
      </w:tr>
      <w:tr w14:paraId="341C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6225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项目负责人：刘红越</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291A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p>
        </w:tc>
      </w:tr>
    </w:tbl>
    <w:p w14:paraId="42D57DD0">
      <w:pPr>
        <w:jc w:val="left"/>
        <w:rPr>
          <w:rFonts w:hint="eastAsia"/>
          <w:lang w:val="en-US" w:eastAsia="zh-CN"/>
        </w:rPr>
      </w:pPr>
    </w:p>
    <w:p w14:paraId="20106C11">
      <w:pPr>
        <w:rPr>
          <w:rFonts w:hint="eastAsia"/>
          <w:lang w:val="en-US" w:eastAsia="zh-CN"/>
        </w:rPr>
        <w:sectPr>
          <w:pgSz w:w="16838" w:h="11906" w:orient="landscape"/>
          <w:pgMar w:top="1440" w:right="1803" w:bottom="1440" w:left="1803" w:header="851" w:footer="992" w:gutter="0"/>
          <w:pgNumType w:fmt="decimal" w:start="1"/>
          <w:cols w:space="0" w:num="1"/>
          <w:titlePg/>
          <w:rtlGutter w:val="0"/>
          <w:docGrid w:type="lines" w:linePitch="451" w:charSpace="0"/>
        </w:sectPr>
      </w:pPr>
      <w:r>
        <w:rPr>
          <w:rFonts w:hint="eastAsia"/>
          <w:lang w:val="en-US" w:eastAsia="zh-CN"/>
        </w:rPr>
        <w:br w:type="page"/>
      </w:r>
    </w:p>
    <w:p w14:paraId="7E370092">
      <w:pPr>
        <w:rPr>
          <w:rFonts w:hint="eastAsia"/>
          <w:lang w:val="en-US" w:eastAsia="zh-CN"/>
        </w:rPr>
      </w:pPr>
    </w:p>
    <w:p w14:paraId="4A756069">
      <w:pPr>
        <w:spacing w:line="240" w:lineRule="auto"/>
        <w:ind w:firstLine="0" w:firstLineChars="0"/>
        <w:rPr>
          <w:rFonts w:hint="eastAsia"/>
          <w:lang w:val="en-US" w:eastAsia="zh-CN"/>
        </w:rPr>
      </w:pPr>
    </w:p>
    <w:p w14:paraId="78488DB4">
      <w:pPr>
        <w:rPr>
          <w:rFonts w:hint="eastAsia"/>
          <w:lang w:val="en-US" w:eastAsia="zh-CN"/>
        </w:rPr>
      </w:pPr>
    </w:p>
    <w:p w14:paraId="5F7EEE62">
      <w:pPr>
        <w:spacing w:line="600" w:lineRule="exact"/>
        <w:jc w:val="center"/>
        <w:outlineLvl w:val="0"/>
        <w:rPr>
          <w:rFonts w:ascii="仿宋" w:hAnsi="仿宋" w:eastAsia="仿宋"/>
        </w:rPr>
      </w:pPr>
      <w:r>
        <w:rPr>
          <w:rFonts w:hint="eastAsia" w:hAnsi="Calibri" w:eastAsia="仿宋_GB2312" w:cs="仿宋"/>
          <w:sz w:val="32"/>
          <w:lang w:val="en-US" w:eastAsia="zh-CN"/>
        </w:rPr>
        <w:t xml:space="preserve"> </w:t>
      </w:r>
      <w:bookmarkEnd w:id="132"/>
      <w:bookmarkStart w:id="133" w:name="_Toc4978"/>
      <w:bookmarkStart w:id="134" w:name="_Toc19614"/>
      <w:bookmarkStart w:id="135" w:name="_Toc13941"/>
      <w:r>
        <w:rPr>
          <w:rFonts w:hint="eastAsia" w:ascii="黑体" w:hAnsi="黑体" w:eastAsia="黑体"/>
          <w:sz w:val="44"/>
          <w:szCs w:val="44"/>
        </w:rPr>
        <w:t>第</w:t>
      </w:r>
      <w:r>
        <w:rPr>
          <w:rStyle w:val="32"/>
          <w:rFonts w:hint="eastAsia" w:ascii="黑体" w:hAnsi="黑体" w:eastAsia="黑体"/>
          <w:b w:val="0"/>
        </w:rPr>
        <w:t>五部分 附表</w:t>
      </w:r>
      <w:bookmarkEnd w:id="126"/>
      <w:bookmarkEnd w:id="128"/>
      <w:bookmarkEnd w:id="133"/>
      <w:bookmarkEnd w:id="134"/>
      <w:bookmarkEnd w:id="135"/>
      <w:bookmarkStart w:id="136" w:name="_Toc15396619"/>
    </w:p>
    <w:p w14:paraId="4F93E9AC">
      <w:pPr>
        <w:pStyle w:val="3"/>
        <w:rPr>
          <w:rFonts w:ascii="仿宋" w:hAnsi="仿宋" w:eastAsia="仿宋"/>
        </w:rPr>
      </w:pPr>
      <w:bookmarkStart w:id="137" w:name="_Toc21440"/>
      <w:bookmarkStart w:id="138" w:name="_Toc29034"/>
      <w:bookmarkStart w:id="139" w:name="_Toc21631"/>
      <w:r>
        <w:rPr>
          <w:rFonts w:hint="eastAsia" w:ascii="仿宋" w:hAnsi="仿宋" w:eastAsia="仿宋"/>
          <w:b w:val="0"/>
        </w:rPr>
        <w:t>一、收</w:t>
      </w:r>
      <w:r>
        <w:rPr>
          <w:rStyle w:val="33"/>
          <w:rFonts w:hint="eastAsia" w:ascii="仿宋" w:hAnsi="仿宋" w:eastAsia="仿宋"/>
          <w:b w:val="0"/>
          <w:bCs w:val="0"/>
        </w:rPr>
        <w:t>入支出决算总表</w:t>
      </w:r>
      <w:bookmarkEnd w:id="136"/>
      <w:bookmarkEnd w:id="137"/>
      <w:bookmarkEnd w:id="138"/>
      <w:bookmarkEnd w:id="139"/>
    </w:p>
    <w:p w14:paraId="160C15E2">
      <w:pPr>
        <w:pStyle w:val="3"/>
        <w:rPr>
          <w:rFonts w:ascii="仿宋" w:hAnsi="仿宋" w:eastAsia="仿宋"/>
        </w:rPr>
      </w:pPr>
      <w:bookmarkStart w:id="140" w:name="_Toc17296"/>
      <w:bookmarkStart w:id="141" w:name="_Toc24929"/>
      <w:bookmarkStart w:id="142" w:name="_Toc15396620"/>
      <w:bookmarkStart w:id="143" w:name="_Toc9500"/>
      <w:r>
        <w:rPr>
          <w:rFonts w:hint="eastAsia" w:ascii="仿宋" w:hAnsi="仿宋" w:eastAsia="仿宋"/>
          <w:b w:val="0"/>
        </w:rPr>
        <w:t>二、收</w:t>
      </w:r>
      <w:r>
        <w:rPr>
          <w:rStyle w:val="33"/>
          <w:rFonts w:hint="eastAsia" w:ascii="仿宋" w:hAnsi="仿宋" w:eastAsia="仿宋"/>
          <w:b w:val="0"/>
          <w:bCs w:val="0"/>
        </w:rPr>
        <w:t>入决算表</w:t>
      </w:r>
      <w:bookmarkEnd w:id="140"/>
      <w:bookmarkEnd w:id="141"/>
      <w:bookmarkEnd w:id="142"/>
      <w:bookmarkEnd w:id="143"/>
    </w:p>
    <w:p w14:paraId="189B3468">
      <w:pPr>
        <w:pStyle w:val="3"/>
        <w:rPr>
          <w:rFonts w:ascii="仿宋" w:hAnsi="仿宋" w:eastAsia="仿宋"/>
        </w:rPr>
      </w:pPr>
      <w:bookmarkStart w:id="144" w:name="_Toc17294"/>
      <w:bookmarkStart w:id="145" w:name="_Toc15396621"/>
      <w:bookmarkStart w:id="146" w:name="_Toc11893"/>
      <w:bookmarkStart w:id="147" w:name="_Toc20919"/>
      <w:r>
        <w:rPr>
          <w:rStyle w:val="33"/>
          <w:rFonts w:hint="eastAsia" w:ascii="仿宋" w:hAnsi="仿宋" w:eastAsia="仿宋"/>
          <w:b w:val="0"/>
          <w:bCs w:val="0"/>
        </w:rPr>
        <w:t>三、</w:t>
      </w:r>
      <w:r>
        <w:rPr>
          <w:rFonts w:hint="eastAsia" w:ascii="仿宋" w:hAnsi="仿宋" w:eastAsia="仿宋"/>
          <w:b w:val="0"/>
        </w:rPr>
        <w:t>支</w:t>
      </w:r>
      <w:r>
        <w:rPr>
          <w:rStyle w:val="33"/>
          <w:rFonts w:hint="eastAsia" w:ascii="仿宋" w:hAnsi="仿宋" w:eastAsia="仿宋"/>
          <w:b w:val="0"/>
          <w:bCs w:val="0"/>
        </w:rPr>
        <w:t>出决算表</w:t>
      </w:r>
      <w:bookmarkEnd w:id="144"/>
      <w:bookmarkEnd w:id="145"/>
      <w:bookmarkEnd w:id="146"/>
      <w:bookmarkEnd w:id="147"/>
    </w:p>
    <w:p w14:paraId="3EC9DB0E">
      <w:pPr>
        <w:pStyle w:val="3"/>
        <w:rPr>
          <w:rFonts w:ascii="仿宋" w:hAnsi="仿宋" w:eastAsia="仿宋"/>
          <w:b w:val="0"/>
        </w:rPr>
      </w:pPr>
      <w:bookmarkStart w:id="148" w:name="_Toc22460"/>
      <w:bookmarkStart w:id="149" w:name="_Toc15396622"/>
      <w:bookmarkStart w:id="150" w:name="_Toc12391"/>
      <w:bookmarkStart w:id="151" w:name="_Toc17679"/>
      <w:r>
        <w:rPr>
          <w:rStyle w:val="33"/>
          <w:rFonts w:hint="eastAsia" w:ascii="仿宋" w:hAnsi="仿宋" w:eastAsia="仿宋"/>
          <w:b w:val="0"/>
          <w:bCs w:val="0"/>
        </w:rPr>
        <w:t>四、</w:t>
      </w:r>
      <w:r>
        <w:rPr>
          <w:rFonts w:hint="eastAsia" w:ascii="仿宋" w:hAnsi="仿宋" w:eastAsia="仿宋"/>
          <w:b w:val="0"/>
        </w:rPr>
        <w:t>财</w:t>
      </w:r>
      <w:r>
        <w:rPr>
          <w:rStyle w:val="33"/>
          <w:rFonts w:hint="eastAsia" w:ascii="仿宋" w:hAnsi="仿宋" w:eastAsia="仿宋"/>
          <w:b w:val="0"/>
          <w:bCs w:val="0"/>
        </w:rPr>
        <w:t>政拨款收入支出决算总表</w:t>
      </w:r>
      <w:bookmarkEnd w:id="148"/>
      <w:bookmarkEnd w:id="149"/>
      <w:bookmarkEnd w:id="150"/>
      <w:bookmarkEnd w:id="151"/>
    </w:p>
    <w:p w14:paraId="0A358D57">
      <w:pPr>
        <w:pStyle w:val="3"/>
        <w:rPr>
          <w:rStyle w:val="33"/>
          <w:rFonts w:ascii="仿宋" w:hAnsi="仿宋" w:eastAsia="仿宋"/>
          <w:b w:val="0"/>
          <w:bCs w:val="0"/>
        </w:rPr>
      </w:pPr>
      <w:bookmarkStart w:id="152" w:name="_Toc29721"/>
      <w:bookmarkStart w:id="153" w:name="_Toc11138"/>
      <w:bookmarkStart w:id="154" w:name="_Toc10368"/>
      <w:bookmarkStart w:id="155" w:name="_Toc15396623"/>
      <w:r>
        <w:rPr>
          <w:rStyle w:val="33"/>
          <w:rFonts w:hint="eastAsia" w:ascii="仿宋" w:hAnsi="仿宋" w:eastAsia="仿宋"/>
          <w:b w:val="0"/>
          <w:bCs w:val="0"/>
        </w:rPr>
        <w:t>五、</w:t>
      </w:r>
      <w:r>
        <w:rPr>
          <w:rFonts w:hint="eastAsia" w:ascii="仿宋" w:hAnsi="仿宋" w:eastAsia="仿宋"/>
          <w:b w:val="0"/>
        </w:rPr>
        <w:t>财</w:t>
      </w:r>
      <w:r>
        <w:rPr>
          <w:rStyle w:val="33"/>
          <w:rFonts w:hint="eastAsia" w:ascii="仿宋" w:hAnsi="仿宋" w:eastAsia="仿宋"/>
          <w:b w:val="0"/>
          <w:bCs w:val="0"/>
        </w:rPr>
        <w:t>政拨款支出决算明细表</w:t>
      </w:r>
      <w:bookmarkEnd w:id="152"/>
      <w:bookmarkEnd w:id="153"/>
      <w:bookmarkEnd w:id="154"/>
      <w:bookmarkEnd w:id="155"/>
      <w:bookmarkStart w:id="156" w:name="_Toc15396624"/>
    </w:p>
    <w:p w14:paraId="5F24FA1B">
      <w:pPr>
        <w:pStyle w:val="3"/>
        <w:rPr>
          <w:rFonts w:ascii="仿宋" w:hAnsi="仿宋" w:eastAsia="仿宋"/>
        </w:rPr>
      </w:pPr>
      <w:bookmarkStart w:id="157" w:name="_Toc2787"/>
      <w:bookmarkStart w:id="158" w:name="_Toc22578"/>
      <w:bookmarkStart w:id="159" w:name="_Toc32241"/>
      <w:r>
        <w:rPr>
          <w:rStyle w:val="33"/>
          <w:rFonts w:hint="eastAsia" w:ascii="仿宋" w:hAnsi="仿宋" w:eastAsia="仿宋"/>
          <w:b w:val="0"/>
          <w:bCs w:val="0"/>
        </w:rPr>
        <w:t>六、</w:t>
      </w:r>
      <w:r>
        <w:rPr>
          <w:rFonts w:hint="eastAsia" w:ascii="仿宋" w:hAnsi="仿宋" w:eastAsia="仿宋"/>
          <w:b w:val="0"/>
        </w:rPr>
        <w:t>一</w:t>
      </w:r>
      <w:r>
        <w:rPr>
          <w:rStyle w:val="33"/>
          <w:rFonts w:hint="eastAsia" w:ascii="仿宋" w:hAnsi="仿宋" w:eastAsia="仿宋"/>
          <w:b w:val="0"/>
          <w:bCs w:val="0"/>
        </w:rPr>
        <w:t>般公共预算财政拨款支出决算表</w:t>
      </w:r>
      <w:bookmarkEnd w:id="156"/>
      <w:bookmarkEnd w:id="157"/>
      <w:bookmarkEnd w:id="158"/>
      <w:bookmarkEnd w:id="159"/>
    </w:p>
    <w:p w14:paraId="2AEC9D21">
      <w:pPr>
        <w:pStyle w:val="3"/>
        <w:rPr>
          <w:rFonts w:ascii="仿宋" w:hAnsi="仿宋" w:eastAsia="仿宋"/>
        </w:rPr>
      </w:pPr>
      <w:bookmarkStart w:id="160" w:name="_Toc24914"/>
      <w:bookmarkStart w:id="161" w:name="_Toc29453"/>
      <w:bookmarkStart w:id="162" w:name="_Toc15396625"/>
      <w:bookmarkStart w:id="163" w:name="_Toc30278"/>
      <w:r>
        <w:rPr>
          <w:rStyle w:val="33"/>
          <w:rFonts w:hint="eastAsia" w:ascii="仿宋" w:hAnsi="仿宋" w:eastAsia="仿宋"/>
          <w:b w:val="0"/>
          <w:bCs w:val="0"/>
        </w:rPr>
        <w:t>七、</w:t>
      </w:r>
      <w:r>
        <w:rPr>
          <w:rFonts w:hint="eastAsia" w:ascii="仿宋" w:hAnsi="仿宋" w:eastAsia="仿宋"/>
          <w:b w:val="0"/>
        </w:rPr>
        <w:t>一</w:t>
      </w:r>
      <w:r>
        <w:rPr>
          <w:rStyle w:val="33"/>
          <w:rFonts w:hint="eastAsia" w:ascii="仿宋" w:hAnsi="仿宋" w:eastAsia="仿宋"/>
          <w:b w:val="0"/>
          <w:bCs w:val="0"/>
        </w:rPr>
        <w:t>般公共预算财政拨款支出决算明细表</w:t>
      </w:r>
      <w:bookmarkEnd w:id="160"/>
      <w:bookmarkEnd w:id="161"/>
      <w:bookmarkEnd w:id="162"/>
      <w:bookmarkEnd w:id="163"/>
    </w:p>
    <w:p w14:paraId="164C9047">
      <w:pPr>
        <w:pStyle w:val="3"/>
        <w:rPr>
          <w:rFonts w:ascii="仿宋" w:hAnsi="仿宋" w:eastAsia="仿宋"/>
        </w:rPr>
      </w:pPr>
      <w:bookmarkStart w:id="164" w:name="_Toc6993"/>
      <w:bookmarkStart w:id="165" w:name="_Toc3831"/>
      <w:bookmarkStart w:id="166" w:name="_Toc15396626"/>
      <w:bookmarkStart w:id="167" w:name="_Toc4712"/>
      <w:r>
        <w:rPr>
          <w:rStyle w:val="33"/>
          <w:rFonts w:hint="eastAsia" w:ascii="仿宋" w:hAnsi="仿宋" w:eastAsia="仿宋"/>
          <w:b w:val="0"/>
          <w:bCs w:val="0"/>
        </w:rPr>
        <w:t>八、</w:t>
      </w:r>
      <w:r>
        <w:rPr>
          <w:rFonts w:hint="eastAsia" w:ascii="仿宋" w:hAnsi="仿宋" w:eastAsia="仿宋"/>
          <w:b w:val="0"/>
        </w:rPr>
        <w:t>一</w:t>
      </w:r>
      <w:r>
        <w:rPr>
          <w:rStyle w:val="33"/>
          <w:rFonts w:hint="eastAsia" w:ascii="仿宋" w:hAnsi="仿宋" w:eastAsia="仿宋"/>
          <w:b w:val="0"/>
          <w:bCs w:val="0"/>
        </w:rPr>
        <w:t>般公共预算财政拨款基本支出决算表</w:t>
      </w:r>
      <w:bookmarkEnd w:id="164"/>
      <w:bookmarkEnd w:id="165"/>
      <w:bookmarkEnd w:id="166"/>
      <w:bookmarkEnd w:id="167"/>
    </w:p>
    <w:p w14:paraId="4A0EF215">
      <w:pPr>
        <w:pStyle w:val="3"/>
        <w:rPr>
          <w:rFonts w:ascii="仿宋" w:hAnsi="仿宋" w:eastAsia="仿宋"/>
        </w:rPr>
      </w:pPr>
      <w:bookmarkStart w:id="168" w:name="_Toc8532"/>
      <w:bookmarkStart w:id="169" w:name="_Toc15396627"/>
      <w:bookmarkStart w:id="170" w:name="_Toc28671"/>
      <w:bookmarkStart w:id="171" w:name="_Toc9310"/>
      <w:r>
        <w:rPr>
          <w:rStyle w:val="33"/>
          <w:rFonts w:hint="eastAsia" w:ascii="仿宋" w:hAnsi="仿宋" w:eastAsia="仿宋"/>
          <w:b w:val="0"/>
          <w:bCs w:val="0"/>
        </w:rPr>
        <w:t>九、</w:t>
      </w:r>
      <w:r>
        <w:rPr>
          <w:rFonts w:hint="eastAsia" w:ascii="仿宋" w:hAnsi="仿宋" w:eastAsia="仿宋"/>
          <w:b w:val="0"/>
        </w:rPr>
        <w:t>一</w:t>
      </w:r>
      <w:r>
        <w:rPr>
          <w:rStyle w:val="33"/>
          <w:rFonts w:hint="eastAsia" w:ascii="仿宋" w:hAnsi="仿宋" w:eastAsia="仿宋"/>
          <w:b w:val="0"/>
          <w:bCs w:val="0"/>
        </w:rPr>
        <w:t>般公共预算财政拨款项目支出决算表</w:t>
      </w:r>
      <w:bookmarkEnd w:id="168"/>
      <w:bookmarkEnd w:id="169"/>
      <w:bookmarkEnd w:id="170"/>
      <w:bookmarkEnd w:id="171"/>
    </w:p>
    <w:p w14:paraId="19BD0BEA">
      <w:pPr>
        <w:pStyle w:val="3"/>
        <w:rPr>
          <w:rFonts w:ascii="仿宋" w:hAnsi="仿宋" w:eastAsia="仿宋"/>
        </w:rPr>
      </w:pPr>
      <w:bookmarkStart w:id="172" w:name="_Toc15396628"/>
      <w:bookmarkStart w:id="173" w:name="_Toc6"/>
      <w:bookmarkStart w:id="174" w:name="_Toc31179"/>
      <w:bookmarkStart w:id="175" w:name="_Toc4103"/>
      <w:r>
        <w:rPr>
          <w:rStyle w:val="33"/>
          <w:rFonts w:hint="eastAsia" w:ascii="仿宋" w:hAnsi="仿宋" w:eastAsia="仿宋"/>
          <w:b w:val="0"/>
          <w:bCs w:val="0"/>
        </w:rPr>
        <w:t>十、</w:t>
      </w:r>
      <w:bookmarkEnd w:id="172"/>
      <w:r>
        <w:rPr>
          <w:rFonts w:hint="eastAsia" w:ascii="仿宋" w:hAnsi="仿宋" w:eastAsia="仿宋"/>
          <w:b w:val="0"/>
        </w:rPr>
        <w:t>政</w:t>
      </w:r>
      <w:r>
        <w:rPr>
          <w:rStyle w:val="33"/>
          <w:rFonts w:hint="eastAsia" w:ascii="仿宋" w:hAnsi="仿宋" w:eastAsia="仿宋"/>
          <w:b w:val="0"/>
          <w:bCs w:val="0"/>
        </w:rPr>
        <w:t>府性基金预算财政拨款收入支出决算表</w:t>
      </w:r>
      <w:bookmarkEnd w:id="173"/>
      <w:bookmarkEnd w:id="174"/>
      <w:bookmarkEnd w:id="175"/>
    </w:p>
    <w:p w14:paraId="38266807">
      <w:pPr>
        <w:pStyle w:val="3"/>
        <w:rPr>
          <w:rFonts w:ascii="仿宋" w:hAnsi="仿宋" w:eastAsia="仿宋"/>
        </w:rPr>
      </w:pPr>
      <w:bookmarkStart w:id="176" w:name="_Toc15396629"/>
      <w:bookmarkStart w:id="177" w:name="_Toc579"/>
      <w:bookmarkStart w:id="178" w:name="_Toc24885"/>
      <w:bookmarkStart w:id="179" w:name="_Toc9915"/>
      <w:r>
        <w:rPr>
          <w:rStyle w:val="33"/>
          <w:rFonts w:hint="eastAsia" w:ascii="仿宋" w:hAnsi="仿宋" w:eastAsia="仿宋"/>
          <w:b w:val="0"/>
          <w:bCs w:val="0"/>
        </w:rPr>
        <w:t>十一、</w:t>
      </w:r>
      <w:bookmarkEnd w:id="176"/>
      <w:r>
        <w:rPr>
          <w:rFonts w:hint="eastAsia" w:ascii="仿宋" w:hAnsi="仿宋" w:eastAsia="仿宋"/>
          <w:b w:val="0"/>
        </w:rPr>
        <w:t>国</w:t>
      </w:r>
      <w:r>
        <w:rPr>
          <w:rStyle w:val="33"/>
          <w:rFonts w:hint="eastAsia" w:ascii="仿宋" w:hAnsi="仿宋" w:eastAsia="仿宋"/>
          <w:b w:val="0"/>
          <w:bCs w:val="0"/>
        </w:rPr>
        <w:t>有资本经营预算财政拨款收入支出决算表</w:t>
      </w:r>
      <w:bookmarkEnd w:id="177"/>
      <w:bookmarkEnd w:id="178"/>
      <w:bookmarkEnd w:id="179"/>
    </w:p>
    <w:p w14:paraId="76A58786">
      <w:pPr>
        <w:pStyle w:val="3"/>
        <w:rPr>
          <w:rFonts w:ascii="仿宋" w:hAnsi="仿宋" w:eastAsia="仿宋"/>
        </w:rPr>
      </w:pPr>
      <w:bookmarkStart w:id="180" w:name="_Toc15396630"/>
      <w:bookmarkStart w:id="181" w:name="_Toc16772"/>
      <w:bookmarkStart w:id="182" w:name="_Toc23413"/>
      <w:bookmarkStart w:id="183" w:name="_Toc1734"/>
      <w:r>
        <w:rPr>
          <w:rStyle w:val="33"/>
          <w:rFonts w:hint="eastAsia" w:ascii="仿宋" w:hAnsi="仿宋" w:eastAsia="仿宋"/>
          <w:b w:val="0"/>
          <w:bCs w:val="0"/>
        </w:rPr>
        <w:t>十二、</w:t>
      </w:r>
      <w:bookmarkEnd w:id="180"/>
      <w:r>
        <w:rPr>
          <w:rStyle w:val="33"/>
          <w:rFonts w:hint="eastAsia" w:ascii="仿宋" w:hAnsi="仿宋" w:eastAsia="仿宋"/>
          <w:b w:val="0"/>
          <w:bCs w:val="0"/>
        </w:rPr>
        <w:t>国有资本经营预算财政拨款支出决算表</w:t>
      </w:r>
      <w:bookmarkEnd w:id="181"/>
      <w:bookmarkEnd w:id="182"/>
      <w:bookmarkEnd w:id="183"/>
    </w:p>
    <w:p w14:paraId="1177825F">
      <w:pPr>
        <w:pStyle w:val="3"/>
        <w:rPr>
          <w:rFonts w:eastAsia="仿宋"/>
        </w:rPr>
      </w:pPr>
      <w:bookmarkStart w:id="184" w:name="_Toc15396631"/>
      <w:bookmarkStart w:id="185" w:name="_Toc14326"/>
      <w:bookmarkStart w:id="186" w:name="_Toc279"/>
      <w:bookmarkStart w:id="187" w:name="_Toc23303"/>
      <w:r>
        <w:rPr>
          <w:rStyle w:val="33"/>
          <w:rFonts w:hint="eastAsia" w:ascii="仿宋" w:hAnsi="仿宋" w:eastAsia="仿宋"/>
          <w:b w:val="0"/>
          <w:bCs w:val="0"/>
        </w:rPr>
        <w:t>十三、</w:t>
      </w:r>
      <w:bookmarkEnd w:id="184"/>
      <w:r>
        <w:rPr>
          <w:rStyle w:val="33"/>
          <w:rFonts w:hint="eastAsia" w:ascii="仿宋" w:hAnsi="仿宋" w:eastAsia="仿宋"/>
          <w:b w:val="0"/>
          <w:bCs w:val="0"/>
        </w:rPr>
        <w:t>财政拨款“三公”经费支出决算表</w:t>
      </w:r>
      <w:bookmarkEnd w:id="185"/>
      <w:bookmarkEnd w:id="186"/>
      <w:bookmarkEnd w:id="187"/>
    </w:p>
    <w:sectPr>
      <w:pgSz w:w="11906" w:h="16838"/>
      <w:pgMar w:top="1803" w:right="1440" w:bottom="1803" w:left="1440" w:header="851" w:footer="992" w:gutter="0"/>
      <w:pgNumType w:fmt="decimal" w:start="1"/>
      <w:cols w:space="0" w:num="1"/>
      <w:titlePg/>
      <w:rtlGutter w:val="0"/>
      <w:docGrid w:type="lines" w:linePitch="45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7856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94B1">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42DC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D94FBB">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CD94FBB">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8DA6">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1FBBC">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EF1FBBC">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9A514">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D6E07ED"/>
    <w:multiLevelType w:val="singleLevel"/>
    <w:tmpl w:val="DD6E07ED"/>
    <w:lvl w:ilvl="0" w:tentative="0">
      <w:start w:val="2"/>
      <w:numFmt w:val="chineseCounting"/>
      <w:suff w:val="nothing"/>
      <w:lvlText w:val="（%1）"/>
      <w:lvlJc w:val="left"/>
      <w:rPr>
        <w:rFonts w:hint="eastAsia"/>
      </w:rPr>
    </w:lvl>
  </w:abstractNum>
  <w:abstractNum w:abstractNumId="2">
    <w:nsid w:val="F9F118AD"/>
    <w:multiLevelType w:val="singleLevel"/>
    <w:tmpl w:val="F9F118AD"/>
    <w:lvl w:ilvl="0" w:tentative="0">
      <w:start w:val="1"/>
      <w:numFmt w:val="decimal"/>
      <w:lvlText w:val="%1."/>
      <w:lvlJc w:val="left"/>
      <w:pPr>
        <w:tabs>
          <w:tab w:val="left" w:pos="312"/>
        </w:tabs>
      </w:p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818A09A"/>
    <w:multiLevelType w:val="singleLevel"/>
    <w:tmpl w:val="3818A09A"/>
    <w:lvl w:ilvl="0" w:tentative="0">
      <w:start w:val="1"/>
      <w:numFmt w:val="chineseCounting"/>
      <w:suff w:val="nothing"/>
      <w:lvlText w:val="%1、"/>
      <w:lvlJc w:val="left"/>
      <w:rPr>
        <w:rFonts w:hint="eastAsia"/>
      </w:rPr>
    </w:lvl>
  </w:abstractNum>
  <w:abstractNum w:abstractNumId="5">
    <w:nsid w:val="43E2BE47"/>
    <w:multiLevelType w:val="singleLevel"/>
    <w:tmpl w:val="43E2BE47"/>
    <w:lvl w:ilvl="0" w:tentative="0">
      <w:start w:val="2"/>
      <w:numFmt w:val="chineseCounting"/>
      <w:suff w:val="nothing"/>
      <w:lvlText w:val="（%1）"/>
      <w:lvlJc w:val="left"/>
      <w:rPr>
        <w:rFonts w:hint="eastAsia"/>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225"/>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hMmE0YmIwMDJhZWE2NzVjOWE5Zjk1Y2VjNmFhNjg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626374"/>
    <w:rsid w:val="02D92666"/>
    <w:rsid w:val="03DC2831"/>
    <w:rsid w:val="03EF4A53"/>
    <w:rsid w:val="04530742"/>
    <w:rsid w:val="04AF6595"/>
    <w:rsid w:val="04B14F1D"/>
    <w:rsid w:val="04BF763A"/>
    <w:rsid w:val="05E10A8F"/>
    <w:rsid w:val="06193524"/>
    <w:rsid w:val="07247C28"/>
    <w:rsid w:val="081B5E94"/>
    <w:rsid w:val="08C47915"/>
    <w:rsid w:val="093F6F9B"/>
    <w:rsid w:val="0A0F01F4"/>
    <w:rsid w:val="0A2032A3"/>
    <w:rsid w:val="0B357BDD"/>
    <w:rsid w:val="0B8A37D8"/>
    <w:rsid w:val="0D442212"/>
    <w:rsid w:val="0E6876A8"/>
    <w:rsid w:val="0E8C1AE8"/>
    <w:rsid w:val="0EFF2622"/>
    <w:rsid w:val="0F0C7869"/>
    <w:rsid w:val="0F18706B"/>
    <w:rsid w:val="0F5D72D3"/>
    <w:rsid w:val="0F5FFB2F"/>
    <w:rsid w:val="0FFFCF60"/>
    <w:rsid w:val="102E38C6"/>
    <w:rsid w:val="10765998"/>
    <w:rsid w:val="10C055FF"/>
    <w:rsid w:val="11335BD7"/>
    <w:rsid w:val="118107EC"/>
    <w:rsid w:val="11936992"/>
    <w:rsid w:val="11B147AE"/>
    <w:rsid w:val="11DD6519"/>
    <w:rsid w:val="11EC57E6"/>
    <w:rsid w:val="11F0177A"/>
    <w:rsid w:val="12045226"/>
    <w:rsid w:val="12072620"/>
    <w:rsid w:val="1229440C"/>
    <w:rsid w:val="12E017EF"/>
    <w:rsid w:val="13C83593"/>
    <w:rsid w:val="149C34F4"/>
    <w:rsid w:val="154716B1"/>
    <w:rsid w:val="15BE749A"/>
    <w:rsid w:val="16717AE4"/>
    <w:rsid w:val="16BB723D"/>
    <w:rsid w:val="178C4AC1"/>
    <w:rsid w:val="17D2224A"/>
    <w:rsid w:val="18015F3F"/>
    <w:rsid w:val="186C142F"/>
    <w:rsid w:val="18E86D07"/>
    <w:rsid w:val="1A143B2C"/>
    <w:rsid w:val="1A467315"/>
    <w:rsid w:val="1B1427BF"/>
    <w:rsid w:val="1B2D2294"/>
    <w:rsid w:val="1B7A0685"/>
    <w:rsid w:val="1BE8440E"/>
    <w:rsid w:val="1C67088B"/>
    <w:rsid w:val="1D155CEE"/>
    <w:rsid w:val="1D1E53EE"/>
    <w:rsid w:val="1FDBBF84"/>
    <w:rsid w:val="20CE2C87"/>
    <w:rsid w:val="20F36B91"/>
    <w:rsid w:val="20F57F95"/>
    <w:rsid w:val="22941CAE"/>
    <w:rsid w:val="22C13E17"/>
    <w:rsid w:val="23CE3CFB"/>
    <w:rsid w:val="23D5257E"/>
    <w:rsid w:val="240371BF"/>
    <w:rsid w:val="241906BD"/>
    <w:rsid w:val="2448431C"/>
    <w:rsid w:val="24A0493A"/>
    <w:rsid w:val="25711CC6"/>
    <w:rsid w:val="25C741E6"/>
    <w:rsid w:val="25E20F82"/>
    <w:rsid w:val="2646600E"/>
    <w:rsid w:val="26E259AC"/>
    <w:rsid w:val="2726635D"/>
    <w:rsid w:val="272E3A8D"/>
    <w:rsid w:val="27391076"/>
    <w:rsid w:val="27483067"/>
    <w:rsid w:val="276F80C0"/>
    <w:rsid w:val="27842671"/>
    <w:rsid w:val="27D17500"/>
    <w:rsid w:val="28092EF8"/>
    <w:rsid w:val="29283150"/>
    <w:rsid w:val="29FD04D3"/>
    <w:rsid w:val="2A6F54DA"/>
    <w:rsid w:val="2ABE7A3E"/>
    <w:rsid w:val="2ADF39FD"/>
    <w:rsid w:val="2AFF09B6"/>
    <w:rsid w:val="2B2F7610"/>
    <w:rsid w:val="2B4D50F0"/>
    <w:rsid w:val="2B8E7BE2"/>
    <w:rsid w:val="2CA234A8"/>
    <w:rsid w:val="2CC94C4A"/>
    <w:rsid w:val="2CF55A3F"/>
    <w:rsid w:val="2D614E83"/>
    <w:rsid w:val="2E734E6D"/>
    <w:rsid w:val="2E780C11"/>
    <w:rsid w:val="2E786CE6"/>
    <w:rsid w:val="2EFA178C"/>
    <w:rsid w:val="2EFDF86C"/>
    <w:rsid w:val="2F210D6D"/>
    <w:rsid w:val="2F8C268B"/>
    <w:rsid w:val="2F9D17E1"/>
    <w:rsid w:val="301D7787"/>
    <w:rsid w:val="30B46D73"/>
    <w:rsid w:val="30F30C0F"/>
    <w:rsid w:val="31206302"/>
    <w:rsid w:val="316B007A"/>
    <w:rsid w:val="319F7F4E"/>
    <w:rsid w:val="31A30305"/>
    <w:rsid w:val="32240E9F"/>
    <w:rsid w:val="32472899"/>
    <w:rsid w:val="32CB171C"/>
    <w:rsid w:val="33A766DC"/>
    <w:rsid w:val="33A855B9"/>
    <w:rsid w:val="356A28F1"/>
    <w:rsid w:val="357C035A"/>
    <w:rsid w:val="368A71F8"/>
    <w:rsid w:val="368E000D"/>
    <w:rsid w:val="37A442EA"/>
    <w:rsid w:val="37A74959"/>
    <w:rsid w:val="37ED5C91"/>
    <w:rsid w:val="383D272C"/>
    <w:rsid w:val="388C36FB"/>
    <w:rsid w:val="39AE70AB"/>
    <w:rsid w:val="39D30EB6"/>
    <w:rsid w:val="3A4DCE41"/>
    <w:rsid w:val="3ADD1FEC"/>
    <w:rsid w:val="3B1B2B15"/>
    <w:rsid w:val="3B4007CD"/>
    <w:rsid w:val="3B783AC3"/>
    <w:rsid w:val="3BCB56FA"/>
    <w:rsid w:val="3BD66A3C"/>
    <w:rsid w:val="3C0C0783"/>
    <w:rsid w:val="3C1732DC"/>
    <w:rsid w:val="3C265C15"/>
    <w:rsid w:val="3C746980"/>
    <w:rsid w:val="3CC316B6"/>
    <w:rsid w:val="3CC82828"/>
    <w:rsid w:val="3E5C591E"/>
    <w:rsid w:val="3E611186"/>
    <w:rsid w:val="3EE7C2F4"/>
    <w:rsid w:val="3F371B56"/>
    <w:rsid w:val="3F676329"/>
    <w:rsid w:val="3F792ED8"/>
    <w:rsid w:val="3F80563C"/>
    <w:rsid w:val="3F9F3A96"/>
    <w:rsid w:val="3FC1012F"/>
    <w:rsid w:val="3FECA4B2"/>
    <w:rsid w:val="3FF58C48"/>
    <w:rsid w:val="405074A9"/>
    <w:rsid w:val="406923D6"/>
    <w:rsid w:val="408D7732"/>
    <w:rsid w:val="40CF741A"/>
    <w:rsid w:val="40FE3A64"/>
    <w:rsid w:val="428C60A6"/>
    <w:rsid w:val="42A95808"/>
    <w:rsid w:val="42FC5BA0"/>
    <w:rsid w:val="42FF6694"/>
    <w:rsid w:val="432828BE"/>
    <w:rsid w:val="43307150"/>
    <w:rsid w:val="43432C09"/>
    <w:rsid w:val="43F9776B"/>
    <w:rsid w:val="443E621C"/>
    <w:rsid w:val="444B446B"/>
    <w:rsid w:val="44670B79"/>
    <w:rsid w:val="455A248C"/>
    <w:rsid w:val="45644C0B"/>
    <w:rsid w:val="4574354D"/>
    <w:rsid w:val="45912351"/>
    <w:rsid w:val="46366A55"/>
    <w:rsid w:val="465F5FAB"/>
    <w:rsid w:val="469F45FA"/>
    <w:rsid w:val="48024C9E"/>
    <w:rsid w:val="4820176A"/>
    <w:rsid w:val="48573E99"/>
    <w:rsid w:val="48BF60AB"/>
    <w:rsid w:val="492B64B7"/>
    <w:rsid w:val="49366D6C"/>
    <w:rsid w:val="493C27E9"/>
    <w:rsid w:val="494E6A19"/>
    <w:rsid w:val="496F39ED"/>
    <w:rsid w:val="49C64593"/>
    <w:rsid w:val="49FF41D3"/>
    <w:rsid w:val="4A7144FF"/>
    <w:rsid w:val="4B46598C"/>
    <w:rsid w:val="4B50680B"/>
    <w:rsid w:val="4B645E12"/>
    <w:rsid w:val="4B8A2A65"/>
    <w:rsid w:val="4BBF68D2"/>
    <w:rsid w:val="4BC048DB"/>
    <w:rsid w:val="4BE068DB"/>
    <w:rsid w:val="4BF6002B"/>
    <w:rsid w:val="4BFFC6BE"/>
    <w:rsid w:val="4C261319"/>
    <w:rsid w:val="4C8524E4"/>
    <w:rsid w:val="4D5C3245"/>
    <w:rsid w:val="4DE07FF6"/>
    <w:rsid w:val="4DF67695"/>
    <w:rsid w:val="4E031311"/>
    <w:rsid w:val="4E882D43"/>
    <w:rsid w:val="4EB96728"/>
    <w:rsid w:val="4ECC264C"/>
    <w:rsid w:val="4ECE2238"/>
    <w:rsid w:val="4EF91124"/>
    <w:rsid w:val="4F064F08"/>
    <w:rsid w:val="50B26B02"/>
    <w:rsid w:val="51AC6CD8"/>
    <w:rsid w:val="51DB4B86"/>
    <w:rsid w:val="51F64DB0"/>
    <w:rsid w:val="51FD5492"/>
    <w:rsid w:val="543C5DB5"/>
    <w:rsid w:val="54464859"/>
    <w:rsid w:val="55333C3E"/>
    <w:rsid w:val="55B434D4"/>
    <w:rsid w:val="57811AFA"/>
    <w:rsid w:val="584E7C2E"/>
    <w:rsid w:val="586B2160"/>
    <w:rsid w:val="58F30A2D"/>
    <w:rsid w:val="5A00764E"/>
    <w:rsid w:val="5A6B615E"/>
    <w:rsid w:val="5A9A53AC"/>
    <w:rsid w:val="5AEB5C08"/>
    <w:rsid w:val="5B8D6CBF"/>
    <w:rsid w:val="5B9C6388"/>
    <w:rsid w:val="5BFE5E0F"/>
    <w:rsid w:val="5CFF3BED"/>
    <w:rsid w:val="5E5B4E53"/>
    <w:rsid w:val="5EA52572"/>
    <w:rsid w:val="5F67802D"/>
    <w:rsid w:val="5F7DC4F2"/>
    <w:rsid w:val="5F8421A1"/>
    <w:rsid w:val="5FB36814"/>
    <w:rsid w:val="5FBB8E56"/>
    <w:rsid w:val="5FFB5535"/>
    <w:rsid w:val="609221A9"/>
    <w:rsid w:val="622F6D22"/>
    <w:rsid w:val="62CC09DC"/>
    <w:rsid w:val="63136E46"/>
    <w:rsid w:val="634E1D94"/>
    <w:rsid w:val="63F2006C"/>
    <w:rsid w:val="64CA39A1"/>
    <w:rsid w:val="652856D6"/>
    <w:rsid w:val="65387C9C"/>
    <w:rsid w:val="65515201"/>
    <w:rsid w:val="657864B7"/>
    <w:rsid w:val="65AA0A52"/>
    <w:rsid w:val="66674703"/>
    <w:rsid w:val="677D0530"/>
    <w:rsid w:val="677E2605"/>
    <w:rsid w:val="68132276"/>
    <w:rsid w:val="68BB130F"/>
    <w:rsid w:val="690B3A19"/>
    <w:rsid w:val="69630ADE"/>
    <w:rsid w:val="69BD5F13"/>
    <w:rsid w:val="69C67B3A"/>
    <w:rsid w:val="69E91EAC"/>
    <w:rsid w:val="69FB0B4B"/>
    <w:rsid w:val="6A1567FD"/>
    <w:rsid w:val="6A5C442C"/>
    <w:rsid w:val="6AC67AF8"/>
    <w:rsid w:val="6B3727A3"/>
    <w:rsid w:val="6BFFE1FB"/>
    <w:rsid w:val="6C087CC7"/>
    <w:rsid w:val="6C4A05C8"/>
    <w:rsid w:val="6C9F6415"/>
    <w:rsid w:val="6D3B1A89"/>
    <w:rsid w:val="6D91263F"/>
    <w:rsid w:val="6DB7D8A3"/>
    <w:rsid w:val="6EC78701"/>
    <w:rsid w:val="6F7A5481"/>
    <w:rsid w:val="6FFE07A9"/>
    <w:rsid w:val="70097028"/>
    <w:rsid w:val="70145B93"/>
    <w:rsid w:val="706B361B"/>
    <w:rsid w:val="706B41B2"/>
    <w:rsid w:val="70CB2469"/>
    <w:rsid w:val="714874B8"/>
    <w:rsid w:val="718F50E7"/>
    <w:rsid w:val="719B184C"/>
    <w:rsid w:val="71B66B18"/>
    <w:rsid w:val="71BF4EC2"/>
    <w:rsid w:val="721101F2"/>
    <w:rsid w:val="72144D27"/>
    <w:rsid w:val="72734D90"/>
    <w:rsid w:val="72C2773E"/>
    <w:rsid w:val="7326228C"/>
    <w:rsid w:val="73687B0E"/>
    <w:rsid w:val="73E75B71"/>
    <w:rsid w:val="7412278C"/>
    <w:rsid w:val="745C15DC"/>
    <w:rsid w:val="75B23F7E"/>
    <w:rsid w:val="75DDCDA9"/>
    <w:rsid w:val="75FF44B1"/>
    <w:rsid w:val="76B33626"/>
    <w:rsid w:val="77372B08"/>
    <w:rsid w:val="775D7A36"/>
    <w:rsid w:val="77670518"/>
    <w:rsid w:val="777FA627"/>
    <w:rsid w:val="77DF1B5F"/>
    <w:rsid w:val="77EF2D9D"/>
    <w:rsid w:val="78153E6C"/>
    <w:rsid w:val="783B7D77"/>
    <w:rsid w:val="787540FC"/>
    <w:rsid w:val="788A2AAC"/>
    <w:rsid w:val="78E1632D"/>
    <w:rsid w:val="7957712C"/>
    <w:rsid w:val="79E7B28D"/>
    <w:rsid w:val="7A314C67"/>
    <w:rsid w:val="7AA20F07"/>
    <w:rsid w:val="7ACFF0C2"/>
    <w:rsid w:val="7AFB9108"/>
    <w:rsid w:val="7B7E45F8"/>
    <w:rsid w:val="7BD5340C"/>
    <w:rsid w:val="7BDF6C6B"/>
    <w:rsid w:val="7BF03278"/>
    <w:rsid w:val="7BFB19D2"/>
    <w:rsid w:val="7BFD1750"/>
    <w:rsid w:val="7BFDAA1B"/>
    <w:rsid w:val="7C236931"/>
    <w:rsid w:val="7C5E5DE2"/>
    <w:rsid w:val="7CA47FCA"/>
    <w:rsid w:val="7CD32F2C"/>
    <w:rsid w:val="7CDF9A82"/>
    <w:rsid w:val="7CFFA1BD"/>
    <w:rsid w:val="7D2E3F7A"/>
    <w:rsid w:val="7DED9490"/>
    <w:rsid w:val="7DFE3170"/>
    <w:rsid w:val="7DFF4872"/>
    <w:rsid w:val="7E6305A4"/>
    <w:rsid w:val="7E716C6B"/>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CFE66DCD"/>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1680" w:firstLineChars="200"/>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3"/>
    <w:unhideWhenUsed/>
    <w:qFormat/>
    <w:uiPriority w:val="9"/>
    <w:pPr>
      <w:keepNext/>
      <w:keepLines/>
      <w:spacing w:line="600" w:lineRule="exact"/>
      <w:ind w:firstLine="1680" w:firstLineChars="200"/>
      <w:outlineLvl w:val="1"/>
    </w:pPr>
    <w:rPr>
      <w:rFonts w:asciiTheme="majorAscii" w:hAnsiTheme="majorAscii" w:eastAsiaTheme="majorEastAsia" w:cstheme="majorBidi"/>
      <w:b/>
      <w:bCs/>
      <w:sz w:val="32"/>
      <w:szCs w:val="32"/>
    </w:rPr>
  </w:style>
  <w:style w:type="paragraph" w:styleId="4">
    <w:name w:val="heading 3"/>
    <w:basedOn w:val="1"/>
    <w:next w:val="1"/>
    <w:link w:val="22"/>
    <w:unhideWhenUsed/>
    <w:qFormat/>
    <w:uiPriority w:val="9"/>
    <w:pPr>
      <w:keepNext/>
      <w:keepLines/>
      <w:spacing w:line="600" w:lineRule="exact"/>
      <w:ind w:firstLine="1680" w:firstLineChars="200"/>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Salutation"/>
    <w:basedOn w:val="1"/>
    <w:next w:val="1"/>
    <w:qFormat/>
    <w:uiPriority w:val="0"/>
    <w:pPr>
      <w:widowControl w:val="0"/>
      <w:jc w:val="both"/>
    </w:pPr>
    <w:rPr>
      <w:rFonts w:ascii="Calibri" w:hAnsi="Calibri" w:eastAsia="宋体" w:cs="宋体"/>
      <w:kern w:val="2"/>
      <w:sz w:val="21"/>
      <w:szCs w:val="24"/>
      <w:lang w:val="en-US" w:eastAsia="zh-CN" w:bidi="ar-SA"/>
    </w:rPr>
  </w:style>
  <w:style w:type="paragraph" w:styleId="6">
    <w:name w:val="Body Text"/>
    <w:basedOn w:val="1"/>
    <w:link w:val="29"/>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hAnsi="Courier New"/>
    </w:rPr>
  </w:style>
  <w:style w:type="paragraph" w:styleId="11">
    <w:name w:val="Balloon Text"/>
    <w:basedOn w:val="1"/>
    <w:link w:val="35"/>
    <w:semiHidden/>
    <w:unhideWhenUsed/>
    <w:qFormat/>
    <w:uiPriority w:val="99"/>
    <w:rPr>
      <w:sz w:val="18"/>
      <w:szCs w:val="18"/>
    </w:rPr>
  </w:style>
  <w:style w:type="paragraph" w:styleId="12">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next w:val="10"/>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next w:val="12"/>
    <w:qFormat/>
    <w:uiPriority w:val="0"/>
    <w:pPr>
      <w:spacing w:before="100" w:beforeAutospacing="1" w:after="10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标题 3 字符"/>
    <w:basedOn w:val="19"/>
    <w:link w:val="4"/>
    <w:qFormat/>
    <w:uiPriority w:val="9"/>
    <w:rPr>
      <w:rFonts w:ascii="Times New Roman" w:hAnsi="Times New Roman" w:eastAsia="宋体"/>
      <w:b/>
      <w:bCs/>
      <w:kern w:val="2"/>
      <w:sz w:val="32"/>
      <w:szCs w:val="32"/>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19"/>
    <w:semiHidden/>
    <w:qFormat/>
    <w:uiPriority w:val="99"/>
    <w:rPr>
      <w:rFonts w:ascii="Times New Roman" w:hAnsi="Times New Roman"/>
      <w:sz w:val="18"/>
      <w:szCs w:val="18"/>
    </w:rPr>
  </w:style>
  <w:style w:type="character" w:customStyle="1" w:styleId="25">
    <w:name w:val="页眉 字符"/>
    <w:link w:val="12"/>
    <w:semiHidden/>
    <w:qFormat/>
    <w:locked/>
    <w:uiPriority w:val="99"/>
    <w:rPr>
      <w:sz w:val="18"/>
    </w:rPr>
  </w:style>
  <w:style w:type="character" w:customStyle="1" w:styleId="26">
    <w:name w:val="Footer Char"/>
    <w:basedOn w:val="19"/>
    <w:semiHidden/>
    <w:qFormat/>
    <w:uiPriority w:val="99"/>
    <w:rPr>
      <w:rFonts w:ascii="Times New Roman" w:hAnsi="Times New Roman"/>
      <w:sz w:val="18"/>
      <w:szCs w:val="18"/>
    </w:rPr>
  </w:style>
  <w:style w:type="character" w:customStyle="1" w:styleId="27">
    <w:name w:val="页脚 字符"/>
    <w:link w:val="8"/>
    <w:qFormat/>
    <w:locked/>
    <w:uiPriority w:val="99"/>
    <w:rPr>
      <w:sz w:val="18"/>
    </w:rPr>
  </w:style>
  <w:style w:type="character" w:customStyle="1" w:styleId="28">
    <w:name w:val="Body Text Char"/>
    <w:basedOn w:val="19"/>
    <w:semiHidden/>
    <w:qFormat/>
    <w:uiPriority w:val="99"/>
    <w:rPr>
      <w:rFonts w:ascii="Times New Roman" w:hAnsi="Times New Roman"/>
      <w:szCs w:val="24"/>
    </w:rPr>
  </w:style>
  <w:style w:type="character" w:customStyle="1" w:styleId="29">
    <w:name w:val="正文文本 字符"/>
    <w:link w:val="6"/>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字符"/>
    <w:basedOn w:val="19"/>
    <w:link w:val="2"/>
    <w:qFormat/>
    <w:uiPriority w:val="9"/>
    <w:rPr>
      <w:rFonts w:ascii="Times New Roman" w:hAnsi="Times New Roman"/>
      <w:b/>
      <w:bCs/>
      <w:kern w:val="44"/>
      <w:sz w:val="44"/>
      <w:szCs w:val="44"/>
    </w:rPr>
  </w:style>
  <w:style w:type="character" w:customStyle="1" w:styleId="33">
    <w:name w:val="标题 2 字符"/>
    <w:basedOn w:val="19"/>
    <w:link w:val="3"/>
    <w:qFormat/>
    <w:uiPriority w:val="9"/>
    <w:rPr>
      <w:rFonts w:asciiTheme="majorAscii" w:hAnsiTheme="majorAscii" w:eastAsiaTheme="majorEastAsia" w:cstheme="majorBidi"/>
      <w:b/>
      <w:bCs/>
      <w:kern w:val="2"/>
      <w:sz w:val="32"/>
      <w:szCs w:val="32"/>
    </w:r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19"/>
    <w:link w:val="11"/>
    <w:semiHidden/>
    <w:qFormat/>
    <w:uiPriority w:val="99"/>
    <w:rPr>
      <w:rFonts w:ascii="Times New Roman" w:hAnsi="Times New Roman"/>
      <w:kern w:val="2"/>
      <w:sz w:val="18"/>
      <w:szCs w:val="18"/>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20(3).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20(3).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C&#30424;&#31227;&#21160;\&#20915;&#31639;%20-%20&#21103;&#26412;\2023&#24180;&#20915;&#31639;&#20844;&#24320;&#65288;&#27766;&#24029;&#65289;\&#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X%20&#24037;&#20316;&#34920;%20(3).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6032;&#24314;%20XLSX%20&#24037;&#20316;&#34920;%20(3).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X%20&#24037;&#20316;&#34920;%20(3).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C&#30424;&#31227;&#21160;\&#20915;&#31639;%20-%20&#21103;&#26412;\2023&#24180;&#20915;&#31639;&#20844;&#24320;&#65288;&#27766;&#24029;&#65289;\&#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a:p>
            <a:pPr defTabSz="914400">
              <a:defRPr lang="zh-CN" sz="1400" b="1" i="0" u="none" strike="noStrike" kern="1200" baseline="0">
                <a:solidFill>
                  <a:schemeClr val="tx1">
                    <a:lumMod val="75000"/>
                    <a:lumOff val="25000"/>
                  </a:schemeClr>
                </a:solidFill>
                <a:latin typeface="+mn-lt"/>
                <a:ea typeface="+mn-ea"/>
                <a:cs typeface="+mn-cs"/>
              </a:defRPr>
            </a:pPr>
          </a:p>
        </c:rich>
      </c:tx>
      <c:layout>
        <c:manualLayout>
          <c:xMode val="edge"/>
          <c:yMode val="edge"/>
          <c:x val="0.217105263157895"/>
          <c:y val="0.018981481481481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 (3).xlsx]Sheet1'!$D$23:$D$24</c:f>
              <c:strCache>
                <c:ptCount val="2"/>
                <c:pt idx="0">
                  <c:v>2024年</c:v>
                </c:pt>
                <c:pt idx="1">
                  <c:v>2025年</c:v>
                </c:pt>
              </c:strCache>
            </c:strRef>
          </c:cat>
          <c:val>
            <c:numRef>
              <c:f>'[新建 XLSX 工作表 (3).xlsx]Sheet1'!$E$23:$E$24</c:f>
              <c:numCache>
                <c:formatCode>General</c:formatCode>
                <c:ptCount val="2"/>
                <c:pt idx="0">
                  <c:v>1190.98</c:v>
                </c:pt>
                <c:pt idx="1">
                  <c:v>2011.65</c:v>
                </c:pt>
              </c:numCache>
            </c:numRef>
          </c:val>
        </c:ser>
        <c:dLbls>
          <c:showLegendKey val="0"/>
          <c:showVal val="1"/>
          <c:showCatName val="0"/>
          <c:showSerName val="0"/>
          <c:showPercent val="0"/>
          <c:showBubbleSize val="0"/>
        </c:dLbls>
        <c:gapWidth val="246"/>
        <c:overlap val="-28"/>
        <c:axId val="494996015"/>
        <c:axId val="88730256"/>
      </c:barChart>
      <c:catAx>
        <c:axId val="49499601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30256"/>
        <c:crosses val="autoZero"/>
        <c:auto val="1"/>
        <c:lblAlgn val="ctr"/>
        <c:lblOffset val="100"/>
        <c:noMultiLvlLbl val="0"/>
      </c:catAx>
      <c:valAx>
        <c:axId val="8873025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960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1ae61c95-6ddf-47d8-b78b-2663c54316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 (3).xlsx]Sheet1'!$L$23:$S$23</c:f>
              <c:strCache>
                <c:ptCount val="8"/>
                <c:pt idx="0">
                  <c:v>一般公共预算财政拨款收入</c:v>
                </c:pt>
                <c:pt idx="1">
                  <c:v>国有资本经营预算财政拨款收入</c:v>
                </c:pt>
                <c:pt idx="2">
                  <c:v>事业收入</c:v>
                </c:pt>
                <c:pt idx="3">
                  <c:v>附属单位上缴收入</c:v>
                </c:pt>
                <c:pt idx="4">
                  <c:v>政府性基金预算财政拨款收入</c:v>
                </c:pt>
                <c:pt idx="5">
                  <c:v>上级补助收入</c:v>
                </c:pt>
                <c:pt idx="6">
                  <c:v>经营收入</c:v>
                </c:pt>
                <c:pt idx="7">
                  <c:v>其他收入</c:v>
                </c:pt>
              </c:strCache>
            </c:strRef>
          </c:cat>
          <c:val>
            <c:numRef>
              <c:f>'[新建 XLSX 工作表 (3).xlsx]Sheet1'!$L$24:$S$24</c:f>
              <c:numCache>
                <c:formatCode>0%</c:formatCode>
                <c:ptCount val="8"/>
                <c:pt idx="0">
                  <c:v>0.39</c:v>
                </c:pt>
                <c:pt idx="1" c:formatCode="General">
                  <c:v>0</c:v>
                </c:pt>
                <c:pt idx="2" c:formatCode="General">
                  <c:v>0</c:v>
                </c:pt>
                <c:pt idx="3" c:formatCode="General">
                  <c:v>0</c:v>
                </c:pt>
                <c:pt idx="4" c:formatCode="General">
                  <c:v>0</c:v>
                </c:pt>
                <c:pt idx="5" c:formatCode="General">
                  <c:v>0</c:v>
                </c:pt>
                <c:pt idx="6" c:formatCode="General">
                  <c:v>0</c:v>
                </c:pt>
                <c:pt idx="7">
                  <c:v>0.61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5e5e939-729e-489e-9484-da58691b4ec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a:t>
                    </a:r>
                    <a:r>
                      <a:rPr lang="en-US" altLang="zh-CN"/>
                      <a:t>7</a:t>
                    </a:r>
                    <a:r>
                      <a:t>%</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工作表.xls]Sheet1'!$D$20:$D$24</c:f>
              <c:strCache>
                <c:ptCount val="5"/>
                <c:pt idx="0">
                  <c:v>基本支出</c:v>
                </c:pt>
                <c:pt idx="1">
                  <c:v>项目支出</c:v>
                </c:pt>
                <c:pt idx="2">
                  <c:v>上缴上级支出</c:v>
                </c:pt>
                <c:pt idx="3">
                  <c:v>经营支出</c:v>
                </c:pt>
                <c:pt idx="4">
                  <c:v>对附属单位补助支出</c:v>
                </c:pt>
              </c:strCache>
            </c:strRef>
          </c:cat>
          <c:val>
            <c:numRef>
              <c:f>'[新建 XLS 工作表.xls]Sheet1'!$E$20:$E$24</c:f>
              <c:numCache>
                <c:formatCode>0.00%</c:formatCode>
                <c:ptCount val="5"/>
                <c:pt idx="0">
                  <c:v>0.138</c:v>
                </c:pt>
                <c:pt idx="1">
                  <c:v>0.862</c:v>
                </c:pt>
                <c:pt idx="2" c:formatCode="0%">
                  <c:v>0</c:v>
                </c:pt>
                <c:pt idx="3" c:formatCode="0%">
                  <c:v>0</c:v>
                </c:pt>
                <c:pt idx="4" c:formatCode="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a95a839-fdf0-4244-a426-e1663b48251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'[新建 XLSX 工作表 (3).xlsx]Sheet2'!$K$17</c:f>
              <c:strCache>
                <c:ptCount val="1"/>
                <c:pt idx="0">
                  <c:v>财政拨款收、支决算数（万元）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 (3).xlsx]Sheet2'!$J$18:$J$19</c:f>
              <c:strCache>
                <c:ptCount val="2"/>
                <c:pt idx="0">
                  <c:v>2024年</c:v>
                </c:pt>
                <c:pt idx="1">
                  <c:v>2025年</c:v>
                </c:pt>
              </c:strCache>
            </c:strRef>
          </c:cat>
          <c:val>
            <c:numRef>
              <c:f>'[新建 XLSX 工作表 (3).xlsx]Sheet2'!$K$18:$K$19</c:f>
              <c:numCache>
                <c:formatCode>General</c:formatCode>
                <c:ptCount val="2"/>
                <c:pt idx="0">
                  <c:v>296.32</c:v>
                </c:pt>
                <c:pt idx="1">
                  <c:v>781.62</c:v>
                </c:pt>
              </c:numCache>
            </c:numRef>
          </c:val>
        </c:ser>
        <c:dLbls>
          <c:showLegendKey val="0"/>
          <c:showVal val="1"/>
          <c:showCatName val="0"/>
          <c:showSerName val="0"/>
          <c:showPercent val="0"/>
          <c:showBubbleSize val="0"/>
        </c:dLbls>
        <c:gapWidth val="246"/>
        <c:overlap val="-28"/>
        <c:axId val="842192525"/>
        <c:axId val="242699346"/>
      </c:barChart>
      <c:catAx>
        <c:axId val="84219252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699346"/>
        <c:crosses val="autoZero"/>
        <c:auto val="1"/>
        <c:lblAlgn val="ctr"/>
        <c:lblOffset val="100"/>
        <c:noMultiLvlLbl val="0"/>
      </c:catAx>
      <c:valAx>
        <c:axId val="24269934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21925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7f6de82-3046-4992-b3bd-7985c255fe3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'[新建 XLSX 工作表 (3).xlsx]Sheet2'!$K$17</c:f>
              <c:strCache>
                <c:ptCount val="1"/>
                <c:pt idx="0">
                  <c:v>一般公共预算财政拨款支出决算情况（万元）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 (3).xlsx]Sheet2'!$J$18:$J$19</c:f>
              <c:strCache>
                <c:ptCount val="2"/>
                <c:pt idx="0">
                  <c:v>2024年</c:v>
                </c:pt>
                <c:pt idx="1">
                  <c:v>2025年</c:v>
                </c:pt>
              </c:strCache>
            </c:strRef>
          </c:cat>
          <c:val>
            <c:numRef>
              <c:f>'[新建 XLSX 工作表 (3).xlsx]Sheet2'!$K$18:$K$19</c:f>
              <c:numCache>
                <c:formatCode>General</c:formatCode>
                <c:ptCount val="2"/>
                <c:pt idx="0">
                  <c:v>296.32</c:v>
                </c:pt>
                <c:pt idx="1">
                  <c:v>781.62</c:v>
                </c:pt>
              </c:numCache>
            </c:numRef>
          </c:val>
        </c:ser>
        <c:dLbls>
          <c:showLegendKey val="0"/>
          <c:showVal val="1"/>
          <c:showCatName val="0"/>
          <c:showSerName val="0"/>
          <c:showPercent val="0"/>
          <c:showBubbleSize val="0"/>
        </c:dLbls>
        <c:gapWidth val="246"/>
        <c:overlap val="-28"/>
        <c:axId val="857493371"/>
        <c:axId val="675312639"/>
      </c:barChart>
      <c:catAx>
        <c:axId val="8574933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312639"/>
        <c:crosses val="autoZero"/>
        <c:auto val="1"/>
        <c:lblAlgn val="ctr"/>
        <c:lblOffset val="100"/>
        <c:noMultiLvlLbl val="0"/>
      </c:catAx>
      <c:valAx>
        <c:axId val="67531263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74933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c342e96-0a5b-4f69-8e89-17fbee7dfa4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'[新建 XLSX 工作表 (3).xlsx]Sheet1'!$J$14:$M$15</c:f>
              <c:multiLvlStrCache>
                <c:ptCount val="4"/>
                <c:lvl>
                  <c:pt idx="0">
                    <c:v>卫生健康支出</c:v>
                  </c:pt>
                  <c:pt idx="1">
                    <c:v>社会保障和就业支出</c:v>
                  </c:pt>
                  <c:pt idx="2">
                    <c:v>节能环保支出</c:v>
                  </c:pt>
                  <c:pt idx="3">
                    <c:v>住房保障支出</c:v>
                  </c:pt>
                </c:lvl>
                <c:lvl/>
              </c:multiLvlStrCache>
            </c:multiLvlStrRef>
          </c:cat>
          <c:val>
            <c:numRef>
              <c:f>'[新建 XLSX 工作表 (3).xlsx]Sheet1'!$J$16:$M$16</c:f>
              <c:numCache>
                <c:formatCode>General</c:formatCode>
                <c:ptCount val="4"/>
                <c:pt idx="0">
                  <c:v>13.83</c:v>
                </c:pt>
                <c:pt idx="1">
                  <c:v>47.64</c:v>
                </c:pt>
                <c:pt idx="2">
                  <c:v>697.92</c:v>
                </c:pt>
                <c:pt idx="3">
                  <c:v>22.23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42e92d-1dc7-416f-97be-ddb06beb1a1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 工作表.xls]Sheet1'!$E$89</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5">
                  <a:lumMod val="60000"/>
                  <a:lumOff val="4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工作表.xls]Sheet1'!$D$90:$D$92</c:f>
              <c:strCache>
                <c:ptCount val="3"/>
                <c:pt idx="0">
                  <c:v>因公出国（境）费支出</c:v>
                </c:pt>
                <c:pt idx="1">
                  <c:v>公务用车购置及运行维护费支出</c:v>
                </c:pt>
                <c:pt idx="2">
                  <c:v>公务接待费支出</c:v>
                </c:pt>
              </c:strCache>
            </c:strRef>
          </c:cat>
          <c:val>
            <c:numRef>
              <c:f>'[新建 XLS 工作表.xls]Sheet1'!$E$90:$E$92</c:f>
              <c:numCache>
                <c:formatCode>0%</c:formatCode>
                <c:ptCount val="3"/>
                <c:pt idx="0">
                  <c:v>0</c:v>
                </c:pt>
                <c:pt idx="1">
                  <c:v>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c44a9c-d30a-469e-9bdd-7db260e789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109</Pages>
  <Words>10577</Words>
  <Characters>11553</Characters>
  <Lines>54</Lines>
  <Paragraphs>15</Paragraphs>
  <TotalTime>14</TotalTime>
  <ScaleCrop>false</ScaleCrop>
  <LinksUpToDate>false</LinksUpToDate>
  <CharactersWithSpaces>11713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2020-08-08T09:49:00Z</dcterms:created>
  <dc:creator>曹颖</dc:creator>
  <cp:lastModifiedBy>WPS_1765503685</cp:lastModifiedBy>
  <cp:lastPrinted>2026-09-10T07:30:27Z</cp:lastPrinted>
  <dcterms:modified xsi:type="dcterms:W3CDTF">2026-09-10T07:31:59Z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F66F13A7B7E24346B93E21783702D20D_13</vt:lpwstr>
  </property>
  <property fmtid="{D5CDD505-2E9C-101B-9397-08002B2CF9AE}" pid="4" name="KSOTemplateDocerSaveRecord">
    <vt:lpwstr>eyJoZGlkIjoiZjIwMmJhMTJlYjVlYThmMDcyMWQ2MjZhNGVmZDNlNmYiLCJ1c2VySWQiOiIxNzc5MzUxMDA3In0=</vt:lpwstr>
  </property>
</Properties>
</file>