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F6725">
      <w:pPr>
        <w:spacing w:line="600" w:lineRule="exact"/>
        <w:jc w:val="left"/>
        <w:outlineLvl w:val="0"/>
        <w:rPr>
          <w:rFonts w:ascii="方正小标宋简体" w:hAnsi="宋体" w:eastAsia="方正小标宋简体"/>
          <w:szCs w:val="21"/>
        </w:rPr>
      </w:pPr>
      <w:bookmarkStart w:id="0" w:name="_Toc15306267"/>
    </w:p>
    <w:p w14:paraId="2540F4D4">
      <w:pPr>
        <w:pStyle w:val="5"/>
        <w:spacing w:before="93"/>
      </w:pPr>
    </w:p>
    <w:p w14:paraId="2A70AF14">
      <w:pPr>
        <w:bidi w:val="0"/>
        <w:jc w:val="center"/>
        <w:rPr>
          <w:rFonts w:hint="eastAsia" w:ascii="黑体" w:hAnsi="黑体" w:eastAsia="黑体" w:cs="黑体"/>
          <w:sz w:val="84"/>
          <w:szCs w:val="84"/>
        </w:rPr>
      </w:pPr>
      <w:bookmarkStart w:id="1" w:name="_Toc15396597"/>
      <w:bookmarkStart w:id="2" w:name="_Toc15378441"/>
      <w:bookmarkStart w:id="3" w:name="_Toc15396475"/>
      <w:bookmarkStart w:id="4" w:name="_Toc15377425"/>
      <w:bookmarkStart w:id="5" w:name="_Toc15377193"/>
      <w:r>
        <w:rPr>
          <w:rFonts w:hint="eastAsia" w:ascii="黑体" w:hAnsi="黑体" w:eastAsia="黑体" w:cs="黑体"/>
          <w:sz w:val="84"/>
          <w:szCs w:val="84"/>
          <w:lang w:eastAsia="zh-CN"/>
        </w:rPr>
        <w:t>2025</w:t>
      </w:r>
      <w:r>
        <w:rPr>
          <w:rFonts w:hint="eastAsia" w:ascii="黑体" w:hAnsi="黑体" w:eastAsia="黑体" w:cs="黑体"/>
          <w:sz w:val="84"/>
          <w:szCs w:val="84"/>
        </w:rPr>
        <w:t>年度</w:t>
      </w:r>
      <w:bookmarkEnd w:id="0"/>
      <w:bookmarkEnd w:id="1"/>
      <w:bookmarkEnd w:id="2"/>
      <w:bookmarkEnd w:id="3"/>
      <w:bookmarkEnd w:id="4"/>
      <w:bookmarkEnd w:id="5"/>
    </w:p>
    <w:p w14:paraId="58A8DCEB">
      <w:pPr>
        <w:bidi w:val="0"/>
        <w:jc w:val="center"/>
        <w:rPr>
          <w:rFonts w:hint="eastAsia" w:ascii="黑体" w:hAnsi="黑体" w:eastAsia="黑体" w:cs="黑体"/>
          <w:sz w:val="84"/>
          <w:szCs w:val="84"/>
          <w:lang w:val="en-US" w:eastAsia="zh-CN"/>
        </w:rPr>
      </w:pPr>
      <w:r>
        <w:rPr>
          <w:rFonts w:hint="eastAsia" w:ascii="黑体" w:hAnsi="黑体" w:eastAsia="黑体" w:cs="黑体"/>
          <w:sz w:val="84"/>
          <w:szCs w:val="84"/>
        </w:rPr>
        <w:t>阿坝州汶川</w:t>
      </w:r>
      <w:r>
        <w:rPr>
          <w:rFonts w:hint="eastAsia" w:ascii="黑体" w:hAnsi="黑体" w:eastAsia="黑体" w:cs="黑体"/>
          <w:sz w:val="84"/>
          <w:szCs w:val="84"/>
          <w:lang w:val="en-US" w:eastAsia="zh-CN"/>
        </w:rPr>
        <w:t>环境</w:t>
      </w:r>
      <w:r>
        <w:rPr>
          <w:rFonts w:hint="eastAsia" w:ascii="黑体" w:hAnsi="黑体" w:eastAsia="黑体" w:cs="黑体"/>
          <w:sz w:val="84"/>
          <w:szCs w:val="84"/>
        </w:rPr>
        <w:t>监测站单位决算</w:t>
      </w:r>
    </w:p>
    <w:p w14:paraId="02118992">
      <w:pPr>
        <w:widowControl/>
        <w:jc w:val="center"/>
        <w:rPr>
          <w:rFonts w:ascii="方正小标宋简体" w:hAnsi="宋体" w:eastAsia="方正小标宋简体"/>
          <w:sz w:val="36"/>
          <w:szCs w:val="36"/>
        </w:rPr>
      </w:pPr>
    </w:p>
    <w:p w14:paraId="0BBB9CF4">
      <w:pPr>
        <w:widowControl/>
        <w:jc w:val="center"/>
        <w:rPr>
          <w:rFonts w:ascii="方正小标宋简体" w:hAnsi="宋体" w:eastAsia="方正小标宋简体"/>
          <w:sz w:val="36"/>
          <w:szCs w:val="36"/>
        </w:rPr>
      </w:pPr>
    </w:p>
    <w:p w14:paraId="758E00A6">
      <w:pPr>
        <w:widowControl/>
        <w:jc w:val="center"/>
        <w:rPr>
          <w:rFonts w:ascii="方正小标宋简体" w:hAnsi="宋体" w:eastAsia="方正小标宋简体"/>
          <w:sz w:val="36"/>
          <w:szCs w:val="36"/>
        </w:rPr>
      </w:pPr>
    </w:p>
    <w:p w14:paraId="11CC7036">
      <w:pPr>
        <w:widowControl/>
        <w:jc w:val="center"/>
        <w:rPr>
          <w:rFonts w:ascii="方正小标宋简体" w:hAnsi="宋体" w:eastAsia="方正小标宋简体"/>
          <w:sz w:val="36"/>
          <w:szCs w:val="36"/>
        </w:rPr>
      </w:pPr>
    </w:p>
    <w:p w14:paraId="09BE202A">
      <w:pPr>
        <w:widowControl/>
        <w:jc w:val="center"/>
        <w:rPr>
          <w:rFonts w:ascii="方正小标宋简体" w:hAnsi="宋体" w:eastAsia="方正小标宋简体"/>
          <w:sz w:val="36"/>
          <w:szCs w:val="36"/>
        </w:rPr>
      </w:pPr>
    </w:p>
    <w:p w14:paraId="3195C3DA">
      <w:pPr>
        <w:pStyle w:val="7"/>
        <w:rPr>
          <w:rFonts w:ascii="方正小标宋简体" w:hAnsi="宋体" w:eastAsia="方正小标宋简体"/>
          <w:sz w:val="36"/>
          <w:szCs w:val="36"/>
        </w:rPr>
      </w:pPr>
    </w:p>
    <w:p w14:paraId="4F8F0658">
      <w:pPr>
        <w:pStyle w:val="9"/>
        <w:rPr>
          <w:rFonts w:ascii="方正小标宋简体" w:hAnsi="宋体" w:eastAsia="方正小标宋简体"/>
          <w:sz w:val="36"/>
          <w:szCs w:val="36"/>
        </w:rPr>
      </w:pPr>
    </w:p>
    <w:p w14:paraId="37919D15">
      <w:pPr>
        <w:pStyle w:val="9"/>
        <w:rPr>
          <w:rFonts w:ascii="方正小标宋简体" w:hAnsi="宋体" w:eastAsia="方正小标宋简体"/>
          <w:sz w:val="36"/>
          <w:szCs w:val="36"/>
        </w:rPr>
      </w:pPr>
    </w:p>
    <w:p w14:paraId="35CC6816">
      <w:pPr>
        <w:pStyle w:val="17"/>
        <w:keepNext w:val="0"/>
        <w:keepLines w:val="0"/>
        <w:widowControl/>
        <w:suppressLineNumbers w:val="0"/>
        <w:spacing w:before="0" w:beforeAutospacing="0"/>
        <w:ind w:left="0"/>
        <w:jc w:val="both"/>
        <w:rPr>
          <w:rFonts w:hint="eastAsia" w:ascii="仿宋_GB2312" w:hAnsi="仿宋_GB2312" w:eastAsia="仿宋_GB2312" w:cs="仿宋_GB2312"/>
          <w:sz w:val="28"/>
          <w:szCs w:val="28"/>
          <w:shd w:val="clear" w:color="auto" w:fill="FFFFFF"/>
          <w:lang w:val="en-US" w:eastAsia="zh-CN"/>
        </w:rPr>
      </w:pPr>
      <w:r>
        <w:rPr>
          <w:rFonts w:hint="eastAsia" w:ascii="仿宋_GB2312" w:hAnsi="仿宋_GB2312" w:eastAsia="仿宋_GB2312" w:cs="仿宋_GB2312"/>
          <w:sz w:val="28"/>
          <w:szCs w:val="28"/>
          <w:shd w:val="clear" w:color="auto" w:fill="FFFFFF"/>
          <w:lang w:val="en-US" w:eastAsia="zh-CN"/>
        </w:rPr>
        <w:t>保密审查情况：已审查，内容审定</w:t>
      </w:r>
    </w:p>
    <w:p w14:paraId="79D27765">
      <w:pPr>
        <w:pStyle w:val="17"/>
        <w:keepNext w:val="0"/>
        <w:keepLines w:val="0"/>
        <w:widowControl/>
        <w:suppressLineNumbers w:val="0"/>
        <w:spacing w:before="0" w:beforeAutospacing="0"/>
        <w:ind w:left="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color="auto" w:fill="FFFFFF"/>
          <w:lang w:val="en-US" w:eastAsia="zh-CN"/>
        </w:rPr>
        <w:t>部门主要负责人审签情况：已审签，</w:t>
      </w:r>
      <w:r>
        <w:rPr>
          <w:rFonts w:hint="eastAsia" w:ascii="仿宋_GB2312" w:hAnsi="仿宋_GB2312" w:eastAsia="仿宋_GB2312" w:cs="仿宋_GB2312"/>
          <w:sz w:val="28"/>
          <w:szCs w:val="28"/>
          <w:shd w:val="clear" w:color="auto" w:fill="FFFFFF"/>
        </w:rPr>
        <w:t>同意对外公开  </w:t>
      </w:r>
    </w:p>
    <w:p w14:paraId="33C45830">
      <w:pPr>
        <w:widowControl/>
        <w:jc w:val="center"/>
        <w:rPr>
          <w:rFonts w:hint="eastAsia" w:ascii="黑体" w:hAnsi="黑体" w:eastAsia="黑体"/>
          <w:sz w:val="48"/>
          <w:szCs w:val="48"/>
        </w:rPr>
      </w:pPr>
    </w:p>
    <w:p w14:paraId="2132B399">
      <w:pPr>
        <w:widowControl/>
        <w:jc w:val="center"/>
        <w:rPr>
          <w:rFonts w:hint="eastAsia" w:ascii="黑体" w:hAnsi="黑体" w:eastAsia="黑体"/>
          <w:sz w:val="48"/>
          <w:szCs w:val="48"/>
        </w:rPr>
      </w:pPr>
    </w:p>
    <w:p w14:paraId="43C2C144">
      <w:pPr>
        <w:rPr>
          <w:rFonts w:hint="eastAsia" w:ascii="黑体" w:hAnsi="黑体" w:eastAsia="黑体"/>
          <w:sz w:val="48"/>
          <w:szCs w:val="48"/>
        </w:rPr>
      </w:pPr>
    </w:p>
    <w:sdt>
      <w:sdtPr>
        <w:rPr>
          <w:rFonts w:hint="eastAsia" w:ascii="Times New Roman" w:hAnsi="Times New Roman" w:eastAsia="仿宋_GB2312" w:cs="仿宋_GB2312"/>
          <w:color w:val="auto"/>
          <w:sz w:val="32"/>
          <w:szCs w:val="32"/>
          <w:highlight w:val="none"/>
          <w:lang w:val="en-US" w:eastAsia="zh-CN"/>
        </w:rPr>
        <w:id w:val="147462298"/>
        <w15:color w:val="DBDBDB"/>
        <w:docPartObj>
          <w:docPartGallery w:val="Table of Contents"/>
          <w:docPartUnique/>
        </w:docPartObj>
      </w:sdtPr>
      <w:sdtEndPr>
        <w:rPr>
          <w:rFonts w:hint="eastAsia" w:ascii="黑体" w:hAnsi="黑体" w:eastAsia="黑体" w:cs="黑体"/>
          <w:color w:val="auto"/>
          <w:kern w:val="2"/>
          <w:sz w:val="36"/>
          <w:szCs w:val="36"/>
          <w:highlight w:val="none"/>
          <w:lang w:val="en-US" w:eastAsia="zh-CN" w:bidi="ar-SA"/>
        </w:rPr>
      </w:sdtEndPr>
      <w:sdtContent>
        <w:p w14:paraId="5E2FD8C3">
          <w:pPr>
            <w:pStyle w:val="13"/>
            <w:rPr>
              <w:rFonts w:hint="eastAsia" w:ascii="Times New Roman" w:hAnsi="Times New Roman" w:eastAsia="仿宋_GB2312" w:cs="仿宋_GB2312"/>
              <w:color w:val="auto"/>
              <w:sz w:val="32"/>
              <w:szCs w:val="32"/>
              <w:highlight w:val="none"/>
              <w:lang w:val="en-US" w:eastAsia="zh-CN"/>
            </w:rPr>
          </w:pPr>
          <w:bookmarkStart w:id="6" w:name="_Toc15377196"/>
          <w:bookmarkStart w:id="7" w:name="_Toc15396599"/>
          <w:r>
            <w:rPr>
              <w:rFonts w:hint="eastAsia" w:ascii="Times New Roman" w:hAnsi="Times New Roman" w:eastAsia="仿宋_GB2312" w:cs="仿宋_GB2312"/>
              <w:color w:val="auto"/>
              <w:sz w:val="32"/>
              <w:szCs w:val="32"/>
              <w:highlight w:val="none"/>
              <w:lang w:val="en-US" w:eastAsia="zh-CN"/>
            </w:rPr>
            <w:t>目  录</w:t>
          </w:r>
        </w:p>
        <w:p w14:paraId="3E9E7612">
          <w:pPr>
            <w:pStyle w:val="13"/>
            <w:rPr>
              <w:rFonts w:hint="eastAsia" w:ascii="黑体" w:hAnsi="黑体" w:eastAsia="黑体" w:cs="黑体"/>
              <w:sz w:val="36"/>
              <w:szCs w:val="36"/>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5DE31029">
          <w:pPr>
            <w:pStyle w:val="13"/>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fldChar w:fldCharType="begin"/>
          </w:r>
          <w:r>
            <w:instrText xml:space="preserve">TOC \o "1-3" \h \u </w:instrText>
          </w:r>
          <w:r>
            <w:fldChar w:fldCharType="separate"/>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_Toc8120 </w:instrText>
          </w:r>
          <w:r>
            <w:rPr>
              <w:rFonts w:hint="eastAsia" w:ascii="仿宋" w:hAnsi="仿宋" w:eastAsia="仿宋" w:cs="仿宋"/>
              <w:sz w:val="24"/>
              <w:szCs w:val="24"/>
            </w:rPr>
            <w:fldChar w:fldCharType="separate"/>
          </w:r>
          <w:r>
            <w:rPr>
              <w:rFonts w:hint="eastAsia" w:ascii="仿宋" w:hAnsi="仿宋" w:eastAsia="仿宋" w:cs="仿宋"/>
              <w:sz w:val="24"/>
              <w:szCs w:val="24"/>
            </w:rPr>
            <w:t>第一部分 单位</w:t>
          </w:r>
          <w:r>
            <w:rPr>
              <w:rFonts w:hint="eastAsia" w:ascii="仿宋" w:hAnsi="仿宋" w:eastAsia="仿宋" w:cs="仿宋"/>
              <w:bCs w:val="0"/>
              <w:sz w:val="24"/>
              <w:szCs w:val="24"/>
            </w:rPr>
            <w:t>概况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_Toc8120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E4472AE">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_Toc19127 </w:instrText>
          </w:r>
          <w:r>
            <w:rPr>
              <w:rFonts w:hint="eastAsia" w:ascii="仿宋" w:hAnsi="仿宋" w:eastAsia="仿宋" w:cs="仿宋"/>
              <w:sz w:val="24"/>
              <w:szCs w:val="24"/>
            </w:rPr>
            <w:fldChar w:fldCharType="separate"/>
          </w:r>
          <w:r>
            <w:rPr>
              <w:rFonts w:hint="eastAsia" w:ascii="仿宋" w:hAnsi="仿宋" w:eastAsia="仿宋" w:cs="仿宋"/>
              <w:sz w:val="24"/>
              <w:szCs w:val="24"/>
            </w:rPr>
            <w:t>一、主要职责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_Toc19127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7953E35">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_Toc16583 </w:instrText>
          </w:r>
          <w:r>
            <w:rPr>
              <w:rFonts w:hint="eastAsia" w:ascii="仿宋" w:hAnsi="仿宋" w:eastAsia="仿宋" w:cs="仿宋"/>
              <w:sz w:val="24"/>
              <w:szCs w:val="24"/>
            </w:rPr>
            <w:fldChar w:fldCharType="separate"/>
          </w:r>
          <w:r>
            <w:rPr>
              <w:rFonts w:hint="eastAsia" w:ascii="仿宋" w:hAnsi="仿宋" w:eastAsia="仿宋" w:cs="仿宋"/>
              <w:sz w:val="24"/>
              <w:szCs w:val="24"/>
            </w:rPr>
            <w:t>（一）主要职能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_Toc16583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F28F100">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2025</w:t>
          </w:r>
          <w:r>
            <w:rPr>
              <w:rFonts w:hint="eastAsia" w:ascii="仿宋" w:hAnsi="仿宋" w:eastAsia="仿宋" w:cs="仿宋"/>
              <w:sz w:val="24"/>
              <w:szCs w:val="24"/>
            </w:rPr>
            <w:t>年重点工作完成情况</w:t>
          </w:r>
          <w:r>
            <w:rPr>
              <w:rFonts w:hint="eastAsia" w:ascii="仿宋" w:hAnsi="仿宋" w:eastAsia="仿宋" w:cs="仿宋"/>
              <w:sz w:val="24"/>
              <w:szCs w:val="24"/>
            </w:rPr>
            <w:tab/>
          </w:r>
          <w:r>
            <w:rPr>
              <w:rFonts w:hint="eastAsia" w:ascii="仿宋" w:hAnsi="仿宋" w:eastAsia="仿宋" w:cs="仿宋"/>
              <w:sz w:val="24"/>
              <w:szCs w:val="24"/>
            </w:rPr>
            <w:t>1</w:t>
          </w:r>
        </w:p>
        <w:p w14:paraId="57F44EEC">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_Toc23922 </w:instrText>
          </w:r>
          <w:r>
            <w:rPr>
              <w:rFonts w:hint="eastAsia" w:ascii="仿宋" w:hAnsi="仿宋" w:eastAsia="仿宋" w:cs="仿宋"/>
              <w:sz w:val="24"/>
              <w:szCs w:val="24"/>
            </w:rPr>
            <w:fldChar w:fldCharType="separate"/>
          </w:r>
          <w:r>
            <w:rPr>
              <w:rFonts w:hint="eastAsia" w:ascii="仿宋" w:hAnsi="仿宋" w:eastAsia="仿宋" w:cs="仿宋"/>
              <w:sz w:val="24"/>
              <w:szCs w:val="24"/>
            </w:rPr>
            <w:t>二、 机构设置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_Toc23922 \h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756B739">
          <w:pPr>
            <w:pStyle w:val="13"/>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_Toc4254 </w:instrText>
          </w:r>
          <w:r>
            <w:rPr>
              <w:rFonts w:hint="eastAsia" w:ascii="仿宋" w:hAnsi="仿宋" w:eastAsia="仿宋" w:cs="仿宋"/>
              <w:sz w:val="24"/>
              <w:szCs w:val="24"/>
            </w:rPr>
            <w:fldChar w:fldCharType="separate"/>
          </w:r>
          <w:r>
            <w:rPr>
              <w:rFonts w:hint="eastAsia" w:ascii="仿宋" w:hAnsi="仿宋" w:eastAsia="仿宋" w:cs="仿宋"/>
              <w:sz w:val="24"/>
              <w:szCs w:val="24"/>
            </w:rPr>
            <w:t xml:space="preserve">第二部分 </w:t>
          </w:r>
          <w:r>
            <w:rPr>
              <w:rFonts w:hint="eastAsia" w:cs="仿宋"/>
              <w:sz w:val="24"/>
              <w:szCs w:val="24"/>
              <w:lang w:eastAsia="zh-CN"/>
            </w:rPr>
            <w:t>2025</w:t>
          </w:r>
          <w:r>
            <w:rPr>
              <w:rFonts w:hint="eastAsia" w:ascii="仿宋" w:hAnsi="仿宋" w:eastAsia="仿宋" w:cs="仿宋"/>
              <w:sz w:val="24"/>
              <w:szCs w:val="24"/>
            </w:rPr>
            <w:t>年度</w:t>
          </w:r>
          <w:r>
            <w:rPr>
              <w:rFonts w:hint="eastAsia" w:ascii="仿宋" w:hAnsi="仿宋" w:eastAsia="仿宋" w:cs="仿宋"/>
              <w:bCs/>
              <w:sz w:val="24"/>
              <w:szCs w:val="24"/>
            </w:rPr>
            <w:t>单位决算情况说明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_Toc4254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8AF757F">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_Toc32271 </w:instrText>
          </w:r>
          <w:r>
            <w:rPr>
              <w:rFonts w:hint="eastAsia" w:ascii="仿宋" w:hAnsi="仿宋" w:eastAsia="仿宋" w:cs="仿宋"/>
              <w:sz w:val="24"/>
              <w:szCs w:val="24"/>
            </w:rPr>
            <w:fldChar w:fldCharType="separate"/>
          </w:r>
          <w:r>
            <w:rPr>
              <w:rFonts w:hint="eastAsia" w:ascii="仿宋" w:hAnsi="仿宋" w:eastAsia="仿宋" w:cs="仿宋"/>
              <w:sz w:val="24"/>
              <w:szCs w:val="24"/>
            </w:rPr>
            <w:t>一、 收入支出决算总体情况说明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_Toc32271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328E729">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_Toc23567 </w:instrText>
          </w:r>
          <w:r>
            <w:rPr>
              <w:rFonts w:hint="eastAsia" w:ascii="仿宋" w:hAnsi="仿宋" w:eastAsia="仿宋" w:cs="仿宋"/>
              <w:sz w:val="24"/>
              <w:szCs w:val="24"/>
            </w:rPr>
            <w:fldChar w:fldCharType="separate"/>
          </w:r>
          <w:r>
            <w:rPr>
              <w:rFonts w:hint="eastAsia" w:ascii="仿宋" w:hAnsi="仿宋" w:eastAsia="仿宋" w:cs="仿宋"/>
              <w:sz w:val="24"/>
              <w:szCs w:val="24"/>
            </w:rPr>
            <w:t>二、 收入决算情况说明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_Toc23567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231CAD4">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_Toc23948 </w:instrText>
          </w:r>
          <w:r>
            <w:rPr>
              <w:rFonts w:hint="eastAsia" w:ascii="仿宋" w:hAnsi="仿宋" w:eastAsia="仿宋" w:cs="仿宋"/>
              <w:sz w:val="24"/>
              <w:szCs w:val="24"/>
            </w:rPr>
            <w:fldChar w:fldCharType="separate"/>
          </w:r>
          <w:r>
            <w:rPr>
              <w:rFonts w:hint="eastAsia" w:ascii="仿宋" w:hAnsi="仿宋" w:eastAsia="仿宋" w:cs="仿宋"/>
              <w:sz w:val="24"/>
              <w:szCs w:val="24"/>
            </w:rPr>
            <w:t>三、 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_Toc23948 \h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A9DDAF3">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_Toc6988 </w:instrText>
          </w:r>
          <w:r>
            <w:rPr>
              <w:rFonts w:hint="eastAsia" w:ascii="仿宋" w:hAnsi="仿宋" w:eastAsia="仿宋" w:cs="仿宋"/>
              <w:sz w:val="24"/>
              <w:szCs w:val="24"/>
            </w:rPr>
            <w:fldChar w:fldCharType="separate"/>
          </w:r>
          <w:r>
            <w:rPr>
              <w:rFonts w:hint="eastAsia" w:ascii="仿宋" w:hAnsi="仿宋" w:eastAsia="仿宋" w:cs="仿宋"/>
              <w:sz w:val="24"/>
              <w:szCs w:val="24"/>
            </w:rPr>
            <w:t>四、财政拨款收入支出决算总体情况说明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_Toc6988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245DB96">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_Toc7509 </w:instrText>
          </w:r>
          <w:r>
            <w:rPr>
              <w:rFonts w:hint="eastAsia" w:ascii="仿宋" w:hAnsi="仿宋" w:eastAsia="仿宋" w:cs="仿宋"/>
              <w:sz w:val="24"/>
              <w:szCs w:val="24"/>
            </w:rPr>
            <w:fldChar w:fldCharType="separate"/>
          </w:r>
          <w:r>
            <w:rPr>
              <w:rFonts w:hint="eastAsia" w:ascii="仿宋" w:hAnsi="仿宋" w:eastAsia="仿宋" w:cs="仿宋"/>
              <w:sz w:val="24"/>
              <w:szCs w:val="24"/>
            </w:rPr>
            <w:t>五、一般公共预算财政拨款支出决算情况说明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_Toc7509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0547BFA">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_Toc8078 </w:instrText>
          </w:r>
          <w:r>
            <w:rPr>
              <w:rFonts w:hint="eastAsia" w:ascii="仿宋" w:hAnsi="仿宋" w:eastAsia="仿宋" w:cs="仿宋"/>
              <w:sz w:val="24"/>
              <w:szCs w:val="24"/>
            </w:rPr>
            <w:fldChar w:fldCharType="separate"/>
          </w:r>
          <w:r>
            <w:rPr>
              <w:rFonts w:hint="eastAsia" w:ascii="仿宋" w:hAnsi="仿宋" w:eastAsia="仿宋" w:cs="仿宋"/>
              <w:sz w:val="24"/>
              <w:szCs w:val="24"/>
            </w:rPr>
            <w:t>（一）一般公共预算财政拨款支出决算总体情况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_Toc8078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0A520DB">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_Toc4434 </w:instrText>
          </w:r>
          <w:r>
            <w:rPr>
              <w:rFonts w:hint="eastAsia" w:ascii="仿宋" w:hAnsi="仿宋" w:eastAsia="仿宋" w:cs="仿宋"/>
              <w:sz w:val="24"/>
              <w:szCs w:val="24"/>
            </w:rPr>
            <w:fldChar w:fldCharType="separate"/>
          </w:r>
          <w:r>
            <w:rPr>
              <w:rFonts w:hint="eastAsia" w:ascii="仿宋" w:hAnsi="仿宋" w:eastAsia="仿宋" w:cs="仿宋"/>
              <w:sz w:val="24"/>
              <w:szCs w:val="24"/>
            </w:rPr>
            <w:t>（二）一般公共预算财政拨款支出决算结构情况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_Toc4434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F26F1AF">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_Toc24169 </w:instrText>
          </w:r>
          <w:r>
            <w:rPr>
              <w:rFonts w:hint="eastAsia" w:ascii="仿宋" w:hAnsi="仿宋" w:eastAsia="仿宋" w:cs="仿宋"/>
              <w:sz w:val="24"/>
              <w:szCs w:val="24"/>
            </w:rPr>
            <w:fldChar w:fldCharType="separate"/>
          </w:r>
          <w:r>
            <w:rPr>
              <w:rFonts w:hint="eastAsia" w:ascii="仿宋" w:hAnsi="仿宋" w:eastAsia="仿宋" w:cs="仿宋"/>
              <w:sz w:val="24"/>
              <w:szCs w:val="24"/>
            </w:rPr>
            <w:t>（三）一般公共预算财政拨款支出决算具体情况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_Toc24169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0E4F007">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_Toc11501 </w:instrText>
          </w:r>
          <w:r>
            <w:rPr>
              <w:rFonts w:hint="eastAsia" w:ascii="仿宋" w:hAnsi="仿宋" w:eastAsia="仿宋" w:cs="仿宋"/>
              <w:sz w:val="24"/>
              <w:szCs w:val="24"/>
            </w:rPr>
            <w:fldChar w:fldCharType="separate"/>
          </w:r>
          <w:r>
            <w:rPr>
              <w:rFonts w:hint="eastAsia" w:ascii="仿宋" w:hAnsi="仿宋" w:eastAsia="仿宋" w:cs="仿宋"/>
              <w:sz w:val="24"/>
              <w:szCs w:val="24"/>
            </w:rPr>
            <w:t>六、一般公共预算财政拨款基本支出决算情况说明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_Toc11501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90D66E2">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_Toc2360 </w:instrText>
          </w:r>
          <w:r>
            <w:rPr>
              <w:rFonts w:hint="eastAsia" w:ascii="仿宋" w:hAnsi="仿宋" w:eastAsia="仿宋" w:cs="仿宋"/>
              <w:sz w:val="24"/>
              <w:szCs w:val="24"/>
            </w:rPr>
            <w:fldChar w:fldCharType="separate"/>
          </w:r>
          <w:r>
            <w:rPr>
              <w:rFonts w:hint="eastAsia" w:ascii="仿宋" w:hAnsi="仿宋" w:eastAsia="仿宋" w:cs="仿宋"/>
              <w:sz w:val="24"/>
              <w:szCs w:val="24"/>
            </w:rPr>
            <w:t>七、财政拨款“三公”经费支出决算情况说明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_Toc2360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D473881">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_Toc8517 </w:instrText>
          </w:r>
          <w:r>
            <w:rPr>
              <w:rFonts w:hint="eastAsia" w:ascii="仿宋" w:hAnsi="仿宋" w:eastAsia="仿宋" w:cs="仿宋"/>
              <w:sz w:val="24"/>
              <w:szCs w:val="24"/>
            </w:rPr>
            <w:fldChar w:fldCharType="separate"/>
          </w:r>
          <w:r>
            <w:rPr>
              <w:rFonts w:hint="eastAsia" w:ascii="仿宋" w:hAnsi="仿宋" w:eastAsia="仿宋" w:cs="仿宋"/>
              <w:sz w:val="24"/>
              <w:szCs w:val="24"/>
            </w:rPr>
            <w:t>（一）“三公”经费财政拨款支出决算总体情况说明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_Toc8517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AC6339D">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_Toc1287 </w:instrText>
          </w:r>
          <w:r>
            <w:rPr>
              <w:rFonts w:hint="eastAsia" w:ascii="仿宋" w:hAnsi="仿宋" w:eastAsia="仿宋" w:cs="仿宋"/>
              <w:sz w:val="24"/>
              <w:szCs w:val="24"/>
            </w:rPr>
            <w:fldChar w:fldCharType="separate"/>
          </w:r>
          <w:r>
            <w:rPr>
              <w:rFonts w:hint="eastAsia" w:ascii="仿宋" w:hAnsi="仿宋" w:eastAsia="仿宋" w:cs="仿宋"/>
              <w:sz w:val="24"/>
              <w:szCs w:val="24"/>
            </w:rPr>
            <w:t>（二）“三公”经费财政拨款支出决算具体情况说明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_Toc1287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20874FB">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_Toc32245 </w:instrText>
          </w:r>
          <w:r>
            <w:rPr>
              <w:rFonts w:hint="eastAsia" w:ascii="仿宋" w:hAnsi="仿宋" w:eastAsia="仿宋" w:cs="仿宋"/>
              <w:sz w:val="24"/>
              <w:szCs w:val="24"/>
            </w:rPr>
            <w:fldChar w:fldCharType="separate"/>
          </w:r>
          <w:r>
            <w:rPr>
              <w:rFonts w:hint="eastAsia" w:ascii="仿宋" w:hAnsi="仿宋" w:eastAsia="仿宋" w:cs="仿宋"/>
              <w:sz w:val="24"/>
              <w:szCs w:val="24"/>
            </w:rPr>
            <w:t>八、政府性基金预算支出决算情况说明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_Toc32245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0F4451D">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_Toc28349 </w:instrText>
          </w:r>
          <w:r>
            <w:rPr>
              <w:rFonts w:hint="eastAsia" w:ascii="仿宋" w:hAnsi="仿宋" w:eastAsia="仿宋" w:cs="仿宋"/>
              <w:sz w:val="24"/>
              <w:szCs w:val="24"/>
            </w:rPr>
            <w:fldChar w:fldCharType="separate"/>
          </w:r>
          <w:r>
            <w:rPr>
              <w:rFonts w:hint="eastAsia" w:ascii="仿宋" w:hAnsi="仿宋" w:eastAsia="仿宋" w:cs="仿宋"/>
              <w:sz w:val="24"/>
              <w:szCs w:val="24"/>
            </w:rPr>
            <w:t>九、 国有资本经营预算支出决算情况说明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_Toc28349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33675ED">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_Toc28955 </w:instrText>
          </w:r>
          <w:r>
            <w:rPr>
              <w:rFonts w:hint="eastAsia" w:ascii="仿宋" w:hAnsi="仿宋" w:eastAsia="仿宋" w:cs="仿宋"/>
              <w:sz w:val="24"/>
              <w:szCs w:val="24"/>
            </w:rPr>
            <w:fldChar w:fldCharType="separate"/>
          </w:r>
          <w:r>
            <w:rPr>
              <w:rFonts w:hint="eastAsia" w:ascii="仿宋" w:hAnsi="仿宋" w:eastAsia="仿宋" w:cs="仿宋"/>
              <w:sz w:val="24"/>
              <w:szCs w:val="24"/>
            </w:rPr>
            <w:t>十、 其他重要事项的情况说明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_Toc28955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EDA1EE0">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_Toc30095 </w:instrText>
          </w:r>
          <w:r>
            <w:rPr>
              <w:rFonts w:hint="eastAsia" w:ascii="仿宋" w:hAnsi="仿宋" w:eastAsia="仿宋" w:cs="仿宋"/>
              <w:sz w:val="24"/>
              <w:szCs w:val="24"/>
            </w:rPr>
            <w:fldChar w:fldCharType="separate"/>
          </w:r>
          <w:r>
            <w:rPr>
              <w:rFonts w:hint="eastAsia" w:ascii="仿宋" w:hAnsi="仿宋" w:eastAsia="仿宋" w:cs="仿宋"/>
              <w:sz w:val="24"/>
              <w:szCs w:val="24"/>
            </w:rPr>
            <w:t>（一）机关运行经费支出情况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_Toc30095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60059A9">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_Toc26749 </w:instrText>
          </w:r>
          <w:r>
            <w:rPr>
              <w:rFonts w:hint="eastAsia" w:ascii="仿宋" w:hAnsi="仿宋" w:eastAsia="仿宋" w:cs="仿宋"/>
              <w:sz w:val="24"/>
              <w:szCs w:val="24"/>
            </w:rPr>
            <w:fldChar w:fldCharType="separate"/>
          </w:r>
          <w:r>
            <w:rPr>
              <w:rFonts w:hint="eastAsia" w:ascii="仿宋" w:hAnsi="仿宋" w:eastAsia="仿宋" w:cs="仿宋"/>
              <w:sz w:val="24"/>
              <w:szCs w:val="24"/>
            </w:rPr>
            <w:t>（二）政府采购支出情况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_Toc26749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9A8FDAD">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_Toc26111 </w:instrText>
          </w:r>
          <w:r>
            <w:rPr>
              <w:rFonts w:hint="eastAsia" w:ascii="仿宋" w:hAnsi="仿宋" w:eastAsia="仿宋" w:cs="仿宋"/>
              <w:sz w:val="24"/>
              <w:szCs w:val="24"/>
            </w:rPr>
            <w:fldChar w:fldCharType="separate"/>
          </w:r>
          <w:r>
            <w:rPr>
              <w:rFonts w:hint="eastAsia" w:ascii="仿宋" w:hAnsi="仿宋" w:eastAsia="仿宋" w:cs="仿宋"/>
              <w:sz w:val="24"/>
              <w:szCs w:val="24"/>
            </w:rPr>
            <w:t>（三）国有资产占有使用情况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_Toc26111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5E43B50">
          <w:pPr>
            <w:pStyle w:val="8"/>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_Toc9478 </w:instrText>
          </w:r>
          <w:r>
            <w:rPr>
              <w:rFonts w:hint="eastAsia" w:ascii="仿宋" w:hAnsi="仿宋" w:eastAsia="仿宋" w:cs="仿宋"/>
              <w:sz w:val="24"/>
              <w:szCs w:val="24"/>
            </w:rPr>
            <w:fldChar w:fldCharType="separate"/>
          </w:r>
          <w:r>
            <w:rPr>
              <w:rFonts w:hint="eastAsia" w:ascii="仿宋" w:hAnsi="仿宋" w:eastAsia="仿宋" w:cs="仿宋"/>
              <w:sz w:val="24"/>
              <w:szCs w:val="24"/>
            </w:rPr>
            <w:t>（四）预算绩效管理情况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_Toc9478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455B635">
          <w:pPr>
            <w:pStyle w:val="13"/>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_Toc20987 </w:instrText>
          </w:r>
          <w:r>
            <w:rPr>
              <w:rFonts w:hint="eastAsia" w:ascii="仿宋" w:hAnsi="仿宋" w:eastAsia="仿宋" w:cs="仿宋"/>
              <w:sz w:val="24"/>
              <w:szCs w:val="24"/>
            </w:rPr>
            <w:fldChar w:fldCharType="separate"/>
          </w:r>
          <w:r>
            <w:rPr>
              <w:rFonts w:hint="eastAsia" w:ascii="仿宋" w:hAnsi="仿宋" w:eastAsia="仿宋" w:cs="仿宋"/>
              <w:sz w:val="24"/>
              <w:szCs w:val="24"/>
            </w:rPr>
            <w:t>第三部分 名词解释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_Toc20987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AF1C369">
          <w:pPr>
            <w:pStyle w:val="13"/>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_Toc6892 </w:instrText>
          </w:r>
          <w:r>
            <w:rPr>
              <w:rFonts w:hint="eastAsia" w:ascii="仿宋" w:hAnsi="仿宋" w:eastAsia="仿宋" w:cs="仿宋"/>
              <w:sz w:val="24"/>
              <w:szCs w:val="24"/>
            </w:rPr>
            <w:fldChar w:fldCharType="separate"/>
          </w:r>
          <w:r>
            <w:rPr>
              <w:rFonts w:hint="eastAsia" w:ascii="仿宋" w:hAnsi="仿宋" w:eastAsia="仿宋" w:cs="仿宋"/>
              <w:sz w:val="24"/>
              <w:szCs w:val="24"/>
            </w:rPr>
            <w:t>第四部分 附件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_Toc6892 \h </w:instrText>
          </w:r>
          <w:r>
            <w:rPr>
              <w:rFonts w:hint="eastAsia" w:ascii="仿宋" w:hAnsi="仿宋" w:eastAsia="仿宋" w:cs="仿宋"/>
              <w:sz w:val="24"/>
              <w:szCs w:val="24"/>
            </w:rPr>
            <w:fldChar w:fldCharType="separate"/>
          </w:r>
          <w:r>
            <w:rPr>
              <w:rFonts w:hint="eastAsia" w:ascii="仿宋" w:hAnsi="仿宋" w:eastAsia="仿宋" w:cs="仿宋"/>
              <w:sz w:val="24"/>
              <w:szCs w:val="24"/>
            </w:rPr>
            <w:t>15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FFBEDDA">
          <w:pPr>
            <w:pStyle w:val="13"/>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_Toc26332 </w:instrText>
          </w:r>
          <w:r>
            <w:rPr>
              <w:rFonts w:hint="eastAsia" w:ascii="仿宋" w:hAnsi="仿宋" w:eastAsia="仿宋" w:cs="仿宋"/>
              <w:sz w:val="24"/>
              <w:szCs w:val="24"/>
            </w:rPr>
            <w:fldChar w:fldCharType="separate"/>
          </w:r>
          <w:r>
            <w:rPr>
              <w:rFonts w:hint="eastAsia" w:ascii="仿宋" w:hAnsi="仿宋" w:eastAsia="仿宋" w:cs="仿宋"/>
              <w:sz w:val="24"/>
              <w:szCs w:val="24"/>
            </w:rPr>
            <w:t>第五部分 附表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_Toc26332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C2D4952">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_Toc3129 </w:instrText>
          </w:r>
          <w:r>
            <w:rPr>
              <w:rFonts w:hint="eastAsia" w:ascii="仿宋" w:hAnsi="仿宋" w:eastAsia="仿宋" w:cs="仿宋"/>
              <w:sz w:val="24"/>
              <w:szCs w:val="24"/>
            </w:rPr>
            <w:fldChar w:fldCharType="separate"/>
          </w:r>
          <w:r>
            <w:rPr>
              <w:rFonts w:hint="eastAsia" w:ascii="仿宋" w:hAnsi="仿宋" w:eastAsia="仿宋" w:cs="仿宋"/>
              <w:sz w:val="24"/>
              <w:szCs w:val="24"/>
            </w:rPr>
            <w:t>一、收入支出决算总表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_Toc3129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CC65997">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_Toc18502 </w:instrText>
          </w:r>
          <w:r>
            <w:rPr>
              <w:rFonts w:hint="eastAsia" w:ascii="仿宋" w:hAnsi="仿宋" w:eastAsia="仿宋" w:cs="仿宋"/>
              <w:sz w:val="24"/>
              <w:szCs w:val="24"/>
            </w:rPr>
            <w:fldChar w:fldCharType="separate"/>
          </w:r>
          <w:r>
            <w:rPr>
              <w:rFonts w:hint="eastAsia" w:ascii="仿宋" w:hAnsi="仿宋" w:eastAsia="仿宋" w:cs="仿宋"/>
              <w:sz w:val="24"/>
              <w:szCs w:val="24"/>
            </w:rPr>
            <w:t>二、收入决算表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_Toc18502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A71EC12">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_Toc30878 </w:instrText>
          </w:r>
          <w:r>
            <w:rPr>
              <w:rFonts w:hint="eastAsia" w:ascii="仿宋" w:hAnsi="仿宋" w:eastAsia="仿宋" w:cs="仿宋"/>
              <w:sz w:val="24"/>
              <w:szCs w:val="24"/>
            </w:rPr>
            <w:fldChar w:fldCharType="separate"/>
          </w:r>
          <w:r>
            <w:rPr>
              <w:rFonts w:hint="eastAsia" w:ascii="仿宋" w:hAnsi="仿宋" w:eastAsia="仿宋" w:cs="仿宋"/>
              <w:sz w:val="24"/>
              <w:szCs w:val="24"/>
            </w:rPr>
            <w:t>三、支出决算表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_Toc30878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240F0FB">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_Toc16199 </w:instrText>
          </w:r>
          <w:r>
            <w:rPr>
              <w:rFonts w:hint="eastAsia" w:ascii="仿宋" w:hAnsi="仿宋" w:eastAsia="仿宋" w:cs="仿宋"/>
              <w:sz w:val="24"/>
              <w:szCs w:val="24"/>
            </w:rPr>
            <w:fldChar w:fldCharType="separate"/>
          </w:r>
          <w:r>
            <w:rPr>
              <w:rFonts w:hint="eastAsia" w:ascii="仿宋" w:hAnsi="仿宋" w:eastAsia="仿宋" w:cs="仿宋"/>
              <w:sz w:val="24"/>
              <w:szCs w:val="24"/>
            </w:rPr>
            <w:t>四、财政拨款收入支出决算总表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_Toc16199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114403B">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_Toc5289 </w:instrText>
          </w:r>
          <w:r>
            <w:rPr>
              <w:rFonts w:hint="eastAsia" w:ascii="仿宋" w:hAnsi="仿宋" w:eastAsia="仿宋" w:cs="仿宋"/>
              <w:sz w:val="24"/>
              <w:szCs w:val="24"/>
            </w:rPr>
            <w:fldChar w:fldCharType="separate"/>
          </w:r>
          <w:r>
            <w:rPr>
              <w:rFonts w:hint="eastAsia" w:ascii="仿宋" w:hAnsi="仿宋" w:eastAsia="仿宋" w:cs="仿宋"/>
              <w:sz w:val="24"/>
              <w:szCs w:val="24"/>
            </w:rPr>
            <w:t>五、财政拨款支出决算明细表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_Toc5289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D8C56C3">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_Toc18209 </w:instrText>
          </w:r>
          <w:r>
            <w:rPr>
              <w:rFonts w:hint="eastAsia" w:ascii="仿宋" w:hAnsi="仿宋" w:eastAsia="仿宋" w:cs="仿宋"/>
              <w:sz w:val="24"/>
              <w:szCs w:val="24"/>
            </w:rPr>
            <w:fldChar w:fldCharType="separate"/>
          </w:r>
          <w:r>
            <w:rPr>
              <w:rFonts w:hint="eastAsia" w:ascii="仿宋" w:hAnsi="仿宋" w:eastAsia="仿宋" w:cs="仿宋"/>
              <w:sz w:val="24"/>
              <w:szCs w:val="24"/>
            </w:rPr>
            <w:t>六、一般公共预算财政拨款支出决算表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_Toc18209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B5AB0A5">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_Toc19410 </w:instrText>
          </w:r>
          <w:r>
            <w:rPr>
              <w:rFonts w:hint="eastAsia" w:ascii="仿宋" w:hAnsi="仿宋" w:eastAsia="仿宋" w:cs="仿宋"/>
              <w:sz w:val="24"/>
              <w:szCs w:val="24"/>
            </w:rPr>
            <w:fldChar w:fldCharType="separate"/>
          </w:r>
          <w:r>
            <w:rPr>
              <w:rFonts w:hint="eastAsia" w:ascii="仿宋" w:hAnsi="仿宋" w:eastAsia="仿宋" w:cs="仿宋"/>
              <w:sz w:val="24"/>
              <w:szCs w:val="24"/>
            </w:rPr>
            <w:t>七、一般公共预算财政拨款支出决算明细表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_Toc19410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4AD7596">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_Toc3486 </w:instrText>
          </w:r>
          <w:r>
            <w:rPr>
              <w:rFonts w:hint="eastAsia" w:ascii="仿宋" w:hAnsi="仿宋" w:eastAsia="仿宋" w:cs="仿宋"/>
              <w:sz w:val="24"/>
              <w:szCs w:val="24"/>
            </w:rPr>
            <w:fldChar w:fldCharType="separate"/>
          </w:r>
          <w:r>
            <w:rPr>
              <w:rFonts w:hint="eastAsia" w:ascii="仿宋" w:hAnsi="仿宋" w:eastAsia="仿宋" w:cs="仿宋"/>
              <w:sz w:val="24"/>
              <w:szCs w:val="24"/>
            </w:rPr>
            <w:t>八、一般公共预算财政拨款基本支出决算表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_Toc3486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BB239D2">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_Toc11280 </w:instrText>
          </w:r>
          <w:r>
            <w:rPr>
              <w:rFonts w:hint="eastAsia" w:ascii="仿宋" w:hAnsi="仿宋" w:eastAsia="仿宋" w:cs="仿宋"/>
              <w:sz w:val="24"/>
              <w:szCs w:val="24"/>
            </w:rPr>
            <w:fldChar w:fldCharType="separate"/>
          </w:r>
          <w:r>
            <w:rPr>
              <w:rFonts w:hint="eastAsia" w:ascii="仿宋" w:hAnsi="仿宋" w:eastAsia="仿宋" w:cs="仿宋"/>
              <w:sz w:val="24"/>
              <w:szCs w:val="24"/>
            </w:rPr>
            <w:t>九、一般公共预算财政拨款项目支出决算表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_Toc11280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BAB2A1C">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_Toc27368 </w:instrText>
          </w:r>
          <w:r>
            <w:rPr>
              <w:rFonts w:hint="eastAsia" w:ascii="仿宋" w:hAnsi="仿宋" w:eastAsia="仿宋" w:cs="仿宋"/>
              <w:sz w:val="24"/>
              <w:szCs w:val="24"/>
            </w:rPr>
            <w:fldChar w:fldCharType="separate"/>
          </w:r>
          <w:r>
            <w:rPr>
              <w:rFonts w:hint="eastAsia" w:ascii="仿宋" w:hAnsi="仿宋" w:eastAsia="仿宋" w:cs="仿宋"/>
              <w:sz w:val="24"/>
              <w:szCs w:val="24"/>
            </w:rPr>
            <w:t>十、政府性基金预算财政拨款收入支出决算表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_Toc27368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33E5A59">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_Toc20164 </w:instrText>
          </w:r>
          <w:r>
            <w:rPr>
              <w:rFonts w:hint="eastAsia" w:ascii="仿宋" w:hAnsi="仿宋" w:eastAsia="仿宋" w:cs="仿宋"/>
              <w:sz w:val="24"/>
              <w:szCs w:val="24"/>
            </w:rPr>
            <w:fldChar w:fldCharType="separate"/>
          </w:r>
          <w:r>
            <w:rPr>
              <w:rFonts w:hint="eastAsia" w:ascii="仿宋" w:hAnsi="仿宋" w:eastAsia="仿宋" w:cs="仿宋"/>
              <w:sz w:val="24"/>
              <w:szCs w:val="24"/>
            </w:rPr>
            <w:t>十一、国有资本经营预算财政拨款收入支出决算表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_Toc20164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68E5F23">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_Toc13623 </w:instrText>
          </w:r>
          <w:r>
            <w:rPr>
              <w:rFonts w:hint="eastAsia" w:ascii="仿宋" w:hAnsi="仿宋" w:eastAsia="仿宋" w:cs="仿宋"/>
              <w:sz w:val="24"/>
              <w:szCs w:val="24"/>
            </w:rPr>
            <w:fldChar w:fldCharType="separate"/>
          </w:r>
          <w:r>
            <w:rPr>
              <w:rFonts w:hint="eastAsia" w:ascii="仿宋" w:hAnsi="仿宋" w:eastAsia="仿宋" w:cs="仿宋"/>
              <w:sz w:val="24"/>
              <w:szCs w:val="24"/>
            </w:rPr>
            <w:t>十二、国有资本经营预算财政拨款支出决算表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_Toc13623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F4FD74B">
          <w:pPr>
            <w:pStyle w:val="16"/>
            <w:keepNext w:val="0"/>
            <w:keepLines w:val="0"/>
            <w:pageBreakBefore w:val="0"/>
            <w:widowControl w:val="0"/>
            <w:tabs>
              <w:tab w:val="right" w:leader="dot" w:pos="9026"/>
              <w:tab w:val="clear" w:pos="8296"/>
            </w:tabs>
            <w:kinsoku/>
            <w:wordWrap/>
            <w:overflowPunct/>
            <w:topLinePunct w:val="0"/>
            <w:autoSpaceDE/>
            <w:autoSpaceDN/>
            <w:bidi w:val="0"/>
            <w:adjustRightInd/>
            <w:snapToGrid/>
            <w:spacing w:line="520" w:lineRule="exact"/>
            <w:textAlignment w:val="auto"/>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_Toc12856 </w:instrText>
          </w:r>
          <w:r>
            <w:rPr>
              <w:rFonts w:hint="eastAsia" w:ascii="仿宋" w:hAnsi="仿宋" w:eastAsia="仿宋" w:cs="仿宋"/>
              <w:sz w:val="24"/>
              <w:szCs w:val="24"/>
            </w:rPr>
            <w:fldChar w:fldCharType="separate"/>
          </w:r>
          <w:r>
            <w:rPr>
              <w:rFonts w:hint="eastAsia" w:ascii="仿宋" w:hAnsi="仿宋" w:eastAsia="仿宋" w:cs="仿宋"/>
              <w:sz w:val="24"/>
              <w:szCs w:val="24"/>
            </w:rPr>
            <w:t>十三、财政拨款“三公”经费支出决算表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_Toc12856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D143FB2">
          <w:r>
            <w:fldChar w:fldCharType="end"/>
          </w:r>
        </w:p>
      </w:sdtContent>
    </w:sdt>
    <w:p w14:paraId="15FF38D1"/>
    <w:p w14:paraId="1029A91C">
      <w:pPr>
        <w:pStyle w:val="2"/>
        <w:jc w:val="center"/>
        <w:rPr>
          <w:rFonts w:hint="eastAsia" w:ascii="黑体" w:hAnsi="黑体" w:eastAsia="黑体"/>
          <w:b w:val="0"/>
        </w:rPr>
        <w:sectPr>
          <w:footerReference r:id="rId5" w:type="first"/>
          <w:headerReference r:id="rId3" w:type="default"/>
          <w:footerReference r:id="rId4" w:type="default"/>
          <w:pgSz w:w="11906" w:h="16838"/>
          <w:pgMar w:top="1803" w:right="1440" w:bottom="1803" w:left="1440" w:header="851" w:footer="992" w:gutter="0"/>
          <w:pgNumType w:fmt="decimal" w:start="1"/>
          <w:cols w:space="425" w:num="1"/>
          <w:titlePg/>
          <w:docGrid w:type="lines" w:linePitch="312" w:charSpace="0"/>
        </w:sectPr>
      </w:pPr>
    </w:p>
    <w:p w14:paraId="227B84AB">
      <w:pPr>
        <w:pStyle w:val="2"/>
        <w:jc w:val="center"/>
        <w:rPr>
          <w:rFonts w:ascii="黑体" w:eastAsia="黑体"/>
          <w:sz w:val="32"/>
          <w:szCs w:val="32"/>
        </w:rPr>
      </w:pPr>
      <w:bookmarkStart w:id="8" w:name="_Toc8120"/>
      <w:r>
        <w:rPr>
          <w:rFonts w:hint="eastAsia" w:ascii="黑体" w:hAnsi="黑体" w:eastAsia="黑体"/>
          <w:b w:val="0"/>
        </w:rPr>
        <w:t>第一部分 单位</w:t>
      </w:r>
      <w:r>
        <w:rPr>
          <w:rStyle w:val="32"/>
          <w:rFonts w:hint="eastAsia" w:ascii="黑体" w:hAnsi="黑体" w:eastAsia="黑体"/>
          <w:b w:val="0"/>
          <w:bCs w:val="0"/>
        </w:rPr>
        <w:t>概况</w:t>
      </w:r>
      <w:bookmarkEnd w:id="6"/>
      <w:bookmarkEnd w:id="7"/>
      <w:bookmarkEnd w:id="8"/>
    </w:p>
    <w:p w14:paraId="21190997">
      <w:pPr>
        <w:pStyle w:val="3"/>
        <w:pageBreakBefore w:val="0"/>
        <w:kinsoku/>
        <w:wordWrap/>
        <w:autoSpaceDE/>
        <w:autoSpaceDN/>
        <w:bidi w:val="0"/>
        <w:adjustRightInd/>
        <w:snapToGrid/>
        <w:spacing w:line="580" w:lineRule="exact"/>
        <w:ind w:leftChars="0" w:firstLine="643" w:firstLineChars="200"/>
        <w:jc w:val="both"/>
        <w:textAlignment w:val="auto"/>
      </w:pPr>
      <w:bookmarkStart w:id="9" w:name="_Toc2328"/>
      <w:bookmarkStart w:id="10" w:name="_Toc19127"/>
      <w:r>
        <w:t>一、主要职责</w:t>
      </w:r>
      <w:bookmarkEnd w:id="9"/>
      <w:bookmarkEnd w:id="10"/>
    </w:p>
    <w:p w14:paraId="6F12DC97">
      <w:pPr>
        <w:pStyle w:val="4"/>
        <w:keepNext w:val="0"/>
        <w:keepLines w:val="0"/>
        <w:pageBreakBefore w:val="0"/>
        <w:widowControl/>
        <w:kinsoku/>
        <w:wordWrap/>
        <w:overflowPunct/>
        <w:topLinePunct w:val="0"/>
        <w:autoSpaceDE/>
        <w:autoSpaceDN/>
        <w:bidi w:val="0"/>
        <w:adjustRightInd/>
        <w:snapToGrid/>
        <w:spacing w:line="580" w:lineRule="exact"/>
        <w:ind w:leftChars="0" w:firstLine="643" w:firstLineChars="200"/>
        <w:jc w:val="both"/>
        <w:textAlignment w:val="auto"/>
      </w:pPr>
      <w:bookmarkStart w:id="11" w:name="_Toc18646"/>
      <w:bookmarkStart w:id="12" w:name="_Toc16583"/>
      <w:r>
        <w:t>（一）主要职能</w:t>
      </w:r>
      <w:bookmarkEnd w:id="11"/>
      <w:bookmarkEnd w:id="12"/>
    </w:p>
    <w:p w14:paraId="544DA838">
      <w:pPr>
        <w:pStyle w:val="37"/>
        <w:keepNext w:val="0"/>
        <w:keepLines w:val="0"/>
        <w:pageBreakBefore w:val="0"/>
        <w:widowControl/>
        <w:kinsoku/>
        <w:wordWrap/>
        <w:overflowPunct/>
        <w:topLinePunct w:val="0"/>
        <w:autoSpaceDE/>
        <w:autoSpaceDN/>
        <w:bidi w:val="0"/>
        <w:adjustRightInd/>
        <w:snapToGrid/>
        <w:spacing w:before="0" w:line="580" w:lineRule="exact"/>
        <w:ind w:leftChars="0" w:firstLine="640" w:firstLineChars="200"/>
        <w:jc w:val="both"/>
        <w:textAlignment w:val="auto"/>
      </w:pPr>
      <w:r>
        <w:rPr>
          <w:rFonts w:hint="eastAsia" w:ascii="仿宋_GB2312" w:hAnsi="黑体" w:eastAsia="仿宋_GB2312" w:cs="仿宋_GB2312"/>
          <w:sz w:val="32"/>
          <w:szCs w:val="32"/>
        </w:rPr>
        <w:t>汶川环境监测站对本县大气、水体、噪声、降水、土壤、生物、底泥、固体废弃物等各种环境要素的质量状况，按国家统一要求，进行监测、综合分析，定期向汶川生态环境局和阿坝州环境监测中心站上报本县环境质量状况和污染动态等技术报告。对全县各有关单位排放污染物的状况进行不定期的监视性监测，配合环境监督管理，掌握环境动态，为加强污染源管理和排污收费提供监测数据，为政府制定环境法规和环境对策提供科学依据。制定本县环境监测计划，完成主管部门为进行环境管理所需的各项监测任务。</w:t>
      </w:r>
    </w:p>
    <w:p w14:paraId="3DD228E8">
      <w:pPr>
        <w:pStyle w:val="4"/>
        <w:keepNext w:val="0"/>
        <w:keepLines w:val="0"/>
        <w:pageBreakBefore w:val="0"/>
        <w:widowControl/>
        <w:kinsoku/>
        <w:wordWrap/>
        <w:overflowPunct/>
        <w:topLinePunct w:val="0"/>
        <w:autoSpaceDE/>
        <w:autoSpaceDN/>
        <w:bidi w:val="0"/>
        <w:adjustRightInd/>
        <w:snapToGrid/>
        <w:spacing w:line="580" w:lineRule="exact"/>
        <w:ind w:leftChars="0" w:firstLine="643" w:firstLineChars="200"/>
        <w:jc w:val="both"/>
        <w:textAlignment w:val="auto"/>
        <w:rPr>
          <w:rFonts w:ascii="Times New Roman" w:hAnsi="Times New Roman" w:eastAsia="宋体" w:cs="Times New Roman"/>
        </w:rPr>
      </w:pPr>
      <w:bookmarkStart w:id="13" w:name="_Toc26014"/>
      <w:bookmarkStart w:id="14" w:name="_Toc12705"/>
      <w:r>
        <w:rPr>
          <w:rFonts w:ascii="Times New Roman" w:hAnsi="Times New Roman" w:eastAsia="宋体" w:cs="Times New Roman"/>
        </w:rPr>
        <w:t>（二）</w:t>
      </w:r>
      <w:r>
        <w:rPr>
          <w:rFonts w:hint="eastAsia" w:cs="Times New Roman"/>
          <w:lang w:eastAsia="zh-CN"/>
        </w:rPr>
        <w:t>2025</w:t>
      </w:r>
      <w:r>
        <w:rPr>
          <w:rFonts w:ascii="Times New Roman" w:hAnsi="Times New Roman" w:eastAsia="宋体" w:cs="Times New Roman"/>
        </w:rPr>
        <w:t>年重点工作完成情况</w:t>
      </w:r>
      <w:bookmarkEnd w:id="13"/>
      <w:bookmarkEnd w:id="14"/>
    </w:p>
    <w:p w14:paraId="0C9656D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bookmarkStart w:id="15" w:name="_Toc23922"/>
      <w:bookmarkStart w:id="16" w:name="_Toc17307"/>
      <w:r>
        <w:rPr>
          <w:rFonts w:hint="eastAsia" w:ascii="仿宋_GB2312" w:hAnsi="仿宋_GB2312" w:eastAsia="仿宋_GB2312" w:cs="仿宋_GB2312"/>
          <w:b/>
          <w:bCs/>
          <w:color w:val="auto"/>
          <w:kern w:val="0"/>
          <w:sz w:val="32"/>
          <w:szCs w:val="32"/>
          <w:highlight w:val="none"/>
          <w:lang w:val="en-US" w:eastAsia="zh-CN"/>
        </w:rPr>
        <w:t>（1）气环境质量持续优化。</w:t>
      </w:r>
      <w:r>
        <w:rPr>
          <w:rFonts w:hint="eastAsia" w:ascii="仿宋_GB2312" w:hAnsi="仿宋_GB2312" w:eastAsia="仿宋_GB2312" w:cs="仿宋_GB2312"/>
          <w:b w:val="0"/>
          <w:bCs w:val="0"/>
          <w:color w:val="auto"/>
          <w:kern w:val="0"/>
          <w:sz w:val="32"/>
          <w:szCs w:val="32"/>
          <w:highlight w:val="none"/>
          <w:lang w:val="en-US" w:eastAsia="zh-CN"/>
        </w:rPr>
        <w:t>全年环境空气PM2.5平均浓度为14微克/立方米，有效监测天数296天，其中优220天、良75天，优良率达99.7%；仅3月28日受沙尘天气影响出现1天轻度污染，其余时段均保持优良水平。1-9月全省排名第30位，圆满完成年度大气环境质量目标任务。</w:t>
      </w:r>
    </w:p>
    <w:p w14:paraId="0485339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（2）水环境质量稳定达标。</w:t>
      </w:r>
      <w:r>
        <w:rPr>
          <w:rFonts w:hint="eastAsia" w:ascii="仿宋_GB2312" w:hAnsi="仿宋_GB2312" w:eastAsia="仿宋_GB2312" w:cs="仿宋_GB2312"/>
          <w:b w:val="0"/>
          <w:bCs w:val="0"/>
          <w:color w:val="auto"/>
          <w:kern w:val="0"/>
          <w:sz w:val="32"/>
          <w:szCs w:val="32"/>
          <w:highlight w:val="none"/>
          <w:lang w:val="en-US" w:eastAsia="zh-CN"/>
        </w:rPr>
        <w:t>国控都江堰水文站断面、省控寿溪水磨断面及映秀断面水质，均达到或优于Ⅱ类水体标准，达标率100%，未发生水质类别下降情况，全面实现年度水环境质量目标。</w:t>
      </w:r>
    </w:p>
    <w:p w14:paraId="19A2FE4A">
      <w:pPr>
        <w:pStyle w:val="3"/>
        <w:pageBreakBefore w:val="0"/>
        <w:numPr>
          <w:ilvl w:val="0"/>
          <w:numId w:val="1"/>
        </w:numPr>
        <w:kinsoku/>
        <w:wordWrap/>
        <w:autoSpaceDE/>
        <w:autoSpaceDN/>
        <w:bidi w:val="0"/>
        <w:adjustRightInd/>
        <w:snapToGrid/>
        <w:spacing w:line="580" w:lineRule="exact"/>
        <w:ind w:leftChars="0" w:firstLine="643" w:firstLineChars="200"/>
        <w:jc w:val="both"/>
        <w:textAlignment w:val="auto"/>
      </w:pPr>
      <w:r>
        <w:t>机构设置</w:t>
      </w:r>
      <w:bookmarkEnd w:id="15"/>
      <w:bookmarkEnd w:id="16"/>
    </w:p>
    <w:p w14:paraId="50AD4D2B">
      <w:pPr>
        <w:pageBreakBefore w:val="0"/>
        <w:numPr>
          <w:ilvl w:val="0"/>
          <w:numId w:val="0"/>
        </w:numPr>
        <w:kinsoku/>
        <w:wordWrap/>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本单位本年度纳入本套决算编制范围的独立编制机构数共1个，比上年增加0个，独立核算机构数共1个，比上年增加0个，汶川环境监测站是阿坝州汶川生态换局下属二级预算单位。</w:t>
      </w:r>
    </w:p>
    <w:p w14:paraId="7F9103E8">
      <w:pPr>
        <w:pageBreakBefore w:val="0"/>
        <w:widowControl/>
        <w:kinsoku/>
        <w:wordWrap/>
        <w:autoSpaceDE/>
        <w:autoSpaceDN/>
        <w:bidi w:val="0"/>
        <w:adjustRightInd/>
        <w:snapToGrid/>
        <w:spacing w:line="580" w:lineRule="exact"/>
        <w:ind w:leftChars="0" w:firstLine="640" w:firstLineChars="200"/>
        <w:jc w:val="left"/>
        <w:textAlignment w:val="auto"/>
        <w:rPr>
          <w:rFonts w:ascii="仿宋" w:hAnsi="仿宋" w:eastAsia="仿宋"/>
          <w:kern w:val="0"/>
          <w:sz w:val="32"/>
          <w:szCs w:val="32"/>
        </w:rPr>
      </w:pPr>
      <w:r>
        <w:rPr>
          <w:rFonts w:ascii="仿宋" w:hAnsi="仿宋" w:eastAsia="仿宋"/>
          <w:sz w:val="32"/>
          <w:szCs w:val="32"/>
        </w:rPr>
        <w:br w:type="page"/>
      </w:r>
    </w:p>
    <w:p w14:paraId="4B9B2BF4">
      <w:pPr>
        <w:pStyle w:val="2"/>
        <w:ind w:right="440"/>
        <w:jc w:val="center"/>
      </w:pPr>
      <w:bookmarkStart w:id="17" w:name="_Toc15396602"/>
      <w:bookmarkStart w:id="18" w:name="_Toc4254"/>
      <w:bookmarkStart w:id="19" w:name="_Toc15377204"/>
      <w:r>
        <w:rPr>
          <w:rFonts w:hint="eastAsia" w:ascii="黑体" w:hAnsi="黑体" w:eastAsia="黑体"/>
          <w:b w:val="0"/>
        </w:rPr>
        <w:t xml:space="preserve">第二部分 </w:t>
      </w:r>
      <w:r>
        <w:rPr>
          <w:rFonts w:hint="eastAsia" w:ascii="黑体" w:hAnsi="黑体" w:eastAsia="黑体"/>
          <w:b w:val="0"/>
          <w:lang w:eastAsia="zh-CN"/>
        </w:rPr>
        <w:t>2025</w:t>
      </w:r>
      <w:r>
        <w:rPr>
          <w:rFonts w:hint="eastAsia" w:ascii="黑体" w:hAnsi="黑体" w:eastAsia="黑体"/>
          <w:b w:val="0"/>
        </w:rPr>
        <w:t>年度</w:t>
      </w:r>
      <w:r>
        <w:rPr>
          <w:rStyle w:val="32"/>
          <w:rFonts w:hint="eastAsia" w:ascii="黑体" w:hAnsi="黑体" w:eastAsia="黑体"/>
          <w:b w:val="0"/>
          <w:bCs/>
        </w:rPr>
        <w:t>单位决算情况说明</w:t>
      </w:r>
      <w:bookmarkEnd w:id="17"/>
      <w:bookmarkEnd w:id="18"/>
      <w:bookmarkEnd w:id="19"/>
    </w:p>
    <w:p w14:paraId="60EFF320">
      <w:pPr>
        <w:pStyle w:val="31"/>
        <w:numPr>
          <w:ilvl w:val="0"/>
          <w:numId w:val="2"/>
        </w:numPr>
        <w:spacing w:line="600" w:lineRule="exact"/>
        <w:ind w:firstLineChars="0"/>
        <w:outlineLvl w:val="1"/>
        <w:rPr>
          <w:rStyle w:val="33"/>
          <w:rFonts w:ascii="黑体" w:hAnsi="黑体" w:eastAsia="黑体"/>
          <w:b w:val="0"/>
        </w:rPr>
      </w:pPr>
      <w:bookmarkStart w:id="20" w:name="_Toc15377205"/>
      <w:bookmarkStart w:id="21" w:name="_Toc15396603"/>
      <w:bookmarkStart w:id="22" w:name="_Toc32271"/>
      <w:r>
        <w:rPr>
          <w:rFonts w:hint="eastAsia" w:ascii="黑体" w:hAnsi="黑体" w:eastAsia="黑体"/>
          <w:sz w:val="32"/>
          <w:szCs w:val="32"/>
        </w:rPr>
        <w:t>收</w:t>
      </w:r>
      <w:r>
        <w:rPr>
          <w:rStyle w:val="33"/>
          <w:rFonts w:hint="eastAsia" w:ascii="黑体" w:hAnsi="黑体" w:eastAsia="黑体"/>
          <w:b w:val="0"/>
        </w:rPr>
        <w:t>入支出决算总体情况说明</w:t>
      </w:r>
      <w:bookmarkEnd w:id="20"/>
      <w:bookmarkEnd w:id="21"/>
      <w:bookmarkEnd w:id="22"/>
    </w:p>
    <w:p w14:paraId="79BB0DF9">
      <w:pPr>
        <w:pStyle w:val="31"/>
        <w:spacing w:line="600" w:lineRule="exact"/>
        <w:ind w:firstLine="640"/>
        <w:outlineLvl w:val="1"/>
        <w:rPr>
          <w:rFonts w:hint="eastAsia" w:ascii="仿宋" w:hAnsi="仿宋" w:eastAsia="仿宋" w:cs="仿宋"/>
          <w:b w:val="0"/>
          <w:bCs w:val="0"/>
          <w:sz w:val="32"/>
          <w:szCs w:val="32"/>
        </w:rPr>
      </w:pPr>
      <w:r>
        <w:rPr>
          <w:rFonts w:hint="eastAsia" w:eastAsia="仿宋_GB2312" w:cs="仿宋_GB2312"/>
          <w:sz w:val="32"/>
          <w:szCs w:val="32"/>
          <w:lang w:eastAsia="zh-CN"/>
        </w:rPr>
        <w:t>2025</w:t>
      </w:r>
      <w:r>
        <w:rPr>
          <w:rFonts w:hint="eastAsia" w:eastAsia="仿宋_GB2312" w:cs="仿宋_GB2312"/>
          <w:sz w:val="32"/>
          <w:szCs w:val="32"/>
        </w:rPr>
        <w:t>年度收入、支出总计均为</w:t>
      </w:r>
      <w:r>
        <w:rPr>
          <w:rFonts w:hint="eastAsia" w:ascii="仿宋" w:hAnsi="仿宋"/>
          <w:sz w:val="32"/>
          <w:szCs w:val="32"/>
          <w:lang w:val="en-US" w:eastAsia="zh-CN"/>
        </w:rPr>
        <w:t>339.62</w:t>
      </w:r>
      <w:r>
        <w:rPr>
          <w:rFonts w:hint="eastAsia" w:eastAsia="仿宋_GB2312" w:cs="仿宋_GB2312"/>
          <w:sz w:val="32"/>
          <w:szCs w:val="32"/>
        </w:rPr>
        <w:t>万元。与</w:t>
      </w:r>
      <w:r>
        <w:rPr>
          <w:rFonts w:hint="eastAsia" w:eastAsia="仿宋_GB2312" w:cs="仿宋_GB2312"/>
          <w:sz w:val="32"/>
          <w:szCs w:val="32"/>
          <w:lang w:eastAsia="zh-CN"/>
        </w:rPr>
        <w:t>2024</w:t>
      </w:r>
      <w:r>
        <w:rPr>
          <w:rFonts w:hint="eastAsia" w:eastAsia="仿宋_GB2312" w:cs="仿宋_GB2312"/>
          <w:sz w:val="32"/>
          <w:szCs w:val="32"/>
        </w:rPr>
        <w:t>年度相比收入、支出总计</w:t>
      </w:r>
      <w:r>
        <w:rPr>
          <w:rFonts w:hint="eastAsia" w:eastAsia="仿宋_GB2312" w:cs="仿宋_GB2312"/>
          <w:sz w:val="32"/>
          <w:szCs w:val="32"/>
          <w:lang w:val="en-US" w:eastAsia="zh-CN"/>
        </w:rPr>
        <w:t>增加</w:t>
      </w:r>
      <w:r>
        <w:rPr>
          <w:rFonts w:hint="eastAsia" w:ascii="仿宋" w:hAnsi="仿宋"/>
          <w:sz w:val="32"/>
          <w:szCs w:val="32"/>
          <w:lang w:val="en-US" w:eastAsia="zh-CN"/>
        </w:rPr>
        <w:t>54.59</w:t>
      </w:r>
      <w:r>
        <w:rPr>
          <w:rFonts w:hint="eastAsia" w:eastAsia="仿宋_GB2312" w:cs="仿宋_GB2312"/>
          <w:sz w:val="32"/>
          <w:szCs w:val="32"/>
        </w:rPr>
        <w:t>万元，</w:t>
      </w:r>
      <w:r>
        <w:rPr>
          <w:rFonts w:hint="eastAsia" w:eastAsia="仿宋_GB2312" w:cs="仿宋_GB2312"/>
          <w:sz w:val="32"/>
          <w:szCs w:val="32"/>
          <w:lang w:val="en-US" w:eastAsia="zh-CN"/>
        </w:rPr>
        <w:t>增加</w:t>
      </w:r>
      <w:r>
        <w:rPr>
          <w:rFonts w:hint="eastAsia" w:ascii="仿宋" w:hAnsi="仿宋"/>
          <w:sz w:val="32"/>
          <w:szCs w:val="32"/>
          <w:lang w:val="en-US" w:eastAsia="zh-CN"/>
        </w:rPr>
        <w:t>19</w:t>
      </w:r>
      <w:r>
        <w:rPr>
          <w:rFonts w:ascii="仿宋" w:hAnsi="仿宋" w:eastAsia="仿宋"/>
          <w:sz w:val="32"/>
          <w:szCs w:val="32"/>
        </w:rPr>
        <w:t>%</w:t>
      </w:r>
      <w:r>
        <w:rPr>
          <w:rFonts w:hint="eastAsia" w:eastAsia="仿宋_GB2312" w:cs="仿宋_GB2312"/>
          <w:sz w:val="32"/>
          <w:szCs w:val="32"/>
        </w:rPr>
        <w:t>。</w:t>
      </w:r>
      <w:r>
        <w:rPr>
          <w:rFonts w:hint="eastAsia" w:ascii="仿宋" w:hAnsi="仿宋" w:eastAsia="仿宋"/>
          <w:sz w:val="32"/>
          <w:szCs w:val="32"/>
        </w:rPr>
        <w:t>主要变动原</w:t>
      </w:r>
      <w:r>
        <w:rPr>
          <w:rFonts w:hint="eastAsia" w:eastAsia="仿宋_GB2312" w:cs="仿宋_GB2312"/>
          <w:sz w:val="32"/>
          <w:szCs w:val="32"/>
          <w:lang w:val="en-US" w:eastAsia="zh-CN"/>
        </w:rPr>
        <w:t>因是2025年新增9人、</w:t>
      </w:r>
      <w:r>
        <w:rPr>
          <w:rFonts w:hint="eastAsia" w:ascii="仿宋" w:hAnsi="仿宋" w:eastAsia="仿宋" w:cs="仿宋"/>
          <w:b w:val="0"/>
          <w:bCs w:val="0"/>
          <w:sz w:val="32"/>
          <w:szCs w:val="32"/>
          <w:lang w:val="en-US" w:eastAsia="zh-CN"/>
        </w:rPr>
        <w:t>2025年工资变动及保险调整</w:t>
      </w:r>
      <w:r>
        <w:rPr>
          <w:rFonts w:hint="eastAsia" w:eastAsia="仿宋_GB2312" w:cs="仿宋_GB2312"/>
          <w:sz w:val="32"/>
          <w:szCs w:val="32"/>
          <w:lang w:val="en-US" w:eastAsia="zh-CN"/>
        </w:rPr>
        <w:t>。</w:t>
      </w:r>
    </w:p>
    <w:p w14:paraId="4DF44233">
      <w:pPr>
        <w:pStyle w:val="9"/>
        <w:rPr>
          <w:rFonts w:hint="eastAsia" w:ascii="仿宋" w:hAnsi="仿宋" w:eastAsia="仿宋"/>
          <w:sz w:val="32"/>
          <w:szCs w:val="32"/>
        </w:rPr>
      </w:pPr>
      <w:r>
        <w:rPr>
          <w:rFonts w:hint="eastAsia"/>
          <w:lang w:val="en-US" w:eastAsia="zh-CN"/>
        </w:rPr>
        <w:t xml:space="preserve">       </w:t>
      </w:r>
      <w: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BF56F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仿宋_GB2312" w:eastAsia="仿宋_GB2312"/>
          <w:sz w:val="32"/>
          <w:szCs w:val="32"/>
        </w:rPr>
      </w:pPr>
      <w:r>
        <w:rPr>
          <w:rFonts w:hint="eastAsia"/>
          <w:lang w:val="en-US" w:eastAsia="zh-CN"/>
        </w:rPr>
        <w:t xml:space="preserve">          </w:t>
      </w: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746FE1F2">
      <w:pPr>
        <w:pStyle w:val="31"/>
        <w:numPr>
          <w:ilvl w:val="0"/>
          <w:numId w:val="2"/>
        </w:numPr>
        <w:spacing w:line="600" w:lineRule="exact"/>
        <w:ind w:firstLineChars="0"/>
        <w:outlineLvl w:val="1"/>
        <w:rPr>
          <w:rStyle w:val="33"/>
          <w:rFonts w:ascii="黑体" w:hAnsi="黑体" w:eastAsia="黑体"/>
          <w:b w:val="0"/>
        </w:rPr>
      </w:pPr>
      <w:bookmarkStart w:id="23" w:name="_Toc15377206"/>
      <w:bookmarkStart w:id="24" w:name="_Toc23567"/>
      <w:bookmarkStart w:id="25" w:name="_Toc15396604"/>
      <w:r>
        <w:rPr>
          <w:rFonts w:hint="eastAsia" w:ascii="黑体" w:hAnsi="黑体" w:eastAsia="黑体"/>
          <w:sz w:val="32"/>
          <w:szCs w:val="32"/>
        </w:rPr>
        <w:t>收</w:t>
      </w:r>
      <w:r>
        <w:rPr>
          <w:rStyle w:val="33"/>
          <w:rFonts w:hint="eastAsia" w:ascii="黑体" w:hAnsi="黑体" w:eastAsia="黑体"/>
          <w:b w:val="0"/>
        </w:rPr>
        <w:t>入决算情况说明</w:t>
      </w:r>
      <w:bookmarkEnd w:id="23"/>
      <w:bookmarkEnd w:id="24"/>
      <w:bookmarkEnd w:id="25"/>
    </w:p>
    <w:p w14:paraId="16766B49">
      <w:pPr>
        <w:pStyle w:val="31"/>
        <w:spacing w:line="600" w:lineRule="exact"/>
        <w:ind w:firstLine="640"/>
        <w:jc w:val="left"/>
        <w:outlineLvl w:val="1"/>
        <w:rPr>
          <w:rFonts w:hint="eastAsia"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339.62</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339.62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（注：仅罗列本部门涉及的收入）</w:t>
      </w:r>
    </w:p>
    <w:p w14:paraId="220786D0">
      <w:pPr>
        <w:spacing w:line="600" w:lineRule="exact"/>
        <w:ind w:firstLine="640" w:firstLineChars="200"/>
        <w:rPr>
          <w:rFonts w:hint="eastAsia" w:ascii="仿宋" w:hAnsi="仿宋" w:eastAsia="仿宋"/>
          <w:sz w:val="32"/>
          <w:szCs w:val="32"/>
        </w:rPr>
      </w:pPr>
    </w:p>
    <w:p w14:paraId="2ED37FC4">
      <w:pPr>
        <w:spacing w:line="600" w:lineRule="exact"/>
        <w:ind w:firstLine="640" w:firstLineChars="200"/>
        <w:rPr>
          <w:rFonts w:hint="eastAsia" w:ascii="仿宋" w:hAnsi="仿宋" w:eastAsia="仿宋"/>
          <w:sz w:val="32"/>
          <w:szCs w:val="32"/>
        </w:rPr>
      </w:pPr>
    </w:p>
    <w:p w14:paraId="2F21430D">
      <w:pPr>
        <w:spacing w:line="600" w:lineRule="exact"/>
        <w:ind w:firstLine="640" w:firstLineChars="200"/>
        <w:rPr>
          <w:rFonts w:hint="eastAsia" w:ascii="仿宋" w:hAnsi="仿宋" w:eastAsia="仿宋"/>
          <w:sz w:val="32"/>
          <w:szCs w:val="32"/>
        </w:rPr>
      </w:pPr>
    </w:p>
    <w:p w14:paraId="1A336296">
      <w:pPr>
        <w:spacing w:line="600" w:lineRule="exact"/>
        <w:ind w:firstLine="640" w:firstLineChars="200"/>
        <w:rPr>
          <w:rFonts w:hint="eastAsia" w:ascii="仿宋" w:hAnsi="仿宋" w:eastAsia="仿宋"/>
          <w:sz w:val="32"/>
          <w:szCs w:val="32"/>
        </w:rPr>
      </w:pPr>
    </w:p>
    <w:p w14:paraId="12FD0AA6">
      <w:pPr>
        <w:spacing w:line="600" w:lineRule="exact"/>
        <w:ind w:firstLine="640" w:firstLineChars="200"/>
        <w:rPr>
          <w:rFonts w:hint="eastAsia" w:ascii="仿宋" w:hAnsi="仿宋" w:eastAsia="仿宋"/>
          <w:sz w:val="32"/>
          <w:szCs w:val="32"/>
        </w:rPr>
      </w:pPr>
    </w:p>
    <w:p w14:paraId="37631753">
      <w:pPr>
        <w:spacing w:line="600" w:lineRule="exact"/>
        <w:ind w:firstLine="640" w:firstLineChars="200"/>
        <w:rPr>
          <w:rFonts w:hint="eastAsia" w:ascii="仿宋" w:hAnsi="仿宋" w:eastAsia="仿宋"/>
          <w:sz w:val="32"/>
          <w:szCs w:val="32"/>
        </w:rPr>
      </w:pPr>
    </w:p>
    <w:p w14:paraId="410C6E7F">
      <w:pPr>
        <w:spacing w:line="600" w:lineRule="exact"/>
        <w:jc w:val="both"/>
        <w:rPr>
          <w:rFonts w:hint="eastAsia" w:ascii="仿宋" w:hAnsi="仿宋" w:eastAsia="仿宋"/>
          <w:sz w:val="32"/>
          <w:szCs w:val="32"/>
        </w:rPr>
      </w:pPr>
    </w:p>
    <w:p w14:paraId="75181EED">
      <w:pPr>
        <w:keepNext w:val="0"/>
        <w:keepLines w:val="0"/>
        <w:pageBreakBefore w:val="0"/>
        <w:widowControl w:val="0"/>
        <w:kinsoku/>
        <w:wordWrap/>
        <w:overflowPunct/>
        <w:topLinePunct w:val="0"/>
        <w:autoSpaceDE/>
        <w:autoSpaceDN/>
        <w:bidi w:val="0"/>
        <w:adjustRightInd/>
        <w:snapToGrid/>
        <w:spacing w:line="580" w:lineRule="exact"/>
        <w:ind w:left="0" w:firstLine="420" w:firstLineChars="200"/>
        <w:jc w:val="center"/>
        <w:textAlignment w:val="auto"/>
      </w:pPr>
      <w:r>
        <w:drawing>
          <wp:anchor distT="0" distB="0" distL="114300" distR="114300" simplePos="0" relativeHeight="251661312" behindDoc="0" locked="0" layoutInCell="1" allowOverlap="1">
            <wp:simplePos x="0" y="0"/>
            <wp:positionH relativeFrom="column">
              <wp:posOffset>584200</wp:posOffset>
            </wp:positionH>
            <wp:positionV relativeFrom="paragraph">
              <wp:posOffset>-2482215</wp:posOffset>
            </wp:positionV>
            <wp:extent cx="4826000" cy="2759075"/>
            <wp:effectExtent l="4445" t="4445" r="8255" b="17780"/>
            <wp:wrapSquare wrapText="bothSides"/>
            <wp:docPr id="1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438F01A">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center"/>
        <w:textAlignment w:val="auto"/>
        <w:rPr>
          <w:rFonts w:ascii="仿宋_GB2312" w:eastAsia="仿宋_GB2312"/>
          <w:sz w:val="32"/>
          <w:szCs w:val="32"/>
        </w:rPr>
      </w:pPr>
      <w:r>
        <w:rPr>
          <w:rFonts w:hint="eastAsia" w:ascii="仿宋" w:hAnsi="仿宋" w:eastAsia="仿宋"/>
          <w:sz w:val="32"/>
          <w:szCs w:val="32"/>
        </w:rPr>
        <w:t>（图2：收入决算结构图）（饼状图）</w:t>
      </w:r>
    </w:p>
    <w:p w14:paraId="63B174A7">
      <w:pPr>
        <w:pStyle w:val="31"/>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firstLine="640" w:firstLineChars="200"/>
        <w:textAlignment w:val="auto"/>
        <w:outlineLvl w:val="1"/>
        <w:rPr>
          <w:rStyle w:val="33"/>
          <w:rFonts w:ascii="黑体" w:hAnsi="黑体" w:eastAsia="黑体"/>
          <w:b w:val="0"/>
        </w:rPr>
      </w:pPr>
      <w:bookmarkStart w:id="26" w:name="_Toc23948"/>
      <w:bookmarkStart w:id="27" w:name="_Toc15396605"/>
      <w:bookmarkStart w:id="28" w:name="_Toc15377207"/>
      <w:r>
        <w:rPr>
          <w:rFonts w:hint="eastAsia" w:ascii="黑体" w:hAnsi="黑体" w:eastAsia="黑体"/>
          <w:sz w:val="32"/>
          <w:szCs w:val="32"/>
        </w:rPr>
        <w:t>支</w:t>
      </w:r>
      <w:r>
        <w:rPr>
          <w:rStyle w:val="33"/>
          <w:rFonts w:hint="eastAsia" w:ascii="黑体" w:hAnsi="黑体" w:eastAsia="黑体"/>
          <w:b w:val="0"/>
        </w:rPr>
        <w:t>出决算情况说明</w:t>
      </w:r>
      <w:bookmarkEnd w:id="26"/>
      <w:bookmarkEnd w:id="27"/>
      <w:bookmarkEnd w:id="28"/>
    </w:p>
    <w:p w14:paraId="6B8ABEEB">
      <w:pPr>
        <w:pStyle w:val="31"/>
        <w:spacing w:line="600" w:lineRule="exact"/>
        <w:ind w:firstLine="640"/>
        <w:jc w:val="left"/>
        <w:outlineLvl w:val="1"/>
        <w:rPr>
          <w:rFonts w:ascii="仿宋" w:hAnsi="仿宋" w:eastAsia="仿宋"/>
          <w:sz w:val="32"/>
          <w:szCs w:val="32"/>
          <w:shd w:val="pct10" w:color="auto" w:fill="FFFFFF"/>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eastAsia="zh-CN"/>
        </w:rPr>
        <w:t>339.62</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eastAsia="zh-CN"/>
        </w:rPr>
        <w:t>339.62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（注：仅罗列本部门涉及的支出）</w:t>
      </w:r>
    </w:p>
    <w:p w14:paraId="00C9D011">
      <w:pPr>
        <w:spacing w:line="600" w:lineRule="exact"/>
        <w:ind w:firstLine="640" w:firstLineChars="200"/>
        <w:jc w:val="both"/>
        <w:rPr>
          <w:rFonts w:hint="eastAsia" w:ascii="仿宋" w:hAnsi="仿宋" w:eastAsia="仿宋"/>
          <w:sz w:val="32"/>
          <w:szCs w:val="32"/>
        </w:rPr>
      </w:pPr>
    </w:p>
    <w:p w14:paraId="1610473F">
      <w:pPr>
        <w:spacing w:line="600" w:lineRule="exact"/>
        <w:ind w:firstLine="640" w:firstLineChars="200"/>
        <w:jc w:val="both"/>
        <w:rPr>
          <w:rFonts w:hint="eastAsia" w:ascii="仿宋" w:hAnsi="仿宋" w:eastAsia="仿宋"/>
          <w:sz w:val="32"/>
          <w:szCs w:val="32"/>
        </w:rPr>
      </w:pPr>
    </w:p>
    <w:p w14:paraId="600E62CE">
      <w:pPr>
        <w:spacing w:line="600" w:lineRule="exact"/>
        <w:ind w:firstLine="640" w:firstLineChars="200"/>
        <w:jc w:val="both"/>
        <w:rPr>
          <w:rFonts w:hint="eastAsia" w:ascii="仿宋" w:hAnsi="仿宋" w:eastAsia="仿宋"/>
          <w:sz w:val="32"/>
          <w:szCs w:val="32"/>
        </w:rPr>
      </w:pPr>
    </w:p>
    <w:p w14:paraId="1C817556">
      <w:pPr>
        <w:spacing w:line="600" w:lineRule="exact"/>
        <w:ind w:firstLine="640" w:firstLineChars="200"/>
        <w:jc w:val="both"/>
        <w:rPr>
          <w:rFonts w:hint="eastAsia" w:ascii="仿宋" w:hAnsi="仿宋" w:eastAsia="仿宋"/>
          <w:sz w:val="32"/>
          <w:szCs w:val="32"/>
        </w:rPr>
      </w:pPr>
    </w:p>
    <w:p w14:paraId="7265D7FD">
      <w:pPr>
        <w:spacing w:line="600" w:lineRule="exact"/>
        <w:ind w:firstLine="640" w:firstLineChars="200"/>
        <w:jc w:val="both"/>
        <w:rPr>
          <w:rFonts w:hint="eastAsia" w:ascii="仿宋" w:hAnsi="仿宋" w:eastAsia="仿宋"/>
          <w:sz w:val="32"/>
          <w:szCs w:val="32"/>
        </w:rPr>
      </w:pPr>
    </w:p>
    <w:p w14:paraId="01D0F297">
      <w:pPr>
        <w:spacing w:line="600" w:lineRule="exact"/>
        <w:ind w:left="420" w:leftChars="200" w:firstLine="420" w:firstLineChars="200"/>
        <w:jc w:val="both"/>
        <w:rPr>
          <w:rFonts w:ascii="仿宋_GB2312" w:eastAsia="仿宋_GB2312"/>
          <w:sz w:val="32"/>
          <w:szCs w:val="32"/>
        </w:rPr>
      </w:pPr>
      <w:r>
        <w:drawing>
          <wp:anchor distT="0" distB="0" distL="114300" distR="114300" simplePos="0" relativeHeight="251662336" behindDoc="0" locked="0" layoutInCell="1" allowOverlap="1">
            <wp:simplePos x="0" y="0"/>
            <wp:positionH relativeFrom="column">
              <wp:posOffset>271145</wp:posOffset>
            </wp:positionH>
            <wp:positionV relativeFrom="paragraph">
              <wp:posOffset>-1710055</wp:posOffset>
            </wp:positionV>
            <wp:extent cx="4656455" cy="1995170"/>
            <wp:effectExtent l="4445" t="4445" r="6350" b="19685"/>
            <wp:wrapSquare wrapText="bothSides"/>
            <wp:docPr id="1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sz w:val="32"/>
          <w:szCs w:val="32"/>
          <w:lang w:val="en-US" w:eastAsia="zh-CN"/>
        </w:rPr>
        <w:t xml:space="preserve"> </w:t>
      </w:r>
      <w:r>
        <w:rPr>
          <w:rFonts w:hint="eastAsia" w:ascii="仿宋" w:hAnsi="仿宋" w:eastAsia="仿宋"/>
          <w:sz w:val="32"/>
          <w:szCs w:val="32"/>
        </w:rPr>
        <w:t>（图3：支出决算结构图）（饼状图）</w:t>
      </w:r>
    </w:p>
    <w:p w14:paraId="708BB49E">
      <w:pPr>
        <w:spacing w:line="600" w:lineRule="exact"/>
        <w:ind w:firstLine="640" w:firstLineChars="200"/>
        <w:outlineLvl w:val="1"/>
        <w:rPr>
          <w:rStyle w:val="33"/>
          <w:rFonts w:ascii="黑体" w:hAnsi="黑体" w:eastAsia="黑体"/>
          <w:b w:val="0"/>
        </w:rPr>
      </w:pPr>
      <w:bookmarkStart w:id="29" w:name="_Toc6988"/>
      <w:bookmarkStart w:id="30" w:name="_Toc15377208"/>
      <w:bookmarkStart w:id="31" w:name="_Toc15396606"/>
      <w:r>
        <w:rPr>
          <w:rFonts w:hint="eastAsia" w:ascii="黑体" w:hAnsi="黑体" w:eastAsia="黑体"/>
          <w:sz w:val="32"/>
          <w:szCs w:val="32"/>
        </w:rPr>
        <w:t>四、财</w:t>
      </w:r>
      <w:r>
        <w:rPr>
          <w:rStyle w:val="33"/>
          <w:rFonts w:hint="eastAsia" w:ascii="黑体" w:hAnsi="黑体" w:eastAsia="黑体"/>
          <w:b w:val="0"/>
        </w:rPr>
        <w:t>政拨款收入支出决算总体情况说明</w:t>
      </w:r>
      <w:bookmarkEnd w:id="29"/>
      <w:bookmarkEnd w:id="30"/>
      <w:bookmarkEnd w:id="31"/>
    </w:p>
    <w:p w14:paraId="5A28F325">
      <w:pPr>
        <w:pStyle w:val="7"/>
        <w:rPr>
          <w:rFonts w:hint="default"/>
          <w:lang w:val="en-US"/>
        </w:rPr>
      </w:pPr>
      <w:r>
        <w:rPr>
          <w:rFonts w:hint="eastAsia" w:eastAsia="仿宋_GB2312" w:cs="仿宋_GB2312"/>
          <w:sz w:val="32"/>
          <w:szCs w:val="32"/>
          <w:lang w:eastAsia="zh-CN"/>
        </w:rPr>
        <w:t>2025</w:t>
      </w:r>
      <w:r>
        <w:rPr>
          <w:rFonts w:hint="eastAsia" w:eastAsia="仿宋_GB2312" w:cs="仿宋_GB2312"/>
          <w:sz w:val="32"/>
          <w:szCs w:val="32"/>
        </w:rPr>
        <w:t>年度财政拨款收入、支出总计均为</w:t>
      </w:r>
      <w:r>
        <w:rPr>
          <w:rFonts w:hint="eastAsia" w:hAnsi="仿宋_GB2312" w:eastAsia="仿宋_GB2312" w:cs="仿宋_GB2312"/>
          <w:sz w:val="32"/>
          <w:szCs w:val="32"/>
          <w:lang w:eastAsia="zh-CN"/>
        </w:rPr>
        <w:t>339.62</w:t>
      </w:r>
      <w:r>
        <w:rPr>
          <w:rFonts w:hint="eastAsia" w:eastAsia="仿宋_GB2312" w:cs="仿宋_GB2312"/>
          <w:sz w:val="32"/>
          <w:szCs w:val="32"/>
        </w:rPr>
        <w:t>万元。与</w:t>
      </w:r>
      <w:r>
        <w:rPr>
          <w:rFonts w:hint="eastAsia" w:eastAsia="仿宋_GB2312" w:cs="仿宋_GB2312"/>
          <w:sz w:val="32"/>
          <w:szCs w:val="32"/>
          <w:lang w:eastAsia="zh-CN"/>
        </w:rPr>
        <w:t>2024</w:t>
      </w:r>
      <w:r>
        <w:rPr>
          <w:rFonts w:hint="eastAsia" w:eastAsia="仿宋_GB2312" w:cs="仿宋_GB2312"/>
          <w:sz w:val="32"/>
          <w:szCs w:val="32"/>
        </w:rPr>
        <w:t>年度相比，财政拨款收入总计、支出总计各</w:t>
      </w:r>
      <w:r>
        <w:rPr>
          <w:rFonts w:hint="eastAsia" w:eastAsia="仿宋_GB2312" w:cs="仿宋_GB2312"/>
          <w:sz w:val="32"/>
          <w:szCs w:val="32"/>
          <w:lang w:val="en-US" w:eastAsia="zh-CN"/>
        </w:rPr>
        <w:t>增加54.59</w:t>
      </w:r>
      <w:r>
        <w:rPr>
          <w:rFonts w:hint="eastAsia" w:eastAsia="仿宋_GB2312" w:cs="仿宋_GB2312"/>
          <w:sz w:val="32"/>
          <w:szCs w:val="32"/>
        </w:rPr>
        <w:t>万元，</w:t>
      </w:r>
      <w:r>
        <w:rPr>
          <w:rFonts w:hint="eastAsia" w:eastAsia="仿宋_GB2312" w:cs="仿宋_GB2312"/>
          <w:sz w:val="32"/>
          <w:szCs w:val="32"/>
          <w:lang w:val="en-US" w:eastAsia="zh-CN"/>
        </w:rPr>
        <w:t>增加19</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highlight w:val="none"/>
        </w:rPr>
        <w:t>主要变动原因</w:t>
      </w:r>
      <w:r>
        <w:rPr>
          <w:rFonts w:hint="eastAsia" w:eastAsia="仿宋_GB2312" w:cs="仿宋_GB2312"/>
          <w:sz w:val="32"/>
          <w:szCs w:val="32"/>
          <w:highlight w:val="none"/>
          <w:lang w:val="en-US" w:eastAsia="zh-CN"/>
        </w:rPr>
        <w:t>2025年新增9人。</w:t>
      </w:r>
    </w:p>
    <w:p w14:paraId="0EEA371D">
      <w:pPr>
        <w:pStyle w:val="9"/>
        <w:rPr>
          <w:rFonts w:hint="eastAsia" w:ascii="仿宋" w:hAnsi="仿宋" w:eastAsia="仿宋"/>
          <w:sz w:val="32"/>
          <w:szCs w:val="32"/>
        </w:rPr>
      </w:pPr>
      <w:r>
        <w:rPr>
          <w:rFonts w:hint="eastAsia"/>
          <w:lang w:val="en-US" w:eastAsia="zh-CN"/>
        </w:rPr>
        <w:t xml:space="preserve">        </w:t>
      </w:r>
      <w:r>
        <w:drawing>
          <wp:inline distT="0" distB="0" distL="114300" distR="114300">
            <wp:extent cx="4826000" cy="2743200"/>
            <wp:effectExtent l="4445" t="4445" r="8255" b="14605"/>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D8DB9D">
      <w:pPr>
        <w:spacing w:line="600" w:lineRule="exact"/>
        <w:jc w:val="center"/>
        <w:rPr>
          <w:rFonts w:ascii="仿宋" w:hAnsi="仿宋" w:eastAsia="仿宋"/>
          <w:b/>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（图4：财政拨款收、支决算总计变动情况）（柱状图）</w:t>
      </w:r>
    </w:p>
    <w:p w14:paraId="0E31FFAF">
      <w:pPr>
        <w:pStyle w:val="7"/>
      </w:pPr>
    </w:p>
    <w:p w14:paraId="177B4C41">
      <w:pPr>
        <w:spacing w:line="600" w:lineRule="exact"/>
        <w:ind w:firstLine="640" w:firstLineChars="200"/>
        <w:outlineLvl w:val="1"/>
        <w:rPr>
          <w:rStyle w:val="33"/>
          <w:rFonts w:ascii="黑体" w:hAnsi="黑体" w:eastAsia="黑体"/>
          <w:b w:val="0"/>
        </w:rPr>
      </w:pPr>
      <w:bookmarkStart w:id="32" w:name="_Toc7509"/>
      <w:bookmarkStart w:id="33" w:name="_Toc15377209"/>
      <w:bookmarkStart w:id="34" w:name="_Toc15396607"/>
      <w:r>
        <w:rPr>
          <w:rFonts w:hint="eastAsia" w:ascii="黑体" w:hAnsi="黑体" w:eastAsia="黑体"/>
          <w:sz w:val="32"/>
          <w:szCs w:val="32"/>
        </w:rPr>
        <w:t>五、</w:t>
      </w:r>
      <w:r>
        <w:rPr>
          <w:rFonts w:hint="eastAsia" w:ascii="黑体" w:hAnsi="黑体" w:eastAsia="黑体"/>
          <w:b/>
          <w:sz w:val="32"/>
          <w:szCs w:val="32"/>
        </w:rPr>
        <w:t>一</w:t>
      </w:r>
      <w:r>
        <w:rPr>
          <w:rStyle w:val="33"/>
          <w:rFonts w:hint="eastAsia" w:ascii="黑体" w:hAnsi="黑体" w:eastAsia="黑体"/>
          <w:b w:val="0"/>
        </w:rPr>
        <w:t>般公共预算财政拨款支出决算情况说明</w:t>
      </w:r>
      <w:bookmarkEnd w:id="32"/>
      <w:bookmarkEnd w:id="33"/>
      <w:bookmarkEnd w:id="34"/>
    </w:p>
    <w:p w14:paraId="331E37CC">
      <w:pPr>
        <w:pStyle w:val="4"/>
        <w:keepNext/>
        <w:keepLines/>
        <w:pageBreakBefore w:val="0"/>
        <w:widowControl w:val="0"/>
        <w:kinsoku/>
        <w:wordWrap/>
        <w:overflowPunct/>
        <w:topLinePunct w:val="0"/>
        <w:autoSpaceDE/>
        <w:autoSpaceDN/>
        <w:bidi w:val="0"/>
        <w:adjustRightInd/>
        <w:snapToGrid/>
        <w:spacing w:line="580" w:lineRule="exact"/>
        <w:ind w:firstLine="643" w:firstLineChars="200"/>
        <w:textAlignment w:val="auto"/>
      </w:pPr>
      <w:bookmarkStart w:id="35" w:name="_Toc8078"/>
      <w:bookmarkStart w:id="36" w:name="_Toc15377210"/>
      <w:r>
        <w:rPr>
          <w:rFonts w:hint="eastAsia"/>
        </w:rPr>
        <w:t>（一）一般公共预算财政拨款支出决算总体情况</w:t>
      </w:r>
      <w:bookmarkEnd w:id="35"/>
      <w:bookmarkEnd w:id="36"/>
    </w:p>
    <w:p w14:paraId="7449DF6A">
      <w:pPr>
        <w:spacing w:line="600" w:lineRule="exact"/>
        <w:ind w:firstLine="640"/>
        <w:rPr>
          <w:rFonts w:hint="eastAsia" w:ascii="仿宋" w:hAnsi="仿宋" w:eastAsia="仿宋"/>
          <w:sz w:val="32"/>
          <w:szCs w:val="32"/>
          <w:lang w:val="en-US" w:eastAsia="zh-CN"/>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339.62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val="en-US" w:eastAsia="zh-CN"/>
        </w:rPr>
        <w:t>增加54.59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增加19</w:t>
      </w:r>
      <w:r>
        <w:rPr>
          <w:rFonts w:hint="eastAsia" w:ascii="仿宋_GB2312" w:hAnsi="仿宋_GB2312" w:eastAsia="仿宋_GB2312" w:cs="仿宋_GB2312"/>
          <w:sz w:val="32"/>
          <w:szCs w:val="32"/>
        </w:rPr>
        <w:t>%。</w:t>
      </w:r>
      <w:r>
        <w:rPr>
          <w:rFonts w:hint="eastAsia" w:eastAsia="仿宋_GB2312" w:cs="仿宋_GB2312"/>
          <w:sz w:val="32"/>
          <w:szCs w:val="32"/>
          <w:highlight w:val="none"/>
        </w:rPr>
        <w:t>主要变动原因是</w:t>
      </w:r>
      <w:r>
        <w:rPr>
          <w:rFonts w:hint="eastAsia" w:eastAsia="仿宋_GB2312" w:cs="仿宋_GB2312"/>
          <w:sz w:val="32"/>
          <w:szCs w:val="32"/>
          <w:highlight w:val="none"/>
          <w:lang w:val="en-US" w:eastAsia="zh-CN"/>
        </w:rPr>
        <w:t>2025年新增9人</w:t>
      </w:r>
      <w:r>
        <w:rPr>
          <w:rFonts w:hint="eastAsia" w:ascii="仿宋_GB2312" w:hAnsi="仿宋_GB2312" w:eastAsia="仿宋_GB2312" w:cs="仿宋_GB2312"/>
          <w:sz w:val="32"/>
          <w:szCs w:val="32"/>
          <w:highlight w:val="none"/>
          <w:lang w:val="en-US" w:eastAsia="zh-CN"/>
        </w:rPr>
        <w:t xml:space="preserve"> ，</w:t>
      </w:r>
      <w:r>
        <w:rPr>
          <w:rFonts w:hint="eastAsia" w:ascii="仿宋" w:hAnsi="仿宋" w:eastAsia="仿宋"/>
          <w:sz w:val="32"/>
          <w:szCs w:val="32"/>
          <w:lang w:val="en-US" w:eastAsia="zh-CN"/>
        </w:rPr>
        <w:t>2025年工资变动及保险调整。</w:t>
      </w:r>
    </w:p>
    <w:p w14:paraId="4B5EE41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rPr>
      </w:pPr>
    </w:p>
    <w:p w14:paraId="57710A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rPr>
      </w:pPr>
    </w:p>
    <w:p w14:paraId="3DC597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rPr>
      </w:pPr>
    </w:p>
    <w:p w14:paraId="268AA57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rPr>
      </w:pPr>
    </w:p>
    <w:p w14:paraId="2F016089">
      <w:pPr>
        <w:keepNext w:val="0"/>
        <w:keepLines w:val="0"/>
        <w:pageBreakBefore w:val="0"/>
        <w:widowControl w:val="0"/>
        <w:kinsoku/>
        <w:wordWrap/>
        <w:overflowPunct/>
        <w:topLinePunct w:val="0"/>
        <w:autoSpaceDE/>
        <w:autoSpaceDN/>
        <w:bidi w:val="0"/>
        <w:adjustRightInd/>
        <w:snapToGrid/>
        <w:spacing w:line="580" w:lineRule="exact"/>
        <w:ind w:firstLine="420" w:firstLineChars="200"/>
        <w:textAlignment w:val="auto"/>
        <w:rPr>
          <w:rFonts w:hint="eastAsia" w:ascii="仿宋" w:hAnsi="仿宋" w:eastAsia="仿宋"/>
          <w:sz w:val="32"/>
          <w:szCs w:val="32"/>
        </w:rPr>
      </w:pPr>
      <w:r>
        <w:drawing>
          <wp:anchor distT="0" distB="0" distL="114300" distR="114300" simplePos="0" relativeHeight="251663360" behindDoc="0" locked="0" layoutInCell="1" allowOverlap="1">
            <wp:simplePos x="0" y="0"/>
            <wp:positionH relativeFrom="column">
              <wp:posOffset>404495</wp:posOffset>
            </wp:positionH>
            <wp:positionV relativeFrom="paragraph">
              <wp:posOffset>-178435</wp:posOffset>
            </wp:positionV>
            <wp:extent cx="4826000" cy="2743200"/>
            <wp:effectExtent l="4445" t="4445" r="8255" b="14605"/>
            <wp:wrapSquare wrapText="bothSides"/>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E2042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rPr>
      </w:pPr>
    </w:p>
    <w:p w14:paraId="1B2539B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18B005C7">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lang w:val="en-US" w:eastAsia="zh-CN"/>
        </w:rPr>
      </w:pPr>
    </w:p>
    <w:p w14:paraId="2CA9CA0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lang w:val="en-US" w:eastAsia="zh-CN"/>
        </w:rPr>
      </w:pPr>
    </w:p>
    <w:p w14:paraId="4F8112A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lang w:val="en-US" w:eastAsia="zh-CN"/>
        </w:rPr>
      </w:pPr>
    </w:p>
    <w:p w14:paraId="457F47AF">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lang w:val="en-US" w:eastAsia="zh-CN"/>
        </w:rPr>
      </w:pPr>
    </w:p>
    <w:p w14:paraId="7AAF6B9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sz w:val="32"/>
          <w:szCs w:val="32"/>
          <w:lang w:val="en-US" w:eastAsia="zh-CN"/>
        </w:rPr>
      </w:pPr>
    </w:p>
    <w:p w14:paraId="73FA53E3">
      <w:pPr>
        <w:keepNext w:val="0"/>
        <w:keepLines w:val="0"/>
        <w:pageBreakBefore w:val="0"/>
        <w:widowControl w:val="0"/>
        <w:kinsoku/>
        <w:wordWrap/>
        <w:overflowPunct/>
        <w:topLinePunct w:val="0"/>
        <w:autoSpaceDE/>
        <w:autoSpaceDN/>
        <w:bidi w:val="0"/>
        <w:adjustRightInd/>
        <w:snapToGrid/>
        <w:spacing w:line="580" w:lineRule="exact"/>
        <w:textAlignment w:val="auto"/>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640F019B">
      <w:pPr>
        <w:pStyle w:val="4"/>
        <w:keepNext/>
        <w:keepLines/>
        <w:pageBreakBefore w:val="0"/>
        <w:widowControl w:val="0"/>
        <w:kinsoku/>
        <w:wordWrap/>
        <w:overflowPunct/>
        <w:topLinePunct w:val="0"/>
        <w:autoSpaceDE/>
        <w:autoSpaceDN/>
        <w:bidi w:val="0"/>
        <w:adjustRightInd/>
        <w:snapToGrid/>
        <w:spacing w:line="580" w:lineRule="exact"/>
        <w:ind w:firstLine="643" w:firstLineChars="200"/>
        <w:textAlignment w:val="auto"/>
      </w:pPr>
      <w:bookmarkStart w:id="37" w:name="_Toc4434"/>
      <w:bookmarkStart w:id="38" w:name="_Toc15377211"/>
      <w:r>
        <w:rPr>
          <w:rFonts w:hint="eastAsia"/>
        </w:rPr>
        <w:t>（二）一般公共预算财政拨款支出决算结构情况</w:t>
      </w:r>
      <w:bookmarkEnd w:id="37"/>
      <w:bookmarkEnd w:id="38"/>
    </w:p>
    <w:p w14:paraId="697622E7">
      <w:pPr>
        <w:spacing w:line="600" w:lineRule="exact"/>
        <w:ind w:firstLine="640"/>
        <w:rPr>
          <w:rFonts w:hint="eastAsia" w:eastAsia="仿宋_GB2312" w:cs="仿宋_GB2312"/>
          <w:b/>
          <w:bCs/>
          <w:sz w:val="32"/>
          <w:szCs w:val="32"/>
        </w:rPr>
      </w:pPr>
      <w:r>
        <w:rPr>
          <w:rFonts w:hint="eastAsia" w:eastAsia="仿宋_GB2312" w:cs="仿宋_GB2312"/>
          <w:sz w:val="32"/>
          <w:szCs w:val="32"/>
          <w:lang w:eastAsia="zh-CN"/>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339.62</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%；教育支出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%；科学技术支出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%；文化旅游体育与传媒支出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%；社会保障和就业支出</w:t>
      </w:r>
      <w:r>
        <w:rPr>
          <w:rFonts w:hint="eastAsia" w:eastAsia="仿宋_GB2312" w:cs="仿宋_GB2312"/>
          <w:sz w:val="32"/>
          <w:szCs w:val="32"/>
          <w:lang w:val="en-US" w:eastAsia="zh-CN"/>
        </w:rPr>
        <w:t>56.15</w:t>
      </w:r>
      <w:r>
        <w:rPr>
          <w:rFonts w:hint="eastAsia" w:eastAsia="仿宋_GB2312" w:cs="仿宋_GB2312"/>
          <w:sz w:val="32"/>
          <w:szCs w:val="32"/>
        </w:rPr>
        <w:t>万元，占</w:t>
      </w:r>
      <w:r>
        <w:rPr>
          <w:rFonts w:hint="eastAsia" w:eastAsia="仿宋_GB2312" w:cs="仿宋_GB2312"/>
          <w:sz w:val="32"/>
          <w:szCs w:val="32"/>
          <w:lang w:val="en-US" w:eastAsia="zh-CN"/>
        </w:rPr>
        <w:t>17</w:t>
      </w:r>
      <w:r>
        <w:rPr>
          <w:rFonts w:hint="eastAsia" w:eastAsia="仿宋_GB2312" w:cs="仿宋_GB2312"/>
          <w:sz w:val="32"/>
          <w:szCs w:val="32"/>
        </w:rPr>
        <w:t>%；卫生健康支出</w:t>
      </w:r>
      <w:r>
        <w:rPr>
          <w:rFonts w:hint="eastAsia" w:eastAsia="仿宋_GB2312" w:cs="仿宋_GB2312"/>
          <w:sz w:val="32"/>
          <w:szCs w:val="32"/>
          <w:lang w:val="en-US" w:eastAsia="zh-CN"/>
        </w:rPr>
        <w:t>20.44</w:t>
      </w:r>
      <w:r>
        <w:rPr>
          <w:rFonts w:hint="eastAsia" w:eastAsia="仿宋_GB2312" w:cs="仿宋_GB2312"/>
          <w:sz w:val="32"/>
          <w:szCs w:val="32"/>
        </w:rPr>
        <w:t>万元，占</w:t>
      </w:r>
      <w:r>
        <w:rPr>
          <w:rFonts w:hint="eastAsia" w:eastAsia="仿宋_GB2312" w:cs="仿宋_GB2312"/>
          <w:sz w:val="32"/>
          <w:szCs w:val="32"/>
          <w:lang w:val="en-US" w:eastAsia="zh-CN"/>
        </w:rPr>
        <w:t>6</w:t>
      </w:r>
      <w:r>
        <w:rPr>
          <w:rFonts w:hint="eastAsia" w:eastAsia="仿宋_GB2312" w:cs="仿宋_GB2312"/>
          <w:sz w:val="32"/>
          <w:szCs w:val="32"/>
        </w:rPr>
        <w:t>%；住房保障支出</w:t>
      </w:r>
      <w:r>
        <w:rPr>
          <w:rFonts w:hint="eastAsia" w:eastAsia="仿宋_GB2312" w:cs="仿宋_GB2312"/>
          <w:sz w:val="32"/>
          <w:szCs w:val="32"/>
          <w:lang w:val="en-US" w:eastAsia="zh-CN"/>
        </w:rPr>
        <w:t>32.09</w:t>
      </w:r>
      <w:r>
        <w:rPr>
          <w:rFonts w:hint="eastAsia" w:eastAsia="仿宋_GB2312" w:cs="仿宋_GB2312"/>
          <w:sz w:val="32"/>
          <w:szCs w:val="32"/>
        </w:rPr>
        <w:t>万元，占</w:t>
      </w:r>
      <w:r>
        <w:rPr>
          <w:rFonts w:hint="eastAsia" w:eastAsia="仿宋_GB2312" w:cs="仿宋_GB2312"/>
          <w:sz w:val="32"/>
          <w:szCs w:val="32"/>
          <w:lang w:val="en-US" w:eastAsia="zh-CN"/>
        </w:rPr>
        <w:t>9</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lang w:val="en-US" w:eastAsia="zh-CN"/>
        </w:rPr>
        <w:t>节能环保支出230.94万元，</w:t>
      </w:r>
      <w:r>
        <w:rPr>
          <w:rFonts w:hint="eastAsia" w:eastAsia="仿宋_GB2312" w:cs="仿宋_GB2312"/>
          <w:sz w:val="32"/>
          <w:szCs w:val="32"/>
        </w:rPr>
        <w:t>占</w:t>
      </w:r>
      <w:r>
        <w:rPr>
          <w:rFonts w:hint="eastAsia" w:eastAsia="仿宋_GB2312" w:cs="仿宋_GB2312"/>
          <w:sz w:val="32"/>
          <w:szCs w:val="32"/>
          <w:lang w:val="en-US" w:eastAsia="zh-CN"/>
        </w:rPr>
        <w:t>68</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b/>
          <w:bCs/>
          <w:sz w:val="32"/>
          <w:szCs w:val="32"/>
        </w:rPr>
        <w:t>（注：仅罗列本部门涉及的全部功能分类科目，至类级）</w:t>
      </w:r>
    </w:p>
    <w:p w14:paraId="08BDAB58">
      <w:pPr>
        <w:spacing w:line="600" w:lineRule="exact"/>
        <w:ind w:firstLine="640"/>
        <w:rPr>
          <w:rFonts w:ascii="仿宋" w:hAnsi="仿宋" w:eastAsia="仿宋"/>
          <w:b/>
          <w:sz w:val="32"/>
          <w:szCs w:val="32"/>
        </w:rPr>
      </w:pPr>
    </w:p>
    <w:p w14:paraId="00B45C68">
      <w:pPr>
        <w:spacing w:line="600" w:lineRule="exact"/>
        <w:ind w:firstLine="640"/>
        <w:rPr>
          <w:rFonts w:hint="eastAsia" w:ascii="仿宋" w:hAnsi="仿宋" w:eastAsia="仿宋"/>
          <w:sz w:val="32"/>
          <w:szCs w:val="32"/>
        </w:rPr>
      </w:pPr>
    </w:p>
    <w:p w14:paraId="050652C1">
      <w:pPr>
        <w:spacing w:line="600" w:lineRule="exact"/>
        <w:ind w:firstLine="640"/>
        <w:rPr>
          <w:rFonts w:hint="eastAsia" w:ascii="仿宋" w:hAnsi="仿宋" w:eastAsia="仿宋"/>
          <w:sz w:val="32"/>
          <w:szCs w:val="32"/>
        </w:rPr>
      </w:pPr>
    </w:p>
    <w:p w14:paraId="6385692A">
      <w:pPr>
        <w:spacing w:line="600" w:lineRule="exact"/>
        <w:ind w:firstLine="640"/>
        <w:rPr>
          <w:rFonts w:hint="eastAsia" w:ascii="仿宋" w:hAnsi="仿宋" w:eastAsia="仿宋"/>
          <w:sz w:val="32"/>
          <w:szCs w:val="32"/>
        </w:rPr>
      </w:pPr>
    </w:p>
    <w:p w14:paraId="0D717F52">
      <w:pPr>
        <w:spacing w:line="600" w:lineRule="exact"/>
        <w:jc w:val="center"/>
        <w:rPr>
          <w:rFonts w:hint="eastAsia" w:ascii="仿宋" w:hAnsi="仿宋" w:eastAsia="仿宋"/>
          <w:sz w:val="32"/>
          <w:szCs w:val="32"/>
        </w:rPr>
      </w:pPr>
    </w:p>
    <w:p w14:paraId="082CE4A6">
      <w:pPr>
        <w:spacing w:line="600" w:lineRule="exact"/>
        <w:jc w:val="center"/>
        <w:rPr>
          <w:rFonts w:hint="eastAsia" w:ascii="仿宋" w:hAnsi="仿宋" w:eastAsia="仿宋"/>
          <w:sz w:val="32"/>
          <w:szCs w:val="32"/>
          <w:lang w:val="en-US" w:eastAsia="zh-CN"/>
        </w:rPr>
      </w:pPr>
      <w:r>
        <w:drawing>
          <wp:anchor distT="0" distB="0" distL="114300" distR="114300" simplePos="0" relativeHeight="251664384" behindDoc="0" locked="0" layoutInCell="1" allowOverlap="1">
            <wp:simplePos x="0" y="0"/>
            <wp:positionH relativeFrom="column">
              <wp:posOffset>527050</wp:posOffset>
            </wp:positionH>
            <wp:positionV relativeFrom="paragraph">
              <wp:posOffset>-740410</wp:posOffset>
            </wp:positionV>
            <wp:extent cx="4826000" cy="2743200"/>
            <wp:effectExtent l="4445" t="4445" r="8255" b="14605"/>
            <wp:wrapSquare wrapText="bothSides"/>
            <wp:docPr id="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15E1134">
      <w:pPr>
        <w:spacing w:line="600" w:lineRule="exact"/>
        <w:jc w:val="center"/>
        <w:rPr>
          <w:rFonts w:hint="eastAsia" w:ascii="仿宋" w:hAnsi="仿宋" w:eastAsia="仿宋"/>
          <w:sz w:val="32"/>
          <w:szCs w:val="32"/>
          <w:lang w:val="en-US" w:eastAsia="zh-CN"/>
        </w:rPr>
      </w:pPr>
    </w:p>
    <w:p w14:paraId="1C5C044A">
      <w:pPr>
        <w:spacing w:line="600" w:lineRule="exact"/>
        <w:jc w:val="center"/>
        <w:rPr>
          <w:rFonts w:hint="eastAsia" w:ascii="仿宋" w:hAnsi="仿宋" w:eastAsia="仿宋"/>
          <w:sz w:val="32"/>
          <w:szCs w:val="32"/>
          <w:lang w:val="en-US" w:eastAsia="zh-CN"/>
        </w:rPr>
      </w:pPr>
    </w:p>
    <w:p w14:paraId="35C41F9D">
      <w:pPr>
        <w:spacing w:line="600" w:lineRule="exact"/>
        <w:jc w:val="center"/>
        <w:rPr>
          <w:rFonts w:hint="eastAsia" w:ascii="仿宋" w:hAnsi="仿宋" w:eastAsia="仿宋"/>
          <w:sz w:val="32"/>
          <w:szCs w:val="32"/>
          <w:lang w:val="en-US" w:eastAsia="zh-CN"/>
        </w:rPr>
      </w:pPr>
    </w:p>
    <w:p w14:paraId="2D0EA945">
      <w:pPr>
        <w:spacing w:line="600" w:lineRule="exact"/>
        <w:jc w:val="center"/>
        <w:rPr>
          <w:rFonts w:hint="eastAsia" w:ascii="仿宋" w:hAnsi="仿宋" w:eastAsia="仿宋"/>
          <w:sz w:val="32"/>
          <w:szCs w:val="32"/>
          <w:lang w:val="en-US" w:eastAsia="zh-CN"/>
        </w:rPr>
      </w:pPr>
    </w:p>
    <w:p w14:paraId="7C63994F">
      <w:pPr>
        <w:pStyle w:val="7"/>
        <w:rPr>
          <w:rFonts w:ascii="仿宋" w:hAnsi="仿宋" w:eastAsia="仿宋"/>
          <w:sz w:val="32"/>
          <w:szCs w:val="32"/>
        </w:rPr>
      </w:pPr>
      <w:r>
        <w:rPr>
          <w:rFonts w:hint="eastAsia"/>
          <w:lang w:val="en-US" w:eastAsia="zh-CN"/>
        </w:rPr>
        <w:t xml:space="preserve">  </w:t>
      </w:r>
      <w:r>
        <w:rPr>
          <w:rFonts w:hint="eastAsia" w:ascii="仿宋" w:hAnsi="仿宋" w:eastAsia="仿宋"/>
          <w:sz w:val="32"/>
          <w:szCs w:val="32"/>
          <w:lang w:val="en-US" w:eastAsia="zh-CN"/>
        </w:rPr>
        <w:t xml:space="preserve">              </w:t>
      </w:r>
      <w:r>
        <w:rPr>
          <w:rFonts w:hint="eastAsia" w:eastAsia="仿宋_GB2312" w:cs="仿宋_GB2312"/>
          <w:sz w:val="32"/>
          <w:szCs w:val="32"/>
        </w:rPr>
        <w:t>（图6：一般公共预算财政拨款支出决算结构）（饼状图）</w:t>
      </w:r>
    </w:p>
    <w:p w14:paraId="1E2D016D">
      <w:pPr>
        <w:pStyle w:val="4"/>
        <w:keepNext/>
        <w:keepLines/>
        <w:pageBreakBefore w:val="0"/>
        <w:widowControl w:val="0"/>
        <w:kinsoku/>
        <w:wordWrap/>
        <w:overflowPunct/>
        <w:topLinePunct w:val="0"/>
        <w:autoSpaceDE/>
        <w:autoSpaceDN/>
        <w:bidi w:val="0"/>
        <w:adjustRightInd/>
        <w:snapToGrid/>
        <w:spacing w:line="580" w:lineRule="exact"/>
        <w:ind w:firstLine="643" w:firstLineChars="200"/>
        <w:textAlignment w:val="auto"/>
      </w:pPr>
      <w:bookmarkStart w:id="39" w:name="_Toc15377212"/>
      <w:bookmarkStart w:id="40" w:name="_Toc24169"/>
      <w:r>
        <w:rPr>
          <w:rFonts w:hint="eastAsia"/>
        </w:rPr>
        <w:t>（三）一般公共预算财政拨款支出决算具体情况</w:t>
      </w:r>
      <w:bookmarkEnd w:id="39"/>
      <w:bookmarkEnd w:id="40"/>
    </w:p>
    <w:p w14:paraId="1185CC15">
      <w:pPr>
        <w:spacing w:line="600" w:lineRule="exact"/>
        <w:ind w:firstLine="640"/>
        <w:rPr>
          <w:rFonts w:eastAsia="仿宋_GB2312" w:cs="仿宋_GB2312"/>
          <w:sz w:val="32"/>
          <w:szCs w:val="32"/>
        </w:rPr>
      </w:pPr>
      <w:bookmarkStart w:id="41" w:name="_Toc15377444"/>
      <w:bookmarkStart w:id="42" w:name="_Toc15378460"/>
      <w:bookmarkStart w:id="43" w:name="_Toc15377213"/>
      <w:r>
        <w:rPr>
          <w:rFonts w:hint="eastAsia" w:eastAsia="仿宋_GB2312" w:cs="仿宋_GB2312"/>
          <w:sz w:val="32"/>
          <w:szCs w:val="32"/>
          <w:lang w:eastAsia="zh-CN"/>
        </w:rPr>
        <w:t>2025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339.62万元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1"/>
      <w:bookmarkEnd w:id="42"/>
      <w:bookmarkEnd w:id="43"/>
    </w:p>
    <w:p w14:paraId="309B7991">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1.社会保障和就业208（类）05（款）05、06（项）: 支出决算为56.15万元，完成预算100%，决算数等于预算数的主要原因是完成预算安排。</w:t>
      </w:r>
    </w:p>
    <w:p w14:paraId="5E2C2D47">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2.卫生健康210（类）11（款）02（项）:支出决算为20.44万元，完成预算100%，决算数等于预算数的主要原因是完成预算安排。</w:t>
      </w:r>
    </w:p>
    <w:p w14:paraId="7FA71062">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3.节能环保211（类）02（款）99（项）：支出决算为230.94万元，成预算100%，决算数等于预算数的主要原因是完成预算安排。</w:t>
      </w:r>
    </w:p>
    <w:p w14:paraId="0AB7034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pPr>
      <w:r>
        <w:rPr>
          <w:rFonts w:hint="eastAsia" w:ascii="仿宋_GB2312" w:hAnsi="仿宋_GB2312" w:eastAsia="仿宋_GB2312" w:cs="仿宋_GB2312"/>
          <w:b w:val="0"/>
          <w:bCs/>
          <w:kern w:val="0"/>
          <w:sz w:val="32"/>
          <w:szCs w:val="32"/>
          <w:lang w:val="en-US" w:eastAsia="zh-CN" w:bidi="ar"/>
        </w:rPr>
        <w:t>4.住房保障221（类）02（款）01（项）：支出决算为32.09万元，成预算100%，决算数等于预算数的主要原因是完成预算安排。</w:t>
      </w:r>
    </w:p>
    <w:p w14:paraId="0BAFDF49">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1A5826B0">
      <w:pPr>
        <w:keepNext w:val="0"/>
        <w:keepLines w:val="0"/>
        <w:pageBreakBefore w:val="0"/>
        <w:widowControl w:val="0"/>
        <w:kinsoku/>
        <w:wordWrap/>
        <w:overflowPunct/>
        <w:topLinePunct w:val="0"/>
        <w:bidi w:val="0"/>
        <w:snapToGrid/>
        <w:spacing w:line="600" w:lineRule="exact"/>
        <w:ind w:firstLine="643" w:firstLineChars="200"/>
        <w:textAlignment w:val="auto"/>
        <w:rPr>
          <w:rFonts w:ascii="仿宋" w:hAnsi="仿宋" w:eastAsia="仿宋"/>
          <w:b/>
          <w:sz w:val="32"/>
          <w:szCs w:val="32"/>
        </w:rPr>
      </w:pPr>
    </w:p>
    <w:p w14:paraId="6164C7C7">
      <w:pPr>
        <w:keepNext w:val="0"/>
        <w:keepLines w:val="0"/>
        <w:pageBreakBefore w:val="0"/>
        <w:widowControl w:val="0"/>
        <w:tabs>
          <w:tab w:val="right" w:pos="8306"/>
        </w:tabs>
        <w:kinsoku/>
        <w:wordWrap/>
        <w:overflowPunct/>
        <w:topLinePunct w:val="0"/>
        <w:bidi w:val="0"/>
        <w:snapToGrid/>
        <w:spacing w:line="600" w:lineRule="exact"/>
        <w:ind w:firstLine="640" w:firstLineChars="200"/>
        <w:textAlignment w:val="auto"/>
        <w:outlineLvl w:val="1"/>
        <w:rPr>
          <w:rStyle w:val="33"/>
        </w:rPr>
      </w:pPr>
      <w:bookmarkStart w:id="44" w:name="_Toc11501"/>
      <w:bookmarkStart w:id="45" w:name="_Toc15377214"/>
      <w:bookmarkStart w:id="46"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3"/>
          <w:rFonts w:hint="eastAsia" w:ascii="黑体" w:hAnsi="黑体" w:eastAsia="黑体"/>
          <w:b w:val="0"/>
        </w:rPr>
        <w:t>般公共预算财政拨款基本支出决算情况说明</w:t>
      </w:r>
      <w:bookmarkEnd w:id="44"/>
      <w:bookmarkEnd w:id="45"/>
      <w:bookmarkEnd w:id="46"/>
      <w:r>
        <w:rPr>
          <w:rStyle w:val="33"/>
          <w:rFonts w:ascii="黑体" w:hAnsi="黑体" w:eastAsia="黑体"/>
          <w:b w:val="0"/>
        </w:rPr>
        <w:tab/>
      </w:r>
    </w:p>
    <w:p w14:paraId="7A6B2C5F">
      <w:pPr>
        <w:spacing w:line="600" w:lineRule="exact"/>
        <w:ind w:firstLine="640"/>
        <w:rPr>
          <w:rFonts w:eastAsia="仿宋_GB2312" w:cs="仿宋_GB2312"/>
          <w:sz w:val="32"/>
          <w:szCs w:val="32"/>
        </w:rPr>
      </w:pPr>
      <w:bookmarkStart w:id="47" w:name="_Toc15377215"/>
      <w:bookmarkStart w:id="48" w:name="_Toc2360"/>
      <w:bookmarkStart w:id="49" w:name="_Toc15396609"/>
      <w:r>
        <w:rPr>
          <w:rFonts w:hint="eastAsia" w:eastAsia="仿宋_GB2312" w:cs="仿宋_GB2312"/>
          <w:sz w:val="32"/>
          <w:szCs w:val="32"/>
          <w:lang w:eastAsia="zh-CN"/>
        </w:rPr>
        <w:t>2025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339.62</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3CEB30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303.62</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元，主要包括：基本工资、津贴补贴、伙食补助费、机关事业单位基本养老保险缴费、职业年金缴费、</w:t>
      </w:r>
      <w:r>
        <w:rPr>
          <w:rFonts w:hint="eastAsia" w:eastAsia="仿宋_GB2312" w:cs="仿宋_GB2312"/>
          <w:sz w:val="32"/>
          <w:szCs w:val="32"/>
          <w:lang w:val="en-US" w:eastAsia="zh-CN"/>
        </w:rPr>
        <w:t>职工基本医疗保险缴费、</w:t>
      </w:r>
      <w:r>
        <w:rPr>
          <w:rFonts w:hint="eastAsia" w:eastAsia="仿宋_GB2312" w:cs="仿宋_GB2312"/>
          <w:sz w:val="32"/>
          <w:szCs w:val="32"/>
        </w:rPr>
        <w:t>其他社会保障缴费、</w:t>
      </w:r>
      <w:r>
        <w:rPr>
          <w:rFonts w:hint="eastAsia" w:eastAsia="仿宋_GB2312" w:cs="仿宋_GB2312"/>
          <w:sz w:val="32"/>
          <w:szCs w:val="32"/>
          <w:lang w:val="en-US" w:eastAsia="zh-CN"/>
        </w:rPr>
        <w:t>对</w:t>
      </w:r>
      <w:r>
        <w:rPr>
          <w:rFonts w:hint="eastAsia" w:ascii="仿宋" w:hAnsi="仿宋" w:eastAsia="仿宋"/>
          <w:sz w:val="32"/>
          <w:szCs w:val="32"/>
        </w:rPr>
        <w:t>个人和家庭的补助</w:t>
      </w:r>
      <w:r>
        <w:rPr>
          <w:rFonts w:hint="eastAsia" w:ascii="仿宋" w:hAnsi="仿宋" w:eastAsia="仿宋"/>
          <w:sz w:val="32"/>
          <w:szCs w:val="32"/>
          <w:lang w:eastAsia="zh-CN"/>
        </w:rPr>
        <w:t>、</w:t>
      </w:r>
      <w:r>
        <w:rPr>
          <w:rFonts w:hint="eastAsia" w:ascii="仿宋" w:hAnsi="仿宋" w:eastAsia="仿宋"/>
          <w:sz w:val="32"/>
          <w:szCs w:val="32"/>
          <w:lang w:val="en-US" w:eastAsia="zh-CN"/>
        </w:rPr>
        <w:t>生活补助、奖励金、</w:t>
      </w:r>
      <w:r>
        <w:rPr>
          <w:rFonts w:hint="eastAsia" w:eastAsia="仿宋_GB2312" w:cs="仿宋_GB2312"/>
          <w:sz w:val="32"/>
          <w:szCs w:val="32"/>
        </w:rPr>
        <w:t>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35.99</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水费、</w:t>
      </w:r>
      <w:r>
        <w:rPr>
          <w:rFonts w:hint="eastAsia" w:eastAsia="仿宋_GB2312" w:cs="仿宋_GB2312"/>
          <w:sz w:val="32"/>
          <w:szCs w:val="32"/>
        </w:rPr>
        <w:t>电费、差旅费、会议费、福利费、其他商品和服务支出等。</w:t>
      </w:r>
    </w:p>
    <w:p w14:paraId="6AB7CC37">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564D9E2E">
      <w:pPr>
        <w:keepNext w:val="0"/>
        <w:keepLines w:val="0"/>
        <w:pageBreakBefore w:val="0"/>
        <w:widowControl w:val="0"/>
        <w:kinsoku/>
        <w:wordWrap/>
        <w:overflowPunct/>
        <w:topLinePunct w:val="0"/>
        <w:bidi w:val="0"/>
        <w:snapToGrid/>
        <w:spacing w:line="600" w:lineRule="exact"/>
        <w:ind w:firstLine="640" w:firstLineChars="200"/>
        <w:textAlignment w:val="auto"/>
        <w:outlineLvl w:val="1"/>
        <w:rPr>
          <w:rStyle w:val="33"/>
          <w:rFonts w:ascii="黑体" w:hAnsi="黑体" w:eastAsia="黑体"/>
          <w:b w:val="0"/>
        </w:rPr>
      </w:pPr>
      <w:r>
        <w:rPr>
          <w:rFonts w:hint="eastAsia" w:ascii="黑体" w:eastAsia="黑体"/>
          <w:sz w:val="32"/>
          <w:szCs w:val="32"/>
        </w:rPr>
        <w:t>七、</w:t>
      </w:r>
      <w:r>
        <w:rPr>
          <w:rStyle w:val="33"/>
          <w:rFonts w:hint="eastAsia" w:ascii="黑体" w:hAnsi="黑体" w:eastAsia="黑体"/>
          <w:b w:val="0"/>
        </w:rPr>
        <w:t>财政拨款</w:t>
      </w:r>
      <w:r>
        <w:rPr>
          <w:rStyle w:val="33"/>
          <w:rFonts w:hint="eastAsia" w:ascii="黑体" w:hAnsi="黑体" w:eastAsia="黑体"/>
        </w:rPr>
        <w:t>“</w:t>
      </w:r>
      <w:r>
        <w:rPr>
          <w:rStyle w:val="33"/>
          <w:rFonts w:hint="eastAsia" w:ascii="黑体" w:hAnsi="黑体" w:eastAsia="黑体"/>
          <w:b w:val="0"/>
        </w:rPr>
        <w:t>三公”经费支出决算情况说明</w:t>
      </w:r>
      <w:bookmarkEnd w:id="47"/>
      <w:bookmarkEnd w:id="48"/>
      <w:bookmarkEnd w:id="49"/>
    </w:p>
    <w:p w14:paraId="4924465A">
      <w:pPr>
        <w:pStyle w:val="4"/>
        <w:keepNext/>
        <w:keepLines/>
        <w:pageBreakBefore w:val="0"/>
        <w:widowControl w:val="0"/>
        <w:kinsoku/>
        <w:wordWrap/>
        <w:overflowPunct/>
        <w:topLinePunct w:val="0"/>
        <w:autoSpaceDE/>
        <w:autoSpaceDN/>
        <w:bidi w:val="0"/>
        <w:adjustRightInd/>
        <w:snapToGrid/>
        <w:spacing w:before="0" w:after="0" w:line="580" w:lineRule="exact"/>
        <w:ind w:firstLine="643" w:firstLineChars="200"/>
        <w:textAlignment w:val="auto"/>
      </w:pPr>
      <w:bookmarkStart w:id="50" w:name="_Toc8517"/>
      <w:bookmarkStart w:id="51" w:name="_Toc15377216"/>
      <w:r>
        <w:rPr>
          <w:rFonts w:hint="eastAsia"/>
        </w:rPr>
        <w:t>（一）“三公”经费财政拨款支出决算总体情况说明</w:t>
      </w:r>
      <w:bookmarkEnd w:id="50"/>
      <w:bookmarkEnd w:id="51"/>
    </w:p>
    <w:p w14:paraId="38291826">
      <w:pPr>
        <w:spacing w:line="600" w:lineRule="exact"/>
        <w:ind w:firstLine="640"/>
        <w:rPr>
          <w:rFonts w:eastAsia="仿宋_GB2312" w:cs="仿宋_GB2312"/>
          <w:b/>
          <w:bCs/>
          <w:sz w:val="32"/>
          <w:szCs w:val="32"/>
        </w:rPr>
      </w:pPr>
      <w:bookmarkStart w:id="52" w:name="_Toc15377217"/>
      <w:bookmarkStart w:id="53" w:name="_Toc1287"/>
      <w:r>
        <w:rPr>
          <w:rFonts w:hint="eastAsia" w:ascii="仿宋" w:hAnsi="仿宋" w:eastAsia="仿宋"/>
          <w:sz w:val="32"/>
          <w:szCs w:val="32"/>
          <w:lang w:eastAsia="zh-CN"/>
        </w:rPr>
        <w:t>2025</w:t>
      </w:r>
      <w:r>
        <w:rPr>
          <w:rFonts w:hint="eastAsia" w:ascii="仿宋" w:hAnsi="仿宋" w:eastAsia="仿宋"/>
          <w:sz w:val="32"/>
          <w:szCs w:val="32"/>
        </w:rPr>
        <w:t>年度“三公”经费财政拨款支出决算为</w:t>
      </w:r>
      <w:r>
        <w:rPr>
          <w:rFonts w:ascii="仿宋" w:hAnsi="仿宋" w:eastAsia="仿宋"/>
          <w:b/>
          <w:sz w:val="32"/>
          <w:szCs w:val="32"/>
        </w:rPr>
        <w:t>0</w:t>
      </w:r>
      <w:r>
        <w:rPr>
          <w:rFonts w:hint="eastAsia" w:ascii="仿宋" w:hAnsi="仿宋" w:eastAsia="仿宋"/>
          <w:sz w:val="32"/>
          <w:szCs w:val="32"/>
        </w:rPr>
        <w:t>万元，完成预算</w:t>
      </w:r>
      <w:r>
        <w:rPr>
          <w:rFonts w:hint="eastAsia" w:ascii="仿宋" w:hAnsi="仿宋" w:eastAsia="仿宋"/>
          <w:sz w:val="32"/>
          <w:szCs w:val="32"/>
          <w:lang w:val="en-US" w:eastAsia="zh-CN"/>
        </w:rPr>
        <w:t>10</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，较上年度增加</w:t>
      </w:r>
      <w:r>
        <w:rPr>
          <w:rFonts w:hint="eastAsia" w:ascii="仿宋" w:hAnsi="仿宋" w:eastAsia="仿宋"/>
          <w:sz w:val="32"/>
          <w:szCs w:val="32"/>
          <w:lang w:val="en-US" w:eastAsia="zh-CN"/>
        </w:rPr>
        <w:t>0</w:t>
      </w:r>
      <w:r>
        <w:rPr>
          <w:rFonts w:hint="eastAsia" w:ascii="仿宋" w:hAnsi="仿宋" w:eastAsia="仿宋"/>
          <w:sz w:val="32"/>
          <w:szCs w:val="32"/>
        </w:rPr>
        <w:t>万元，增</w:t>
      </w:r>
      <w:r>
        <w:rPr>
          <w:rFonts w:hint="eastAsia" w:ascii="仿宋" w:hAnsi="仿宋" w:eastAsia="仿宋"/>
          <w:sz w:val="32"/>
          <w:szCs w:val="32"/>
          <w:lang w:val="en-US" w:eastAsia="zh-CN"/>
        </w:rPr>
        <w:t>0.0</w:t>
      </w:r>
      <w:r>
        <w:rPr>
          <w:rFonts w:hint="eastAsia" w:ascii="仿宋" w:hAnsi="仿宋" w:eastAsia="仿宋"/>
          <w:sz w:val="32"/>
          <w:szCs w:val="32"/>
        </w:rPr>
        <w:t>%。</w:t>
      </w:r>
      <w:r>
        <w:rPr>
          <w:rFonts w:hint="eastAsia" w:ascii="仿宋" w:hAnsi="仿宋" w:eastAsia="仿宋"/>
          <w:sz w:val="32"/>
          <w:szCs w:val="32"/>
          <w:lang w:val="en-US" w:eastAsia="zh-CN"/>
        </w:rPr>
        <w:t>决</w:t>
      </w:r>
      <w:r>
        <w:rPr>
          <w:rFonts w:hint="eastAsia" w:ascii="仿宋_GB2312" w:hAnsi="仿宋_GB2312" w:eastAsia="仿宋_GB2312" w:cs="仿宋_GB2312"/>
          <w:sz w:val="32"/>
          <w:szCs w:val="32"/>
          <w:shd w:val="clear" w:color="auto" w:fill="FFFFFF"/>
        </w:rPr>
        <w:t>算数与预算数持平主要原因</w:t>
      </w:r>
      <w:r>
        <w:rPr>
          <w:rStyle w:val="20"/>
          <w:rFonts w:hint="eastAsia" w:ascii="仿宋_GB2312" w:hAnsi="仿宋_GB2312" w:eastAsia="仿宋_GB2312" w:cs="仿宋_GB2312"/>
          <w:b w:val="0"/>
          <w:bCs/>
          <w:sz w:val="32"/>
          <w:szCs w:val="32"/>
          <w:shd w:val="clear" w:color="auto" w:fill="FFFFFF"/>
          <w:lang w:val="en-US" w:eastAsia="zh-CN"/>
        </w:rPr>
        <w:t>是2025年在局里面支出“三公”经费，监测站接待费未使用</w:t>
      </w:r>
      <w:r>
        <w:rPr>
          <w:rFonts w:hint="eastAsia" w:ascii="仿宋_GB2312" w:hAnsi="仿宋_GB2312" w:eastAsia="仿宋_GB2312" w:cs="仿宋_GB2312"/>
          <w:sz w:val="32"/>
          <w:szCs w:val="32"/>
          <w:shd w:val="clear" w:color="auto" w:fill="FFFFFF"/>
        </w:rPr>
        <w:t>。</w:t>
      </w:r>
      <w:r>
        <w:rPr>
          <w:rFonts w:hint="eastAsia" w:eastAsia="仿宋_GB2312" w:cs="仿宋_GB2312"/>
          <w:b/>
          <w:bCs/>
          <w:sz w:val="32"/>
          <w:szCs w:val="32"/>
        </w:rPr>
        <w:t>（注：上述“预算”口径为全年预算数，包括一般公共预算和政府性基金预算财政拨款支出决算情况）</w:t>
      </w:r>
    </w:p>
    <w:p w14:paraId="56D0093C">
      <w:pPr>
        <w:pStyle w:val="4"/>
        <w:bidi w:val="0"/>
      </w:pPr>
      <w:r>
        <w:rPr>
          <w:rFonts w:hint="eastAsia"/>
        </w:rPr>
        <w:t>（二）“三公”经费财政拨款支出决算具体情况说明</w:t>
      </w:r>
      <w:bookmarkEnd w:id="52"/>
      <w:bookmarkEnd w:id="53"/>
    </w:p>
    <w:p w14:paraId="7A80C0E4">
      <w:pPr>
        <w:keepNext w:val="0"/>
        <w:keepLines w:val="0"/>
        <w:pageBreakBefore w:val="0"/>
        <w:widowControl w:val="0"/>
        <w:kinsoku/>
        <w:wordWrap/>
        <w:overflowPunct/>
        <w:topLinePunct w:val="0"/>
        <w:bidi w:val="0"/>
        <w:snapToGrid/>
        <w:spacing w:line="600" w:lineRule="exact"/>
        <w:ind w:firstLine="640" w:firstLineChars="200"/>
        <w:textAlignment w:val="auto"/>
      </w:pPr>
      <w:r>
        <w:rPr>
          <w:rFonts w:hint="eastAsia" w:ascii="仿宋" w:hAnsi="仿宋" w:eastAsia="仿宋"/>
          <w:sz w:val="32"/>
          <w:szCs w:val="32"/>
          <w:lang w:eastAsia="zh-CN"/>
        </w:rPr>
        <w:t>2025</w:t>
      </w:r>
      <w:r>
        <w:rPr>
          <w:rFonts w:hint="eastAsia" w:ascii="仿宋" w:hAnsi="仿宋" w:eastAsia="仿宋"/>
          <w:sz w:val="32"/>
          <w:szCs w:val="32"/>
        </w:rPr>
        <w:t>年度“三公”经费财政拨款支出决算中，因公出国（境）费支出决算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；公务接待费支出决算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。具体情况如下：</w:t>
      </w:r>
      <w:bookmarkStart w:id="104" w:name="_GoBack"/>
      <w:bookmarkEnd w:id="104"/>
    </w:p>
    <w:p w14:paraId="1296EFF8">
      <w:pPr>
        <w:pStyle w:val="9"/>
      </w:pPr>
    </w:p>
    <w:p w14:paraId="0A8B8CC8">
      <w:pPr>
        <w:keepNext w:val="0"/>
        <w:keepLines w:val="0"/>
        <w:pageBreakBefore w:val="0"/>
        <w:widowControl w:val="0"/>
        <w:kinsoku/>
        <w:wordWrap/>
        <w:overflowPunct/>
        <w:topLinePunct w:val="0"/>
        <w:bidi w:val="0"/>
        <w:snapToGrid/>
        <w:spacing w:line="600" w:lineRule="exact"/>
        <w:ind w:firstLine="643" w:firstLineChars="200"/>
        <w:textAlignment w:val="auto"/>
        <w:rPr>
          <w:rFonts w:ascii="仿宋_GB2312" w:eastAsia="仿宋_GB2312"/>
          <w:sz w:val="32"/>
          <w:szCs w:val="32"/>
        </w:rPr>
      </w:pPr>
      <w:bookmarkStart w:id="54" w:name="_Toc15377218"/>
      <w:bookmarkStart w:id="55" w:name="_Toc15396610"/>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Cs/>
          <w:sz w:val="32"/>
          <w:szCs w:val="32"/>
        </w:rPr>
        <w:t>0</w:t>
      </w:r>
      <w:r>
        <w:rPr>
          <w:rStyle w:val="20"/>
          <w:rFonts w:ascii="仿宋" w:hAnsi="仿宋" w:eastAsia="仿宋"/>
          <w:b w:val="0"/>
          <w:bCs/>
          <w:sz w:val="32"/>
          <w:szCs w:val="32"/>
        </w:rPr>
        <w:t>%</w:t>
      </w:r>
      <w:r>
        <w:rPr>
          <w:rStyle w:val="20"/>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人。因公出国（境）支出决算比</w:t>
      </w:r>
      <w:r>
        <w:rPr>
          <w:rFonts w:hint="eastAsia" w:ascii="仿宋_GB2312" w:eastAsia="仿宋_GB2312"/>
          <w:sz w:val="32"/>
          <w:szCs w:val="32"/>
          <w:lang w:eastAsia="zh-CN"/>
        </w:rPr>
        <w:t>2024</w:t>
      </w:r>
      <w:r>
        <w:rPr>
          <w:rFonts w:hint="eastAsia" w:ascii="仿宋_GB2312" w:eastAsia="仿宋_GB2312"/>
          <w:sz w:val="32"/>
          <w:szCs w:val="32"/>
        </w:rPr>
        <w:t>年增加</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346F7311">
      <w:pPr>
        <w:keepNext w:val="0"/>
        <w:keepLines w:val="0"/>
        <w:pageBreakBefore w:val="0"/>
        <w:widowControl w:val="0"/>
        <w:kinsoku/>
        <w:wordWrap/>
        <w:overflowPunct/>
        <w:topLinePunct w:val="0"/>
        <w:bidi w:val="0"/>
        <w:snapToGrid/>
        <w:spacing w:line="600" w:lineRule="exact"/>
        <w:ind w:firstLine="643" w:firstLineChars="200"/>
        <w:textAlignment w:val="auto"/>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Cs/>
          <w:sz w:val="32"/>
          <w:szCs w:val="32"/>
        </w:rPr>
        <w:t>0</w:t>
      </w:r>
      <w:r>
        <w:rPr>
          <w:rStyle w:val="20"/>
          <w:rFonts w:ascii="仿宋" w:hAnsi="仿宋" w:eastAsia="仿宋"/>
          <w:b w:val="0"/>
          <w:bCs/>
          <w:sz w:val="32"/>
          <w:szCs w:val="32"/>
        </w:rPr>
        <w:t>%</w:t>
      </w:r>
      <w:r>
        <w:rPr>
          <w:rStyle w:val="20"/>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hint="eastAsia" w:ascii="仿宋_GB2312" w:eastAsia="仿宋_GB2312"/>
          <w:sz w:val="32"/>
          <w:szCs w:val="32"/>
          <w:lang w:eastAsia="zh-CN"/>
        </w:rPr>
        <w:t>2024</w:t>
      </w:r>
      <w:r>
        <w:rPr>
          <w:rFonts w:hint="eastAsia" w:ascii="仿宋_GB2312" w:eastAsia="仿宋_GB2312"/>
          <w:sz w:val="32"/>
          <w:szCs w:val="32"/>
        </w:rPr>
        <w:t>年度增加</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r>
        <w:rPr>
          <w:rFonts w:hint="eastAsia" w:ascii="仿宋_GB2312" w:hAnsi="仿宋_GB2312" w:eastAsia="仿宋_GB2312" w:cs="仿宋_GB2312"/>
          <w:b w:val="0"/>
          <w:bCs/>
          <w:sz w:val="32"/>
          <w:szCs w:val="32"/>
          <w:shd w:val="clear" w:color="auto" w:fill="FFFFFF"/>
        </w:rPr>
        <w:t>其中：</w:t>
      </w:r>
      <w:r>
        <w:rPr>
          <w:rStyle w:val="20"/>
          <w:rFonts w:hint="eastAsia" w:ascii="仿宋_GB2312" w:hAnsi="仿宋_GB2312" w:eastAsia="仿宋_GB2312" w:cs="仿宋_GB2312"/>
          <w:b w:val="0"/>
          <w:bCs/>
          <w:sz w:val="32"/>
          <w:szCs w:val="32"/>
          <w:shd w:val="clear" w:color="auto" w:fill="FFFFFF"/>
        </w:rPr>
        <w:t>公务用车购置支出0.00万元。公务用车运行维护费支出0.00万元。</w:t>
      </w:r>
      <w:r>
        <w:rPr>
          <w:rFonts w:hint="eastAsia" w:ascii="仿宋_GB2312" w:eastAsia="仿宋_GB2312"/>
          <w:sz w:val="32"/>
          <w:szCs w:val="32"/>
        </w:rPr>
        <w:t>主要原因是</w:t>
      </w:r>
      <w:r>
        <w:rPr>
          <w:rFonts w:hint="eastAsia" w:ascii="仿宋_GB2312" w:eastAsia="仿宋_GB2312"/>
          <w:sz w:val="32"/>
          <w:szCs w:val="32"/>
          <w:lang w:val="en-US" w:eastAsia="zh-CN"/>
        </w:rPr>
        <w:t>环境监测站无公务用车相关经费预算，公务用车运行经费在生态环境局中体现</w:t>
      </w:r>
      <w:r>
        <w:rPr>
          <w:rFonts w:hint="eastAsia" w:ascii="仿宋_GB2312" w:eastAsia="仿宋_GB2312"/>
          <w:sz w:val="32"/>
          <w:szCs w:val="32"/>
        </w:rPr>
        <w:t>。</w:t>
      </w:r>
    </w:p>
    <w:p w14:paraId="5F80A04F">
      <w:pPr>
        <w:keepNext w:val="0"/>
        <w:keepLines w:val="0"/>
        <w:pageBreakBefore w:val="0"/>
        <w:widowControl w:val="0"/>
        <w:kinsoku/>
        <w:wordWrap/>
        <w:overflowPunct/>
        <w:topLinePunct w:val="0"/>
        <w:bidi w:val="0"/>
        <w:snapToGrid/>
        <w:spacing w:line="600" w:lineRule="exact"/>
        <w:ind w:firstLine="643" w:firstLineChars="200"/>
        <w:textAlignment w:val="auto"/>
        <w:rPr>
          <w:rFonts w:ascii="黑体" w:eastAsia="黑体"/>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 w:val="0"/>
          <w:bCs/>
          <w:sz w:val="32"/>
          <w:szCs w:val="32"/>
        </w:rPr>
        <w:t>0%</w:t>
      </w:r>
      <w:r>
        <w:rPr>
          <w:rStyle w:val="20"/>
          <w:rFonts w:hint="eastAsia" w:ascii="仿宋" w:hAnsi="仿宋" w:eastAsia="仿宋"/>
          <w:b w:val="0"/>
          <w:bCs/>
          <w:sz w:val="32"/>
          <w:szCs w:val="32"/>
        </w:rPr>
        <w:t>。</w:t>
      </w:r>
      <w:r>
        <w:rPr>
          <w:rFonts w:hint="eastAsia" w:ascii="仿宋_GB2312" w:eastAsia="仿宋_GB2312"/>
          <w:sz w:val="32"/>
          <w:szCs w:val="32"/>
        </w:rPr>
        <w:t>公务接待费支出决算比</w:t>
      </w:r>
      <w:r>
        <w:rPr>
          <w:rFonts w:hint="eastAsia" w:ascii="仿宋_GB2312" w:eastAsia="仿宋_GB2312"/>
          <w:sz w:val="32"/>
          <w:szCs w:val="32"/>
          <w:lang w:eastAsia="zh-CN"/>
        </w:rPr>
        <w:t>2024</w:t>
      </w:r>
      <w:r>
        <w:rPr>
          <w:rFonts w:hint="eastAsia" w:ascii="仿宋_GB2312" w:eastAsia="仿宋_GB2312"/>
          <w:sz w:val="32"/>
          <w:szCs w:val="32"/>
        </w:rPr>
        <w:t>年度增加</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r>
        <w:rPr>
          <w:rStyle w:val="20"/>
          <w:rFonts w:hint="eastAsia" w:ascii="仿宋_GB2312" w:hAnsi="仿宋_GB2312" w:eastAsia="仿宋_GB2312" w:cs="仿宋_GB2312"/>
          <w:b w:val="0"/>
          <w:bCs/>
          <w:sz w:val="32"/>
          <w:szCs w:val="32"/>
          <w:shd w:val="clear" w:color="auto" w:fill="FFFFFF"/>
        </w:rPr>
        <w:t>主</w:t>
      </w:r>
      <w:r>
        <w:rPr>
          <w:rStyle w:val="20"/>
          <w:rFonts w:hint="eastAsia" w:ascii="仿宋_GB2312" w:hAnsi="仿宋_GB2312" w:eastAsia="仿宋_GB2312" w:cs="仿宋_GB2312"/>
          <w:b w:val="0"/>
          <w:bCs/>
          <w:sz w:val="32"/>
          <w:szCs w:val="32"/>
          <w:shd w:val="clear" w:color="auto" w:fill="FFFFFF"/>
          <w:lang w:val="en-US" w:eastAsia="zh-CN"/>
        </w:rPr>
        <w:t>要原因是2024年在局里面支出“三公”经费，监测站接待费未使用。</w:t>
      </w:r>
      <w:r>
        <w:rPr>
          <w:rFonts w:hint="eastAsia" w:ascii="仿宋_GB2312" w:eastAsia="仿宋_GB2312"/>
          <w:sz w:val="32"/>
          <w:szCs w:val="32"/>
        </w:rPr>
        <w:t>其中：</w:t>
      </w: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w:t>
      </w: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p>
    <w:p w14:paraId="0E00B348">
      <w:pPr>
        <w:keepNext w:val="0"/>
        <w:keepLines w:val="0"/>
        <w:pageBreakBefore w:val="0"/>
        <w:widowControl w:val="0"/>
        <w:kinsoku/>
        <w:wordWrap/>
        <w:overflowPunct/>
        <w:topLinePunct w:val="0"/>
        <w:bidi w:val="0"/>
        <w:snapToGrid/>
        <w:spacing w:line="600" w:lineRule="exact"/>
        <w:ind w:firstLine="640" w:firstLineChars="200"/>
        <w:textAlignment w:val="auto"/>
        <w:outlineLvl w:val="1"/>
        <w:rPr>
          <w:rStyle w:val="33"/>
          <w:rFonts w:ascii="黑体" w:hAnsi="黑体" w:eastAsia="黑体"/>
        </w:rPr>
      </w:pPr>
      <w:bookmarkStart w:id="56" w:name="_Toc32245"/>
      <w:r>
        <w:rPr>
          <w:rFonts w:hint="eastAsia" w:ascii="黑体" w:eastAsia="黑体"/>
          <w:sz w:val="32"/>
          <w:szCs w:val="32"/>
        </w:rPr>
        <w:t>八、</w:t>
      </w:r>
      <w:r>
        <w:rPr>
          <w:rStyle w:val="33"/>
          <w:rFonts w:hint="eastAsia" w:ascii="黑体" w:hAnsi="黑体" w:eastAsia="黑体"/>
          <w:b w:val="0"/>
        </w:rPr>
        <w:t>政府性基金预算支出决算情况说明</w:t>
      </w:r>
      <w:bookmarkEnd w:id="54"/>
      <w:bookmarkEnd w:id="55"/>
      <w:bookmarkEnd w:id="56"/>
    </w:p>
    <w:p w14:paraId="1F81127D">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045F7677">
      <w:pPr>
        <w:bidi w:val="0"/>
        <w:ind w:firstLine="640" w:firstLineChars="200"/>
        <w:rPr>
          <w:rFonts w:ascii="仿宋_GB2312" w:eastAsia="仿宋_GB2312"/>
          <w:sz w:val="32"/>
          <w:szCs w:val="32"/>
        </w:rPr>
      </w:pPr>
      <w:r>
        <w:rPr>
          <w:rStyle w:val="20"/>
          <w:rFonts w:hint="eastAsia" w:ascii="仿宋_GB2312" w:hAnsi="仿宋_GB2312" w:eastAsia="仿宋_GB2312" w:cs="仿宋_GB2312"/>
          <w:b w:val="0"/>
          <w:bCs/>
          <w:kern w:val="0"/>
          <w:sz w:val="32"/>
          <w:szCs w:val="32"/>
          <w:shd w:val="clear" w:color="auto" w:fill="FFFFFF"/>
          <w:lang w:val="en-US" w:eastAsia="zh-CN" w:bidi="ar"/>
        </w:rPr>
        <w:t>（我单位不涉及政府基金预算支出）</w:t>
      </w:r>
    </w:p>
    <w:p w14:paraId="6E615C0D">
      <w:pPr>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outlineLvl w:val="1"/>
        <w:rPr>
          <w:rStyle w:val="33"/>
          <w:rFonts w:ascii="黑体" w:hAnsi="黑体" w:eastAsia="黑体"/>
          <w:b w:val="0"/>
        </w:rPr>
      </w:pPr>
      <w:bookmarkStart w:id="57" w:name="_Toc15377219"/>
      <w:bookmarkStart w:id="58" w:name="_Toc28349"/>
      <w:bookmarkStart w:id="59" w:name="_Toc15396611"/>
      <w:r>
        <w:rPr>
          <w:rStyle w:val="33"/>
          <w:rFonts w:hint="eastAsia" w:ascii="黑体" w:hAnsi="黑体" w:eastAsia="黑体"/>
          <w:b w:val="0"/>
        </w:rPr>
        <w:t>国有资本经营预算支出决算情况说明</w:t>
      </w:r>
      <w:bookmarkEnd w:id="57"/>
      <w:bookmarkEnd w:id="58"/>
      <w:bookmarkEnd w:id="59"/>
    </w:p>
    <w:p w14:paraId="34AAE33F">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48F636DD">
      <w:pPr>
        <w:bidi w:val="0"/>
        <w:ind w:firstLine="640" w:firstLineChars="200"/>
        <w:rPr>
          <w:rFonts w:ascii="方正小标宋简体" w:hAnsi="方正小标宋简体" w:eastAsia="方正小标宋简体" w:cs="方正小标宋简体"/>
          <w:sz w:val="44"/>
          <w:szCs w:val="44"/>
        </w:rPr>
      </w:pPr>
      <w:r>
        <w:rPr>
          <w:rStyle w:val="20"/>
          <w:rFonts w:hint="eastAsia" w:ascii="仿宋_GB2312" w:hAnsi="仿宋_GB2312" w:eastAsia="仿宋_GB2312" w:cs="仿宋_GB2312"/>
          <w:b w:val="0"/>
          <w:bCs/>
          <w:kern w:val="0"/>
          <w:sz w:val="32"/>
          <w:szCs w:val="32"/>
          <w:shd w:val="clear" w:color="auto" w:fill="FFFFFF"/>
          <w:lang w:val="en-US" w:eastAsia="zh-CN" w:bidi="ar"/>
        </w:rPr>
        <w:t>（我单位不涉及国有资本经营预算支出）</w:t>
      </w:r>
      <w:r>
        <w:t> </w:t>
      </w:r>
    </w:p>
    <w:p w14:paraId="70E504CA">
      <w:pPr>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outlineLvl w:val="1"/>
        <w:rPr>
          <w:rStyle w:val="33"/>
          <w:rFonts w:ascii="黑体" w:hAnsi="黑体" w:eastAsia="黑体"/>
          <w:b w:val="0"/>
        </w:rPr>
      </w:pPr>
      <w:bookmarkStart w:id="60" w:name="_Toc28955"/>
      <w:bookmarkStart w:id="61" w:name="_Toc15377221"/>
      <w:bookmarkStart w:id="62" w:name="_Toc15396612"/>
      <w:r>
        <w:rPr>
          <w:rStyle w:val="33"/>
          <w:rFonts w:hint="eastAsia" w:ascii="黑体" w:hAnsi="黑体" w:eastAsia="黑体"/>
          <w:b w:val="0"/>
        </w:rPr>
        <w:t>其他重要事项的情况说明</w:t>
      </w:r>
      <w:bookmarkEnd w:id="60"/>
      <w:bookmarkEnd w:id="61"/>
      <w:bookmarkEnd w:id="62"/>
    </w:p>
    <w:p w14:paraId="21C33E32">
      <w:pPr>
        <w:pStyle w:val="4"/>
        <w:bidi w:val="0"/>
      </w:pPr>
      <w:bookmarkStart w:id="63" w:name="_Toc30095"/>
      <w:bookmarkStart w:id="64" w:name="_Toc15377222"/>
      <w:r>
        <w:rPr>
          <w:rFonts w:hint="eastAsia"/>
        </w:rPr>
        <w:t>（一）机关运行经费支出情况</w:t>
      </w:r>
      <w:bookmarkEnd w:id="63"/>
      <w:bookmarkEnd w:id="64"/>
    </w:p>
    <w:p w14:paraId="399F416D">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 w:hAnsi="仿宋" w:eastAsia="仿宋"/>
          <w:b/>
          <w:sz w:val="32"/>
          <w:szCs w:val="32"/>
          <w:highlight w:val="none"/>
        </w:rPr>
      </w:pPr>
      <w:r>
        <w:rPr>
          <w:rFonts w:hint="eastAsia" w:ascii="仿宋_GB2312" w:eastAsia="仿宋_GB2312"/>
          <w:sz w:val="32"/>
          <w:szCs w:val="32"/>
          <w:highlight w:val="none"/>
          <w:lang w:eastAsia="zh-CN"/>
        </w:rPr>
        <w:t>2025</w:t>
      </w:r>
      <w:r>
        <w:rPr>
          <w:rFonts w:hint="eastAsia" w:ascii="仿宋_GB2312" w:eastAsia="仿宋_GB2312"/>
          <w:sz w:val="32"/>
          <w:szCs w:val="32"/>
          <w:highlight w:val="none"/>
        </w:rPr>
        <w:t>年度，</w:t>
      </w:r>
      <w:r>
        <w:rPr>
          <w:rFonts w:ascii="仿宋_GB2312" w:eastAsia="仿宋_GB2312"/>
          <w:b/>
          <w:sz w:val="32"/>
          <w:szCs w:val="32"/>
          <w:highlight w:val="none"/>
        </w:rPr>
        <w:t>阿坝州汶川环境监测站</w:t>
      </w:r>
      <w:r>
        <w:rPr>
          <w:rFonts w:hint="eastAsia" w:ascii="仿宋_GB2312" w:eastAsia="仿宋_GB2312"/>
          <w:sz w:val="32"/>
          <w:szCs w:val="32"/>
          <w:highlight w:val="none"/>
        </w:rPr>
        <w:t>机关运行经费支出</w:t>
      </w:r>
      <w:r>
        <w:rPr>
          <w:rFonts w:hint="eastAsia" w:ascii="仿宋" w:hAnsi="仿宋" w:eastAsia="仿宋"/>
          <w:b/>
          <w:sz w:val="32"/>
          <w:szCs w:val="32"/>
          <w:highlight w:val="none"/>
          <w:lang w:val="en-US" w:eastAsia="zh-CN"/>
        </w:rPr>
        <w:t>35.99</w:t>
      </w:r>
      <w:r>
        <w:rPr>
          <w:rFonts w:hint="eastAsia" w:ascii="仿宋_GB2312" w:eastAsia="仿宋_GB2312"/>
          <w:sz w:val="32"/>
          <w:szCs w:val="32"/>
          <w:highlight w:val="none"/>
        </w:rPr>
        <w:t>万元，与</w:t>
      </w:r>
      <w:r>
        <w:rPr>
          <w:rFonts w:hint="eastAsia" w:ascii="仿宋_GB2312" w:eastAsia="仿宋_GB2312"/>
          <w:sz w:val="32"/>
          <w:szCs w:val="32"/>
          <w:highlight w:val="none"/>
          <w:lang w:eastAsia="zh-CN"/>
        </w:rPr>
        <w:t>2024</w:t>
      </w:r>
      <w:r>
        <w:rPr>
          <w:rFonts w:hint="eastAsia" w:ascii="仿宋_GB2312" w:eastAsia="仿宋_GB2312"/>
          <w:sz w:val="32"/>
          <w:szCs w:val="32"/>
          <w:highlight w:val="none"/>
        </w:rPr>
        <w:t>年度决算数</w:t>
      </w:r>
      <w:r>
        <w:rPr>
          <w:rFonts w:hint="eastAsia" w:ascii="仿宋_GB2312" w:eastAsia="仿宋_GB2312"/>
          <w:sz w:val="32"/>
          <w:szCs w:val="32"/>
          <w:highlight w:val="none"/>
          <w:lang w:val="en-US" w:eastAsia="zh-CN"/>
        </w:rPr>
        <w:t>增加4.05万元，</w:t>
      </w:r>
      <w:r>
        <w:rPr>
          <w:rFonts w:hint="eastAsia" w:ascii="仿宋_GB2312" w:hAnsi="仿宋_GB2312" w:eastAsia="仿宋_GB2312" w:cs="仿宋_GB2312"/>
          <w:b w:val="0"/>
          <w:bCs/>
          <w:sz w:val="32"/>
          <w:szCs w:val="32"/>
          <w:highlight w:val="none"/>
          <w:shd w:val="clear" w:color="auto" w:fill="FFFFFF"/>
          <w:lang w:val="en-US" w:eastAsia="zh-CN"/>
        </w:rPr>
        <w:t>主要原因是监测站新增9人。</w:t>
      </w:r>
    </w:p>
    <w:p w14:paraId="6395BF79">
      <w:pPr>
        <w:pStyle w:val="4"/>
        <w:bidi w:val="0"/>
      </w:pPr>
      <w:bookmarkStart w:id="65" w:name="_Toc26749"/>
      <w:bookmarkStart w:id="66" w:name="_Toc15377223"/>
      <w:r>
        <w:rPr>
          <w:rFonts w:hint="eastAsia"/>
        </w:rPr>
        <w:t>（二）政府采购支出情况</w:t>
      </w:r>
      <w:bookmarkEnd w:id="65"/>
      <w:bookmarkEnd w:id="66"/>
    </w:p>
    <w:p w14:paraId="5D8211C2">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w:t>
      </w:r>
      <w:r>
        <w:rPr>
          <w:rFonts w:ascii="仿宋_GB2312" w:eastAsia="仿宋_GB2312"/>
          <w:b/>
          <w:sz w:val="32"/>
          <w:szCs w:val="32"/>
        </w:rPr>
        <w:t>阿坝州汶川环境监测站</w:t>
      </w:r>
      <w:r>
        <w:rPr>
          <w:rFonts w:hint="eastAsia" w:ascii="仿宋_GB2312" w:eastAsia="仿宋_GB2312"/>
          <w:sz w:val="32"/>
          <w:szCs w:val="32"/>
        </w:rPr>
        <w:t>政府采购支出总额</w:t>
      </w:r>
      <w:r>
        <w:rPr>
          <w:rFonts w:ascii="仿宋" w:hAnsi="仿宋" w:eastAsia="仿宋"/>
          <w:b/>
          <w:sz w:val="32"/>
          <w:szCs w:val="32"/>
        </w:rPr>
        <w:t>0</w:t>
      </w:r>
      <w:r>
        <w:rPr>
          <w:rFonts w:hint="eastAsia" w:ascii="仿宋_GB2312" w:eastAsia="仿宋_GB2312"/>
          <w:sz w:val="32"/>
          <w:szCs w:val="32"/>
        </w:rPr>
        <w:t>万元，其中：政府采购货物支出</w:t>
      </w:r>
      <w:r>
        <w:rPr>
          <w:rFonts w:ascii="仿宋" w:hAnsi="仿宋" w:eastAsia="仿宋"/>
          <w:b/>
          <w:sz w:val="32"/>
          <w:szCs w:val="32"/>
        </w:rPr>
        <w:t>0</w:t>
      </w:r>
      <w:r>
        <w:rPr>
          <w:rFonts w:hint="eastAsia" w:ascii="仿宋_GB2312" w:eastAsia="仿宋_GB2312"/>
          <w:sz w:val="32"/>
          <w:szCs w:val="32"/>
        </w:rPr>
        <w:t>万元、政府采购工程支出</w:t>
      </w:r>
      <w:r>
        <w:rPr>
          <w:rFonts w:ascii="仿宋" w:hAnsi="仿宋" w:eastAsia="仿宋"/>
          <w:b/>
          <w:sz w:val="32"/>
          <w:szCs w:val="32"/>
        </w:rPr>
        <w:t>0</w:t>
      </w:r>
      <w:r>
        <w:rPr>
          <w:rFonts w:hint="eastAsia" w:ascii="仿宋_GB2312" w:eastAsia="仿宋_GB2312"/>
          <w:sz w:val="32"/>
          <w:szCs w:val="32"/>
        </w:rPr>
        <w:t>万元、政府采购服务支出</w:t>
      </w:r>
      <w:r>
        <w:rPr>
          <w:rFonts w:ascii="仿宋" w:hAnsi="仿宋" w:eastAsia="仿宋"/>
          <w:b/>
          <w:sz w:val="32"/>
          <w:szCs w:val="32"/>
        </w:rPr>
        <w:t>0</w:t>
      </w:r>
      <w:r>
        <w:rPr>
          <w:rFonts w:hint="eastAsia" w:ascii="仿宋_GB2312" w:eastAsia="仿宋_GB2312"/>
          <w:sz w:val="32"/>
          <w:szCs w:val="32"/>
        </w:rPr>
        <w:t>万元。授予中小企业合同金额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sz w:val="32"/>
          <w:szCs w:val="32"/>
        </w:rPr>
        <w:t>0%</w:t>
      </w:r>
      <w:r>
        <w:rPr>
          <w:rFonts w:hint="eastAsia" w:ascii="仿宋_GB2312" w:eastAsia="仿宋_GB2312"/>
          <w:sz w:val="32"/>
          <w:szCs w:val="32"/>
        </w:rPr>
        <w:t>，其中：授予小微企业合同金额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hint="eastAsia" w:ascii="仿宋_GB2312" w:eastAsia="仿宋_GB2312"/>
          <w:sz w:val="32"/>
          <w:szCs w:val="32"/>
        </w:rPr>
        <w:t>。</w:t>
      </w:r>
    </w:p>
    <w:p w14:paraId="4E590720">
      <w:pPr>
        <w:pStyle w:val="4"/>
        <w:bidi w:val="0"/>
      </w:pPr>
      <w:bookmarkStart w:id="67" w:name="_Toc15377224"/>
      <w:bookmarkStart w:id="68" w:name="_Toc26111"/>
      <w:r>
        <w:rPr>
          <w:rFonts w:hint="eastAsia"/>
        </w:rPr>
        <w:t>（三）国有资产占有使用情况</w:t>
      </w:r>
      <w:bookmarkEnd w:id="67"/>
      <w:bookmarkEnd w:id="68"/>
    </w:p>
    <w:p w14:paraId="1C776524">
      <w:pPr>
        <w:spacing w:line="600" w:lineRule="exact"/>
        <w:ind w:firstLine="640"/>
        <w:rPr>
          <w:rFonts w:eastAsia="仿宋_GB2312" w:cs="仿宋_GB2312"/>
          <w:sz w:val="32"/>
          <w:szCs w:val="32"/>
        </w:rPr>
      </w:pPr>
      <w:r>
        <w:rPr>
          <w:rFonts w:hint="eastAsia" w:ascii="仿宋_GB2312" w:eastAsia="仿宋_GB2312"/>
          <w:sz w:val="32"/>
          <w:szCs w:val="32"/>
        </w:rPr>
        <w:t>截至</w:t>
      </w:r>
      <w:r>
        <w:rPr>
          <w:rFonts w:hint="eastAsia" w:ascii="仿宋_GB2312" w:eastAsia="仿宋_GB2312"/>
          <w:sz w:val="32"/>
          <w:szCs w:val="32"/>
          <w:lang w:eastAsia="zh-CN"/>
        </w:rPr>
        <w:t>2025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阿坝州汶川环境监测站</w:t>
      </w:r>
      <w:r>
        <w:rPr>
          <w:rFonts w:hint="eastAsia" w:ascii="仿宋_GB2312" w:eastAsia="仿宋_GB2312"/>
          <w:sz w:val="32"/>
          <w:szCs w:val="32"/>
        </w:rPr>
        <w:t>共有车辆</w:t>
      </w:r>
      <w:r>
        <w:rPr>
          <w:rFonts w:hint="eastAsia" w:ascii="仿宋_GB2312" w:eastAsia="仿宋_GB2312"/>
          <w:b/>
          <w:sz w:val="32"/>
          <w:szCs w:val="32"/>
        </w:rPr>
        <w:t>0</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0</w:t>
      </w:r>
      <w:r>
        <w:rPr>
          <w:rFonts w:hint="eastAsia" w:ascii="仿宋_GB2312" w:eastAsia="仿宋_GB2312"/>
          <w:sz w:val="32"/>
          <w:szCs w:val="32"/>
        </w:rPr>
        <w:t>辆。单价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14:paraId="17EE54E6">
      <w:pPr>
        <w:pStyle w:val="4"/>
        <w:bidi w:val="0"/>
      </w:pPr>
      <w:bookmarkStart w:id="69" w:name="_Toc9478"/>
      <w:r>
        <w:rPr>
          <w:rFonts w:hint="eastAsia"/>
        </w:rPr>
        <w:t>（四）预算绩效管理情况</w:t>
      </w:r>
      <w:bookmarkEnd w:id="69"/>
    </w:p>
    <w:p w14:paraId="49F6A8D2">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both"/>
        <w:textAlignment w:val="auto"/>
      </w:pPr>
      <w:r>
        <w:rPr>
          <w:rFonts w:hint="eastAsia" w:ascii="仿宋_GB2312" w:hAnsi="仿宋_GB2312" w:eastAsia="仿宋_GB2312" w:cs="仿宋_GB2312"/>
          <w:b w:val="0"/>
          <w:bCs/>
          <w:sz w:val="32"/>
          <w:szCs w:val="32"/>
          <w:shd w:val="clear" w:color="auto" w:fill="FFFFFF"/>
          <w:lang w:val="en-US" w:eastAsia="zh-CN"/>
        </w:rPr>
        <w:t>根据预算绩效管理要求，本部门在2025年度预算编制阶段，相关项目在生态环境局中开展，监测站只保证人员经费和运行经费，无相关项目自评，基本支出自评见第四部分附件。</w:t>
      </w:r>
    </w:p>
    <w:p w14:paraId="578821A4">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br w:type="page"/>
      </w:r>
    </w:p>
    <w:p w14:paraId="4653AA17">
      <w:pPr>
        <w:numPr>
          <w:ilvl w:val="0"/>
          <w:numId w:val="4"/>
        </w:numPr>
        <w:spacing w:line="600" w:lineRule="exact"/>
        <w:ind w:firstLine="660" w:firstLineChars="150"/>
        <w:jc w:val="center"/>
        <w:outlineLvl w:val="0"/>
        <w:rPr>
          <w:rStyle w:val="32"/>
          <w:rFonts w:ascii="黑体" w:hAnsi="黑体" w:eastAsia="黑体"/>
          <w:b w:val="0"/>
        </w:rPr>
      </w:pPr>
      <w:bookmarkStart w:id="70" w:name="_Toc15377225"/>
      <w:bookmarkStart w:id="71" w:name="_Toc20987"/>
      <w:bookmarkStart w:id="72" w:name="_Toc15396613"/>
      <w:r>
        <w:rPr>
          <w:rFonts w:hint="eastAsia" w:ascii="黑体" w:hAnsi="黑体" w:eastAsia="黑体"/>
          <w:sz w:val="44"/>
          <w:szCs w:val="44"/>
        </w:rPr>
        <w:t>名</w:t>
      </w:r>
      <w:r>
        <w:rPr>
          <w:rStyle w:val="32"/>
          <w:rFonts w:hint="eastAsia" w:ascii="黑体" w:hAnsi="黑体" w:eastAsia="黑体"/>
          <w:b w:val="0"/>
        </w:rPr>
        <w:t>词解释</w:t>
      </w:r>
      <w:bookmarkEnd w:id="70"/>
      <w:bookmarkEnd w:id="71"/>
      <w:bookmarkEnd w:id="72"/>
    </w:p>
    <w:p w14:paraId="2DF812DB">
      <w:pPr>
        <w:spacing w:line="600" w:lineRule="exact"/>
        <w:jc w:val="left"/>
        <w:rPr>
          <w:rFonts w:ascii="宋体"/>
          <w:b/>
          <w:sz w:val="44"/>
          <w:szCs w:val="44"/>
        </w:rPr>
      </w:pPr>
    </w:p>
    <w:p w14:paraId="6A1046F3">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1.财政拨款收入：指单位从同级财政部门取得的财政预算资金。</w:t>
      </w:r>
    </w:p>
    <w:p w14:paraId="459BAC23">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2.事业收入：指事业单位开展专业业务活动及辅助活动取得的收入。如（二级预算单位事业收入情况）等。</w:t>
      </w:r>
    </w:p>
    <w:p w14:paraId="27D440E0">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3.经营收入：指事业单位在专业业务活动及其辅助活动之外开展非独立核算经营活动取得的收入。如（二级预算单位经营收入情况）等。</w:t>
      </w:r>
    </w:p>
    <w:p w14:paraId="4B8A2A48">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4.其他收入：指单位取得的除上述收入以外的各项收入。主要是（收入类型）等。</w:t>
      </w:r>
    </w:p>
    <w:p w14:paraId="76481FE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5.使用非财政拨款结余：指事业单位使用以前年度积累的非财政拨款结余弥补当年收支差额的金额。</w:t>
      </w:r>
    </w:p>
    <w:p w14:paraId="43EF8DCC">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6.年初结转和结余：指以前年度尚未完成、结转到本年按有关规定继续使用的资金。</w:t>
      </w:r>
    </w:p>
    <w:p w14:paraId="35A3DE04">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7.结余分配：指事业单位按照会计制度规定缴纳的所得税、提取的专用结余以及转入非财政拨款结余的金额等。</w:t>
      </w:r>
    </w:p>
    <w:p w14:paraId="32370786">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8、年末结转和结余：指单位按有关规定结转到下年或以后年度继续使用的资金。</w:t>
      </w:r>
    </w:p>
    <w:p w14:paraId="690C78F5">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9.社会保障和就业208（类）05（款）05、06（项）：指机关事业单位基本养老保险缴费支出、机关事业单位职业年金缴费支出。</w:t>
      </w:r>
    </w:p>
    <w:p w14:paraId="7FB732FD">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10.医疗卫生与计划生育210（类）11（款）02（项）：指事业单位医疗。</w:t>
      </w:r>
    </w:p>
    <w:p w14:paraId="3714F818">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11.节能环保211（类）02（款）99（项）：指其他环境监测与监察支出。</w:t>
      </w:r>
    </w:p>
    <w:p w14:paraId="64319817">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12.住房保障221（类）02（款）01（项）：指住房公积金支出。</w:t>
      </w:r>
    </w:p>
    <w:p w14:paraId="73AFB8C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（解释本部门决算报表中涉及的全部功能分类科目至项级，不涉及的科目请自行删除。请参照《2022年政府收支分类科目》增减内容。）</w:t>
      </w:r>
    </w:p>
    <w:p w14:paraId="346B4A5E">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13.基本支出：指为保障机构正常运转、完成日常工作任务而发生的人员支出和公用支出。</w:t>
      </w:r>
    </w:p>
    <w:p w14:paraId="7AFAB5A2">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14.项目支出：指在基本支出之外为完成特定行政任务和事业发展目标所发生的支出。</w:t>
      </w:r>
    </w:p>
    <w:p w14:paraId="560C4820">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15.经营支出：指事业单位在专业业务活动及其辅助活动之外开展非独立核算经营活动发生的支出。</w:t>
      </w:r>
    </w:p>
    <w:p w14:paraId="13B99FE0">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B245FDC">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pPr>
      <w:r>
        <w:rPr>
          <w:rFonts w:hint="eastAsia" w:ascii="仿宋_GB2312" w:hAnsi="仿宋_GB2312" w:eastAsia="仿宋_GB2312" w:cs="仿宋_GB2312"/>
          <w:b w:val="0"/>
          <w:bCs/>
          <w:kern w:val="0"/>
          <w:sz w:val="32"/>
          <w:szCs w:val="32"/>
          <w:lang w:val="en-US" w:eastAsia="zh-CN" w:bidi="ar"/>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名词解释部分请根据各部门实际列支情况罗列，并根据本部门职责职能增减名词解释内容。）</w:t>
      </w:r>
    </w:p>
    <w:p w14:paraId="15324309">
      <w:pPr>
        <w:rPr>
          <w:rFonts w:hint="eastAsia" w:ascii="黑体" w:hAnsi="黑体" w:eastAsia="黑体"/>
          <w:sz w:val="44"/>
          <w:szCs w:val="44"/>
        </w:rPr>
      </w:pPr>
      <w:bookmarkStart w:id="73" w:name="_Toc15396614"/>
      <w:bookmarkStart w:id="74" w:name="_Toc15377226"/>
      <w:r>
        <w:rPr>
          <w:rFonts w:hint="eastAsia" w:ascii="黑体" w:hAnsi="黑体" w:eastAsia="黑体"/>
          <w:sz w:val="44"/>
          <w:szCs w:val="44"/>
        </w:rPr>
        <w:br w:type="page"/>
      </w:r>
    </w:p>
    <w:p w14:paraId="4E7A9AB6">
      <w:pPr>
        <w:spacing w:line="600" w:lineRule="exact"/>
        <w:jc w:val="center"/>
        <w:outlineLvl w:val="0"/>
        <w:rPr>
          <w:sz w:val="32"/>
        </w:rPr>
      </w:pPr>
      <w:bookmarkStart w:id="75" w:name="_Toc6892"/>
      <w:r>
        <w:rPr>
          <w:rFonts w:hint="eastAsia" w:ascii="黑体" w:hAnsi="黑体" w:eastAsia="黑体"/>
          <w:sz w:val="44"/>
          <w:szCs w:val="44"/>
        </w:rPr>
        <w:t>第</w:t>
      </w:r>
      <w:r>
        <w:rPr>
          <w:rStyle w:val="32"/>
          <w:rFonts w:hint="eastAsia" w:ascii="黑体" w:hAnsi="黑体" w:eastAsia="黑体"/>
          <w:b w:val="0"/>
        </w:rPr>
        <w:t>四部分 附件</w:t>
      </w:r>
      <w:bookmarkEnd w:id="73"/>
      <w:bookmarkEnd w:id="75"/>
      <w:bookmarkStart w:id="76" w:name="_Toc15396618"/>
    </w:p>
    <w:p w14:paraId="7FEF5713">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both"/>
        <w:textAlignment w:val="auto"/>
        <w:rPr>
          <w:rFonts w:hint="default" w:ascii="仿宋_GB2312" w:hAnsi="仿宋_GB2312" w:eastAsia="仿宋_GB2312" w:cs="仿宋_GB2312"/>
          <w:sz w:val="32"/>
          <w:szCs w:val="32"/>
          <w:shd w:val="clear" w:color="auto" w:fill="FFFFFF"/>
          <w:lang w:val="en-US" w:eastAsia="zh-CN"/>
        </w:rPr>
      </w:pPr>
      <w:r>
        <w:rPr>
          <w:rFonts w:hint="eastAsia" w:ascii="仿宋_GB2312" w:hAnsi="仿宋_GB2312" w:eastAsia="仿宋_GB2312" w:cs="仿宋_GB2312"/>
          <w:sz w:val="32"/>
          <w:szCs w:val="32"/>
          <w:shd w:val="clear" w:color="auto" w:fill="FFFFFF"/>
          <w:lang w:val="en-US" w:eastAsia="zh-CN"/>
        </w:rPr>
        <w:t>2025年监测站只保障人员经费，相关项目评价在局里开展评价。</w:t>
      </w:r>
    </w:p>
    <w:tbl>
      <w:tblPr>
        <w:tblStyle w:val="1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0" w:type="dxa"/>
          <w:left w:w="64" w:type="dxa"/>
          <w:bottom w:w="40" w:type="dxa"/>
          <w:right w:w="64" w:type="dxa"/>
        </w:tblCellMar>
      </w:tblPr>
      <w:tblGrid>
        <w:gridCol w:w="691"/>
        <w:gridCol w:w="1030"/>
        <w:gridCol w:w="547"/>
        <w:gridCol w:w="998"/>
        <w:gridCol w:w="458"/>
        <w:gridCol w:w="489"/>
        <w:gridCol w:w="449"/>
        <w:gridCol w:w="899"/>
        <w:gridCol w:w="414"/>
        <w:gridCol w:w="1523"/>
        <w:gridCol w:w="1656"/>
      </w:tblGrid>
      <w:tr w14:paraId="25D60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C0B126">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972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2BEA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40048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3D0B8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444"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4329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E352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1" w:type="pct"/>
            <w:tcBorders>
              <w:top w:val="nil"/>
              <w:left w:val="nil"/>
              <w:bottom w:val="nil"/>
              <w:right w:val="nil"/>
            </w:tcBorders>
            <w:shd w:val="clear" w:color="auto" w:fill="auto"/>
            <w:vAlign w:val="center"/>
          </w:tcPr>
          <w:p w14:paraId="1E4E60DB">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D0F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汶川县环境监测站</w:t>
            </w:r>
          </w:p>
        </w:tc>
      </w:tr>
      <w:tr w14:paraId="6333F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8DA2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DD4A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6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018B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4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BF7938">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38A9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34E77">
            <w:pPr>
              <w:snapToGrid w:val="0"/>
              <w:rPr>
                <w:rFonts w:hint="eastAsia" w:ascii="宋体" w:hAnsi="宋体" w:eastAsia="宋体" w:cs="宋体"/>
                <w:i w:val="0"/>
                <w:iCs w:val="0"/>
                <w:color w:val="000000"/>
                <w:sz w:val="18"/>
                <w:szCs w:val="18"/>
                <w:u w:val="none"/>
              </w:rPr>
            </w:pPr>
          </w:p>
        </w:tc>
        <w:tc>
          <w:tcPr>
            <w:tcW w:w="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94C0A">
            <w:pPr>
              <w:snapToGrid w:val="0"/>
              <w:rPr>
                <w:rFonts w:hint="eastAsia" w:ascii="宋体" w:hAnsi="宋体" w:eastAsia="宋体" w:cs="宋体"/>
                <w:i w:val="0"/>
                <w:iCs w:val="0"/>
                <w:color w:val="000000"/>
                <w:sz w:val="18"/>
                <w:szCs w:val="18"/>
                <w:u w:val="none"/>
              </w:rPr>
            </w:pPr>
          </w:p>
        </w:tc>
        <w:tc>
          <w:tcPr>
            <w:tcW w:w="16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2FE4C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4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13F27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576BC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575"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64185">
            <w:pPr>
              <w:snapToGrid w:val="0"/>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3AB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759B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每月按时发放工资</w:t>
            </w:r>
          </w:p>
        </w:tc>
      </w:tr>
      <w:tr w14:paraId="1BF0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B67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B22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D31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5DC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7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793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3B7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21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96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809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ADB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976EF">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6F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D7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623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151.63</w:t>
            </w:r>
          </w:p>
        </w:tc>
        <w:tc>
          <w:tcPr>
            <w:tcW w:w="7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B0A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151.63</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EB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3DA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DA7E">
            <w:pPr>
              <w:snapToGrid w:val="0"/>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157BD">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p>
        </w:tc>
      </w:tr>
      <w:tr w14:paraId="6099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ACF5">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050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328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7E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151.63</w:t>
            </w:r>
          </w:p>
        </w:tc>
        <w:tc>
          <w:tcPr>
            <w:tcW w:w="7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15C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151.63</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5B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AC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D4E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E67ED">
            <w:pPr>
              <w:snapToGrid w:val="0"/>
              <w:rPr>
                <w:rFonts w:hint="eastAsia" w:ascii="黑体" w:hAnsi="黑体" w:eastAsia="黑体" w:cs="黑体"/>
                <w:i/>
                <w:iCs/>
                <w:color w:val="000000"/>
                <w:sz w:val="18"/>
                <w:szCs w:val="18"/>
                <w:u w:val="none"/>
              </w:rPr>
            </w:pPr>
          </w:p>
        </w:tc>
      </w:tr>
      <w:tr w14:paraId="498BC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16B33">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A31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D46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9D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068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40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CF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11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33C64">
            <w:pPr>
              <w:snapToGrid w:val="0"/>
              <w:rPr>
                <w:rFonts w:hint="eastAsia" w:ascii="黑体" w:hAnsi="黑体" w:eastAsia="黑体" w:cs="黑体"/>
                <w:i/>
                <w:iCs/>
                <w:color w:val="000000"/>
                <w:sz w:val="18"/>
                <w:szCs w:val="18"/>
                <w:u w:val="none"/>
              </w:rPr>
            </w:pPr>
          </w:p>
        </w:tc>
      </w:tr>
      <w:tr w14:paraId="27563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3FBB2">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00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972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ED8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4B1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36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AD4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5C1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2C70D">
            <w:pPr>
              <w:snapToGrid w:val="0"/>
              <w:rPr>
                <w:rFonts w:hint="eastAsia" w:ascii="黑体" w:hAnsi="黑体" w:eastAsia="黑体" w:cs="黑体"/>
                <w:i/>
                <w:iCs/>
                <w:color w:val="000000"/>
                <w:sz w:val="18"/>
                <w:szCs w:val="18"/>
                <w:u w:val="none"/>
              </w:rPr>
            </w:pPr>
          </w:p>
        </w:tc>
      </w:tr>
      <w:tr w14:paraId="1FC9B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9456F">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71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70CE">
            <w:pPr>
              <w:snapToGrid w:val="0"/>
              <w:jc w:val="center"/>
              <w:rPr>
                <w:rFonts w:hint="eastAsia" w:ascii="微软雅黑" w:hAnsi="微软雅黑" w:eastAsia="微软雅黑" w:cs="微软雅黑"/>
                <w:i/>
                <w:iCs/>
                <w:color w:val="000000"/>
                <w:sz w:val="16"/>
                <w:szCs w:val="16"/>
                <w:u w:val="none"/>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EFCEE">
            <w:pPr>
              <w:snapToGrid w:val="0"/>
              <w:jc w:val="center"/>
              <w:rPr>
                <w:rFonts w:hint="eastAsia" w:ascii="微软雅黑" w:hAnsi="微软雅黑" w:eastAsia="微软雅黑" w:cs="微软雅黑"/>
                <w:i/>
                <w:iCs/>
                <w:color w:val="000000"/>
                <w:sz w:val="16"/>
                <w:szCs w:val="16"/>
                <w:u w:val="none"/>
              </w:rPr>
            </w:pPr>
          </w:p>
        </w:tc>
        <w:tc>
          <w:tcPr>
            <w:tcW w:w="7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6386F">
            <w:pPr>
              <w:snapToGrid w:val="0"/>
              <w:jc w:val="center"/>
              <w:rPr>
                <w:rFonts w:hint="eastAsia" w:ascii="微软雅黑" w:hAnsi="微软雅黑" w:eastAsia="微软雅黑" w:cs="微软雅黑"/>
                <w:i/>
                <w:iCs/>
                <w:color w:val="000000"/>
                <w:sz w:val="16"/>
                <w:szCs w:val="16"/>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B7ACF">
            <w:pPr>
              <w:snapToGrid w:val="0"/>
              <w:jc w:val="center"/>
              <w:rPr>
                <w:rFonts w:hint="eastAsia" w:ascii="微软雅黑" w:hAnsi="微软雅黑" w:eastAsia="微软雅黑" w:cs="微软雅黑"/>
                <w:i/>
                <w:iCs/>
                <w:color w:val="000000"/>
                <w:sz w:val="16"/>
                <w:szCs w:val="16"/>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42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B78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81EFF">
            <w:pPr>
              <w:snapToGrid w:val="0"/>
              <w:rPr>
                <w:rFonts w:hint="eastAsia" w:ascii="黑体" w:hAnsi="黑体" w:eastAsia="黑体" w:cs="黑体"/>
                <w:i/>
                <w:iCs/>
                <w:color w:val="000000"/>
                <w:sz w:val="18"/>
                <w:szCs w:val="18"/>
                <w:u w:val="none"/>
              </w:rPr>
            </w:pPr>
          </w:p>
        </w:tc>
      </w:tr>
      <w:tr w14:paraId="69146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31A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25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FDD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68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EB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61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7D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64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C4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E9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2CA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E98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BA76E">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1BD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43A7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D42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41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4E4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FA7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EB376">
            <w:pPr>
              <w:snapToGrid w:val="0"/>
              <w:jc w:val="center"/>
              <w:rPr>
                <w:rFonts w:hint="eastAsia" w:ascii="微软雅黑" w:hAnsi="微软雅黑" w:eastAsia="微软雅黑" w:cs="微软雅黑"/>
                <w:i/>
                <w:iCs/>
                <w:color w:val="000000"/>
                <w:sz w:val="16"/>
                <w:szCs w:val="16"/>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CA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7997">
            <w:pPr>
              <w:snapToGrid w:val="0"/>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952D0">
            <w:pPr>
              <w:snapToGrid w:val="0"/>
              <w:jc w:val="center"/>
              <w:rPr>
                <w:rFonts w:hint="eastAsia" w:ascii="微软雅黑" w:hAnsi="微软雅黑" w:eastAsia="微软雅黑" w:cs="微软雅黑"/>
                <w:i/>
                <w:iCs/>
                <w:color w:val="000000"/>
                <w:sz w:val="16"/>
                <w:szCs w:val="16"/>
                <w:u w:val="none"/>
              </w:rPr>
            </w:pPr>
          </w:p>
        </w:tc>
      </w:tr>
      <w:tr w14:paraId="527BE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24055">
            <w:pPr>
              <w:snapToGrid w:val="0"/>
              <w:jc w:val="center"/>
              <w:rPr>
                <w:rFonts w:hint="eastAsia" w:ascii="宋体" w:hAnsi="宋体" w:eastAsia="宋体" w:cs="宋体"/>
                <w:i w:val="0"/>
                <w:iCs w:val="0"/>
                <w:color w:val="000000"/>
                <w:sz w:val="18"/>
                <w:szCs w:val="18"/>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D0E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DEA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192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7A1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56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B9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3169">
            <w:pPr>
              <w:snapToGrid w:val="0"/>
              <w:jc w:val="center"/>
              <w:rPr>
                <w:rFonts w:hint="eastAsia" w:ascii="微软雅黑" w:hAnsi="微软雅黑" w:eastAsia="微软雅黑" w:cs="微软雅黑"/>
                <w:i/>
                <w:iCs/>
                <w:color w:val="000000"/>
                <w:sz w:val="16"/>
                <w:szCs w:val="16"/>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D21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8013">
            <w:pPr>
              <w:snapToGrid w:val="0"/>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E19F">
            <w:pPr>
              <w:snapToGrid w:val="0"/>
              <w:jc w:val="center"/>
              <w:rPr>
                <w:rFonts w:hint="eastAsia" w:ascii="微软雅黑" w:hAnsi="微软雅黑" w:eastAsia="微软雅黑" w:cs="微软雅黑"/>
                <w:i/>
                <w:iCs/>
                <w:color w:val="000000"/>
                <w:sz w:val="16"/>
                <w:szCs w:val="16"/>
                <w:u w:val="none"/>
              </w:rPr>
            </w:pPr>
          </w:p>
        </w:tc>
      </w:tr>
      <w:tr w14:paraId="2A35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303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36B0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E0C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D6590">
            <w:pPr>
              <w:snapToGrid w:val="0"/>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38A9">
            <w:pPr>
              <w:snapToGrid w:val="0"/>
              <w:rPr>
                <w:rFonts w:hint="eastAsia" w:ascii="宋体" w:hAnsi="宋体" w:eastAsia="宋体" w:cs="宋体"/>
                <w:i w:val="0"/>
                <w:iCs w:val="0"/>
                <w:color w:val="000000"/>
                <w:sz w:val="18"/>
                <w:szCs w:val="18"/>
                <w:u w:val="none"/>
              </w:rPr>
            </w:pPr>
          </w:p>
        </w:tc>
      </w:tr>
      <w:tr w14:paraId="3E4DB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0" w:hRule="atLeast"/>
          <w:jc w:val="center"/>
        </w:trPr>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6C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2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2107DC">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自评优</w:t>
            </w:r>
          </w:p>
        </w:tc>
      </w:tr>
      <w:tr w14:paraId="2F3D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240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05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B7288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4C68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8F58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05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D6D8E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589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0" w:type="dxa"/>
            <w:left w:w="64" w:type="dxa"/>
            <w:bottom w:w="40" w:type="dxa"/>
            <w:right w:w="64" w:type="dxa"/>
          </w:tblCellMar>
        </w:tblPrEx>
        <w:trPr>
          <w:trHeight w:val="0" w:hRule="atLeast"/>
          <w:jc w:val="center"/>
        </w:trPr>
        <w:tc>
          <w:tcPr>
            <w:tcW w:w="203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170DB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项目负责人：杨静</w:t>
            </w:r>
          </w:p>
        </w:tc>
        <w:tc>
          <w:tcPr>
            <w:tcW w:w="296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6B460E">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财务负责人：张丁文</w:t>
            </w:r>
          </w:p>
        </w:tc>
      </w:tr>
    </w:tbl>
    <w:p w14:paraId="5575C709">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br w:type="page"/>
      </w: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1116"/>
        <w:gridCol w:w="1039"/>
        <w:gridCol w:w="1357"/>
        <w:gridCol w:w="397"/>
        <w:gridCol w:w="972"/>
        <w:gridCol w:w="397"/>
        <w:gridCol w:w="848"/>
        <w:gridCol w:w="486"/>
        <w:gridCol w:w="396"/>
        <w:gridCol w:w="1556"/>
      </w:tblGrid>
      <w:tr w14:paraId="2B68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A7E04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C64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B4B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4DFF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55BC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760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C195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57" w:type="pct"/>
            <w:tcBorders>
              <w:top w:val="nil"/>
              <w:left w:val="nil"/>
              <w:bottom w:val="nil"/>
              <w:right w:val="nil"/>
            </w:tcBorders>
            <w:shd w:val="clear" w:color="auto" w:fill="auto"/>
            <w:vAlign w:val="center"/>
          </w:tcPr>
          <w:p w14:paraId="5BCD8ED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18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汶川县环境监测站</w:t>
            </w:r>
          </w:p>
        </w:tc>
      </w:tr>
      <w:tr w14:paraId="1492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67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C53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05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322A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727F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1B3FC">
            <w:pPr>
              <w:rPr>
                <w:rFonts w:hint="eastAsia" w:ascii="宋体" w:hAnsi="宋体" w:eastAsia="宋体" w:cs="宋体"/>
                <w:i w:val="0"/>
                <w:iCs w:val="0"/>
                <w:color w:val="000000"/>
                <w:sz w:val="18"/>
                <w:szCs w:val="18"/>
                <w:u w:val="none"/>
              </w:rPr>
            </w:pPr>
          </w:p>
        </w:tc>
        <w:tc>
          <w:tcPr>
            <w:tcW w:w="6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A0FF5">
            <w:pPr>
              <w:rPr>
                <w:rFonts w:hint="eastAsia" w:ascii="宋体" w:hAnsi="宋体" w:eastAsia="宋体" w:cs="宋体"/>
                <w:i w:val="0"/>
                <w:iCs w:val="0"/>
                <w:color w:val="000000"/>
                <w:sz w:val="18"/>
                <w:szCs w:val="18"/>
                <w:u w:val="none"/>
              </w:rPr>
            </w:pPr>
          </w:p>
        </w:tc>
        <w:tc>
          <w:tcPr>
            <w:tcW w:w="22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04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7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C6D8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2399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B77D7">
            <w:pP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BB4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863E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每月按时完成单位缴费支出</w:t>
            </w:r>
          </w:p>
        </w:tc>
      </w:tr>
      <w:tr w14:paraId="4BEC2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03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1F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9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6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B75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1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03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11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F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A1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650EF">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B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0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129.56</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E5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97.11</w:t>
            </w:r>
          </w:p>
        </w:tc>
        <w:tc>
          <w:tcPr>
            <w:tcW w:w="9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EA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97.11</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AF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E3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1A60">
            <w:pPr>
              <w:jc w:val="center"/>
              <w:rPr>
                <w:rFonts w:hint="eastAsia" w:ascii="宋体" w:hAnsi="宋体" w:eastAsia="宋体" w:cs="宋体"/>
                <w:i w:val="0"/>
                <w:iCs w:val="0"/>
                <w:color w:val="000000"/>
                <w:sz w:val="18"/>
                <w:szCs w:val="18"/>
                <w:u w:val="none"/>
              </w:rPr>
            </w:pPr>
          </w:p>
        </w:tc>
        <w:tc>
          <w:tcPr>
            <w:tcW w:w="8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21BC4">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60FF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B72CF">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4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2E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129.56</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D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97.11</w:t>
            </w:r>
          </w:p>
        </w:tc>
        <w:tc>
          <w:tcPr>
            <w:tcW w:w="9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FF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97.11</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9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2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5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21FD7">
            <w:pPr>
              <w:rPr>
                <w:rFonts w:hint="eastAsia" w:ascii="黑体" w:hAnsi="黑体" w:eastAsia="黑体" w:cs="黑体"/>
                <w:i/>
                <w:iCs/>
                <w:color w:val="000000"/>
                <w:sz w:val="18"/>
                <w:szCs w:val="18"/>
                <w:u w:val="none"/>
              </w:rPr>
            </w:pPr>
          </w:p>
        </w:tc>
      </w:tr>
      <w:tr w14:paraId="281DA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AD61">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64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1E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55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CBA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D1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2E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5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656AA">
            <w:pPr>
              <w:rPr>
                <w:rFonts w:hint="eastAsia" w:ascii="黑体" w:hAnsi="黑体" w:eastAsia="黑体" w:cs="黑体"/>
                <w:i/>
                <w:iCs/>
                <w:color w:val="000000"/>
                <w:sz w:val="18"/>
                <w:szCs w:val="18"/>
                <w:u w:val="none"/>
              </w:rPr>
            </w:pPr>
          </w:p>
        </w:tc>
      </w:tr>
      <w:tr w14:paraId="2DCBA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9EF86">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B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37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A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71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C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F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5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6AEC8">
            <w:pPr>
              <w:rPr>
                <w:rFonts w:hint="eastAsia" w:ascii="黑体" w:hAnsi="黑体" w:eastAsia="黑体" w:cs="黑体"/>
                <w:i/>
                <w:iCs/>
                <w:color w:val="000000"/>
                <w:sz w:val="18"/>
                <w:szCs w:val="18"/>
                <w:u w:val="none"/>
              </w:rPr>
            </w:pPr>
          </w:p>
        </w:tc>
      </w:tr>
      <w:tr w14:paraId="3B93B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224DD">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B7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D0E1">
            <w:pPr>
              <w:jc w:val="center"/>
              <w:rPr>
                <w:rFonts w:hint="eastAsia" w:ascii="微软雅黑" w:hAnsi="微软雅黑" w:eastAsia="微软雅黑" w:cs="微软雅黑"/>
                <w:i/>
                <w:iCs/>
                <w:color w:val="000000"/>
                <w:sz w:val="16"/>
                <w:szCs w:val="16"/>
                <w:u w:val="none"/>
              </w:rPr>
            </w:pP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90BB5">
            <w:pPr>
              <w:jc w:val="center"/>
              <w:rPr>
                <w:rFonts w:hint="eastAsia" w:ascii="微软雅黑" w:hAnsi="微软雅黑" w:eastAsia="微软雅黑" w:cs="微软雅黑"/>
                <w:i/>
                <w:iCs/>
                <w:color w:val="000000"/>
                <w:sz w:val="16"/>
                <w:szCs w:val="16"/>
                <w:u w:val="none"/>
              </w:rPr>
            </w:pPr>
          </w:p>
        </w:tc>
        <w:tc>
          <w:tcPr>
            <w:tcW w:w="9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D6B4F">
            <w:pPr>
              <w:jc w:val="center"/>
              <w:rPr>
                <w:rFonts w:hint="eastAsia" w:ascii="微软雅黑" w:hAnsi="微软雅黑" w:eastAsia="微软雅黑" w:cs="微软雅黑"/>
                <w:i/>
                <w:iCs/>
                <w:color w:val="000000"/>
                <w:sz w:val="16"/>
                <w:szCs w:val="16"/>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180F2">
            <w:pPr>
              <w:jc w:val="center"/>
              <w:rPr>
                <w:rFonts w:hint="eastAsia" w:ascii="微软雅黑" w:hAnsi="微软雅黑" w:eastAsia="微软雅黑" w:cs="微软雅黑"/>
                <w:i/>
                <w:iCs/>
                <w:color w:val="000000"/>
                <w:sz w:val="16"/>
                <w:szCs w:val="16"/>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D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C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F09F1">
            <w:pPr>
              <w:rPr>
                <w:rFonts w:hint="eastAsia" w:ascii="黑体" w:hAnsi="黑体" w:eastAsia="黑体" w:cs="黑体"/>
                <w:i/>
                <w:iCs/>
                <w:color w:val="000000"/>
                <w:sz w:val="18"/>
                <w:szCs w:val="18"/>
                <w:u w:val="none"/>
              </w:rPr>
            </w:pPr>
          </w:p>
        </w:tc>
      </w:tr>
      <w:tr w14:paraId="0B36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40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22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0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6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8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6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A3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CB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0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F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C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79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5FDBD">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8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2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6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9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A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1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D3DE">
            <w:pPr>
              <w:jc w:val="center"/>
              <w:rPr>
                <w:rFonts w:hint="eastAsia" w:ascii="微软雅黑" w:hAnsi="微软雅黑" w:eastAsia="微软雅黑" w:cs="微软雅黑"/>
                <w:i/>
                <w:iCs/>
                <w:color w:val="000000"/>
                <w:sz w:val="16"/>
                <w:szCs w:val="16"/>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58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F0F4">
            <w:pPr>
              <w:jc w:val="center"/>
              <w:rPr>
                <w:rFonts w:hint="eastAsia" w:ascii="宋体" w:hAnsi="宋体" w:eastAsia="宋体" w:cs="宋体"/>
                <w:i w:val="0"/>
                <w:iCs w:val="0"/>
                <w:color w:val="000000"/>
                <w:sz w:val="18"/>
                <w:szCs w:val="18"/>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EBBE9">
            <w:pPr>
              <w:jc w:val="center"/>
              <w:rPr>
                <w:rFonts w:hint="eastAsia" w:ascii="微软雅黑" w:hAnsi="微软雅黑" w:eastAsia="微软雅黑" w:cs="微软雅黑"/>
                <w:i/>
                <w:iCs/>
                <w:color w:val="000000"/>
                <w:sz w:val="16"/>
                <w:szCs w:val="16"/>
                <w:u w:val="none"/>
              </w:rPr>
            </w:pPr>
          </w:p>
        </w:tc>
      </w:tr>
      <w:tr w14:paraId="3EA89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1FD27">
            <w:pPr>
              <w:jc w:val="center"/>
              <w:rPr>
                <w:rFonts w:hint="eastAsia" w:ascii="宋体" w:hAnsi="宋体" w:eastAsia="宋体" w:cs="宋体"/>
                <w:i w:val="0"/>
                <w:iCs w:val="0"/>
                <w:color w:val="000000"/>
                <w:sz w:val="18"/>
                <w:szCs w:val="18"/>
                <w:u w:val="none"/>
              </w:rPr>
            </w:pPr>
          </w:p>
        </w:tc>
        <w:tc>
          <w:tcPr>
            <w:tcW w:w="6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8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3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9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8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43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5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3C79C">
            <w:pPr>
              <w:jc w:val="center"/>
              <w:rPr>
                <w:rFonts w:hint="eastAsia" w:ascii="微软雅黑" w:hAnsi="微软雅黑" w:eastAsia="微软雅黑" w:cs="微软雅黑"/>
                <w:i/>
                <w:iCs/>
                <w:color w:val="000000"/>
                <w:sz w:val="16"/>
                <w:szCs w:val="16"/>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4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C217">
            <w:pPr>
              <w:jc w:val="center"/>
              <w:rPr>
                <w:rFonts w:hint="eastAsia" w:ascii="宋体" w:hAnsi="宋体" w:eastAsia="宋体" w:cs="宋体"/>
                <w:i w:val="0"/>
                <w:iCs w:val="0"/>
                <w:color w:val="000000"/>
                <w:sz w:val="18"/>
                <w:szCs w:val="18"/>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511B">
            <w:pPr>
              <w:jc w:val="center"/>
              <w:rPr>
                <w:rFonts w:hint="eastAsia" w:ascii="微软雅黑" w:hAnsi="微软雅黑" w:eastAsia="微软雅黑" w:cs="微软雅黑"/>
                <w:i/>
                <w:iCs/>
                <w:color w:val="000000"/>
                <w:sz w:val="16"/>
                <w:szCs w:val="16"/>
                <w:u w:val="none"/>
              </w:rPr>
            </w:pPr>
          </w:p>
        </w:tc>
      </w:tr>
      <w:tr w14:paraId="4182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81"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F27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88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EFFA">
            <w:pPr>
              <w:rPr>
                <w:rFonts w:hint="eastAsia" w:ascii="宋体" w:hAnsi="宋体" w:eastAsia="宋体" w:cs="宋体"/>
                <w:i w:val="0"/>
                <w:iCs w:val="0"/>
                <w:color w:val="000000"/>
                <w:sz w:val="18"/>
                <w:szCs w:val="18"/>
                <w:u w:val="none"/>
              </w:rPr>
            </w:pPr>
          </w:p>
        </w:tc>
        <w:tc>
          <w:tcPr>
            <w:tcW w:w="8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DA0E">
            <w:pPr>
              <w:rPr>
                <w:rFonts w:hint="eastAsia" w:ascii="宋体" w:hAnsi="宋体" w:eastAsia="宋体" w:cs="宋体"/>
                <w:i w:val="0"/>
                <w:iCs w:val="0"/>
                <w:color w:val="000000"/>
                <w:sz w:val="18"/>
                <w:szCs w:val="18"/>
                <w:u w:val="none"/>
              </w:rPr>
            </w:pPr>
          </w:p>
        </w:tc>
      </w:tr>
      <w:tr w14:paraId="4DD05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E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3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76B5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自评优</w:t>
            </w:r>
          </w:p>
        </w:tc>
      </w:tr>
      <w:tr w14:paraId="435E0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9E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3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06ED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914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89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3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2CA9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32A5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291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项目负责人：杨静</w:t>
            </w:r>
          </w:p>
        </w:tc>
        <w:tc>
          <w:tcPr>
            <w:tcW w:w="251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3942E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财务负责人：张丁文</w:t>
            </w:r>
          </w:p>
        </w:tc>
      </w:tr>
    </w:tbl>
    <w:p w14:paraId="12195AB7">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br w:type="page"/>
      </w:r>
    </w:p>
    <w:tbl>
      <w:tblPr>
        <w:tblStyle w:val="18"/>
        <w:tblW w:w="536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1379"/>
        <w:gridCol w:w="1014"/>
        <w:gridCol w:w="1618"/>
        <w:gridCol w:w="812"/>
        <w:gridCol w:w="683"/>
        <w:gridCol w:w="585"/>
        <w:gridCol w:w="810"/>
        <w:gridCol w:w="637"/>
        <w:gridCol w:w="675"/>
        <w:gridCol w:w="368"/>
        <w:gridCol w:w="765"/>
      </w:tblGrid>
      <w:tr w14:paraId="4EBE7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A3B92A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9A7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945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1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4057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5C415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9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D99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E0C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08" w:type="pct"/>
            <w:tcBorders>
              <w:top w:val="nil"/>
              <w:left w:val="nil"/>
              <w:bottom w:val="nil"/>
              <w:right w:val="nil"/>
            </w:tcBorders>
            <w:shd w:val="clear" w:color="auto" w:fill="auto"/>
            <w:vAlign w:val="center"/>
          </w:tcPr>
          <w:p w14:paraId="70B01E9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F5D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汶川县环境监测站</w:t>
            </w:r>
          </w:p>
        </w:tc>
      </w:tr>
      <w:tr w14:paraId="5CA20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DBB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3BB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12C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25936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9E3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7EADB">
            <w:pPr>
              <w:rPr>
                <w:rFonts w:hint="eastAsia" w:ascii="宋体" w:hAnsi="宋体" w:eastAsia="宋体" w:cs="宋体"/>
                <w:i w:val="0"/>
                <w:iCs w:val="0"/>
                <w:color w:val="000000"/>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D7AA">
            <w:pPr>
              <w:rPr>
                <w:rFonts w:hint="eastAsia" w:ascii="宋体" w:hAnsi="宋体" w:eastAsia="宋体" w:cs="宋体"/>
                <w:i w:val="0"/>
                <w:iCs w:val="0"/>
                <w:color w:val="000000"/>
                <w:sz w:val="18"/>
                <w:szCs w:val="18"/>
                <w:u w:val="none"/>
              </w:rPr>
            </w:pPr>
          </w:p>
        </w:tc>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E307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495C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72CE5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2B71E">
            <w:pPr>
              <w:rPr>
                <w:rFonts w:hint="eastAsia" w:ascii="宋体" w:hAnsi="宋体" w:eastAsia="宋体" w:cs="宋体"/>
                <w:i w:val="0"/>
                <w:iCs w:val="0"/>
                <w:color w:val="000000"/>
                <w:sz w:val="18"/>
                <w:szCs w:val="18"/>
                <w:u w:val="none"/>
              </w:rPr>
            </w:pP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71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1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6983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按时实际产生及时支付单位差旅、办公等支出。</w:t>
            </w:r>
          </w:p>
        </w:tc>
      </w:tr>
      <w:tr w14:paraId="00CC8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37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9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F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10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6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DF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1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6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6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A7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B33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EAF0">
            <w:pPr>
              <w:jc w:val="center"/>
              <w:rPr>
                <w:rFonts w:hint="eastAsia" w:ascii="宋体" w:hAnsi="宋体" w:eastAsia="宋体" w:cs="宋体"/>
                <w:i w:val="0"/>
                <w:iCs w:val="0"/>
                <w:color w:val="000000"/>
                <w:sz w:val="18"/>
                <w:szCs w:val="18"/>
                <w:u w:val="none"/>
              </w:rPr>
            </w:pP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C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4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39.78</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97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36.29</w:t>
            </w:r>
          </w:p>
        </w:tc>
        <w:tc>
          <w:tcPr>
            <w:tcW w:w="6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26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E9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E9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372C">
            <w:pPr>
              <w:jc w:val="center"/>
              <w:rPr>
                <w:rFonts w:hint="eastAsia" w:ascii="宋体" w:hAnsi="宋体" w:eastAsia="宋体" w:cs="宋体"/>
                <w:i w:val="0"/>
                <w:iCs w:val="0"/>
                <w:color w:val="000000"/>
                <w:sz w:val="18"/>
                <w:szCs w:val="18"/>
                <w:u w:val="none"/>
              </w:rPr>
            </w:pPr>
          </w:p>
        </w:tc>
        <w:tc>
          <w:tcPr>
            <w:tcW w:w="5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1A2E8">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E440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BB231">
            <w:pPr>
              <w:jc w:val="center"/>
              <w:rPr>
                <w:rFonts w:hint="eastAsia" w:ascii="宋体" w:hAnsi="宋体" w:eastAsia="宋体" w:cs="宋体"/>
                <w:i w:val="0"/>
                <w:iCs w:val="0"/>
                <w:color w:val="000000"/>
                <w:sz w:val="18"/>
                <w:szCs w:val="18"/>
                <w:u w:val="none"/>
              </w:rPr>
            </w:pP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A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E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39.78</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6B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36.29</w:t>
            </w:r>
          </w:p>
        </w:tc>
        <w:tc>
          <w:tcPr>
            <w:tcW w:w="6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88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36.29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B3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A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39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D2B3C">
            <w:pPr>
              <w:rPr>
                <w:rFonts w:hint="eastAsia" w:ascii="黑体" w:hAnsi="黑体" w:eastAsia="黑体" w:cs="黑体"/>
                <w:i/>
                <w:iCs/>
                <w:color w:val="000000"/>
                <w:sz w:val="18"/>
                <w:szCs w:val="18"/>
                <w:u w:val="none"/>
              </w:rPr>
            </w:pPr>
          </w:p>
        </w:tc>
      </w:tr>
      <w:tr w14:paraId="03375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851C6">
            <w:pPr>
              <w:jc w:val="center"/>
              <w:rPr>
                <w:rFonts w:hint="eastAsia" w:ascii="宋体" w:hAnsi="宋体" w:eastAsia="宋体" w:cs="宋体"/>
                <w:i w:val="0"/>
                <w:iCs w:val="0"/>
                <w:color w:val="000000"/>
                <w:sz w:val="18"/>
                <w:szCs w:val="18"/>
                <w:u w:val="none"/>
              </w:rPr>
            </w:pP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3B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85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3C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0B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6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CA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F1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5AD7E">
            <w:pPr>
              <w:rPr>
                <w:rFonts w:hint="eastAsia" w:ascii="黑体" w:hAnsi="黑体" w:eastAsia="黑体" w:cs="黑体"/>
                <w:i/>
                <w:iCs/>
                <w:color w:val="000000"/>
                <w:sz w:val="18"/>
                <w:szCs w:val="18"/>
                <w:u w:val="none"/>
              </w:rPr>
            </w:pPr>
          </w:p>
        </w:tc>
      </w:tr>
      <w:tr w14:paraId="107C6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B47ED">
            <w:pPr>
              <w:jc w:val="center"/>
              <w:rPr>
                <w:rFonts w:hint="eastAsia" w:ascii="宋体" w:hAnsi="宋体" w:eastAsia="宋体" w:cs="宋体"/>
                <w:i w:val="0"/>
                <w:iCs w:val="0"/>
                <w:color w:val="000000"/>
                <w:sz w:val="18"/>
                <w:szCs w:val="18"/>
                <w:u w:val="none"/>
              </w:rPr>
            </w:pP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1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16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31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0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A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6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1EEB3">
            <w:pPr>
              <w:rPr>
                <w:rFonts w:hint="eastAsia" w:ascii="黑体" w:hAnsi="黑体" w:eastAsia="黑体" w:cs="黑体"/>
                <w:i/>
                <w:iCs/>
                <w:color w:val="000000"/>
                <w:sz w:val="18"/>
                <w:szCs w:val="18"/>
                <w:u w:val="none"/>
              </w:rPr>
            </w:pPr>
          </w:p>
        </w:tc>
      </w:tr>
      <w:tr w14:paraId="1B631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6971C">
            <w:pPr>
              <w:jc w:val="center"/>
              <w:rPr>
                <w:rFonts w:hint="eastAsia" w:ascii="宋体" w:hAnsi="宋体" w:eastAsia="宋体" w:cs="宋体"/>
                <w:i w:val="0"/>
                <w:iCs w:val="0"/>
                <w:color w:val="000000"/>
                <w:sz w:val="18"/>
                <w:szCs w:val="18"/>
                <w:u w:val="none"/>
              </w:rPr>
            </w:pP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51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F855">
            <w:pPr>
              <w:jc w:val="center"/>
              <w:rPr>
                <w:rFonts w:hint="eastAsia" w:ascii="微软雅黑" w:hAnsi="微软雅黑" w:eastAsia="微软雅黑" w:cs="微软雅黑"/>
                <w:i/>
                <w:iCs/>
                <w:color w:val="000000"/>
                <w:sz w:val="16"/>
                <w:szCs w:val="16"/>
                <w:u w:val="none"/>
              </w:rPr>
            </w:pP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8CF50">
            <w:pPr>
              <w:jc w:val="center"/>
              <w:rPr>
                <w:rFonts w:hint="eastAsia" w:ascii="微软雅黑" w:hAnsi="微软雅黑" w:eastAsia="微软雅黑" w:cs="微软雅黑"/>
                <w:i/>
                <w:iCs/>
                <w:color w:val="000000"/>
                <w:sz w:val="16"/>
                <w:szCs w:val="16"/>
                <w:u w:val="none"/>
              </w:rPr>
            </w:pPr>
          </w:p>
        </w:tc>
        <w:tc>
          <w:tcPr>
            <w:tcW w:w="6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B2CEC">
            <w:pPr>
              <w:jc w:val="center"/>
              <w:rPr>
                <w:rFonts w:hint="eastAsia" w:ascii="微软雅黑" w:hAnsi="微软雅黑" w:eastAsia="微软雅黑" w:cs="微软雅黑"/>
                <w:i/>
                <w:iCs/>
                <w:color w:val="000000"/>
                <w:sz w:val="16"/>
                <w:szCs w:val="16"/>
                <w:u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B2B5">
            <w:pPr>
              <w:jc w:val="center"/>
              <w:rPr>
                <w:rFonts w:hint="eastAsia" w:ascii="微软雅黑" w:hAnsi="微软雅黑" w:eastAsia="微软雅黑" w:cs="微软雅黑"/>
                <w:i/>
                <w:iCs/>
                <w:color w:val="000000"/>
                <w:sz w:val="16"/>
                <w:szCs w:val="16"/>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B7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BD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81755">
            <w:pPr>
              <w:rPr>
                <w:rFonts w:hint="eastAsia" w:ascii="黑体" w:hAnsi="黑体" w:eastAsia="黑体" w:cs="黑体"/>
                <w:i/>
                <w:iCs/>
                <w:color w:val="000000"/>
                <w:sz w:val="18"/>
                <w:szCs w:val="18"/>
                <w:u w:val="none"/>
              </w:rPr>
            </w:pPr>
          </w:p>
        </w:tc>
      </w:tr>
      <w:tr w14:paraId="4215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trPr>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4A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1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F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4E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8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22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6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E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69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8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3A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A1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87E4B">
            <w:pPr>
              <w:jc w:val="center"/>
              <w:rPr>
                <w:rFonts w:hint="eastAsia" w:ascii="宋体" w:hAnsi="宋体" w:eastAsia="宋体" w:cs="宋体"/>
                <w:i w:val="0"/>
                <w:iCs w:val="0"/>
                <w:color w:val="000000"/>
                <w:sz w:val="18"/>
                <w:szCs w:val="18"/>
                <w:u w:val="none"/>
              </w:rPr>
            </w:pP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53A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3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35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0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A1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93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96D0">
            <w:pPr>
              <w:jc w:val="center"/>
              <w:rPr>
                <w:rFonts w:hint="eastAsia" w:ascii="微软雅黑" w:hAnsi="微软雅黑" w:eastAsia="微软雅黑" w:cs="微软雅黑"/>
                <w:i/>
                <w:iCs/>
                <w:color w:val="000000"/>
                <w:sz w:val="16"/>
                <w:szCs w:val="16"/>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7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5E55">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AD7B">
            <w:pPr>
              <w:jc w:val="center"/>
              <w:rPr>
                <w:rFonts w:hint="eastAsia" w:ascii="微软雅黑" w:hAnsi="微软雅黑" w:eastAsia="微软雅黑" w:cs="微软雅黑"/>
                <w:i/>
                <w:iCs/>
                <w:color w:val="000000"/>
                <w:sz w:val="16"/>
                <w:szCs w:val="16"/>
                <w:u w:val="none"/>
              </w:rPr>
            </w:pPr>
          </w:p>
        </w:tc>
      </w:tr>
      <w:tr w14:paraId="7C14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C1952">
            <w:pPr>
              <w:jc w:val="center"/>
              <w:rPr>
                <w:rFonts w:hint="eastAsia" w:ascii="宋体" w:hAnsi="宋体" w:eastAsia="宋体" w:cs="宋体"/>
                <w:i w:val="0"/>
                <w:iCs w:val="0"/>
                <w:color w:val="000000"/>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0412">
            <w:pPr>
              <w:jc w:val="center"/>
              <w:rPr>
                <w:rFonts w:hint="eastAsia" w:ascii="宋体" w:hAnsi="宋体" w:eastAsia="宋体" w:cs="宋体"/>
                <w:i w:val="0"/>
                <w:iCs w:val="0"/>
                <w:color w:val="000000"/>
                <w:sz w:val="18"/>
                <w:szCs w:val="18"/>
                <w:u w:val="none"/>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19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63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9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E9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A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8A7C">
            <w:pPr>
              <w:jc w:val="center"/>
              <w:rPr>
                <w:rFonts w:hint="eastAsia" w:ascii="微软雅黑" w:hAnsi="微软雅黑" w:eastAsia="微软雅黑" w:cs="微软雅黑"/>
                <w:i/>
                <w:iCs/>
                <w:color w:val="000000"/>
                <w:sz w:val="16"/>
                <w:szCs w:val="16"/>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28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1E08">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5C0C">
            <w:pPr>
              <w:jc w:val="center"/>
              <w:rPr>
                <w:rFonts w:hint="eastAsia" w:ascii="微软雅黑" w:hAnsi="微软雅黑" w:eastAsia="微软雅黑" w:cs="微软雅黑"/>
                <w:i/>
                <w:iCs/>
                <w:color w:val="000000"/>
                <w:sz w:val="16"/>
                <w:szCs w:val="16"/>
                <w:u w:val="none"/>
              </w:rPr>
            </w:pPr>
          </w:p>
        </w:tc>
      </w:tr>
      <w:tr w14:paraId="6EA3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FA839">
            <w:pPr>
              <w:jc w:val="center"/>
              <w:rPr>
                <w:rFonts w:hint="eastAsia" w:ascii="宋体" w:hAnsi="宋体" w:eastAsia="宋体" w:cs="宋体"/>
                <w:i w:val="0"/>
                <w:iCs w:val="0"/>
                <w:color w:val="000000"/>
                <w:sz w:val="18"/>
                <w:szCs w:val="18"/>
                <w:u w:val="none"/>
              </w:rPr>
            </w:pP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7C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99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D4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A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C8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B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1AF1A">
            <w:pPr>
              <w:jc w:val="center"/>
              <w:rPr>
                <w:rFonts w:hint="eastAsia" w:ascii="微软雅黑" w:hAnsi="微软雅黑" w:eastAsia="微软雅黑" w:cs="微软雅黑"/>
                <w:i/>
                <w:iCs/>
                <w:color w:val="000000"/>
                <w:sz w:val="16"/>
                <w:szCs w:val="16"/>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D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70FB">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4BC7">
            <w:pPr>
              <w:jc w:val="center"/>
              <w:rPr>
                <w:rFonts w:hint="eastAsia" w:ascii="微软雅黑" w:hAnsi="微软雅黑" w:eastAsia="微软雅黑" w:cs="微软雅黑"/>
                <w:i/>
                <w:iCs/>
                <w:color w:val="000000"/>
                <w:sz w:val="16"/>
                <w:szCs w:val="16"/>
                <w:u w:val="none"/>
              </w:rPr>
            </w:pPr>
          </w:p>
        </w:tc>
      </w:tr>
      <w:tr w14:paraId="6E13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568C3">
            <w:pPr>
              <w:jc w:val="center"/>
              <w:rPr>
                <w:rFonts w:hint="eastAsia" w:ascii="宋体" w:hAnsi="宋体" w:eastAsia="宋体" w:cs="宋体"/>
                <w:i w:val="0"/>
                <w:iCs w:val="0"/>
                <w:color w:val="000000"/>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9AB3B">
            <w:pPr>
              <w:jc w:val="center"/>
              <w:rPr>
                <w:rFonts w:hint="eastAsia" w:ascii="宋体" w:hAnsi="宋体" w:eastAsia="宋体" w:cs="宋体"/>
                <w:i w:val="0"/>
                <w:iCs w:val="0"/>
                <w:color w:val="000000"/>
                <w:sz w:val="18"/>
                <w:szCs w:val="18"/>
                <w:u w:val="none"/>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7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44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6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C0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A7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D5879">
            <w:pPr>
              <w:jc w:val="center"/>
              <w:rPr>
                <w:rFonts w:hint="eastAsia" w:ascii="微软雅黑" w:hAnsi="微软雅黑" w:eastAsia="微软雅黑" w:cs="微软雅黑"/>
                <w:i/>
                <w:iCs/>
                <w:color w:val="000000"/>
                <w:sz w:val="16"/>
                <w:szCs w:val="16"/>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E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6C20">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1E9C9">
            <w:pPr>
              <w:jc w:val="center"/>
              <w:rPr>
                <w:rFonts w:hint="eastAsia" w:ascii="微软雅黑" w:hAnsi="微软雅黑" w:eastAsia="微软雅黑" w:cs="微软雅黑"/>
                <w:i/>
                <w:iCs/>
                <w:color w:val="000000"/>
                <w:sz w:val="16"/>
                <w:szCs w:val="16"/>
                <w:u w:val="none"/>
              </w:rPr>
            </w:pPr>
          </w:p>
        </w:tc>
      </w:tr>
      <w:tr w14:paraId="53EDC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376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018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A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158C">
            <w:pPr>
              <w:rPr>
                <w:rFonts w:hint="eastAsia" w:ascii="宋体" w:hAnsi="宋体" w:eastAsia="宋体" w:cs="宋体"/>
                <w:i w:val="0"/>
                <w:iCs w:val="0"/>
                <w:color w:val="000000"/>
                <w:sz w:val="18"/>
                <w:szCs w:val="18"/>
                <w:u w:val="none"/>
              </w:rPr>
            </w:pP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62DEC">
            <w:pPr>
              <w:rPr>
                <w:rFonts w:hint="eastAsia" w:ascii="宋体" w:hAnsi="宋体" w:eastAsia="宋体" w:cs="宋体"/>
                <w:i w:val="0"/>
                <w:iCs w:val="0"/>
                <w:color w:val="000000"/>
                <w:sz w:val="18"/>
                <w:szCs w:val="18"/>
                <w:u w:val="none"/>
              </w:rPr>
            </w:pPr>
          </w:p>
        </w:tc>
      </w:tr>
      <w:tr w14:paraId="61B4A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9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00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01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FE74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自评优</w:t>
            </w:r>
          </w:p>
        </w:tc>
      </w:tr>
      <w:tr w14:paraId="5152A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9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84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01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330B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E8E8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9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16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01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42CE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B9E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CA12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项目负责人：杨静</w:t>
            </w:r>
          </w:p>
        </w:tc>
        <w:tc>
          <w:tcPr>
            <w:tcW w:w="268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8F2E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财务负责人：张丁文</w:t>
            </w:r>
          </w:p>
        </w:tc>
      </w:tr>
    </w:tbl>
    <w:p w14:paraId="0DA06AA3">
      <w:pPr>
        <w:pStyle w:val="7"/>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textAlignment w:val="auto"/>
        <w:rPr>
          <w:rFonts w:hAnsi="Calibri" w:cs="仿宋"/>
          <w:sz w:val="32"/>
          <w:szCs w:val="32"/>
        </w:rPr>
      </w:pPr>
      <w:r>
        <w:rPr>
          <w:rFonts w:hint="eastAsia" w:hAnsi="Calibri" w:eastAsia="仿宋_GB2312" w:cs="仿宋"/>
          <w:sz w:val="32"/>
        </w:rPr>
        <w:t>（备注：按照绩效自评工作安排，各单位可在预算管理一体化系统—综合报表查询—预算绩效报表模块中下载本单位“部门预算项目支出绩效自评表（</w:t>
      </w:r>
      <w:r>
        <w:rPr>
          <w:rFonts w:hint="eastAsia" w:hAnsi="Calibri" w:eastAsia="仿宋_GB2312" w:cs="仿宋"/>
          <w:sz w:val="32"/>
          <w:lang w:eastAsia="zh-CN"/>
        </w:rPr>
        <w:t>2025</w:t>
      </w:r>
      <w:r>
        <w:rPr>
          <w:rFonts w:hint="eastAsia" w:hAnsi="Calibri" w:eastAsia="仿宋_GB2312" w:cs="仿宋"/>
          <w:sz w:val="32"/>
        </w:rPr>
        <w:t>年度）”，该表格应作为附件予以公开。）</w:t>
      </w:r>
    </w:p>
    <w:p w14:paraId="6BEDFB96">
      <w:pPr>
        <w:pStyle w:val="5"/>
        <w:spacing w:before="93"/>
        <w:rPr>
          <w:rFonts w:hAnsi="Calibri" w:cs="仿宋"/>
          <w:sz w:val="32"/>
          <w:szCs w:val="32"/>
        </w:rPr>
      </w:pPr>
    </w:p>
    <w:p w14:paraId="72DCF9D5">
      <w:pPr>
        <w:pStyle w:val="5"/>
        <w:spacing w:before="93"/>
        <w:rPr>
          <w:rFonts w:hAnsi="Calibri" w:cs="仿宋"/>
          <w:sz w:val="32"/>
          <w:szCs w:val="32"/>
        </w:rPr>
      </w:pPr>
    </w:p>
    <w:p w14:paraId="7DB35E8A">
      <w:pPr>
        <w:rPr>
          <w:rFonts w:hint="eastAsia" w:ascii="黑体" w:hAnsi="黑体" w:eastAsia="黑体"/>
          <w:sz w:val="44"/>
          <w:szCs w:val="44"/>
        </w:rPr>
      </w:pPr>
      <w:r>
        <w:rPr>
          <w:rFonts w:hint="eastAsia" w:ascii="黑体" w:hAnsi="黑体" w:eastAsia="黑体"/>
          <w:sz w:val="44"/>
          <w:szCs w:val="44"/>
        </w:rPr>
        <w:br w:type="page"/>
      </w:r>
    </w:p>
    <w:p w14:paraId="31534B46">
      <w:pPr>
        <w:spacing w:line="600" w:lineRule="exact"/>
        <w:jc w:val="center"/>
        <w:outlineLvl w:val="0"/>
        <w:rPr>
          <w:rFonts w:ascii="仿宋" w:hAnsi="仿宋" w:eastAsia="仿宋"/>
        </w:rPr>
      </w:pPr>
      <w:bookmarkStart w:id="77" w:name="_Toc26332"/>
      <w:r>
        <w:rPr>
          <w:rFonts w:hint="eastAsia" w:ascii="黑体" w:hAnsi="黑体" w:eastAsia="黑体"/>
          <w:sz w:val="44"/>
          <w:szCs w:val="44"/>
        </w:rPr>
        <w:t>第</w:t>
      </w:r>
      <w:r>
        <w:rPr>
          <w:rStyle w:val="32"/>
          <w:rFonts w:hint="eastAsia" w:ascii="黑体" w:hAnsi="黑体" w:eastAsia="黑体"/>
          <w:b w:val="0"/>
        </w:rPr>
        <w:t>五部分 附表</w:t>
      </w:r>
      <w:bookmarkEnd w:id="74"/>
      <w:bookmarkEnd w:id="76"/>
      <w:bookmarkEnd w:id="77"/>
      <w:bookmarkStart w:id="78" w:name="_Toc15396619"/>
    </w:p>
    <w:p w14:paraId="4B83B321">
      <w:pPr>
        <w:pStyle w:val="3"/>
        <w:bidi w:val="0"/>
        <w:rPr>
          <w:rFonts w:hint="eastAsia"/>
        </w:rPr>
      </w:pPr>
      <w:bookmarkStart w:id="79" w:name="_Toc3129"/>
      <w:r>
        <w:rPr>
          <w:rFonts w:hint="eastAsia"/>
        </w:rPr>
        <w:t>一、收入支出决算总表</w:t>
      </w:r>
      <w:bookmarkEnd w:id="78"/>
      <w:bookmarkEnd w:id="79"/>
    </w:p>
    <w:p w14:paraId="35FEEB9D">
      <w:pPr>
        <w:pStyle w:val="3"/>
        <w:bidi w:val="0"/>
        <w:rPr>
          <w:rFonts w:hint="eastAsia"/>
        </w:rPr>
      </w:pPr>
      <w:bookmarkStart w:id="80" w:name="_Toc18502"/>
      <w:bookmarkStart w:id="81" w:name="_Toc15396620"/>
      <w:r>
        <w:rPr>
          <w:rFonts w:hint="eastAsia"/>
        </w:rPr>
        <w:t>二、收入决算表</w:t>
      </w:r>
      <w:bookmarkEnd w:id="80"/>
      <w:bookmarkEnd w:id="81"/>
    </w:p>
    <w:p w14:paraId="13FCE361">
      <w:pPr>
        <w:pStyle w:val="3"/>
        <w:bidi w:val="0"/>
        <w:rPr>
          <w:rFonts w:hint="eastAsia"/>
        </w:rPr>
      </w:pPr>
      <w:bookmarkStart w:id="82" w:name="_Toc30878"/>
      <w:bookmarkStart w:id="83" w:name="_Toc15396621"/>
      <w:r>
        <w:rPr>
          <w:rFonts w:hint="eastAsia"/>
        </w:rPr>
        <w:t>三、支出决算表</w:t>
      </w:r>
      <w:bookmarkEnd w:id="82"/>
      <w:bookmarkEnd w:id="83"/>
    </w:p>
    <w:p w14:paraId="522D7E91">
      <w:pPr>
        <w:pStyle w:val="3"/>
        <w:bidi w:val="0"/>
        <w:rPr>
          <w:rFonts w:hint="eastAsia"/>
        </w:rPr>
      </w:pPr>
      <w:bookmarkStart w:id="84" w:name="_Toc16199"/>
      <w:bookmarkStart w:id="85" w:name="_Toc15396622"/>
      <w:r>
        <w:rPr>
          <w:rFonts w:hint="eastAsia"/>
        </w:rPr>
        <w:t>四、财政拨款收入支出决算总表</w:t>
      </w:r>
      <w:bookmarkEnd w:id="84"/>
      <w:bookmarkEnd w:id="85"/>
    </w:p>
    <w:p w14:paraId="7981565F">
      <w:pPr>
        <w:pStyle w:val="3"/>
        <w:bidi w:val="0"/>
        <w:rPr>
          <w:rFonts w:hint="eastAsia"/>
        </w:rPr>
      </w:pPr>
      <w:bookmarkStart w:id="86" w:name="_Toc5289"/>
      <w:bookmarkStart w:id="87" w:name="_Toc15396623"/>
      <w:r>
        <w:rPr>
          <w:rFonts w:hint="eastAsia"/>
        </w:rPr>
        <w:t>五、财政拨款支出决算明细表</w:t>
      </w:r>
      <w:bookmarkEnd w:id="86"/>
      <w:bookmarkEnd w:id="87"/>
      <w:bookmarkStart w:id="88" w:name="_Toc15396624"/>
    </w:p>
    <w:p w14:paraId="0E12F1AA">
      <w:pPr>
        <w:pStyle w:val="3"/>
        <w:bidi w:val="0"/>
        <w:rPr>
          <w:rFonts w:hint="eastAsia"/>
        </w:rPr>
      </w:pPr>
      <w:bookmarkStart w:id="89" w:name="_Toc18209"/>
      <w:r>
        <w:rPr>
          <w:rFonts w:hint="eastAsia"/>
        </w:rPr>
        <w:t>六、一般公共预算财政拨款支出决算表</w:t>
      </w:r>
      <w:bookmarkEnd w:id="88"/>
      <w:bookmarkEnd w:id="89"/>
    </w:p>
    <w:p w14:paraId="455F60F6">
      <w:pPr>
        <w:pStyle w:val="3"/>
        <w:bidi w:val="0"/>
        <w:rPr>
          <w:rFonts w:hint="eastAsia"/>
        </w:rPr>
      </w:pPr>
      <w:bookmarkStart w:id="90" w:name="_Toc15396625"/>
      <w:bookmarkStart w:id="91" w:name="_Toc19410"/>
      <w:r>
        <w:rPr>
          <w:rFonts w:hint="eastAsia"/>
        </w:rPr>
        <w:t>七、一般公共预算财政拨款支出决算明细表</w:t>
      </w:r>
      <w:bookmarkEnd w:id="90"/>
      <w:bookmarkEnd w:id="91"/>
    </w:p>
    <w:p w14:paraId="011ADBB1">
      <w:pPr>
        <w:pStyle w:val="3"/>
        <w:bidi w:val="0"/>
        <w:rPr>
          <w:rFonts w:hint="eastAsia"/>
        </w:rPr>
      </w:pPr>
      <w:bookmarkStart w:id="92" w:name="_Toc3486"/>
      <w:bookmarkStart w:id="93" w:name="_Toc15396626"/>
      <w:r>
        <w:rPr>
          <w:rFonts w:hint="eastAsia"/>
        </w:rPr>
        <w:t>八、一般公共预算财政拨款基本支出决算表</w:t>
      </w:r>
      <w:bookmarkEnd w:id="92"/>
      <w:bookmarkEnd w:id="93"/>
    </w:p>
    <w:p w14:paraId="735EC207">
      <w:pPr>
        <w:pStyle w:val="3"/>
        <w:bidi w:val="0"/>
        <w:rPr>
          <w:rFonts w:hint="eastAsia"/>
        </w:rPr>
      </w:pPr>
      <w:bookmarkStart w:id="94" w:name="_Toc11280"/>
      <w:bookmarkStart w:id="95" w:name="_Toc15396627"/>
      <w:r>
        <w:rPr>
          <w:rFonts w:hint="eastAsia"/>
        </w:rPr>
        <w:t>九、一般公共预算财政拨款项目支出决算表</w:t>
      </w:r>
      <w:bookmarkEnd w:id="94"/>
      <w:bookmarkEnd w:id="95"/>
    </w:p>
    <w:p w14:paraId="53E4126F">
      <w:pPr>
        <w:pStyle w:val="3"/>
        <w:bidi w:val="0"/>
        <w:rPr>
          <w:rFonts w:hint="eastAsia"/>
        </w:rPr>
      </w:pPr>
      <w:bookmarkStart w:id="96" w:name="_Toc15396628"/>
      <w:bookmarkStart w:id="97" w:name="_Toc27368"/>
      <w:r>
        <w:rPr>
          <w:rFonts w:hint="eastAsia"/>
        </w:rPr>
        <w:t>十、</w:t>
      </w:r>
      <w:bookmarkEnd w:id="96"/>
      <w:r>
        <w:rPr>
          <w:rFonts w:hint="eastAsia"/>
        </w:rPr>
        <w:t>政府性基金预算财政拨款收入支出决算表</w:t>
      </w:r>
      <w:bookmarkEnd w:id="97"/>
    </w:p>
    <w:p w14:paraId="3BADF3CE">
      <w:pPr>
        <w:pStyle w:val="3"/>
        <w:bidi w:val="0"/>
        <w:rPr>
          <w:rFonts w:hint="eastAsia"/>
        </w:rPr>
      </w:pPr>
      <w:bookmarkStart w:id="98" w:name="_Toc15396629"/>
      <w:bookmarkStart w:id="99" w:name="_Toc20164"/>
      <w:r>
        <w:rPr>
          <w:rFonts w:hint="eastAsia"/>
        </w:rPr>
        <w:t>十一、</w:t>
      </w:r>
      <w:bookmarkEnd w:id="98"/>
      <w:r>
        <w:rPr>
          <w:rFonts w:hint="eastAsia"/>
        </w:rPr>
        <w:t>国有资本经营预算财政拨款收入支出决算表</w:t>
      </w:r>
      <w:bookmarkEnd w:id="99"/>
    </w:p>
    <w:p w14:paraId="0C3596DD">
      <w:pPr>
        <w:pStyle w:val="3"/>
        <w:bidi w:val="0"/>
        <w:rPr>
          <w:rFonts w:hint="eastAsia"/>
        </w:rPr>
      </w:pPr>
      <w:bookmarkStart w:id="100" w:name="_Toc15396630"/>
      <w:bookmarkStart w:id="101" w:name="_Toc13623"/>
      <w:r>
        <w:rPr>
          <w:rFonts w:hint="eastAsia"/>
        </w:rPr>
        <w:t>十二、</w:t>
      </w:r>
      <w:bookmarkEnd w:id="100"/>
      <w:r>
        <w:rPr>
          <w:rFonts w:hint="eastAsia"/>
        </w:rPr>
        <w:t>国有资本经营预算财政拨款支出决算表</w:t>
      </w:r>
      <w:bookmarkEnd w:id="101"/>
    </w:p>
    <w:p w14:paraId="171B8CA4">
      <w:pPr>
        <w:pStyle w:val="3"/>
        <w:bidi w:val="0"/>
        <w:rPr>
          <w:rFonts w:hint="eastAsia"/>
        </w:rPr>
      </w:pPr>
      <w:bookmarkStart w:id="102" w:name="_Toc15396631"/>
      <w:bookmarkStart w:id="103" w:name="_Toc12856"/>
      <w:r>
        <w:rPr>
          <w:rFonts w:hint="eastAsia"/>
        </w:rPr>
        <w:t>十三、</w:t>
      </w:r>
      <w:bookmarkEnd w:id="102"/>
      <w:r>
        <w:rPr>
          <w:rFonts w:hint="eastAsia"/>
        </w:rPr>
        <w:t>财政拨款“三公”经费支出决算表</w:t>
      </w:r>
      <w:bookmarkEnd w:id="103"/>
    </w:p>
    <w:sectPr>
      <w:footerReference r:id="rId7" w:type="first"/>
      <w:footerReference r:id="rId6" w:type="default"/>
      <w:pgSz w:w="11906" w:h="16838"/>
      <w:pgMar w:top="1803" w:right="1440" w:bottom="1803" w:left="144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868CE">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3679"/>
                          </w:sdtPr>
                          <w:sdtContent>
                            <w:p w14:paraId="6AEA6C03">
                              <w:pPr>
                                <w:pStyle w:val="11"/>
                                <w:jc w:val="center"/>
                              </w:pPr>
                              <w:r>
                                <w:fldChar w:fldCharType="begin"/>
                              </w:r>
                              <w:r>
                                <w:instrText xml:space="preserve">PAGE   \* MERGEFORMAT</w:instrText>
                              </w:r>
                              <w:r>
                                <w:fldChar w:fldCharType="separate"/>
                              </w:r>
                              <w:r>
                                <w:rPr>
                                  <w:lang w:val="zh-CN"/>
                                </w:rPr>
                                <w:t>15</w:t>
                              </w:r>
                              <w:r>
                                <w:fldChar w:fldCharType="end"/>
                              </w:r>
                            </w:p>
                          </w:sdtContent>
                        </w:sdt>
                        <w:p w14:paraId="6B26FD19">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63679"/>
                    </w:sdtPr>
                    <w:sdtContent>
                      <w:p w14:paraId="6AEA6C03">
                        <w:pPr>
                          <w:pStyle w:val="11"/>
                          <w:jc w:val="center"/>
                        </w:pPr>
                        <w:r>
                          <w:fldChar w:fldCharType="begin"/>
                        </w:r>
                        <w:r>
                          <w:instrText xml:space="preserve">PAGE   \* MERGEFORMAT</w:instrText>
                        </w:r>
                        <w:r>
                          <w:fldChar w:fldCharType="separate"/>
                        </w:r>
                        <w:r>
                          <w:rPr>
                            <w:lang w:val="zh-CN"/>
                          </w:rPr>
                          <w:t>15</w:t>
                        </w:r>
                        <w:r>
                          <w:fldChar w:fldCharType="end"/>
                        </w:r>
                      </w:p>
                    </w:sdtContent>
                  </w:sdt>
                  <w:p w14:paraId="6B26FD19">
                    <w:pPr>
                      <w:pStyle w:val="14"/>
                    </w:pPr>
                  </w:p>
                </w:txbxContent>
              </v:textbox>
            </v:shape>
          </w:pict>
        </mc:Fallback>
      </mc:AlternateContent>
    </w:r>
  </w:p>
  <w:p w14:paraId="23BB3C5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024F8">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D723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FCD723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C7726">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2402"/>
                          </w:sdtPr>
                          <w:sdtContent>
                            <w:p w14:paraId="577B6DE2">
                              <w:pPr>
                                <w:pStyle w:val="11"/>
                                <w:jc w:val="center"/>
                              </w:pPr>
                              <w:r>
                                <w:fldChar w:fldCharType="begin"/>
                              </w:r>
                              <w:r>
                                <w:instrText xml:space="preserve">PAGE   \* MERGEFORMAT</w:instrText>
                              </w:r>
                              <w:r>
                                <w:fldChar w:fldCharType="separate"/>
                              </w:r>
                              <w:r>
                                <w:rPr>
                                  <w:lang w:val="zh-CN"/>
                                </w:rPr>
                                <w:t>15</w:t>
                              </w:r>
                              <w:r>
                                <w:fldChar w:fldCharType="end"/>
                              </w:r>
                            </w:p>
                          </w:sdtContent>
                        </w:sdt>
                        <w:p w14:paraId="4818B389">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147472402"/>
                    </w:sdtPr>
                    <w:sdtContent>
                      <w:p w14:paraId="577B6DE2">
                        <w:pPr>
                          <w:pStyle w:val="11"/>
                          <w:jc w:val="center"/>
                        </w:pPr>
                        <w:r>
                          <w:fldChar w:fldCharType="begin"/>
                        </w:r>
                        <w:r>
                          <w:instrText xml:space="preserve">PAGE   \* MERGEFORMAT</w:instrText>
                        </w:r>
                        <w:r>
                          <w:fldChar w:fldCharType="separate"/>
                        </w:r>
                        <w:r>
                          <w:rPr>
                            <w:lang w:val="zh-CN"/>
                          </w:rPr>
                          <w:t>15</w:t>
                        </w:r>
                        <w:r>
                          <w:fldChar w:fldCharType="end"/>
                        </w:r>
                      </w:p>
                    </w:sdtContent>
                  </w:sdt>
                  <w:p w14:paraId="4818B389">
                    <w:pPr>
                      <w:pStyle w:val="14"/>
                    </w:pPr>
                  </w:p>
                </w:txbxContent>
              </v:textbox>
            </v:shape>
          </w:pict>
        </mc:Fallback>
      </mc:AlternateContent>
    </w:r>
  </w:p>
  <w:p w14:paraId="43A4F49D">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BE89D">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BD022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8BD022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43C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956EF4A"/>
    <w:multiLevelType w:val="singleLevel"/>
    <w:tmpl w:val="D956EF4A"/>
    <w:lvl w:ilvl="0" w:tentative="0">
      <w:start w:val="2"/>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hMmE0YmIwMDJhZWE2NzVjOWE5Zjk1Y2VjNmFhNjg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868C0"/>
    <w:rsid w:val="01AA7D1B"/>
    <w:rsid w:val="01D826F2"/>
    <w:rsid w:val="030D2310"/>
    <w:rsid w:val="03336F35"/>
    <w:rsid w:val="03C70711"/>
    <w:rsid w:val="03DC2831"/>
    <w:rsid w:val="042F62B6"/>
    <w:rsid w:val="043D6C25"/>
    <w:rsid w:val="08122176"/>
    <w:rsid w:val="081B5E94"/>
    <w:rsid w:val="0A2032A3"/>
    <w:rsid w:val="0B3C218B"/>
    <w:rsid w:val="0B8A37D8"/>
    <w:rsid w:val="0C177D5B"/>
    <w:rsid w:val="0D6D6C25"/>
    <w:rsid w:val="0ECE5049"/>
    <w:rsid w:val="0F5FFB2F"/>
    <w:rsid w:val="0F6C3997"/>
    <w:rsid w:val="0FFFCF60"/>
    <w:rsid w:val="10596B94"/>
    <w:rsid w:val="10C055FF"/>
    <w:rsid w:val="111244F1"/>
    <w:rsid w:val="118107EC"/>
    <w:rsid w:val="11DD6519"/>
    <w:rsid w:val="12591B6A"/>
    <w:rsid w:val="128F2D41"/>
    <w:rsid w:val="12E3308D"/>
    <w:rsid w:val="136046DE"/>
    <w:rsid w:val="142D2812"/>
    <w:rsid w:val="14593607"/>
    <w:rsid w:val="14E32ED1"/>
    <w:rsid w:val="15F335E7"/>
    <w:rsid w:val="162B00EE"/>
    <w:rsid w:val="164D0F49"/>
    <w:rsid w:val="165C73DE"/>
    <w:rsid w:val="16BB723D"/>
    <w:rsid w:val="16F95198"/>
    <w:rsid w:val="18015F3F"/>
    <w:rsid w:val="187622AE"/>
    <w:rsid w:val="19067AD5"/>
    <w:rsid w:val="19E82D37"/>
    <w:rsid w:val="1BC53389"/>
    <w:rsid w:val="1BE8440E"/>
    <w:rsid w:val="1D155CEE"/>
    <w:rsid w:val="1D686669"/>
    <w:rsid w:val="1DB775F0"/>
    <w:rsid w:val="1E2B0FDB"/>
    <w:rsid w:val="1E4C4975"/>
    <w:rsid w:val="1E872073"/>
    <w:rsid w:val="1EC04283"/>
    <w:rsid w:val="1F4810AD"/>
    <w:rsid w:val="1FDBBF84"/>
    <w:rsid w:val="20F57F95"/>
    <w:rsid w:val="214C5B45"/>
    <w:rsid w:val="219A4FFF"/>
    <w:rsid w:val="223905D4"/>
    <w:rsid w:val="230010F2"/>
    <w:rsid w:val="23411E36"/>
    <w:rsid w:val="234A05BF"/>
    <w:rsid w:val="240371BF"/>
    <w:rsid w:val="25711CC6"/>
    <w:rsid w:val="25BA7C7E"/>
    <w:rsid w:val="25C741E6"/>
    <w:rsid w:val="270F5DA7"/>
    <w:rsid w:val="276F80C0"/>
    <w:rsid w:val="27842671"/>
    <w:rsid w:val="27AC5CEC"/>
    <w:rsid w:val="284C3133"/>
    <w:rsid w:val="29115E06"/>
    <w:rsid w:val="29FD04D3"/>
    <w:rsid w:val="2A0E46D9"/>
    <w:rsid w:val="2ABE7A3E"/>
    <w:rsid w:val="2AFF09B6"/>
    <w:rsid w:val="2CA234A8"/>
    <w:rsid w:val="2D5E5392"/>
    <w:rsid w:val="2DF33D2D"/>
    <w:rsid w:val="2E0C3040"/>
    <w:rsid w:val="2E7B118B"/>
    <w:rsid w:val="2EAE40F8"/>
    <w:rsid w:val="2EFA178C"/>
    <w:rsid w:val="2EFDF86C"/>
    <w:rsid w:val="2F6B14B4"/>
    <w:rsid w:val="2F9D17E1"/>
    <w:rsid w:val="30860BA3"/>
    <w:rsid w:val="30B46D73"/>
    <w:rsid w:val="30F1651D"/>
    <w:rsid w:val="319F7F4E"/>
    <w:rsid w:val="31C003CA"/>
    <w:rsid w:val="3509652C"/>
    <w:rsid w:val="356A28F1"/>
    <w:rsid w:val="357C035A"/>
    <w:rsid w:val="35F935C8"/>
    <w:rsid w:val="368E000D"/>
    <w:rsid w:val="37AF7D0E"/>
    <w:rsid w:val="37E405D3"/>
    <w:rsid w:val="383D272C"/>
    <w:rsid w:val="387737AC"/>
    <w:rsid w:val="39AE70AB"/>
    <w:rsid w:val="3A4DCE41"/>
    <w:rsid w:val="3AED6AC9"/>
    <w:rsid w:val="3BB3107D"/>
    <w:rsid w:val="3BC62A80"/>
    <w:rsid w:val="3BCB56FA"/>
    <w:rsid w:val="3C0417FB"/>
    <w:rsid w:val="3C0C0783"/>
    <w:rsid w:val="3CD613E9"/>
    <w:rsid w:val="3E4E3201"/>
    <w:rsid w:val="3EE7C2F4"/>
    <w:rsid w:val="3F035D9A"/>
    <w:rsid w:val="3F371B56"/>
    <w:rsid w:val="3F792ED8"/>
    <w:rsid w:val="3F9F3A96"/>
    <w:rsid w:val="3FDD2A8F"/>
    <w:rsid w:val="3FECA4B2"/>
    <w:rsid w:val="3FF58C48"/>
    <w:rsid w:val="40FE0F0E"/>
    <w:rsid w:val="417E7959"/>
    <w:rsid w:val="41C6566B"/>
    <w:rsid w:val="41DD67FB"/>
    <w:rsid w:val="422F67EF"/>
    <w:rsid w:val="42FF6694"/>
    <w:rsid w:val="43282273"/>
    <w:rsid w:val="43CC0E50"/>
    <w:rsid w:val="44627A06"/>
    <w:rsid w:val="455B3E15"/>
    <w:rsid w:val="458D254E"/>
    <w:rsid w:val="4642189D"/>
    <w:rsid w:val="468A0B4E"/>
    <w:rsid w:val="471B083D"/>
    <w:rsid w:val="47240FA3"/>
    <w:rsid w:val="489919E9"/>
    <w:rsid w:val="48BF60AB"/>
    <w:rsid w:val="49200655"/>
    <w:rsid w:val="493C27E9"/>
    <w:rsid w:val="496F39ED"/>
    <w:rsid w:val="49FF41D3"/>
    <w:rsid w:val="4BD951BB"/>
    <w:rsid w:val="4BE068DB"/>
    <w:rsid w:val="4BF6002B"/>
    <w:rsid w:val="4BFFC6BE"/>
    <w:rsid w:val="4C3861B2"/>
    <w:rsid w:val="4CF14ADE"/>
    <w:rsid w:val="4D5325E2"/>
    <w:rsid w:val="4DCB3F26"/>
    <w:rsid w:val="4EA01B3E"/>
    <w:rsid w:val="4ECE2238"/>
    <w:rsid w:val="4EFD5D85"/>
    <w:rsid w:val="4F2A2734"/>
    <w:rsid w:val="4FBA4253"/>
    <w:rsid w:val="51DB4B86"/>
    <w:rsid w:val="51F64DB0"/>
    <w:rsid w:val="52630BD1"/>
    <w:rsid w:val="53B60EF4"/>
    <w:rsid w:val="54B020C8"/>
    <w:rsid w:val="54BD5ACF"/>
    <w:rsid w:val="5523289A"/>
    <w:rsid w:val="55333C3E"/>
    <w:rsid w:val="55983616"/>
    <w:rsid w:val="56C37E91"/>
    <w:rsid w:val="58726012"/>
    <w:rsid w:val="5A1B7FE4"/>
    <w:rsid w:val="5AB3021C"/>
    <w:rsid w:val="5AC266B1"/>
    <w:rsid w:val="5DA87DE0"/>
    <w:rsid w:val="5F44794A"/>
    <w:rsid w:val="5F67802D"/>
    <w:rsid w:val="5F7DC4F2"/>
    <w:rsid w:val="5FB36814"/>
    <w:rsid w:val="5FBB8E56"/>
    <w:rsid w:val="5FFB5535"/>
    <w:rsid w:val="60A703DC"/>
    <w:rsid w:val="610F0176"/>
    <w:rsid w:val="616B35FF"/>
    <w:rsid w:val="61E67129"/>
    <w:rsid w:val="61FB0E26"/>
    <w:rsid w:val="635307EE"/>
    <w:rsid w:val="63732C3E"/>
    <w:rsid w:val="637349EC"/>
    <w:rsid w:val="64125A08"/>
    <w:rsid w:val="64CA39A1"/>
    <w:rsid w:val="65202952"/>
    <w:rsid w:val="65E9543A"/>
    <w:rsid w:val="66831787"/>
    <w:rsid w:val="690F6F65"/>
    <w:rsid w:val="691741BA"/>
    <w:rsid w:val="69630ADE"/>
    <w:rsid w:val="69BD5F13"/>
    <w:rsid w:val="69E47F03"/>
    <w:rsid w:val="69FB0B4B"/>
    <w:rsid w:val="6A892D47"/>
    <w:rsid w:val="6BFFE1FB"/>
    <w:rsid w:val="6C4A05C8"/>
    <w:rsid w:val="6C535546"/>
    <w:rsid w:val="6D3B1A89"/>
    <w:rsid w:val="6DB7D8A3"/>
    <w:rsid w:val="6E6C6C08"/>
    <w:rsid w:val="6E7C32EF"/>
    <w:rsid w:val="6EC78701"/>
    <w:rsid w:val="6F7A5481"/>
    <w:rsid w:val="6F97317A"/>
    <w:rsid w:val="6FFE07A9"/>
    <w:rsid w:val="70347898"/>
    <w:rsid w:val="7074095E"/>
    <w:rsid w:val="70DB3E68"/>
    <w:rsid w:val="71BF4EC2"/>
    <w:rsid w:val="72734D90"/>
    <w:rsid w:val="73734595"/>
    <w:rsid w:val="73E75B71"/>
    <w:rsid w:val="7412278C"/>
    <w:rsid w:val="744A1799"/>
    <w:rsid w:val="74683C8F"/>
    <w:rsid w:val="749D7B1B"/>
    <w:rsid w:val="74DD616A"/>
    <w:rsid w:val="74DF6386"/>
    <w:rsid w:val="75970A0E"/>
    <w:rsid w:val="75DDCDA9"/>
    <w:rsid w:val="75FF44B1"/>
    <w:rsid w:val="761E0756"/>
    <w:rsid w:val="76564426"/>
    <w:rsid w:val="76A74C81"/>
    <w:rsid w:val="77476464"/>
    <w:rsid w:val="77670518"/>
    <w:rsid w:val="777FA627"/>
    <w:rsid w:val="77DF1B5F"/>
    <w:rsid w:val="77ED7EF6"/>
    <w:rsid w:val="77EF2D9D"/>
    <w:rsid w:val="782D11B6"/>
    <w:rsid w:val="78623556"/>
    <w:rsid w:val="786B1CDE"/>
    <w:rsid w:val="79E7B28D"/>
    <w:rsid w:val="7A652E89"/>
    <w:rsid w:val="7AA5069A"/>
    <w:rsid w:val="7ACFF0C2"/>
    <w:rsid w:val="7AEE7323"/>
    <w:rsid w:val="7AFB9108"/>
    <w:rsid w:val="7B4C4049"/>
    <w:rsid w:val="7B5353AC"/>
    <w:rsid w:val="7B711D02"/>
    <w:rsid w:val="7BD5340C"/>
    <w:rsid w:val="7BFB19D2"/>
    <w:rsid w:val="7BFD1750"/>
    <w:rsid w:val="7BFDAA1B"/>
    <w:rsid w:val="7CDF9A82"/>
    <w:rsid w:val="7CFFA1BD"/>
    <w:rsid w:val="7D2E3F7A"/>
    <w:rsid w:val="7DDA1DE0"/>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2"/>
    <w:unhideWhenUsed/>
    <w:qFormat/>
    <w:uiPriority w:val="9"/>
    <w:pPr>
      <w:keepNext/>
      <w:keepLines/>
      <w:spacing w:line="580" w:lineRule="exact"/>
      <w:ind w:firstLine="420" w:firstLineChars="200"/>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9"/>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rPr>
  </w:style>
  <w:style w:type="paragraph" w:styleId="10">
    <w:name w:val="Balloon Text"/>
    <w:basedOn w:val="1"/>
    <w:link w:val="35"/>
    <w:semiHidden/>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2"/>
      <w:lang w:val="en-US" w:eastAsia="zh-CN" w:bidi="ar-SA"/>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next w:val="12"/>
    <w:qFormat/>
    <w:uiPriority w:val="0"/>
    <w:pPr>
      <w:spacing w:before="100" w:beforeAutospacing="1" w:after="10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标题 3 字符"/>
    <w:basedOn w:val="19"/>
    <w:link w:val="4"/>
    <w:qFormat/>
    <w:uiPriority w:val="9"/>
    <w:rPr>
      <w:rFonts w:ascii="Times New Roman" w:hAnsi="Times New Roman" w:eastAsia="宋体"/>
      <w:b/>
      <w:bCs/>
      <w:kern w:val="2"/>
      <w:sz w:val="32"/>
      <w:szCs w:val="32"/>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19"/>
    <w:semiHidden/>
    <w:qFormat/>
    <w:uiPriority w:val="99"/>
    <w:rPr>
      <w:rFonts w:ascii="Times New Roman" w:hAnsi="Times New Roman"/>
      <w:sz w:val="18"/>
      <w:szCs w:val="18"/>
    </w:rPr>
  </w:style>
  <w:style w:type="character" w:customStyle="1" w:styleId="25">
    <w:name w:val="页眉 字符"/>
    <w:link w:val="12"/>
    <w:semiHidden/>
    <w:qFormat/>
    <w:locked/>
    <w:uiPriority w:val="99"/>
    <w:rPr>
      <w:sz w:val="18"/>
    </w:rPr>
  </w:style>
  <w:style w:type="character" w:customStyle="1" w:styleId="26">
    <w:name w:val="Footer Char"/>
    <w:basedOn w:val="19"/>
    <w:semiHidden/>
    <w:qFormat/>
    <w:uiPriority w:val="99"/>
    <w:rPr>
      <w:rFonts w:ascii="Times New Roman" w:hAnsi="Times New Roman"/>
      <w:sz w:val="18"/>
      <w:szCs w:val="18"/>
    </w:rPr>
  </w:style>
  <w:style w:type="character" w:customStyle="1" w:styleId="27">
    <w:name w:val="页脚 字符"/>
    <w:link w:val="11"/>
    <w:qFormat/>
    <w:locked/>
    <w:uiPriority w:val="99"/>
    <w:rPr>
      <w:sz w:val="18"/>
    </w:rPr>
  </w:style>
  <w:style w:type="character" w:customStyle="1" w:styleId="28">
    <w:name w:val="Body Text Char"/>
    <w:basedOn w:val="19"/>
    <w:semiHidden/>
    <w:qFormat/>
    <w:uiPriority w:val="99"/>
    <w:rPr>
      <w:rFonts w:ascii="Times New Roman" w:hAnsi="Times New Roman"/>
      <w:szCs w:val="24"/>
    </w:rPr>
  </w:style>
  <w:style w:type="character" w:customStyle="1" w:styleId="29">
    <w:name w:val="正文文本 字符"/>
    <w:link w:val="5"/>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字符"/>
    <w:basedOn w:val="19"/>
    <w:link w:val="2"/>
    <w:qFormat/>
    <w:uiPriority w:val="9"/>
    <w:rPr>
      <w:rFonts w:ascii="Times New Roman" w:hAnsi="Times New Roman"/>
      <w:b/>
      <w:bCs/>
      <w:kern w:val="44"/>
      <w:sz w:val="44"/>
      <w:szCs w:val="44"/>
    </w:rPr>
  </w:style>
  <w:style w:type="character" w:customStyle="1" w:styleId="33">
    <w:name w:val="标题 2 字符"/>
    <w:basedOn w:val="19"/>
    <w:link w:val="3"/>
    <w:qFormat/>
    <w:uiPriority w:val="9"/>
    <w:rPr>
      <w:rFonts w:asciiTheme="majorHAnsi" w:hAnsiTheme="majorHAnsi" w:eastAsiaTheme="majorEastAsia" w:cstheme="majorBidi"/>
      <w:b/>
      <w:bCs/>
      <w:kern w:val="2"/>
      <w:sz w:val="32"/>
      <w:szCs w:val="32"/>
    </w:r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19"/>
    <w:link w:val="10"/>
    <w:semiHidden/>
    <w:qFormat/>
    <w:uiPriority w:val="99"/>
    <w:rPr>
      <w:rFonts w:ascii="Times New Roman" w:hAnsi="Times New Roman"/>
      <w:kern w:val="2"/>
      <w:sz w:val="18"/>
      <w:szCs w:val="18"/>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正文文本1"/>
    <w:basedOn w:val="1"/>
    <w:qFormat/>
    <w:uiPriority w:val="99"/>
    <w:pPr>
      <w:spacing w:before="93"/>
    </w:pPr>
    <w:rPr>
      <w:rFonts w:ascii="仿宋_GB2312" w:hAnsi="仿宋_GB2312" w:eastAsia="仿宋_GB2312"/>
      <w:kern w:val="0"/>
      <w:sz w:val="3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X%20&#24037;&#20316;&#34920;%20(3).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C&#30424;&#31227;&#21160;\&#20915;&#31639;%20-%20&#21103;&#26412;\2023&#24180;&#20915;&#31639;&#20844;&#24320;&#65288;&#27766;&#24029;&#65289;\&#26032;&#24314;%20XLS%20&#24037;&#20316;&#34920;%20(2).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C&#30424;&#31227;&#21160;\&#20915;&#31639;%20-%20&#21103;&#26412;\2023&#24180;&#20915;&#31639;&#20844;&#24320;&#65288;&#27766;&#24029;&#65289;\&#26032;&#24314;%20XLS%20&#24037;&#20316;&#34920;%20(2).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X%20&#24037;&#20316;&#34920;%20(3).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X%20&#24037;&#20316;&#34920;%20(3).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'[新建 XLSX 工作表 (3).xlsx]Sheet1'!$K$15</c:f>
              <c:strCache>
                <c:ptCount val="1"/>
                <c:pt idx="0">
                  <c:v>收入、支出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'[新建 XLSX 工作表 (3).xlsx]Sheet1'!$J$16:$J$17</c:f>
              <c:numCache>
                <c:formatCode>General</c:formatCode>
                <c:ptCount val="2"/>
                <c:pt idx="0">
                  <c:v>2025</c:v>
                </c:pt>
                <c:pt idx="1">
                  <c:v>2024</c:v>
                </c:pt>
              </c:numCache>
            </c:numRef>
          </c:cat>
          <c:val>
            <c:numRef>
              <c:f>'[新建 XLSX 工作表 (3).xlsx]Sheet1'!$K$16:$K$17</c:f>
              <c:numCache>
                <c:formatCode>General</c:formatCode>
                <c:ptCount val="2"/>
                <c:pt idx="0">
                  <c:v>339.62</c:v>
                </c:pt>
                <c:pt idx="1">
                  <c:v>285.03</c:v>
                </c:pt>
              </c:numCache>
            </c:numRef>
          </c:val>
        </c:ser>
        <c:dLbls>
          <c:showLegendKey val="0"/>
          <c:showVal val="1"/>
          <c:showCatName val="0"/>
          <c:showSerName val="0"/>
          <c:showPercent val="0"/>
          <c:showBubbleSize val="0"/>
        </c:dLbls>
        <c:gapWidth val="246"/>
        <c:overlap val="-28"/>
        <c:axId val="409237309"/>
        <c:axId val="415089875"/>
      </c:barChart>
      <c:catAx>
        <c:axId val="4092373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089875"/>
        <c:crosses val="autoZero"/>
        <c:auto val="1"/>
        <c:lblAlgn val="ctr"/>
        <c:lblOffset val="100"/>
        <c:noMultiLvlLbl val="0"/>
      </c:catAx>
      <c:valAx>
        <c:axId val="4150898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23730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7b7b143-1cb1-404d-bff3-c05c4c5c911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418421052631579"/>
          <c:y val="0.0257767548906789"/>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(2).xls]Sheet1'!$D$20:$D$27</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'[新建 XLS 工作表 (2).xls]Sheet1'!$E$20:$E$27</c:f>
              <c:numCache>
                <c:formatCode>0.00%</c:formatCode>
                <c:ptCount val="8"/>
                <c:pt idx="0">
                  <c:v>1</c:v>
                </c:pt>
                <c:pt idx="1" c:formatCode="0%">
                  <c:v>0</c:v>
                </c:pt>
                <c:pt idx="2" c:formatCode="0%">
                  <c:v>0</c:v>
                </c:pt>
                <c:pt idx="3" c:formatCode="0%">
                  <c:v>0</c:v>
                </c:pt>
                <c:pt idx="4" c:formatCode="0%">
                  <c:v>0</c:v>
                </c:pt>
                <c:pt idx="5" c:formatCode="0%">
                  <c:v>0</c:v>
                </c:pt>
                <c:pt idx="6" c:formatCode="0%">
                  <c:v>0</c:v>
                </c:pt>
                <c:pt idx="7" c:formatCode="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c653b8-28cb-42e6-a6e3-46582857ff1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 (2).xls]Sheet1'!$D$30:$D$34</c:f>
              <c:strCache>
                <c:ptCount val="5"/>
                <c:pt idx="0">
                  <c:v>基本支出</c:v>
                </c:pt>
                <c:pt idx="1">
                  <c:v>项目支出</c:v>
                </c:pt>
                <c:pt idx="2">
                  <c:v>上缴上级支出</c:v>
                </c:pt>
                <c:pt idx="3">
                  <c:v>经营支出</c:v>
                </c:pt>
                <c:pt idx="4">
                  <c:v>对附属单位补助支出</c:v>
                </c:pt>
              </c:strCache>
            </c:strRef>
          </c:cat>
          <c:val>
            <c:numRef>
              <c:f>'[新建 XLS 工作表 (2).xls]Sheet1'!$E$30:$E$34</c:f>
              <c:numCache>
                <c:formatCode>0.00%</c:formatCode>
                <c:ptCount val="5"/>
                <c:pt idx="0">
                  <c:v>1</c:v>
                </c:pt>
                <c:pt idx="1">
                  <c:v>0</c:v>
                </c:pt>
                <c:pt idx="2" c:formatCode="0%">
                  <c:v>0</c:v>
                </c:pt>
                <c:pt idx="3" c:formatCode="0%">
                  <c:v>0</c:v>
                </c:pt>
                <c:pt idx="4" c:formatCode="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a697237-0d9a-48e3-8ce7-5a0341500e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'[新建 XLSX 工作表 (3).xlsx]Sheet1'!$K$15</c:f>
              <c:strCache>
                <c:ptCount val="1"/>
                <c:pt idx="0">
                  <c:v>收入、支出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'[新建 XLSX 工作表 (3).xlsx]Sheet1'!$J$16:$J$17</c:f>
              <c:numCache>
                <c:formatCode>General</c:formatCode>
                <c:ptCount val="2"/>
                <c:pt idx="0">
                  <c:v>2025</c:v>
                </c:pt>
                <c:pt idx="1">
                  <c:v>2024</c:v>
                </c:pt>
              </c:numCache>
            </c:numRef>
          </c:cat>
          <c:val>
            <c:numRef>
              <c:f>'[新建 XLSX 工作表 (3).xlsx]Sheet1'!$K$16:$K$17</c:f>
              <c:numCache>
                <c:formatCode>General</c:formatCode>
                <c:ptCount val="2"/>
                <c:pt idx="0">
                  <c:v>339.62</c:v>
                </c:pt>
                <c:pt idx="1">
                  <c:v>285.03</c:v>
                </c:pt>
              </c:numCache>
            </c:numRef>
          </c:val>
        </c:ser>
        <c:dLbls>
          <c:showLegendKey val="0"/>
          <c:showVal val="1"/>
          <c:showCatName val="0"/>
          <c:showSerName val="0"/>
          <c:showPercent val="0"/>
          <c:showBubbleSize val="0"/>
        </c:dLbls>
        <c:gapWidth val="246"/>
        <c:overlap val="-28"/>
        <c:axId val="409237309"/>
        <c:axId val="415089875"/>
      </c:barChart>
      <c:catAx>
        <c:axId val="4092373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089875"/>
        <c:crosses val="autoZero"/>
        <c:auto val="1"/>
        <c:lblAlgn val="ctr"/>
        <c:lblOffset val="100"/>
        <c:noMultiLvlLbl val="0"/>
      </c:catAx>
      <c:valAx>
        <c:axId val="4150898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23730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ea9e81-f342-4740-a0c2-dd3bf7234d2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一般公共预算财政拨款支出决算情况变动表</a:t>
            </a:r>
          </a:p>
        </c:rich>
      </c:tx>
      <c:layout/>
      <c:overlay val="0"/>
      <c:spPr>
        <a:noFill/>
        <a:ln>
          <a:noFill/>
        </a:ln>
        <a:effectLst/>
      </c:spPr>
    </c:title>
    <c:autoTitleDeleted val="0"/>
    <c:plotArea>
      <c:layout/>
      <c:barChart>
        <c:barDir val="col"/>
        <c:grouping val="clustered"/>
        <c:varyColors val="0"/>
        <c:ser>
          <c:idx val="0"/>
          <c:order val="0"/>
          <c:tx>
            <c:strRef>
              <c:f>'[新建 XLSX 工作表 (3).xlsx]Sheet1'!$K$15</c:f>
              <c:strCache>
                <c:ptCount val="1"/>
                <c:pt idx="0">
                  <c:v>收入、支出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'[新建 XLSX 工作表 (3).xlsx]Sheet1'!$J$16:$J$17</c:f>
              <c:numCache>
                <c:formatCode>General</c:formatCode>
                <c:ptCount val="2"/>
                <c:pt idx="0">
                  <c:v>2025</c:v>
                </c:pt>
                <c:pt idx="1">
                  <c:v>2024</c:v>
                </c:pt>
              </c:numCache>
            </c:numRef>
          </c:cat>
          <c:val>
            <c:numRef>
              <c:f>'[新建 XLSX 工作表 (3).xlsx]Sheet1'!$K$16:$K$17</c:f>
              <c:numCache>
                <c:formatCode>General</c:formatCode>
                <c:ptCount val="2"/>
                <c:pt idx="0">
                  <c:v>339.62</c:v>
                </c:pt>
                <c:pt idx="1">
                  <c:v>285.03</c:v>
                </c:pt>
              </c:numCache>
            </c:numRef>
          </c:val>
        </c:ser>
        <c:dLbls>
          <c:showLegendKey val="0"/>
          <c:showVal val="1"/>
          <c:showCatName val="0"/>
          <c:showSerName val="0"/>
          <c:showPercent val="0"/>
          <c:showBubbleSize val="0"/>
        </c:dLbls>
        <c:gapWidth val="246"/>
        <c:overlap val="-28"/>
        <c:axId val="409237309"/>
        <c:axId val="415089875"/>
      </c:barChart>
      <c:catAx>
        <c:axId val="4092373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089875"/>
        <c:crosses val="autoZero"/>
        <c:auto val="1"/>
        <c:lblAlgn val="ctr"/>
        <c:lblOffset val="100"/>
        <c:noMultiLvlLbl val="0"/>
      </c:catAx>
      <c:valAx>
        <c:axId val="4150898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23730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a5139a2-b06a-4e9a-be2d-d3ba5fa0268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'[新建 XLSX 工作表 (3).xlsx]Sheet1'!$J$15:$M$15</c:f>
              <c:strCache>
                <c:ptCount val="4"/>
                <c:pt idx="0">
                  <c:v>卫生健康支出</c:v>
                </c:pt>
                <c:pt idx="1">
                  <c:v>社会保障和就业支出</c:v>
                </c:pt>
                <c:pt idx="2">
                  <c:v>节能环保支出</c:v>
                </c:pt>
                <c:pt idx="3">
                  <c:v>住房保障支出</c:v>
                </c:pt>
              </c:strCache>
            </c:strRef>
          </c:cat>
          <c:val>
            <c:numRef>
              <c:f>'[新建 XLSX 工作表 (3).xlsx]Sheet1'!$J$16:$M$16</c:f>
              <c:numCache>
                <c:formatCode>General</c:formatCode>
                <c:ptCount val="4"/>
                <c:pt idx="0">
                  <c:v>20.44</c:v>
                </c:pt>
                <c:pt idx="1">
                  <c:v>56.15</c:v>
                </c:pt>
                <c:pt idx="2">
                  <c:v>230.94</c:v>
                </c:pt>
                <c:pt idx="3">
                  <c:v>32.09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b50f00-dd35-40bb-b3c6-e6491c0410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728</Words>
  <Characters>764</Characters>
  <Lines>54</Lines>
  <Paragraphs>15</Paragraphs>
  <TotalTime>0</TotalTime>
  <ScaleCrop>false</ScaleCrop>
  <LinksUpToDate>false</LinksUpToDate>
  <CharactersWithSpaces>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WPS_1765503685</cp:lastModifiedBy>
  <cp:lastPrinted>2023-08-03T02:35:00Z</cp:lastPrinted>
  <dcterms:modified xsi:type="dcterms:W3CDTF">2026-09-10T07:23:23Z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AD0A4D3B67C34593B94ADF7C56DA3383_12</vt:lpwstr>
  </property>
  <property fmtid="{D5CDD505-2E9C-101B-9397-08002B2CF9AE}" pid="4" name="KSOTemplateDocerSaveRecord">
    <vt:lpwstr>eyJoZGlkIjoiZjIwMmJhMTJlYjVlYThmMDcyMWQ2MjZhNGVmZDNlNmYiLCJ1c2VySWQiOiIxNzc5MzUxMDA3In0=</vt:lpwstr>
  </property>
</Properties>
</file>