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381B87">
      <w:pPr>
        <w:pStyle w:val="5"/>
        <w:spacing w:before="93"/>
        <w:jc w:val="both"/>
        <w:rPr>
          <w:rFonts w:ascii="Times New Roman" w:eastAsia="方正小标宋简体"/>
          <w:kern w:val="2"/>
          <w:sz w:val="44"/>
          <w:szCs w:val="44"/>
        </w:rPr>
      </w:pPr>
      <w:bookmarkStart w:id="0" w:name="_Toc15396597"/>
      <w:bookmarkStart w:id="1" w:name="_Toc15377193"/>
      <w:bookmarkStart w:id="2" w:name="_Toc15378441"/>
      <w:bookmarkStart w:id="3" w:name="_Toc15377425"/>
      <w:bookmarkStart w:id="4" w:name="_Toc15396475"/>
      <w:bookmarkStart w:id="5" w:name="_Toc15306267"/>
    </w:p>
    <w:bookmarkEnd w:id="0"/>
    <w:bookmarkEnd w:id="1"/>
    <w:bookmarkEnd w:id="2"/>
    <w:bookmarkEnd w:id="3"/>
    <w:bookmarkEnd w:id="4"/>
    <w:p w14:paraId="6413D089">
      <w:pPr>
        <w:pStyle w:val="5"/>
        <w:spacing w:before="93"/>
        <w:jc w:val="center"/>
        <w:rPr>
          <w:rFonts w:ascii="Times New Roman" w:eastAsia="方正小标宋简体"/>
          <w:kern w:val="2"/>
          <w:sz w:val="44"/>
          <w:szCs w:val="44"/>
        </w:rPr>
      </w:pPr>
      <w:bookmarkStart w:id="6" w:name="_Toc15396598"/>
      <w:bookmarkStart w:id="7" w:name="_Toc15396476"/>
      <w:bookmarkStart w:id="8" w:name="_Toc15378442"/>
      <w:bookmarkStart w:id="9" w:name="_Toc15377194"/>
      <w:bookmarkStart w:id="10" w:name="_Toc15377426"/>
      <w:r>
        <w:rPr>
          <w:rFonts w:hint="eastAsia" w:ascii="Times New Roman" w:eastAsia="方正小标宋简体"/>
          <w:kern w:val="2"/>
          <w:sz w:val="44"/>
          <w:szCs w:val="44"/>
        </w:rPr>
        <w:t>2025年度四川省阿坝州</w:t>
      </w:r>
      <w:bookmarkEnd w:id="5"/>
      <w:bookmarkStart w:id="11" w:name="_Toc15306268"/>
      <w:r>
        <w:rPr>
          <w:rFonts w:hint="eastAsia" w:ascii="Times New Roman" w:eastAsia="方正小标宋简体"/>
          <w:kern w:val="2"/>
          <w:sz w:val="44"/>
          <w:szCs w:val="44"/>
          <w:lang w:val="en-US" w:eastAsia="zh-CN"/>
        </w:rPr>
        <w:t xml:space="preserve">阿坝生态环境局  </w:t>
      </w:r>
      <w:r>
        <w:rPr>
          <w:rFonts w:hint="eastAsia" w:ascii="Times New Roman" w:eastAsia="方正小标宋简体"/>
          <w:kern w:val="2"/>
          <w:sz w:val="44"/>
          <w:szCs w:val="44"/>
        </w:rPr>
        <w:t>部门决算</w:t>
      </w:r>
      <w:bookmarkEnd w:id="6"/>
      <w:bookmarkEnd w:id="7"/>
      <w:bookmarkEnd w:id="8"/>
      <w:bookmarkEnd w:id="9"/>
      <w:bookmarkEnd w:id="10"/>
      <w:bookmarkEnd w:id="11"/>
    </w:p>
    <w:p w14:paraId="2924E4FB">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（注：以下为部门公开范本。单位公开内容应参照部门公开内容和报表格式，并与部门公开内容做好衔接）</w:t>
      </w:r>
    </w:p>
    <w:p w14:paraId="43D8AE58">
      <w:pPr>
        <w:widowControl/>
        <w:jc w:val="center"/>
        <w:rPr>
          <w:rFonts w:eastAsia="黑体"/>
          <w:sz w:val="48"/>
          <w:szCs w:val="48"/>
        </w:rPr>
        <w:sectPr>
          <w:footerReference r:id="rId5" w:type="first"/>
          <w:headerReference r:id="rId3" w:type="default"/>
          <w:footerReference r:id="rId4" w:type="default"/>
          <w:pgSz w:w="11906" w:h="16838"/>
          <w:pgMar w:top="1440" w:right="1800" w:bottom="1440" w:left="1800" w:header="851" w:footer="992" w:gutter="0"/>
          <w:pgNumType w:start="1"/>
          <w:cols w:space="425" w:num="1"/>
          <w:titlePg/>
          <w:docGrid w:type="lines" w:linePitch="312" w:charSpace="0"/>
        </w:sectPr>
      </w:pPr>
    </w:p>
    <w:p w14:paraId="50788538">
      <w:pPr>
        <w:widowControl/>
        <w:jc w:val="center"/>
        <w:rPr>
          <w:rFonts w:eastAsia="黑体"/>
          <w:sz w:val="48"/>
          <w:szCs w:val="48"/>
        </w:rPr>
      </w:pPr>
      <w:r>
        <w:rPr>
          <w:rFonts w:hint="eastAsia" w:eastAsia="黑体"/>
          <w:sz w:val="48"/>
          <w:szCs w:val="48"/>
        </w:rPr>
        <w:t>目录</w:t>
      </w:r>
    </w:p>
    <w:p w14:paraId="3803F827">
      <w:pPr>
        <w:widowControl/>
        <w:jc w:val="center"/>
        <w:rPr>
          <w:rFonts w:eastAsia="黑体" w:cstheme="minorBidi"/>
          <w:sz w:val="28"/>
          <w:szCs w:val="28"/>
        </w:rPr>
      </w:pPr>
    </w:p>
    <w:p w14:paraId="0657E047">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公开时间：2026年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10</w:t>
      </w:r>
      <w:r>
        <w:rPr>
          <w:rFonts w:hint="eastAsia" w:ascii="Times New Roman" w:hAnsi="Times New Roman" w:eastAsia="仿宋_GB2312" w:cs="仿宋_GB2312"/>
          <w:sz w:val="32"/>
          <w:szCs w:val="32"/>
        </w:rPr>
        <w:t>日</w:t>
      </w:r>
    </w:p>
    <w:p w14:paraId="640113EB"/>
    <w:p w14:paraId="3B9BB61D">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第一部分 部门概况</w:t>
      </w:r>
    </w:p>
    <w:p w14:paraId="11D8237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一、部门职责</w:t>
      </w:r>
    </w:p>
    <w:p w14:paraId="72DB81A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二、机构设置</w:t>
      </w:r>
    </w:p>
    <w:p w14:paraId="1E356330">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第二部分 2025年度部门决算情况说明</w:t>
      </w:r>
    </w:p>
    <w:p w14:paraId="0F8673C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一、收入支出决算总体情况说明</w:t>
      </w:r>
    </w:p>
    <w:p w14:paraId="0580B6BE">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二、收入决算情况说明</w:t>
      </w:r>
    </w:p>
    <w:p w14:paraId="3C20561E">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三、支出决算情况说明</w:t>
      </w:r>
    </w:p>
    <w:p w14:paraId="3744FF8A">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四、财政拨款收入支出决算总体情况说明</w:t>
      </w:r>
    </w:p>
    <w:p w14:paraId="4177A27E">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五、一般公共预算财政拨款支出决算情况说明</w:t>
      </w:r>
    </w:p>
    <w:p w14:paraId="7145A8B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六、一般公共预算财政拨款基本支出决算情况说明</w:t>
      </w:r>
    </w:p>
    <w:p w14:paraId="03D2CEEE">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七、财政拨款“三公”经费支出决算情况说明</w:t>
      </w:r>
    </w:p>
    <w:p w14:paraId="4EEAB35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八、政府性基金预算支出决算情况说明</w:t>
      </w:r>
    </w:p>
    <w:p w14:paraId="4760013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九、国有资本经营预算支出决算情况说明</w:t>
      </w:r>
    </w:p>
    <w:p w14:paraId="722241DB">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十、其他重要事项的情况说明</w:t>
      </w:r>
    </w:p>
    <w:p w14:paraId="38942C4C">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第三部分 名词解释</w:t>
      </w:r>
    </w:p>
    <w:p w14:paraId="771B78F2">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第四部分 附件</w:t>
      </w:r>
    </w:p>
    <w:p w14:paraId="29D8B45E">
      <w:pPr>
        <w:pStyle w:val="12"/>
        <w:adjustRightInd w:val="0"/>
        <w:snapToGrid w:val="0"/>
        <w:spacing w:before="0" w:line="560" w:lineRule="exact"/>
        <w:jc w:val="left"/>
        <w:rPr>
          <w:rFonts w:ascii="Times New Roman" w:hAnsi="Times New Roman" w:eastAsia="黑体" w:cs="黑体"/>
          <w:sz w:val="32"/>
          <w:szCs w:val="32"/>
        </w:rPr>
      </w:pPr>
      <w:r>
        <w:rPr>
          <w:rFonts w:hint="eastAsia" w:ascii="Times New Roman" w:hAnsi="Times New Roman" w:eastAsia="黑体" w:cs="黑体"/>
          <w:sz w:val="32"/>
          <w:szCs w:val="32"/>
        </w:rPr>
        <w:t>第五部分 附表</w:t>
      </w:r>
    </w:p>
    <w:p w14:paraId="4CF1615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一、收入支出决算总表</w:t>
      </w:r>
    </w:p>
    <w:p w14:paraId="06F7844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二、收入决算表</w:t>
      </w:r>
    </w:p>
    <w:p w14:paraId="6A2AAA55">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三、支出决算表</w:t>
      </w:r>
    </w:p>
    <w:p w14:paraId="6D52459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四、财政拨款收入支出决算总表</w:t>
      </w:r>
    </w:p>
    <w:p w14:paraId="514D30EC">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五、财政拨款支出决算明细表</w:t>
      </w:r>
    </w:p>
    <w:p w14:paraId="04E2BB38">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六、一般公共预算财政拨款支出决算表</w:t>
      </w:r>
    </w:p>
    <w:p w14:paraId="28BD2DD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七、一般公共预算财政拨款支出决算明细表</w:t>
      </w:r>
    </w:p>
    <w:p w14:paraId="06192393">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八、一般公共预算财政拨款基本支出决算明细表</w:t>
      </w:r>
    </w:p>
    <w:p w14:paraId="72F5966F">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九、一般公共预算财政拨款项目支出决算表</w:t>
      </w:r>
    </w:p>
    <w:p w14:paraId="49195EF2">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十、政府性基金预算财政拨款收入支出决算表</w:t>
      </w:r>
    </w:p>
    <w:p w14:paraId="1C45FE13">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十一、国有资本经营预算财政拨款收入支出决算表</w:t>
      </w:r>
    </w:p>
    <w:p w14:paraId="11598459">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十二、国有资本经营预算财政拨款支出决算表</w:t>
      </w:r>
    </w:p>
    <w:p w14:paraId="26662B8E">
      <w:pPr>
        <w:pStyle w:val="14"/>
        <w:adjustRightInd w:val="0"/>
        <w:snapToGrid w:val="0"/>
        <w:spacing w:line="560" w:lineRule="exact"/>
        <w:ind w:left="0" w:leftChars="0" w:firstLine="640" w:firstLineChars="200"/>
        <w:jc w:val="left"/>
        <w:rPr>
          <w:rFonts w:eastAsia="仿宋_GB2312" w:cs="仿宋_GB2312"/>
          <w:sz w:val="32"/>
          <w:szCs w:val="32"/>
        </w:rPr>
      </w:pPr>
      <w:r>
        <w:rPr>
          <w:rFonts w:hint="eastAsia" w:eastAsia="仿宋_GB2312" w:cs="仿宋_GB2312"/>
          <w:sz w:val="32"/>
          <w:szCs w:val="32"/>
        </w:rPr>
        <w:t>十三、财政拨款“三公”经费支出决算表</w:t>
      </w:r>
    </w:p>
    <w:p w14:paraId="6A401707">
      <w:pPr>
        <w:pStyle w:val="14"/>
        <w:adjustRightInd w:val="0"/>
        <w:snapToGrid w:val="0"/>
        <w:spacing w:line="560" w:lineRule="exact"/>
        <w:ind w:left="0" w:leftChars="0" w:firstLine="643" w:firstLineChars="200"/>
        <w:jc w:val="left"/>
        <w:rPr>
          <w:rFonts w:eastAsia="仿宋_GB2312" w:cs="仿宋_GB2312"/>
          <w:b/>
          <w:bCs/>
          <w:sz w:val="32"/>
          <w:szCs w:val="32"/>
        </w:rPr>
      </w:pPr>
      <w:r>
        <w:rPr>
          <w:rFonts w:hint="eastAsia" w:eastAsia="仿宋_GB2312" w:cs="仿宋_GB2312"/>
          <w:b/>
          <w:bCs/>
          <w:sz w:val="32"/>
          <w:szCs w:val="32"/>
        </w:rPr>
        <w:t>（注：请部门根据实际注明页码）</w:t>
      </w:r>
    </w:p>
    <w:p w14:paraId="1AFFE35C">
      <w:pPr>
        <w:widowControl/>
        <w:spacing w:line="560" w:lineRule="exact"/>
        <w:jc w:val="left"/>
        <w:rPr>
          <w:rFonts w:eastAsia="仿宋_GB2312" w:cs="仿宋_GB2312"/>
          <w:bCs/>
          <w:kern w:val="44"/>
          <w:sz w:val="32"/>
          <w:szCs w:val="32"/>
        </w:rPr>
      </w:pPr>
      <w:bookmarkStart w:id="12" w:name="_Toc15377196"/>
      <w:bookmarkStart w:id="13" w:name="_Toc15396599"/>
      <w:r>
        <w:rPr>
          <w:rFonts w:hint="eastAsia" w:eastAsia="仿宋_GB2312" w:cs="仿宋_GB2312"/>
          <w:b/>
          <w:sz w:val="32"/>
          <w:szCs w:val="32"/>
        </w:rPr>
        <w:br w:type="page"/>
      </w:r>
    </w:p>
    <w:p w14:paraId="02AE9774">
      <w:pPr>
        <w:pStyle w:val="2"/>
        <w:jc w:val="center"/>
        <w:rPr>
          <w:rStyle w:val="28"/>
          <w:rFonts w:eastAsia="方正小标宋简体" w:cs="方正小标宋简体"/>
          <w:b/>
          <w:bCs w:val="0"/>
        </w:rPr>
      </w:pPr>
      <w:r>
        <w:rPr>
          <w:rFonts w:hint="eastAsia" w:eastAsia="方正小标宋简体" w:cs="方正小标宋简体"/>
          <w:b w:val="0"/>
        </w:rPr>
        <w:t xml:space="preserve">第一部分  </w:t>
      </w:r>
      <w:r>
        <w:rPr>
          <w:rStyle w:val="28"/>
          <w:rFonts w:hint="eastAsia" w:eastAsia="方正小标宋简体" w:cs="方正小标宋简体"/>
          <w:b w:val="0"/>
          <w:bCs w:val="0"/>
        </w:rPr>
        <w:t>部门概况</w:t>
      </w:r>
      <w:bookmarkEnd w:id="12"/>
      <w:bookmarkEnd w:id="13"/>
    </w:p>
    <w:p w14:paraId="58B1C7B1">
      <w:pPr>
        <w:widowControl/>
        <w:jc w:val="left"/>
        <w:rPr>
          <w:rFonts w:eastAsia="黑体"/>
          <w:sz w:val="32"/>
          <w:szCs w:val="32"/>
        </w:rPr>
      </w:pPr>
    </w:p>
    <w:p w14:paraId="00D8595D">
      <w:pPr>
        <w:pStyle w:val="3"/>
        <w:numPr>
          <w:ilvl w:val="0"/>
          <w:numId w:val="1"/>
        </w:numPr>
        <w:rPr>
          <w:rFonts w:hint="eastAsia" w:ascii="Times New Roman" w:hAnsi="Times New Roman" w:eastAsia="黑体"/>
          <w:b w:val="0"/>
        </w:rPr>
      </w:pPr>
      <w:r>
        <w:rPr>
          <w:rFonts w:hint="eastAsia" w:ascii="Times New Roman" w:hAnsi="Times New Roman" w:eastAsia="黑体"/>
          <w:b w:val="0"/>
        </w:rPr>
        <w:t>部门职责</w:t>
      </w:r>
    </w:p>
    <w:p w14:paraId="1734D490">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贯彻执行有关环境保护工作的法律、法规、规章、方针政策、决策、决定、决议，并对执行情况进行监督，对重大经济发展规划以及重大经济开发计划进行环境影响评价，负责水、大气、土壤、噪声、辐射、固体废物、化学品及机动车等污染防治工作，监督执行国家、省颁布的各类环境质量标准和污染物排放标准。</w:t>
      </w:r>
    </w:p>
    <w:p w14:paraId="2A4AEE2A">
      <w:pPr>
        <w:numPr>
          <w:ilvl w:val="0"/>
          <w:numId w:val="0"/>
        </w:numPr>
        <w:rPr>
          <w:rFonts w:hint="eastAsia"/>
          <w:lang w:eastAsia="zh-CN"/>
        </w:rPr>
      </w:pPr>
    </w:p>
    <w:p w14:paraId="219F9D9E">
      <w:pPr>
        <w:pStyle w:val="3"/>
        <w:rPr>
          <w:rStyle w:val="29"/>
          <w:rFonts w:ascii="Times New Roman" w:hAnsi="Times New Roman"/>
          <w:b w:val="0"/>
          <w:bCs w:val="0"/>
        </w:rPr>
      </w:pPr>
      <w:bookmarkStart w:id="14" w:name="_Toc15396601"/>
      <w:bookmarkStart w:id="15" w:name="_Toc15377200"/>
      <w:r>
        <w:rPr>
          <w:rFonts w:hint="eastAsia" w:ascii="Times New Roman" w:hAnsi="Times New Roman" w:eastAsia="黑体"/>
          <w:b w:val="0"/>
        </w:rPr>
        <w:t>二、机</w:t>
      </w:r>
      <w:r>
        <w:rPr>
          <w:rStyle w:val="29"/>
          <w:rFonts w:hint="eastAsia" w:ascii="Times New Roman" w:hAnsi="Times New Roman" w:eastAsia="黑体"/>
          <w:b w:val="0"/>
          <w:bCs w:val="0"/>
        </w:rPr>
        <w:t>构设置</w:t>
      </w:r>
      <w:bookmarkEnd w:id="14"/>
      <w:bookmarkEnd w:id="15"/>
    </w:p>
    <w:p w14:paraId="6CD17105">
      <w:pPr>
        <w:snapToGrid w:val="0"/>
        <w:spacing w:line="520" w:lineRule="exact"/>
        <w:ind w:firstLine="640" w:firstLineChars="200"/>
        <w:rPr>
          <w:rFonts w:ascii="仿宋_GB2312" w:hAnsi="仿宋" w:eastAsia="仿宋_GB2312"/>
          <w:sz w:val="32"/>
          <w:szCs w:val="32"/>
        </w:rPr>
      </w:pPr>
      <w:r>
        <w:rPr>
          <w:rFonts w:hint="eastAsia" w:ascii="仿宋_GB2312" w:hAnsi="仿宋" w:eastAsia="仿宋_GB2312"/>
          <w:sz w:val="32"/>
          <w:szCs w:val="32"/>
        </w:rPr>
        <w:t>本单位本年度纳入本套决算编制范围的独立编制机构数共1个，比上年增加0个；独立核算机构数共1个，比上年增加0个。</w:t>
      </w:r>
    </w:p>
    <w:p w14:paraId="2D3D51ED">
      <w:pPr>
        <w:widowControl/>
        <w:jc w:val="left"/>
        <w:rPr>
          <w:rFonts w:eastAsia="仿宋"/>
          <w:kern w:val="0"/>
          <w:sz w:val="32"/>
          <w:szCs w:val="32"/>
        </w:rPr>
      </w:pPr>
      <w:r>
        <w:rPr>
          <w:rFonts w:eastAsia="仿宋"/>
          <w:sz w:val="32"/>
          <w:szCs w:val="32"/>
        </w:rPr>
        <w:br w:type="page"/>
      </w:r>
    </w:p>
    <w:p w14:paraId="5751913C">
      <w:pPr>
        <w:pStyle w:val="2"/>
        <w:jc w:val="center"/>
        <w:rPr>
          <w:rFonts w:eastAsia="方正小标宋简体" w:cs="方正小标宋简体"/>
          <w:b w:val="0"/>
        </w:rPr>
      </w:pPr>
      <w:bookmarkStart w:id="16" w:name="_Toc15377204"/>
      <w:bookmarkStart w:id="17" w:name="_Toc15396602"/>
      <w:r>
        <w:rPr>
          <w:rFonts w:hint="eastAsia" w:eastAsia="方正小标宋简体" w:cs="方正小标宋简体"/>
          <w:b w:val="0"/>
        </w:rPr>
        <w:t>第二部分  2025年度部门决算情况说明</w:t>
      </w:r>
      <w:bookmarkEnd w:id="16"/>
      <w:bookmarkEnd w:id="17"/>
    </w:p>
    <w:p w14:paraId="0E47ADF5"/>
    <w:p w14:paraId="5F532E49">
      <w:pPr>
        <w:pStyle w:val="27"/>
        <w:spacing w:line="600" w:lineRule="exact"/>
        <w:ind w:firstLine="640"/>
        <w:outlineLvl w:val="1"/>
        <w:rPr>
          <w:rStyle w:val="29"/>
          <w:rFonts w:ascii="Times New Roman" w:hAnsi="Times New Roman" w:eastAsia="黑体"/>
          <w:b w:val="0"/>
        </w:rPr>
      </w:pPr>
      <w:bookmarkStart w:id="18" w:name="_Toc15377205"/>
      <w:bookmarkStart w:id="19" w:name="_Toc15396603"/>
      <w:r>
        <w:rPr>
          <w:rFonts w:hint="eastAsia" w:eastAsia="黑体"/>
          <w:sz w:val="32"/>
          <w:szCs w:val="32"/>
        </w:rPr>
        <w:t>一、收</w:t>
      </w:r>
      <w:r>
        <w:rPr>
          <w:rStyle w:val="29"/>
          <w:rFonts w:hint="eastAsia" w:ascii="Times New Roman" w:hAnsi="Times New Roman" w:eastAsia="黑体"/>
          <w:b w:val="0"/>
        </w:rPr>
        <w:t>入支出决算总体情况说明</w:t>
      </w:r>
      <w:bookmarkEnd w:id="18"/>
      <w:bookmarkEnd w:id="19"/>
    </w:p>
    <w:p w14:paraId="52305F1D">
      <w:pPr>
        <w:pStyle w:val="27"/>
        <w:spacing w:line="600" w:lineRule="exact"/>
        <w:ind w:firstLine="640"/>
        <w:outlineLvl w:val="1"/>
        <w:rPr>
          <w:rFonts w:hint="eastAsia" w:eastAsia="仿宋" w:cs="仿宋_GB2312"/>
          <w:sz w:val="32"/>
          <w:szCs w:val="32"/>
          <w:lang w:val="en-US" w:eastAsia="zh-CN"/>
        </w:rPr>
      </w:pPr>
      <w:r>
        <w:rPr>
          <w:rFonts w:hint="eastAsia" w:eastAsia="仿宋_GB2312" w:cs="仿宋_GB2312"/>
          <w:sz w:val="32"/>
          <w:szCs w:val="32"/>
        </w:rPr>
        <w:t>2025年度收入为</w:t>
      </w:r>
      <w:r>
        <w:rPr>
          <w:rFonts w:hint="eastAsia" w:eastAsia="仿宋_GB2312" w:cs="仿宋_GB2312"/>
          <w:sz w:val="32"/>
          <w:szCs w:val="32"/>
          <w:lang w:val="en-US" w:eastAsia="zh-CN"/>
        </w:rPr>
        <w:t>783.6</w:t>
      </w:r>
      <w:r>
        <w:rPr>
          <w:rFonts w:hint="eastAsia" w:eastAsia="仿宋_GB2312" w:cs="仿宋_GB2312"/>
          <w:sz w:val="32"/>
          <w:szCs w:val="32"/>
        </w:rPr>
        <w:t>万元。与上年度相比，收入减少</w:t>
      </w:r>
      <w:r>
        <w:rPr>
          <w:rFonts w:hint="eastAsia" w:ascii="仿宋" w:hAnsi="仿宋" w:eastAsia="仿宋"/>
          <w:sz w:val="32"/>
          <w:szCs w:val="32"/>
        </w:rPr>
        <w:t>198.33</w:t>
      </w:r>
      <w:r>
        <w:rPr>
          <w:rFonts w:hint="eastAsia" w:eastAsia="仿宋_GB2312" w:cs="仿宋_GB2312"/>
          <w:sz w:val="32"/>
          <w:szCs w:val="32"/>
        </w:rPr>
        <w:t>万元，</w:t>
      </w:r>
      <w:r>
        <w:rPr>
          <w:rFonts w:hint="eastAsia" w:eastAsia="仿宋_GB2312" w:cs="仿宋_GB2312"/>
          <w:sz w:val="32"/>
          <w:szCs w:val="32"/>
          <w:lang w:val="en-US" w:eastAsia="zh-CN"/>
        </w:rPr>
        <w:t xml:space="preserve"> </w:t>
      </w:r>
      <w:r>
        <w:rPr>
          <w:rFonts w:hint="eastAsia" w:eastAsia="仿宋_GB2312" w:cs="仿宋_GB2312"/>
          <w:sz w:val="32"/>
          <w:szCs w:val="32"/>
        </w:rPr>
        <w:t>下降</w:t>
      </w:r>
      <w:r>
        <w:rPr>
          <w:rFonts w:hint="eastAsia" w:ascii="仿宋" w:hAnsi="仿宋" w:eastAsia="仿宋"/>
          <w:sz w:val="32"/>
          <w:szCs w:val="32"/>
        </w:rPr>
        <w:t>20.2%</w:t>
      </w:r>
      <w:r>
        <w:rPr>
          <w:rFonts w:hint="eastAsia" w:eastAsia="仿宋_GB2312" w:cs="仿宋_GB2312"/>
          <w:sz w:val="32"/>
          <w:szCs w:val="32"/>
        </w:rPr>
        <w:t>%。主要变动原因是</w:t>
      </w:r>
      <w:r>
        <w:rPr>
          <w:rFonts w:hint="eastAsia" w:ascii="仿宋" w:hAnsi="仿宋" w:eastAsia="仿宋"/>
          <w:sz w:val="32"/>
          <w:szCs w:val="32"/>
        </w:rPr>
        <w:t>收入减少</w:t>
      </w:r>
      <w:r>
        <w:rPr>
          <w:rFonts w:hint="eastAsia" w:ascii="仿宋" w:hAnsi="仿宋" w:eastAsia="仿宋"/>
          <w:sz w:val="32"/>
          <w:szCs w:val="32"/>
          <w:lang w:eastAsia="zh-CN"/>
        </w:rPr>
        <w:t>。</w:t>
      </w:r>
      <w:r>
        <w:rPr>
          <w:rFonts w:hint="eastAsia" w:eastAsia="仿宋_GB2312" w:cs="仿宋_GB2312"/>
          <w:sz w:val="32"/>
          <w:szCs w:val="32"/>
        </w:rPr>
        <w:t>2025年度</w:t>
      </w:r>
      <w:r>
        <w:rPr>
          <w:rFonts w:hint="eastAsia" w:eastAsia="仿宋_GB2312" w:cs="仿宋_GB2312"/>
          <w:sz w:val="32"/>
          <w:szCs w:val="32"/>
          <w:lang w:val="en-US" w:eastAsia="zh-CN"/>
        </w:rPr>
        <w:t>支出为</w:t>
      </w:r>
      <w:r>
        <w:rPr>
          <w:rFonts w:hint="eastAsia" w:ascii="仿宋" w:hAnsi="仿宋" w:eastAsia="仿宋"/>
          <w:sz w:val="32"/>
          <w:szCs w:val="32"/>
        </w:rPr>
        <w:t>803.17</w:t>
      </w:r>
      <w:r>
        <w:rPr>
          <w:rFonts w:hint="eastAsia" w:ascii="仿宋" w:hAnsi="仿宋" w:eastAsia="仿宋"/>
          <w:sz w:val="32"/>
          <w:szCs w:val="32"/>
          <w:lang w:val="en-US" w:eastAsia="zh-CN"/>
        </w:rPr>
        <w:t>万元，</w:t>
      </w:r>
      <w:r>
        <w:rPr>
          <w:rFonts w:hint="eastAsia" w:eastAsia="仿宋_GB2312" w:cs="仿宋_GB2312"/>
          <w:sz w:val="32"/>
          <w:szCs w:val="32"/>
        </w:rPr>
        <w:t>与上年度相比</w:t>
      </w:r>
      <w:r>
        <w:rPr>
          <w:rFonts w:hint="eastAsia" w:eastAsia="仿宋_GB2312" w:cs="仿宋_GB2312"/>
          <w:sz w:val="32"/>
          <w:szCs w:val="32"/>
          <w:lang w:val="en-US" w:eastAsia="zh-CN"/>
        </w:rPr>
        <w:t>减少</w:t>
      </w:r>
      <w:r>
        <w:rPr>
          <w:rFonts w:hint="eastAsia" w:ascii="仿宋" w:hAnsi="仿宋" w:eastAsia="仿宋"/>
          <w:sz w:val="32"/>
          <w:szCs w:val="32"/>
        </w:rPr>
        <w:t>55.19万元</w:t>
      </w:r>
      <w:r>
        <w:rPr>
          <w:rFonts w:hint="eastAsia" w:ascii="仿宋_GB2312" w:hAnsi="仿宋" w:eastAsia="仿宋_GB2312"/>
          <w:sz w:val="32"/>
          <w:szCs w:val="32"/>
        </w:rPr>
        <w:t>，</w:t>
      </w:r>
      <w:r>
        <w:rPr>
          <w:rFonts w:hint="eastAsia" w:ascii="仿宋" w:hAnsi="仿宋" w:eastAsia="仿宋"/>
          <w:sz w:val="32"/>
          <w:szCs w:val="32"/>
        </w:rPr>
        <w:t>下降6.43%</w:t>
      </w:r>
      <w:r>
        <w:rPr>
          <w:rFonts w:hint="eastAsia" w:ascii="仿宋_GB2312" w:hAnsi="仿宋" w:eastAsia="仿宋_GB2312"/>
          <w:sz w:val="32"/>
          <w:szCs w:val="32"/>
        </w:rPr>
        <w:t>，主要原因是</w:t>
      </w:r>
      <w:r>
        <w:rPr>
          <w:rFonts w:hint="eastAsia" w:ascii="仿宋" w:hAnsi="仿宋" w:eastAsia="仿宋"/>
          <w:sz w:val="32"/>
          <w:szCs w:val="32"/>
          <w:lang w:val="en-US" w:eastAsia="zh-CN"/>
        </w:rPr>
        <w:t>人员调出，费用减少</w:t>
      </w:r>
      <w:r>
        <w:rPr>
          <w:rFonts w:hint="eastAsia" w:ascii="仿宋_GB2312" w:hAnsi="仿宋" w:eastAsia="仿宋_GB2312"/>
          <w:sz w:val="32"/>
          <w:szCs w:val="32"/>
        </w:rPr>
        <w:t>。</w:t>
      </w:r>
    </w:p>
    <w:p w14:paraId="1139CB9E">
      <w:pPr>
        <w:pStyle w:val="27"/>
        <w:spacing w:line="600" w:lineRule="exact"/>
        <w:ind w:firstLine="640"/>
        <w:outlineLvl w:val="1"/>
        <w:rPr>
          <w:rFonts w:eastAsia="仿宋_GB2312" w:cs="仿宋_GB2312"/>
          <w:sz w:val="32"/>
          <w:szCs w:val="32"/>
        </w:rPr>
      </w:pPr>
      <w:r>
        <w:rPr>
          <w:rFonts w:hint="eastAsia" w:eastAsia="仿宋_GB2312" w:cs="仿宋_GB2312"/>
          <w:sz w:val="32"/>
          <w:szCs w:val="32"/>
        </w:rPr>
        <w:t>（图1：收入、支出决算总计变动情况图）（柱状图）</w:t>
      </w:r>
    </w:p>
    <w:p w14:paraId="2137B1B2">
      <w:pPr>
        <w:ind w:firstLine="420" w:firstLineChars="200"/>
        <w:rPr>
          <w:rFonts w:eastAsia="仿宋_GB2312" w:cs="仿宋_GB2312"/>
          <w:sz w:val="32"/>
          <w:szCs w:val="32"/>
        </w:rPr>
      </w:pPr>
      <w:r>
        <w:rPr>
          <w:rFonts w:hint="eastAsia"/>
        </w:rPr>
        <w:drawing>
          <wp:inline distT="0" distB="0" distL="114300" distR="114300">
            <wp:extent cx="5256530" cy="2988310"/>
            <wp:effectExtent l="5080" t="4445" r="15240" b="1714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1FC051E0">
      <w:pPr>
        <w:pStyle w:val="27"/>
        <w:spacing w:line="600" w:lineRule="exact"/>
        <w:ind w:firstLine="640"/>
        <w:outlineLvl w:val="1"/>
        <w:rPr>
          <w:rFonts w:eastAsia="黑体"/>
          <w:sz w:val="32"/>
          <w:szCs w:val="32"/>
        </w:rPr>
      </w:pPr>
      <w:bookmarkStart w:id="20" w:name="_Toc15396604"/>
      <w:bookmarkStart w:id="21" w:name="_Toc15377206"/>
      <w:r>
        <w:rPr>
          <w:rFonts w:hint="eastAsia" w:eastAsia="黑体"/>
          <w:sz w:val="32"/>
          <w:szCs w:val="32"/>
        </w:rPr>
        <w:t>二、收入决算情况说明</w:t>
      </w:r>
      <w:bookmarkEnd w:id="20"/>
      <w:bookmarkEnd w:id="21"/>
    </w:p>
    <w:p w14:paraId="08C6ACCB">
      <w:pPr>
        <w:pStyle w:val="27"/>
        <w:spacing w:line="600" w:lineRule="exact"/>
        <w:ind w:firstLine="640"/>
        <w:outlineLvl w:val="1"/>
        <w:rPr>
          <w:rFonts w:hint="eastAsia" w:eastAsia="仿宋_GB2312" w:cs="仿宋_GB2312"/>
          <w:sz w:val="32"/>
          <w:szCs w:val="32"/>
        </w:rPr>
      </w:pPr>
      <w:r>
        <w:rPr>
          <w:rFonts w:hint="eastAsia" w:eastAsia="仿宋_GB2312" w:cs="仿宋_GB2312"/>
          <w:sz w:val="32"/>
          <w:szCs w:val="32"/>
        </w:rPr>
        <w:t>2025年度本年收入合计</w:t>
      </w:r>
      <w:r>
        <w:rPr>
          <w:rFonts w:hint="eastAsia" w:eastAsia="仿宋_GB2312" w:cs="仿宋_GB2312"/>
          <w:sz w:val="32"/>
          <w:szCs w:val="32"/>
          <w:lang w:val="en-US" w:eastAsia="zh-CN"/>
        </w:rPr>
        <w:t>783.6</w:t>
      </w:r>
      <w:r>
        <w:rPr>
          <w:rFonts w:hint="eastAsia" w:eastAsia="仿宋_GB2312" w:cs="仿宋_GB2312"/>
          <w:sz w:val="32"/>
          <w:szCs w:val="32"/>
        </w:rPr>
        <w:t>万元，其中：一般公共预算财政拨款收入</w:t>
      </w:r>
      <w:r>
        <w:rPr>
          <w:rFonts w:hint="eastAsia" w:eastAsia="仿宋_GB2312" w:cs="仿宋_GB2312"/>
          <w:sz w:val="32"/>
          <w:szCs w:val="32"/>
          <w:lang w:val="en-US" w:eastAsia="zh-CN"/>
        </w:rPr>
        <w:t>701.6</w:t>
      </w:r>
      <w:r>
        <w:rPr>
          <w:rFonts w:hint="eastAsia" w:eastAsia="仿宋_GB2312" w:cs="仿宋_GB2312"/>
          <w:sz w:val="32"/>
          <w:szCs w:val="32"/>
        </w:rPr>
        <w:t>万元，占</w:t>
      </w:r>
      <w:r>
        <w:rPr>
          <w:rFonts w:hint="eastAsia" w:eastAsia="仿宋_GB2312" w:cs="仿宋_GB2312"/>
          <w:sz w:val="32"/>
          <w:szCs w:val="32"/>
          <w:lang w:val="en-US" w:eastAsia="zh-CN"/>
        </w:rPr>
        <w:t>89.54</w:t>
      </w:r>
      <w:r>
        <w:rPr>
          <w:rFonts w:hint="eastAsia" w:eastAsia="仿宋_GB2312" w:cs="仿宋_GB2312"/>
          <w:sz w:val="32"/>
          <w:szCs w:val="32"/>
        </w:rPr>
        <w:t>%；其他收入</w:t>
      </w:r>
      <w:r>
        <w:rPr>
          <w:rFonts w:hint="eastAsia" w:eastAsia="仿宋_GB2312" w:cs="仿宋_GB2312"/>
          <w:sz w:val="32"/>
          <w:szCs w:val="32"/>
          <w:lang w:val="en-US" w:eastAsia="zh-CN"/>
        </w:rPr>
        <w:t>82</w:t>
      </w:r>
      <w:r>
        <w:rPr>
          <w:rFonts w:hint="eastAsia" w:eastAsia="仿宋_GB2312" w:cs="仿宋_GB2312"/>
          <w:sz w:val="32"/>
          <w:szCs w:val="32"/>
        </w:rPr>
        <w:t>万元，占</w:t>
      </w:r>
      <w:r>
        <w:rPr>
          <w:rFonts w:hint="eastAsia" w:eastAsia="仿宋_GB2312" w:cs="仿宋_GB2312"/>
          <w:sz w:val="32"/>
          <w:szCs w:val="32"/>
          <w:lang w:val="en-US" w:eastAsia="zh-CN"/>
        </w:rPr>
        <w:t>10.46</w:t>
      </w:r>
      <w:r>
        <w:rPr>
          <w:rFonts w:hint="eastAsia" w:eastAsia="仿宋_GB2312" w:cs="仿宋_GB2312"/>
          <w:sz w:val="32"/>
          <w:szCs w:val="32"/>
        </w:rPr>
        <w:t>%。</w:t>
      </w:r>
    </w:p>
    <w:p w14:paraId="0300C076">
      <w:pPr>
        <w:pStyle w:val="27"/>
        <w:spacing w:line="600" w:lineRule="exact"/>
        <w:ind w:firstLine="640"/>
        <w:outlineLvl w:val="1"/>
        <w:rPr>
          <w:rFonts w:hint="eastAsia" w:eastAsia="仿宋_GB2312" w:cs="仿宋_GB2312"/>
          <w:sz w:val="32"/>
          <w:szCs w:val="32"/>
        </w:rPr>
      </w:pPr>
    </w:p>
    <w:p w14:paraId="208FCA80">
      <w:pPr>
        <w:pStyle w:val="27"/>
        <w:spacing w:line="600" w:lineRule="exact"/>
        <w:ind w:firstLine="640"/>
        <w:outlineLvl w:val="1"/>
        <w:rPr>
          <w:rFonts w:hint="eastAsia" w:eastAsia="仿宋_GB2312" w:cs="仿宋_GB2312"/>
          <w:sz w:val="32"/>
          <w:szCs w:val="32"/>
        </w:rPr>
      </w:pPr>
    </w:p>
    <w:p w14:paraId="7BA856B9">
      <w:pPr>
        <w:pStyle w:val="27"/>
        <w:spacing w:line="600" w:lineRule="exact"/>
        <w:ind w:firstLine="640"/>
        <w:outlineLvl w:val="1"/>
        <w:rPr>
          <w:rFonts w:hint="eastAsia" w:eastAsia="仿宋_GB2312" w:cs="仿宋_GB2312"/>
          <w:sz w:val="32"/>
          <w:szCs w:val="32"/>
        </w:rPr>
      </w:pPr>
    </w:p>
    <w:p w14:paraId="68A2EB0B">
      <w:pPr>
        <w:pStyle w:val="27"/>
        <w:spacing w:line="600" w:lineRule="exact"/>
        <w:ind w:firstLine="640"/>
        <w:outlineLvl w:val="1"/>
        <w:rPr>
          <w:rFonts w:eastAsia="仿宋_GB2312" w:cs="仿宋_GB2312"/>
          <w:sz w:val="32"/>
          <w:szCs w:val="32"/>
        </w:rPr>
      </w:pPr>
      <w:r>
        <w:rPr>
          <w:rFonts w:hint="eastAsia" w:eastAsia="仿宋_GB2312" w:cs="仿宋_GB2312"/>
          <w:sz w:val="32"/>
          <w:szCs w:val="32"/>
        </w:rPr>
        <w:t>（图2：收入决算结构图）（饼状图）</w:t>
      </w:r>
    </w:p>
    <w:p w14:paraId="7473622B">
      <w:pPr>
        <w:ind w:firstLine="525" w:firstLineChars="250"/>
        <w:rPr>
          <w:rFonts w:eastAsia="仿宋_GB2312" w:cs="仿宋_GB2312"/>
          <w:sz w:val="32"/>
          <w:szCs w:val="32"/>
        </w:rPr>
      </w:pPr>
      <w:r>
        <w:rPr>
          <w:rFonts w:hint="eastAsia"/>
        </w:rPr>
        <w:drawing>
          <wp:inline distT="0" distB="0" distL="114300" distR="114300">
            <wp:extent cx="5256530" cy="2988310"/>
            <wp:effectExtent l="5080" t="4445" r="15240" b="1714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6F2614BD">
      <w:pPr>
        <w:pStyle w:val="27"/>
        <w:spacing w:line="600" w:lineRule="exact"/>
        <w:ind w:firstLine="640"/>
        <w:outlineLvl w:val="1"/>
        <w:rPr>
          <w:rStyle w:val="29"/>
          <w:rFonts w:ascii="Times New Roman" w:hAnsi="Times New Roman" w:eastAsia="黑体"/>
          <w:b w:val="0"/>
        </w:rPr>
      </w:pPr>
      <w:bookmarkStart w:id="22" w:name="_Toc15377207"/>
      <w:bookmarkStart w:id="23" w:name="_Toc15396605"/>
      <w:r>
        <w:rPr>
          <w:rFonts w:hint="eastAsia" w:eastAsia="黑体"/>
          <w:sz w:val="32"/>
          <w:szCs w:val="32"/>
        </w:rPr>
        <w:t>三、支</w:t>
      </w:r>
      <w:r>
        <w:rPr>
          <w:rStyle w:val="29"/>
          <w:rFonts w:hint="eastAsia" w:ascii="Times New Roman" w:hAnsi="Times New Roman" w:eastAsia="黑体"/>
          <w:b w:val="0"/>
        </w:rPr>
        <w:t>出决算情况说明</w:t>
      </w:r>
      <w:bookmarkEnd w:id="22"/>
      <w:bookmarkEnd w:id="23"/>
    </w:p>
    <w:p w14:paraId="78617EA2">
      <w:pPr>
        <w:snapToGrid w:val="0"/>
        <w:spacing w:line="520" w:lineRule="exact"/>
        <w:ind w:firstLine="640" w:firstLineChars="200"/>
        <w:rPr>
          <w:rFonts w:ascii="仿宋" w:hAnsi="仿宋" w:eastAsia="仿宋" w:cs="仿宋"/>
          <w:sz w:val="32"/>
          <w:szCs w:val="32"/>
        </w:rPr>
      </w:pPr>
      <w:r>
        <w:rPr>
          <w:rFonts w:ascii="仿宋" w:hAnsi="仿宋" w:eastAsia="仿宋"/>
          <w:sz w:val="32"/>
          <w:szCs w:val="32"/>
        </w:rPr>
        <w:t>20</w:t>
      </w:r>
      <w:r>
        <w:rPr>
          <w:rFonts w:hint="eastAsia" w:ascii="仿宋" w:hAnsi="仿宋" w:eastAsia="仿宋"/>
          <w:sz w:val="32"/>
          <w:szCs w:val="32"/>
        </w:rPr>
        <w:t>25年本年支出合计803.17</w:t>
      </w:r>
      <w:r>
        <w:rPr>
          <w:rFonts w:hint="eastAsia" w:ascii="仿宋_GB2312" w:hAnsi="宋体" w:eastAsia="仿宋_GB2312" w:cs="宋体"/>
          <w:sz w:val="32"/>
          <w:szCs w:val="32"/>
        </w:rPr>
        <w:t>万元</w:t>
      </w:r>
      <w:r>
        <w:rPr>
          <w:rFonts w:hint="eastAsia" w:ascii="仿宋" w:hAnsi="仿宋" w:eastAsia="仿宋"/>
          <w:sz w:val="32"/>
          <w:szCs w:val="32"/>
        </w:rPr>
        <w:t>，</w:t>
      </w:r>
      <w:r>
        <w:rPr>
          <w:rFonts w:ascii="仿宋_GB2312" w:hAnsi="仿宋" w:eastAsia="仿宋_GB2312"/>
          <w:sz w:val="32"/>
          <w:szCs w:val="32"/>
        </w:rPr>
        <w:t>其中：社会保障和就业支出</w:t>
      </w:r>
      <w:r>
        <w:rPr>
          <w:rFonts w:hint="eastAsia" w:ascii="仿宋_GB2312" w:hAnsi="仿宋" w:eastAsia="仿宋_GB2312"/>
          <w:sz w:val="32"/>
          <w:szCs w:val="32"/>
        </w:rPr>
        <w:t>37.41</w:t>
      </w:r>
      <w:r>
        <w:rPr>
          <w:rFonts w:ascii="仿宋_GB2312" w:hAnsi="仿宋" w:eastAsia="仿宋_GB2312"/>
          <w:sz w:val="32"/>
          <w:szCs w:val="32"/>
        </w:rPr>
        <w:t>万元，占4.</w:t>
      </w:r>
      <w:r>
        <w:rPr>
          <w:rFonts w:hint="eastAsia" w:ascii="仿宋_GB2312" w:hAnsi="仿宋" w:eastAsia="仿宋_GB2312"/>
          <w:sz w:val="32"/>
          <w:szCs w:val="32"/>
        </w:rPr>
        <w:t>6</w:t>
      </w:r>
      <w:r>
        <w:rPr>
          <w:rFonts w:ascii="仿宋_GB2312" w:hAnsi="仿宋" w:eastAsia="仿宋_GB2312"/>
          <w:sz w:val="32"/>
          <w:szCs w:val="32"/>
        </w:rPr>
        <w:t>6%；卫生健康支出1</w:t>
      </w:r>
      <w:r>
        <w:rPr>
          <w:rFonts w:hint="eastAsia" w:ascii="仿宋_GB2312" w:hAnsi="仿宋" w:eastAsia="仿宋_GB2312"/>
          <w:sz w:val="32"/>
          <w:szCs w:val="32"/>
        </w:rPr>
        <w:t>1.71</w:t>
      </w:r>
      <w:r>
        <w:rPr>
          <w:rFonts w:ascii="仿宋_GB2312" w:hAnsi="仿宋" w:eastAsia="仿宋_GB2312"/>
          <w:sz w:val="32"/>
          <w:szCs w:val="32"/>
        </w:rPr>
        <w:t>万元，占1.</w:t>
      </w:r>
      <w:r>
        <w:rPr>
          <w:rFonts w:hint="eastAsia" w:ascii="仿宋_GB2312" w:hAnsi="仿宋" w:eastAsia="仿宋_GB2312"/>
          <w:sz w:val="32"/>
          <w:szCs w:val="32"/>
        </w:rPr>
        <w:t>46</w:t>
      </w:r>
      <w:r>
        <w:rPr>
          <w:rFonts w:ascii="仿宋_GB2312" w:hAnsi="仿宋" w:eastAsia="仿宋_GB2312"/>
          <w:sz w:val="32"/>
          <w:szCs w:val="32"/>
        </w:rPr>
        <w:t>%；节能环保支出7</w:t>
      </w:r>
      <w:r>
        <w:rPr>
          <w:rFonts w:hint="eastAsia" w:ascii="仿宋_GB2312" w:hAnsi="仿宋" w:eastAsia="仿宋_GB2312"/>
          <w:sz w:val="32"/>
          <w:szCs w:val="32"/>
        </w:rPr>
        <w:t>37.61</w:t>
      </w:r>
      <w:r>
        <w:rPr>
          <w:rFonts w:ascii="仿宋_GB2312" w:hAnsi="仿宋" w:eastAsia="仿宋_GB2312"/>
          <w:sz w:val="32"/>
          <w:szCs w:val="32"/>
        </w:rPr>
        <w:t>万元，占91.</w:t>
      </w:r>
      <w:r>
        <w:rPr>
          <w:rFonts w:hint="eastAsia" w:ascii="仿宋_GB2312" w:hAnsi="仿宋" w:eastAsia="仿宋_GB2312"/>
          <w:sz w:val="32"/>
          <w:szCs w:val="32"/>
        </w:rPr>
        <w:t>84</w:t>
      </w:r>
      <w:r>
        <w:rPr>
          <w:rFonts w:ascii="仿宋_GB2312" w:hAnsi="仿宋" w:eastAsia="仿宋_GB2312"/>
          <w:sz w:val="32"/>
          <w:szCs w:val="32"/>
        </w:rPr>
        <w:t>%；住房保障支出1</w:t>
      </w:r>
      <w:r>
        <w:rPr>
          <w:rFonts w:hint="eastAsia" w:ascii="仿宋_GB2312" w:hAnsi="仿宋" w:eastAsia="仿宋_GB2312"/>
          <w:sz w:val="32"/>
          <w:szCs w:val="32"/>
        </w:rPr>
        <w:t>6.44</w:t>
      </w:r>
      <w:r>
        <w:rPr>
          <w:rFonts w:ascii="仿宋_GB2312" w:hAnsi="仿宋" w:eastAsia="仿宋_GB2312"/>
          <w:sz w:val="32"/>
          <w:szCs w:val="32"/>
        </w:rPr>
        <w:t>万元，占2.</w:t>
      </w:r>
      <w:r>
        <w:rPr>
          <w:rFonts w:hint="eastAsia" w:ascii="仿宋_GB2312" w:hAnsi="仿宋" w:eastAsia="仿宋_GB2312"/>
          <w:sz w:val="32"/>
          <w:szCs w:val="32"/>
        </w:rPr>
        <w:t>04</w:t>
      </w:r>
      <w:r>
        <w:rPr>
          <w:rFonts w:ascii="仿宋_GB2312" w:hAnsi="仿宋" w:eastAsia="仿宋_GB2312"/>
          <w:sz w:val="32"/>
          <w:szCs w:val="32"/>
        </w:rPr>
        <w:t>%。</w:t>
      </w:r>
    </w:p>
    <w:p w14:paraId="3E9D9CDE">
      <w:pPr>
        <w:jc w:val="center"/>
      </w:pPr>
      <w:r>
        <w:rPr>
          <w:rFonts w:hint="eastAsia"/>
        </w:rPr>
        <w:drawing>
          <wp:anchor distT="0" distB="0" distL="114300" distR="114300" simplePos="0" relativeHeight="251659264" behindDoc="0" locked="0" layoutInCell="1" allowOverlap="1">
            <wp:simplePos x="0" y="0"/>
            <wp:positionH relativeFrom="column">
              <wp:posOffset>107315</wp:posOffset>
            </wp:positionH>
            <wp:positionV relativeFrom="paragraph">
              <wp:posOffset>146685</wp:posOffset>
            </wp:positionV>
            <wp:extent cx="5256530" cy="2988310"/>
            <wp:effectExtent l="5080" t="4445" r="15240" b="17145"/>
            <wp:wrapSquare wrapText="bothSides"/>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218D0A57">
      <w:pPr>
        <w:spacing w:line="600" w:lineRule="exact"/>
        <w:ind w:firstLine="640" w:firstLineChars="200"/>
        <w:outlineLvl w:val="1"/>
        <w:rPr>
          <w:rStyle w:val="29"/>
          <w:rFonts w:ascii="Times New Roman" w:hAnsi="Times New Roman" w:eastAsia="黑体"/>
          <w:b w:val="0"/>
        </w:rPr>
      </w:pPr>
      <w:bookmarkStart w:id="24" w:name="_Toc15396606"/>
      <w:bookmarkStart w:id="25" w:name="_Toc15377208"/>
      <w:r>
        <w:rPr>
          <w:rFonts w:hint="eastAsia" w:eastAsia="黑体"/>
          <w:sz w:val="32"/>
          <w:szCs w:val="32"/>
        </w:rPr>
        <w:t>四、财</w:t>
      </w:r>
      <w:r>
        <w:rPr>
          <w:rStyle w:val="29"/>
          <w:rFonts w:hint="eastAsia" w:ascii="Times New Roman" w:hAnsi="Times New Roman" w:eastAsia="黑体"/>
          <w:b w:val="0"/>
        </w:rPr>
        <w:t>政拨款收入支出决算总体情况说明</w:t>
      </w:r>
      <w:bookmarkEnd w:id="24"/>
      <w:bookmarkEnd w:id="25"/>
    </w:p>
    <w:p w14:paraId="1D295269">
      <w:pPr>
        <w:pStyle w:val="27"/>
        <w:spacing w:line="600" w:lineRule="exact"/>
        <w:ind w:firstLine="640"/>
        <w:outlineLvl w:val="1"/>
        <w:rPr>
          <w:rFonts w:hint="eastAsia" w:eastAsia="仿宋" w:cs="仿宋_GB2312"/>
          <w:sz w:val="32"/>
          <w:szCs w:val="32"/>
          <w:lang w:val="en-US" w:eastAsia="zh-CN"/>
        </w:rPr>
      </w:pPr>
      <w:r>
        <w:rPr>
          <w:rFonts w:hint="eastAsia" w:eastAsia="仿宋_GB2312" w:cs="仿宋_GB2312"/>
          <w:sz w:val="32"/>
          <w:szCs w:val="32"/>
        </w:rPr>
        <w:t>2025年度收入为</w:t>
      </w:r>
      <w:r>
        <w:rPr>
          <w:rFonts w:hint="eastAsia" w:eastAsia="仿宋_GB2312" w:cs="仿宋_GB2312"/>
          <w:sz w:val="32"/>
          <w:szCs w:val="32"/>
          <w:lang w:val="en-US" w:eastAsia="zh-CN"/>
        </w:rPr>
        <w:t>783.6</w:t>
      </w:r>
      <w:r>
        <w:rPr>
          <w:rFonts w:hint="eastAsia" w:eastAsia="仿宋_GB2312" w:cs="仿宋_GB2312"/>
          <w:sz w:val="32"/>
          <w:szCs w:val="32"/>
        </w:rPr>
        <w:t>万元。与上年度相比，收入减少</w:t>
      </w:r>
      <w:r>
        <w:rPr>
          <w:rFonts w:hint="eastAsia" w:ascii="仿宋" w:hAnsi="仿宋" w:eastAsia="仿宋"/>
          <w:sz w:val="32"/>
          <w:szCs w:val="32"/>
        </w:rPr>
        <w:t>198.33</w:t>
      </w:r>
      <w:r>
        <w:rPr>
          <w:rFonts w:hint="eastAsia" w:eastAsia="仿宋_GB2312" w:cs="仿宋_GB2312"/>
          <w:sz w:val="32"/>
          <w:szCs w:val="32"/>
        </w:rPr>
        <w:t>万元，</w:t>
      </w:r>
      <w:r>
        <w:rPr>
          <w:rFonts w:hint="eastAsia" w:eastAsia="仿宋_GB2312" w:cs="仿宋_GB2312"/>
          <w:sz w:val="32"/>
          <w:szCs w:val="32"/>
          <w:lang w:val="en-US" w:eastAsia="zh-CN"/>
        </w:rPr>
        <w:t xml:space="preserve"> </w:t>
      </w:r>
      <w:r>
        <w:rPr>
          <w:rFonts w:hint="eastAsia" w:eastAsia="仿宋_GB2312" w:cs="仿宋_GB2312"/>
          <w:sz w:val="32"/>
          <w:szCs w:val="32"/>
        </w:rPr>
        <w:t>下降</w:t>
      </w:r>
      <w:r>
        <w:rPr>
          <w:rFonts w:hint="eastAsia" w:ascii="仿宋" w:hAnsi="仿宋" w:eastAsia="仿宋"/>
          <w:sz w:val="32"/>
          <w:szCs w:val="32"/>
        </w:rPr>
        <w:t>20.2%</w:t>
      </w:r>
      <w:r>
        <w:rPr>
          <w:rFonts w:hint="eastAsia" w:eastAsia="仿宋_GB2312" w:cs="仿宋_GB2312"/>
          <w:sz w:val="32"/>
          <w:szCs w:val="32"/>
        </w:rPr>
        <w:t>%。主要变动原因是</w:t>
      </w:r>
      <w:r>
        <w:rPr>
          <w:rFonts w:hint="eastAsia" w:ascii="仿宋" w:hAnsi="仿宋" w:eastAsia="仿宋"/>
          <w:sz w:val="32"/>
          <w:szCs w:val="32"/>
        </w:rPr>
        <w:t>收入减少</w:t>
      </w:r>
      <w:r>
        <w:rPr>
          <w:rFonts w:hint="eastAsia" w:ascii="仿宋" w:hAnsi="仿宋" w:eastAsia="仿宋"/>
          <w:sz w:val="32"/>
          <w:szCs w:val="32"/>
          <w:lang w:eastAsia="zh-CN"/>
        </w:rPr>
        <w:t>。</w:t>
      </w:r>
      <w:r>
        <w:rPr>
          <w:rFonts w:hint="eastAsia" w:eastAsia="仿宋_GB2312" w:cs="仿宋_GB2312"/>
          <w:sz w:val="32"/>
          <w:szCs w:val="32"/>
        </w:rPr>
        <w:t>2025年度</w:t>
      </w:r>
      <w:r>
        <w:rPr>
          <w:rFonts w:hint="eastAsia" w:eastAsia="仿宋_GB2312" w:cs="仿宋_GB2312"/>
          <w:sz w:val="32"/>
          <w:szCs w:val="32"/>
          <w:lang w:val="en-US" w:eastAsia="zh-CN"/>
        </w:rPr>
        <w:t>支出为</w:t>
      </w:r>
      <w:r>
        <w:rPr>
          <w:rFonts w:hint="eastAsia" w:ascii="仿宋" w:hAnsi="仿宋" w:eastAsia="仿宋"/>
          <w:sz w:val="32"/>
          <w:szCs w:val="32"/>
        </w:rPr>
        <w:t>803.17</w:t>
      </w:r>
      <w:r>
        <w:rPr>
          <w:rFonts w:hint="eastAsia" w:ascii="仿宋" w:hAnsi="仿宋" w:eastAsia="仿宋"/>
          <w:sz w:val="32"/>
          <w:szCs w:val="32"/>
          <w:lang w:val="en-US" w:eastAsia="zh-CN"/>
        </w:rPr>
        <w:t>万元，</w:t>
      </w:r>
      <w:r>
        <w:rPr>
          <w:rFonts w:hint="eastAsia" w:eastAsia="仿宋_GB2312" w:cs="仿宋_GB2312"/>
          <w:sz w:val="32"/>
          <w:szCs w:val="32"/>
        </w:rPr>
        <w:t>与上年度相比</w:t>
      </w:r>
      <w:r>
        <w:rPr>
          <w:rFonts w:hint="eastAsia" w:eastAsia="仿宋_GB2312" w:cs="仿宋_GB2312"/>
          <w:sz w:val="32"/>
          <w:szCs w:val="32"/>
          <w:lang w:val="en-US" w:eastAsia="zh-CN"/>
        </w:rPr>
        <w:t>减少</w:t>
      </w:r>
      <w:r>
        <w:rPr>
          <w:rFonts w:hint="eastAsia" w:ascii="仿宋" w:hAnsi="仿宋" w:eastAsia="仿宋"/>
          <w:sz w:val="32"/>
          <w:szCs w:val="32"/>
        </w:rPr>
        <w:t>55.19万元</w:t>
      </w:r>
      <w:r>
        <w:rPr>
          <w:rFonts w:hint="eastAsia" w:ascii="仿宋_GB2312" w:hAnsi="仿宋" w:eastAsia="仿宋_GB2312"/>
          <w:sz w:val="32"/>
          <w:szCs w:val="32"/>
        </w:rPr>
        <w:t>，</w:t>
      </w:r>
      <w:r>
        <w:rPr>
          <w:rFonts w:hint="eastAsia" w:ascii="仿宋" w:hAnsi="仿宋" w:eastAsia="仿宋"/>
          <w:sz w:val="32"/>
          <w:szCs w:val="32"/>
        </w:rPr>
        <w:t>下降6.43%</w:t>
      </w:r>
      <w:r>
        <w:rPr>
          <w:rFonts w:hint="eastAsia" w:ascii="仿宋_GB2312" w:hAnsi="仿宋" w:eastAsia="仿宋_GB2312"/>
          <w:sz w:val="32"/>
          <w:szCs w:val="32"/>
        </w:rPr>
        <w:t>，主要原因是</w:t>
      </w:r>
      <w:r>
        <w:rPr>
          <w:rFonts w:hint="eastAsia" w:ascii="仿宋" w:hAnsi="仿宋" w:eastAsia="仿宋"/>
          <w:sz w:val="32"/>
          <w:szCs w:val="32"/>
          <w:lang w:val="en-US" w:eastAsia="zh-CN"/>
        </w:rPr>
        <w:t>人员调出，费用减少</w:t>
      </w:r>
      <w:r>
        <w:rPr>
          <w:rFonts w:hint="eastAsia" w:ascii="仿宋_GB2312" w:hAnsi="仿宋" w:eastAsia="仿宋_GB2312"/>
          <w:sz w:val="32"/>
          <w:szCs w:val="32"/>
        </w:rPr>
        <w:t>。</w:t>
      </w:r>
    </w:p>
    <w:p w14:paraId="51743378">
      <w:pPr>
        <w:spacing w:line="600" w:lineRule="exact"/>
        <w:ind w:firstLine="640" w:firstLineChars="200"/>
        <w:rPr>
          <w:rFonts w:eastAsia="仿宋_GB2312" w:cs="仿宋_GB2312"/>
          <w:sz w:val="32"/>
          <w:szCs w:val="32"/>
        </w:rPr>
      </w:pPr>
      <w:r>
        <w:rPr>
          <w:rFonts w:hint="eastAsia" w:eastAsia="仿宋_GB2312" w:cs="仿宋_GB2312"/>
          <w:sz w:val="32"/>
          <w:szCs w:val="32"/>
        </w:rPr>
        <w:t>（图4：财政拨款收、支决算总计变动情况）（柱状图）</w:t>
      </w:r>
    </w:p>
    <w:p w14:paraId="3895FF99">
      <w:pPr>
        <w:spacing w:line="600" w:lineRule="exact"/>
        <w:ind w:firstLine="640"/>
        <w:rPr>
          <w:rFonts w:eastAsia="仿宋_GB2312" w:cs="仿宋_GB2312"/>
          <w:sz w:val="32"/>
          <w:szCs w:val="32"/>
        </w:rPr>
      </w:pPr>
      <w:r>
        <w:rPr>
          <w:rFonts w:hint="eastAsia"/>
        </w:rPr>
        <w:drawing>
          <wp:anchor distT="0" distB="0" distL="114300" distR="114300" simplePos="0" relativeHeight="251660288" behindDoc="1" locked="0" layoutInCell="1" allowOverlap="1">
            <wp:simplePos x="0" y="0"/>
            <wp:positionH relativeFrom="column">
              <wp:posOffset>189865</wp:posOffset>
            </wp:positionH>
            <wp:positionV relativeFrom="paragraph">
              <wp:posOffset>246380</wp:posOffset>
            </wp:positionV>
            <wp:extent cx="5256530" cy="2988310"/>
            <wp:effectExtent l="5080" t="4445" r="15240" b="17145"/>
            <wp:wrapTight wrapText="bothSides">
              <wp:wrapPolygon>
                <wp:start x="-21" y="-32"/>
                <wp:lineTo x="-21" y="21449"/>
                <wp:lineTo x="21506" y="21449"/>
                <wp:lineTo x="21506" y="-32"/>
                <wp:lineTo x="-21" y="-32"/>
              </wp:wrapPolygon>
            </wp:wrapTight>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7061E85C">
      <w:pPr>
        <w:spacing w:line="600" w:lineRule="exact"/>
        <w:ind w:firstLine="640" w:firstLineChars="200"/>
        <w:outlineLvl w:val="1"/>
        <w:rPr>
          <w:rStyle w:val="29"/>
          <w:rFonts w:ascii="Times New Roman" w:hAnsi="Times New Roman" w:eastAsia="黑体"/>
          <w:b w:val="0"/>
        </w:rPr>
      </w:pPr>
      <w:bookmarkStart w:id="26" w:name="_Toc15377209"/>
      <w:bookmarkStart w:id="27" w:name="_Toc15396607"/>
      <w:r>
        <w:rPr>
          <w:rFonts w:hint="eastAsia" w:eastAsia="黑体"/>
          <w:sz w:val="32"/>
          <w:szCs w:val="32"/>
        </w:rPr>
        <w:t>五、</w:t>
      </w:r>
      <w:r>
        <w:rPr>
          <w:rFonts w:hint="eastAsia" w:eastAsia="黑体"/>
          <w:b/>
          <w:sz w:val="32"/>
          <w:szCs w:val="32"/>
        </w:rPr>
        <w:t>一</w:t>
      </w:r>
      <w:r>
        <w:rPr>
          <w:rStyle w:val="29"/>
          <w:rFonts w:hint="eastAsia" w:ascii="Times New Roman" w:hAnsi="Times New Roman" w:eastAsia="黑体"/>
          <w:b w:val="0"/>
        </w:rPr>
        <w:t>般公共预算财政拨款支出决算情况说明</w:t>
      </w:r>
      <w:bookmarkEnd w:id="26"/>
      <w:bookmarkEnd w:id="27"/>
    </w:p>
    <w:p w14:paraId="08E51433">
      <w:pPr>
        <w:spacing w:line="600" w:lineRule="exact"/>
        <w:ind w:firstLine="643" w:firstLineChars="200"/>
        <w:outlineLvl w:val="2"/>
        <w:rPr>
          <w:rFonts w:eastAsia="楷体_GB2312" w:cs="楷体_GB2312"/>
          <w:b/>
          <w:sz w:val="32"/>
          <w:szCs w:val="32"/>
        </w:rPr>
      </w:pPr>
      <w:bookmarkStart w:id="28" w:name="_Toc15377210"/>
      <w:r>
        <w:rPr>
          <w:rFonts w:hint="eastAsia" w:eastAsia="楷体_GB2312" w:cs="楷体_GB2312"/>
          <w:b/>
          <w:sz w:val="32"/>
          <w:szCs w:val="32"/>
        </w:rPr>
        <w:t>（一）一般公共预算财政拨款支出决算总体情况</w:t>
      </w:r>
      <w:bookmarkEnd w:id="28"/>
    </w:p>
    <w:p w14:paraId="0118D1FA">
      <w:pPr>
        <w:spacing w:line="600" w:lineRule="exact"/>
        <w:ind w:firstLine="640"/>
        <w:rPr>
          <w:rFonts w:hint="eastAsia" w:ascii="仿宋" w:hAnsi="仿宋" w:eastAsia="仿宋"/>
          <w:sz w:val="32"/>
          <w:szCs w:val="32"/>
          <w:lang w:val="en-US" w:eastAsia="zh-CN"/>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701.6</w:t>
      </w:r>
      <w:r>
        <w:rPr>
          <w:rFonts w:hint="eastAsia" w:eastAsia="仿宋_GB2312" w:cs="仿宋_GB2312"/>
          <w:sz w:val="32"/>
          <w:szCs w:val="32"/>
        </w:rPr>
        <w:t>万元，占本年支出合计的</w:t>
      </w:r>
      <w:r>
        <w:rPr>
          <w:rFonts w:hint="eastAsia" w:eastAsia="仿宋_GB2312" w:cs="仿宋_GB2312"/>
          <w:sz w:val="32"/>
          <w:szCs w:val="32"/>
          <w:lang w:val="en-US" w:eastAsia="zh-CN"/>
        </w:rPr>
        <w:t>87.35</w:t>
      </w:r>
      <w:r>
        <w:rPr>
          <w:rFonts w:hint="eastAsia" w:eastAsia="仿宋_GB2312" w:cs="仿宋_GB2312"/>
          <w:sz w:val="32"/>
          <w:szCs w:val="32"/>
        </w:rPr>
        <w:t>%。与上年度相比，一般公共预算财政拨款支出减少</w:t>
      </w:r>
      <w:r>
        <w:rPr>
          <w:rFonts w:hint="eastAsia" w:eastAsia="仿宋_GB2312" w:cs="仿宋_GB2312"/>
          <w:sz w:val="32"/>
          <w:szCs w:val="32"/>
          <w:lang w:val="en-US" w:eastAsia="zh-CN"/>
        </w:rPr>
        <w:t>74.77</w:t>
      </w:r>
      <w:r>
        <w:rPr>
          <w:rFonts w:hint="eastAsia" w:eastAsia="仿宋_GB2312" w:cs="仿宋_GB2312"/>
          <w:sz w:val="32"/>
          <w:szCs w:val="32"/>
        </w:rPr>
        <w:t>万元，下降</w:t>
      </w:r>
      <w:r>
        <w:rPr>
          <w:rFonts w:hint="eastAsia" w:eastAsia="仿宋_GB2312" w:cs="仿宋_GB2312"/>
          <w:sz w:val="32"/>
          <w:szCs w:val="32"/>
          <w:lang w:val="en-US" w:eastAsia="zh-CN"/>
        </w:rPr>
        <w:t>9.6</w:t>
      </w:r>
      <w:r>
        <w:rPr>
          <w:rFonts w:hint="eastAsia" w:eastAsia="仿宋_GB2312" w:cs="仿宋_GB2312"/>
          <w:sz w:val="32"/>
          <w:szCs w:val="32"/>
        </w:rPr>
        <w:t>%。主要变动原因是</w:t>
      </w:r>
      <w:r>
        <w:rPr>
          <w:rFonts w:hint="eastAsia" w:ascii="仿宋" w:hAnsi="仿宋" w:eastAsia="仿宋"/>
          <w:sz w:val="32"/>
          <w:szCs w:val="32"/>
          <w:lang w:val="en-US" w:eastAsia="zh-CN"/>
        </w:rPr>
        <w:t>人员调出，费用减少</w:t>
      </w:r>
      <w:r>
        <w:rPr>
          <w:rFonts w:hint="eastAsia" w:ascii="仿宋" w:hAnsi="仿宋" w:eastAsia="仿宋"/>
          <w:sz w:val="32"/>
          <w:szCs w:val="32"/>
          <w:lang w:eastAsia="zh-CN"/>
        </w:rPr>
        <w:t>。</w:t>
      </w:r>
    </w:p>
    <w:p w14:paraId="6AA57073">
      <w:pPr>
        <w:spacing w:line="600" w:lineRule="exact"/>
        <w:ind w:firstLine="640"/>
        <w:rPr>
          <w:rFonts w:hint="eastAsia" w:eastAsia="仿宋_GB2312" w:cs="仿宋_GB2312"/>
          <w:sz w:val="32"/>
          <w:szCs w:val="32"/>
        </w:rPr>
      </w:pPr>
      <w:r>
        <w:rPr>
          <w:rFonts w:hint="eastAsia" w:eastAsia="仿宋_GB2312" w:cs="仿宋_GB2312"/>
          <w:sz w:val="32"/>
          <w:szCs w:val="32"/>
        </w:rPr>
        <w:t>（图5：一般公共预算财政拨款支出决算变动情况）（柱状图）</w:t>
      </w:r>
    </w:p>
    <w:p w14:paraId="4B93B5B8">
      <w:pPr>
        <w:pStyle w:val="5"/>
        <w:rPr>
          <w:rFonts w:hint="eastAsia" w:eastAsia="仿宋_GB2312"/>
          <w:lang w:eastAsia="zh-CN"/>
        </w:rPr>
      </w:pPr>
      <w:r>
        <w:rPr>
          <w:rFonts w:hint="eastAsia" w:eastAsia="仿宋_GB2312"/>
          <w:lang w:eastAsia="zh-CN"/>
        </w:rPr>
        <w:drawing>
          <wp:inline distT="0" distB="0" distL="114300" distR="114300">
            <wp:extent cx="5256530" cy="2988310"/>
            <wp:effectExtent l="5080" t="4445" r="15240" b="1714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2359FB1">
      <w:pPr>
        <w:spacing w:line="600" w:lineRule="exact"/>
        <w:ind w:firstLine="640"/>
        <w:rPr>
          <w:rFonts w:eastAsia="仿宋_GB2312" w:cs="仿宋_GB2312"/>
          <w:sz w:val="32"/>
          <w:szCs w:val="32"/>
        </w:rPr>
      </w:pPr>
    </w:p>
    <w:p w14:paraId="52EB6959">
      <w:pPr>
        <w:spacing w:line="600" w:lineRule="exact"/>
        <w:ind w:firstLine="643" w:firstLineChars="200"/>
        <w:outlineLvl w:val="2"/>
        <w:rPr>
          <w:rFonts w:eastAsia="楷体_GB2312" w:cs="楷体_GB2312"/>
          <w:b/>
          <w:sz w:val="32"/>
          <w:szCs w:val="32"/>
        </w:rPr>
      </w:pPr>
      <w:bookmarkStart w:id="29" w:name="_Toc15377211"/>
      <w:r>
        <w:rPr>
          <w:rFonts w:hint="eastAsia" w:eastAsia="楷体_GB2312" w:cs="楷体_GB2312"/>
          <w:b/>
          <w:sz w:val="32"/>
          <w:szCs w:val="32"/>
        </w:rPr>
        <w:t>（二）一般公共预算财政拨款支出决算结构情况</w:t>
      </w:r>
      <w:bookmarkEnd w:id="29"/>
    </w:p>
    <w:p w14:paraId="54F16CFC">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2025年度一般公共预算财政拨款支出</w:t>
      </w:r>
      <w:r>
        <w:rPr>
          <w:rFonts w:hint="eastAsia" w:eastAsia="仿宋_GB2312" w:cs="仿宋_GB2312"/>
          <w:sz w:val="32"/>
          <w:szCs w:val="32"/>
          <w:lang w:val="en-US" w:eastAsia="zh-CN"/>
        </w:rPr>
        <w:t>701.6</w:t>
      </w:r>
      <w:r>
        <w:rPr>
          <w:rFonts w:hint="eastAsia" w:eastAsia="仿宋_GB2312" w:cs="仿宋_GB2312"/>
          <w:sz w:val="32"/>
          <w:szCs w:val="32"/>
        </w:rPr>
        <w:t>万元，主要用于以下方面：社会保障和就业支出</w:t>
      </w:r>
      <w:r>
        <w:rPr>
          <w:rFonts w:hint="eastAsia" w:eastAsia="仿宋_GB2312" w:cs="仿宋_GB2312"/>
          <w:sz w:val="32"/>
          <w:szCs w:val="32"/>
          <w:lang w:val="en-US" w:eastAsia="zh-CN"/>
        </w:rPr>
        <w:t>37.41</w:t>
      </w:r>
      <w:r>
        <w:rPr>
          <w:rFonts w:hint="eastAsia" w:eastAsia="仿宋_GB2312" w:cs="仿宋_GB2312"/>
          <w:sz w:val="32"/>
          <w:szCs w:val="32"/>
        </w:rPr>
        <w:t>万元，占</w:t>
      </w:r>
      <w:r>
        <w:rPr>
          <w:rFonts w:hint="eastAsia" w:eastAsia="仿宋_GB2312" w:cs="仿宋_GB2312"/>
          <w:sz w:val="32"/>
          <w:szCs w:val="32"/>
          <w:lang w:val="en-US" w:eastAsia="zh-CN"/>
        </w:rPr>
        <w:t>5.33</w:t>
      </w:r>
      <w:r>
        <w:rPr>
          <w:rFonts w:hint="eastAsia" w:eastAsia="仿宋_GB2312" w:cs="仿宋_GB2312"/>
          <w:sz w:val="32"/>
          <w:szCs w:val="32"/>
        </w:rPr>
        <w:t>%；卫生健康支出</w:t>
      </w:r>
      <w:r>
        <w:rPr>
          <w:rFonts w:hint="eastAsia" w:eastAsia="仿宋_GB2312" w:cs="仿宋_GB2312"/>
          <w:sz w:val="32"/>
          <w:szCs w:val="32"/>
          <w:lang w:val="en-US" w:eastAsia="zh-CN"/>
        </w:rPr>
        <w:t>11.71</w:t>
      </w:r>
      <w:r>
        <w:rPr>
          <w:rFonts w:hint="eastAsia" w:eastAsia="仿宋_GB2312" w:cs="仿宋_GB2312"/>
          <w:sz w:val="32"/>
          <w:szCs w:val="32"/>
        </w:rPr>
        <w:t>万元，占</w:t>
      </w:r>
      <w:r>
        <w:rPr>
          <w:rFonts w:hint="eastAsia" w:eastAsia="仿宋_GB2312" w:cs="仿宋_GB2312"/>
          <w:sz w:val="32"/>
          <w:szCs w:val="32"/>
          <w:lang w:val="en-US" w:eastAsia="zh-CN"/>
        </w:rPr>
        <w:t>1.67</w:t>
      </w:r>
      <w:r>
        <w:rPr>
          <w:rFonts w:hint="eastAsia" w:eastAsia="仿宋_GB2312" w:cs="仿宋_GB2312"/>
          <w:sz w:val="32"/>
          <w:szCs w:val="32"/>
        </w:rPr>
        <w:t>%；住房保障支出</w:t>
      </w:r>
      <w:r>
        <w:rPr>
          <w:rFonts w:hint="eastAsia" w:eastAsia="仿宋_GB2312" w:cs="仿宋_GB2312"/>
          <w:sz w:val="32"/>
          <w:szCs w:val="32"/>
          <w:lang w:val="en-US" w:eastAsia="zh-CN"/>
        </w:rPr>
        <w:t>16.44</w:t>
      </w:r>
      <w:r>
        <w:rPr>
          <w:rFonts w:hint="eastAsia" w:eastAsia="仿宋_GB2312" w:cs="仿宋_GB2312"/>
          <w:sz w:val="32"/>
          <w:szCs w:val="32"/>
        </w:rPr>
        <w:t>万元，占</w:t>
      </w:r>
      <w:r>
        <w:rPr>
          <w:rFonts w:hint="eastAsia" w:eastAsia="仿宋_GB2312" w:cs="仿宋_GB2312"/>
          <w:sz w:val="32"/>
          <w:szCs w:val="32"/>
          <w:lang w:val="en-US" w:eastAsia="zh-CN"/>
        </w:rPr>
        <w:t>2.34</w:t>
      </w:r>
      <w:r>
        <w:rPr>
          <w:rFonts w:hint="eastAsia" w:eastAsia="仿宋_GB2312" w:cs="仿宋_GB2312"/>
          <w:sz w:val="32"/>
          <w:szCs w:val="32"/>
        </w:rPr>
        <w:t>%；节能环保支出</w:t>
      </w:r>
      <w:r>
        <w:rPr>
          <w:rFonts w:hint="eastAsia" w:eastAsia="仿宋_GB2312" w:cs="仿宋_GB2312"/>
          <w:sz w:val="32"/>
          <w:szCs w:val="32"/>
          <w:lang w:val="en-US" w:eastAsia="zh-CN"/>
        </w:rPr>
        <w:t>636.04</w:t>
      </w:r>
      <w:r>
        <w:rPr>
          <w:rFonts w:hint="eastAsia" w:eastAsia="仿宋_GB2312" w:cs="仿宋_GB2312"/>
          <w:sz w:val="32"/>
          <w:szCs w:val="32"/>
        </w:rPr>
        <w:t>万元，占</w:t>
      </w:r>
      <w:r>
        <w:rPr>
          <w:rFonts w:hint="eastAsia" w:eastAsia="仿宋_GB2312" w:cs="仿宋_GB2312"/>
          <w:sz w:val="32"/>
          <w:szCs w:val="32"/>
          <w:lang w:val="en-US" w:eastAsia="zh-CN"/>
        </w:rPr>
        <w:t>90.66</w:t>
      </w:r>
      <w:r>
        <w:rPr>
          <w:rFonts w:hint="eastAsia" w:eastAsia="仿宋_GB2312" w:cs="仿宋_GB2312"/>
          <w:sz w:val="32"/>
          <w:szCs w:val="32"/>
        </w:rPr>
        <w:t>%</w:t>
      </w:r>
      <w:r>
        <w:rPr>
          <w:rFonts w:hint="eastAsia" w:eastAsia="仿宋_GB2312" w:cs="仿宋_GB2312"/>
          <w:sz w:val="32"/>
          <w:szCs w:val="32"/>
          <w:lang w:eastAsia="zh-CN"/>
        </w:rPr>
        <w:t>。</w:t>
      </w:r>
    </w:p>
    <w:p w14:paraId="2128C319">
      <w:pPr>
        <w:spacing w:line="600" w:lineRule="exact"/>
        <w:ind w:firstLine="640"/>
        <w:rPr>
          <w:rFonts w:eastAsia="仿宋_GB2312" w:cs="仿宋_GB2312"/>
          <w:sz w:val="32"/>
          <w:szCs w:val="32"/>
        </w:rPr>
      </w:pPr>
      <w:r>
        <w:rPr>
          <w:rFonts w:hint="eastAsia" w:eastAsia="仿宋_GB2312" w:cs="仿宋_GB2312"/>
          <w:sz w:val="32"/>
          <w:szCs w:val="32"/>
          <w:lang w:eastAsia="zh-CN"/>
        </w:rPr>
        <w:drawing>
          <wp:anchor distT="0" distB="0" distL="114300" distR="114300" simplePos="0" relativeHeight="251661312" behindDoc="1" locked="0" layoutInCell="1" allowOverlap="1">
            <wp:simplePos x="0" y="0"/>
            <wp:positionH relativeFrom="column">
              <wp:posOffset>157480</wp:posOffset>
            </wp:positionH>
            <wp:positionV relativeFrom="paragraph">
              <wp:posOffset>673100</wp:posOffset>
            </wp:positionV>
            <wp:extent cx="5256530" cy="2988310"/>
            <wp:effectExtent l="5080" t="4445" r="15240" b="17145"/>
            <wp:wrapTight wrapText="bothSides">
              <wp:wrapPolygon>
                <wp:start x="-21" y="-32"/>
                <wp:lineTo x="-21" y="21449"/>
                <wp:lineTo x="21506" y="21449"/>
                <wp:lineTo x="21506" y="-32"/>
                <wp:lineTo x="-21" y="-32"/>
              </wp:wrapPolygon>
            </wp:wrapTight>
            <wp:docPr id="6" name="图表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Pr>
          <w:rFonts w:hint="eastAsia" w:eastAsia="仿宋_GB2312" w:cs="仿宋_GB2312"/>
          <w:sz w:val="32"/>
          <w:szCs w:val="32"/>
        </w:rPr>
        <w:t>（图6：一般公共预算财政拨款支出决算结构）（饼状图）</w:t>
      </w:r>
    </w:p>
    <w:p w14:paraId="59B038FD">
      <w:pPr>
        <w:spacing w:line="600" w:lineRule="exact"/>
        <w:ind w:firstLine="640"/>
        <w:rPr>
          <w:rFonts w:hint="eastAsia" w:eastAsia="仿宋_GB2312" w:cs="仿宋_GB2312"/>
          <w:sz w:val="32"/>
          <w:szCs w:val="32"/>
          <w:lang w:eastAsia="zh-CN"/>
        </w:rPr>
      </w:pPr>
    </w:p>
    <w:p w14:paraId="0C63433A">
      <w:pPr>
        <w:spacing w:line="600" w:lineRule="exact"/>
        <w:ind w:firstLine="643" w:firstLineChars="200"/>
        <w:outlineLvl w:val="2"/>
        <w:rPr>
          <w:rFonts w:eastAsia="楷体_GB2312" w:cs="楷体_GB2312"/>
          <w:b/>
          <w:sz w:val="32"/>
          <w:szCs w:val="32"/>
        </w:rPr>
      </w:pPr>
      <w:bookmarkStart w:id="30" w:name="_Toc15377212"/>
      <w:r>
        <w:rPr>
          <w:rFonts w:hint="eastAsia" w:eastAsia="楷体_GB2312" w:cs="楷体_GB2312"/>
          <w:b/>
          <w:sz w:val="32"/>
          <w:szCs w:val="32"/>
        </w:rPr>
        <w:t>（三）一般公共预算财政拨款支出决算具体情况</w:t>
      </w:r>
      <w:bookmarkEnd w:id="30"/>
    </w:p>
    <w:p w14:paraId="3DA588FC">
      <w:pPr>
        <w:spacing w:line="600" w:lineRule="exact"/>
        <w:ind w:firstLine="640"/>
        <w:rPr>
          <w:rFonts w:eastAsia="仿宋_GB2312" w:cs="仿宋_GB2312"/>
          <w:sz w:val="32"/>
          <w:szCs w:val="32"/>
        </w:rPr>
      </w:pPr>
      <w:bookmarkStart w:id="31" w:name="_Toc15377444"/>
      <w:bookmarkStart w:id="32" w:name="_Toc15377213"/>
      <w:bookmarkStart w:id="33" w:name="_Toc15378460"/>
      <w:r>
        <w:rPr>
          <w:rFonts w:hint="eastAsia" w:eastAsia="仿宋_GB2312" w:cs="仿宋_GB2312"/>
          <w:sz w:val="32"/>
          <w:szCs w:val="32"/>
        </w:rPr>
        <w:t>2025年度一般公共预算支出决算数为</w:t>
      </w:r>
      <w:r>
        <w:rPr>
          <w:rFonts w:hint="eastAsia" w:ascii="仿宋" w:hAnsi="仿宋" w:eastAsia="仿宋"/>
          <w:sz w:val="32"/>
          <w:szCs w:val="32"/>
          <w:lang w:val="en-US" w:eastAsia="zh-CN"/>
        </w:rPr>
        <w:t>701.6</w:t>
      </w:r>
      <w:r>
        <w:rPr>
          <w:rFonts w:hint="eastAsia" w:eastAsia="仿宋_GB2312" w:cs="仿宋_GB2312"/>
          <w:sz w:val="32"/>
          <w:szCs w:val="32"/>
          <w:lang w:val="en-US" w:eastAsia="zh-CN"/>
        </w:rPr>
        <w:t>万元</w:t>
      </w:r>
      <w:r>
        <w:rPr>
          <w:rFonts w:hint="eastAsia" w:eastAsia="仿宋_GB2312" w:cs="仿宋_GB2312"/>
          <w:sz w:val="32"/>
          <w:szCs w:val="32"/>
        </w:rPr>
        <w:t>，完成预算</w:t>
      </w:r>
      <w:r>
        <w:rPr>
          <w:rFonts w:hint="eastAsia" w:eastAsia="仿宋_GB2312" w:cs="仿宋_GB2312"/>
          <w:sz w:val="32"/>
          <w:szCs w:val="32"/>
          <w:lang w:val="en-US" w:eastAsia="zh-CN"/>
        </w:rPr>
        <w:t>89.53</w:t>
      </w:r>
      <w:r>
        <w:rPr>
          <w:rFonts w:hint="eastAsia" w:eastAsia="仿宋_GB2312" w:cs="仿宋_GB2312"/>
          <w:sz w:val="32"/>
          <w:szCs w:val="32"/>
        </w:rPr>
        <w:t>%。其中：</w:t>
      </w:r>
      <w:bookmarkEnd w:id="31"/>
      <w:bookmarkEnd w:id="32"/>
      <w:bookmarkEnd w:id="33"/>
    </w:p>
    <w:p w14:paraId="078A41CD">
      <w:pPr>
        <w:numPr>
          <w:ilvl w:val="0"/>
          <w:numId w:val="2"/>
        </w:numPr>
        <w:spacing w:line="600" w:lineRule="exact"/>
        <w:ind w:firstLine="640"/>
        <w:rPr>
          <w:rFonts w:hint="eastAsia" w:eastAsia="仿宋_GB2312" w:cs="仿宋_GB2312"/>
          <w:sz w:val="32"/>
          <w:szCs w:val="32"/>
          <w:lang w:val="en-US" w:eastAsia="zh-CN"/>
        </w:rPr>
      </w:pPr>
      <w:r>
        <w:rPr>
          <w:rFonts w:hint="eastAsia" w:eastAsia="仿宋_GB2312" w:cs="仿宋_GB2312"/>
          <w:sz w:val="32"/>
          <w:szCs w:val="32"/>
        </w:rPr>
        <w:t>社会保障和就业（类）</w:t>
      </w:r>
      <w:r>
        <w:rPr>
          <w:rFonts w:hint="eastAsia" w:eastAsia="仿宋_GB2312" w:cs="仿宋_GB2312"/>
          <w:sz w:val="32"/>
          <w:szCs w:val="32"/>
          <w:lang w:val="en-US" w:eastAsia="zh-CN"/>
        </w:rPr>
        <w:t>208</w:t>
      </w:r>
      <w:r>
        <w:rPr>
          <w:rFonts w:hint="eastAsia" w:eastAsia="仿宋_GB2312" w:cs="仿宋_GB2312"/>
          <w:sz w:val="32"/>
          <w:szCs w:val="32"/>
        </w:rPr>
        <w:t>（款）</w:t>
      </w:r>
      <w:r>
        <w:rPr>
          <w:rFonts w:hint="eastAsia" w:eastAsia="仿宋_GB2312" w:cs="仿宋_GB2312"/>
          <w:sz w:val="32"/>
          <w:szCs w:val="32"/>
          <w:lang w:val="en-US" w:eastAsia="zh-CN"/>
        </w:rPr>
        <w:t>05</w:t>
      </w:r>
      <w:r>
        <w:rPr>
          <w:rFonts w:hint="eastAsia" w:eastAsia="仿宋_GB2312" w:cs="仿宋_GB2312"/>
          <w:sz w:val="32"/>
          <w:szCs w:val="32"/>
        </w:rPr>
        <w:t>（项）：支出决算为</w:t>
      </w:r>
      <w:r>
        <w:rPr>
          <w:rFonts w:hint="eastAsia" w:eastAsia="仿宋_GB2312" w:cs="仿宋_GB2312"/>
          <w:sz w:val="32"/>
          <w:szCs w:val="32"/>
          <w:lang w:val="en-US" w:eastAsia="zh-CN"/>
        </w:rPr>
        <w:t>37.41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val="en-US" w:eastAsia="zh-CN"/>
        </w:rPr>
        <w:t>.</w:t>
      </w:r>
    </w:p>
    <w:p w14:paraId="4FB28DEF">
      <w:pPr>
        <w:numPr>
          <w:ilvl w:val="0"/>
          <w:numId w:val="2"/>
        </w:numPr>
        <w:spacing w:line="600" w:lineRule="exact"/>
        <w:ind w:firstLine="640"/>
        <w:rPr>
          <w:rFonts w:hint="default" w:eastAsia="仿宋_GB2312" w:cs="仿宋_GB2312"/>
          <w:sz w:val="32"/>
          <w:szCs w:val="32"/>
          <w:lang w:val="en-US"/>
        </w:rPr>
      </w:pPr>
      <w:r>
        <w:rPr>
          <w:rFonts w:hint="eastAsia" w:eastAsia="仿宋_GB2312" w:cs="仿宋_GB2312"/>
          <w:sz w:val="32"/>
          <w:szCs w:val="32"/>
        </w:rPr>
        <w:t>卫生健康（类）</w:t>
      </w:r>
      <w:r>
        <w:rPr>
          <w:rFonts w:hint="eastAsia" w:eastAsia="仿宋_GB2312" w:cs="仿宋_GB2312"/>
          <w:sz w:val="32"/>
          <w:szCs w:val="32"/>
          <w:lang w:val="en-US" w:eastAsia="zh-CN"/>
        </w:rPr>
        <w:t>210</w:t>
      </w:r>
      <w:r>
        <w:rPr>
          <w:rFonts w:hint="eastAsia" w:eastAsia="仿宋_GB2312" w:cs="仿宋_GB2312"/>
          <w:sz w:val="32"/>
          <w:szCs w:val="32"/>
        </w:rPr>
        <w:t>（款）</w:t>
      </w:r>
      <w:r>
        <w:rPr>
          <w:rFonts w:hint="eastAsia" w:eastAsia="仿宋_GB2312" w:cs="仿宋_GB2312"/>
          <w:sz w:val="32"/>
          <w:szCs w:val="32"/>
          <w:lang w:val="en-US" w:eastAsia="zh-CN"/>
        </w:rPr>
        <w:t>11</w:t>
      </w:r>
      <w:r>
        <w:rPr>
          <w:rFonts w:hint="eastAsia" w:eastAsia="仿宋_GB2312" w:cs="仿宋_GB2312"/>
          <w:sz w:val="32"/>
          <w:szCs w:val="32"/>
        </w:rPr>
        <w:t>（项）：支出决算为</w:t>
      </w:r>
      <w:r>
        <w:rPr>
          <w:rFonts w:hint="eastAsia" w:eastAsia="仿宋_GB2312" w:cs="仿宋_GB2312"/>
          <w:sz w:val="32"/>
          <w:szCs w:val="32"/>
          <w:lang w:val="en-US" w:eastAsia="zh-CN"/>
        </w:rPr>
        <w:t>11.71</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val="en-US" w:eastAsia="zh-CN"/>
        </w:rPr>
        <w:t>.</w:t>
      </w:r>
    </w:p>
    <w:p w14:paraId="3BBE5271">
      <w:pPr>
        <w:numPr>
          <w:ilvl w:val="0"/>
          <w:numId w:val="2"/>
        </w:numPr>
        <w:spacing w:line="600" w:lineRule="exact"/>
        <w:ind w:firstLine="640"/>
        <w:rPr>
          <w:rFonts w:hint="default" w:eastAsia="仿宋_GB2312" w:cs="仿宋_GB2312"/>
          <w:sz w:val="32"/>
          <w:szCs w:val="32"/>
          <w:lang w:val="en-US"/>
        </w:rPr>
      </w:pPr>
      <w:r>
        <w:rPr>
          <w:rFonts w:hint="eastAsia" w:eastAsia="仿宋_GB2312" w:cs="仿宋_GB2312"/>
          <w:sz w:val="32"/>
          <w:szCs w:val="32"/>
          <w:lang w:eastAsia="zh-CN"/>
        </w:rPr>
        <w:t>节能环保</w:t>
      </w:r>
      <w:r>
        <w:rPr>
          <w:rFonts w:hint="eastAsia" w:eastAsia="仿宋_GB2312" w:cs="仿宋_GB2312"/>
          <w:sz w:val="32"/>
          <w:szCs w:val="32"/>
        </w:rPr>
        <w:t>（类）</w:t>
      </w:r>
      <w:r>
        <w:rPr>
          <w:rFonts w:hint="eastAsia" w:eastAsia="仿宋_GB2312" w:cs="仿宋_GB2312"/>
          <w:sz w:val="32"/>
          <w:szCs w:val="32"/>
          <w:lang w:val="en-US" w:eastAsia="zh-CN"/>
        </w:rPr>
        <w:t>211</w:t>
      </w:r>
      <w:r>
        <w:rPr>
          <w:rFonts w:hint="eastAsia" w:eastAsia="仿宋_GB2312" w:cs="仿宋_GB2312"/>
          <w:sz w:val="32"/>
          <w:szCs w:val="32"/>
        </w:rPr>
        <w:t>（款）</w:t>
      </w:r>
      <w:r>
        <w:rPr>
          <w:rFonts w:hint="eastAsia" w:eastAsia="仿宋_GB2312" w:cs="仿宋_GB2312"/>
          <w:sz w:val="32"/>
          <w:szCs w:val="32"/>
          <w:lang w:val="en-US" w:eastAsia="zh-CN"/>
        </w:rPr>
        <w:t>01</w:t>
      </w:r>
      <w:r>
        <w:rPr>
          <w:rFonts w:hint="eastAsia" w:eastAsia="仿宋_GB2312" w:cs="仿宋_GB2312"/>
          <w:sz w:val="32"/>
          <w:szCs w:val="32"/>
        </w:rPr>
        <w:t>（项）：支出决算为</w:t>
      </w:r>
      <w:r>
        <w:rPr>
          <w:rFonts w:hint="eastAsia" w:eastAsia="仿宋_GB2312" w:cs="仿宋_GB2312"/>
          <w:sz w:val="32"/>
          <w:szCs w:val="32"/>
          <w:lang w:val="en-US" w:eastAsia="zh-CN"/>
        </w:rPr>
        <w:t>636.04</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val="en-US" w:eastAsia="zh-CN"/>
        </w:rPr>
        <w:t>.</w:t>
      </w:r>
    </w:p>
    <w:p w14:paraId="7C9492E8">
      <w:pPr>
        <w:numPr>
          <w:ilvl w:val="0"/>
          <w:numId w:val="2"/>
        </w:numPr>
        <w:spacing w:line="600" w:lineRule="exact"/>
        <w:ind w:firstLine="640"/>
        <w:rPr>
          <w:rFonts w:eastAsia="仿宋_GB2312" w:cs="仿宋_GB2312"/>
          <w:sz w:val="32"/>
          <w:szCs w:val="32"/>
        </w:rPr>
      </w:pPr>
      <w:r>
        <w:rPr>
          <w:rFonts w:hint="eastAsia" w:eastAsia="仿宋_GB2312" w:cs="仿宋_GB2312"/>
          <w:sz w:val="32"/>
          <w:szCs w:val="32"/>
          <w:lang w:eastAsia="zh-CN"/>
        </w:rPr>
        <w:t>节能环保</w:t>
      </w:r>
      <w:r>
        <w:rPr>
          <w:rFonts w:hint="eastAsia" w:eastAsia="仿宋_GB2312" w:cs="仿宋_GB2312"/>
          <w:sz w:val="32"/>
          <w:szCs w:val="32"/>
        </w:rPr>
        <w:t>（类）</w:t>
      </w:r>
      <w:r>
        <w:rPr>
          <w:rFonts w:hint="eastAsia" w:eastAsia="仿宋_GB2312" w:cs="仿宋_GB2312"/>
          <w:sz w:val="32"/>
          <w:szCs w:val="32"/>
          <w:lang w:val="en-US" w:eastAsia="zh-CN"/>
        </w:rPr>
        <w:t>211</w:t>
      </w:r>
      <w:r>
        <w:rPr>
          <w:rFonts w:hint="eastAsia" w:eastAsia="仿宋_GB2312" w:cs="仿宋_GB2312"/>
          <w:sz w:val="32"/>
          <w:szCs w:val="32"/>
        </w:rPr>
        <w:t>（款）</w:t>
      </w:r>
      <w:r>
        <w:rPr>
          <w:rFonts w:hint="eastAsia" w:eastAsia="仿宋_GB2312" w:cs="仿宋_GB2312"/>
          <w:sz w:val="32"/>
          <w:szCs w:val="32"/>
          <w:lang w:val="en-US" w:eastAsia="zh-CN"/>
        </w:rPr>
        <w:t>01</w:t>
      </w:r>
      <w:r>
        <w:rPr>
          <w:rFonts w:hint="eastAsia" w:eastAsia="仿宋_GB2312" w:cs="仿宋_GB2312"/>
          <w:sz w:val="32"/>
          <w:szCs w:val="32"/>
        </w:rPr>
        <w:t>（项）：支出决算为</w:t>
      </w:r>
      <w:r>
        <w:rPr>
          <w:rFonts w:hint="eastAsia" w:eastAsia="仿宋_GB2312" w:cs="仿宋_GB2312"/>
          <w:sz w:val="32"/>
          <w:szCs w:val="32"/>
          <w:lang w:val="en-US" w:eastAsia="zh-CN"/>
        </w:rPr>
        <w:t>636.04</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w:t>
      </w:r>
      <w:r>
        <w:rPr>
          <w:rFonts w:hint="eastAsia" w:eastAsia="仿宋_GB2312" w:cs="仿宋_GB2312"/>
          <w:sz w:val="32"/>
          <w:szCs w:val="32"/>
          <w:lang w:val="en-US" w:eastAsia="zh-CN"/>
        </w:rPr>
        <w:t>.</w:t>
      </w:r>
    </w:p>
    <w:p w14:paraId="1674B043">
      <w:pPr>
        <w:tabs>
          <w:tab w:val="right" w:pos="8306"/>
        </w:tabs>
        <w:spacing w:line="600" w:lineRule="exact"/>
        <w:ind w:firstLine="640"/>
        <w:outlineLvl w:val="1"/>
        <w:rPr>
          <w:rStyle w:val="29"/>
          <w:rFonts w:ascii="Times New Roman" w:hAnsi="Times New Roman"/>
        </w:rPr>
      </w:pPr>
      <w:bookmarkStart w:id="34" w:name="_Toc15377214"/>
      <w:bookmarkStart w:id="35" w:name="_Toc15396608"/>
      <w:r>
        <w:rPr>
          <w:rFonts w:hint="eastAsia" w:eastAsia="黑体"/>
          <w:sz w:val="32"/>
          <w:szCs w:val="32"/>
        </w:rPr>
        <w:t>六</w:t>
      </w:r>
      <w:r>
        <w:rPr>
          <w:rFonts w:hint="eastAsia" w:eastAsia="黑体"/>
          <w:b/>
          <w:sz w:val="32"/>
          <w:szCs w:val="32"/>
        </w:rPr>
        <w:t>、一</w:t>
      </w:r>
      <w:r>
        <w:rPr>
          <w:rStyle w:val="29"/>
          <w:rFonts w:hint="eastAsia" w:ascii="Times New Roman" w:hAnsi="Times New Roman" w:eastAsia="黑体"/>
          <w:b w:val="0"/>
        </w:rPr>
        <w:t>般公共预算财政拨款基本支出决算情况说明</w:t>
      </w:r>
      <w:bookmarkEnd w:id="34"/>
      <w:bookmarkEnd w:id="35"/>
      <w:r>
        <w:rPr>
          <w:rStyle w:val="29"/>
          <w:rFonts w:ascii="Times New Roman" w:hAnsi="Times New Roman" w:eastAsia="黑体"/>
          <w:b w:val="0"/>
        </w:rPr>
        <w:tab/>
      </w:r>
    </w:p>
    <w:p w14:paraId="216652AE">
      <w:pPr>
        <w:spacing w:line="600" w:lineRule="exact"/>
        <w:ind w:firstLine="640"/>
        <w:rPr>
          <w:rFonts w:eastAsia="仿宋_GB2312" w:cs="仿宋_GB2312"/>
          <w:sz w:val="32"/>
          <w:szCs w:val="32"/>
        </w:rPr>
      </w:pPr>
      <w:r>
        <w:rPr>
          <w:rFonts w:hint="eastAsia" w:eastAsia="仿宋_GB2312" w:cs="仿宋_GB2312"/>
          <w:sz w:val="32"/>
          <w:szCs w:val="32"/>
        </w:rPr>
        <w:t>2025年度一般公共预算财政拨款基本支出</w:t>
      </w:r>
      <w:r>
        <w:rPr>
          <w:rFonts w:hint="eastAsia" w:eastAsia="仿宋_GB2312" w:cs="仿宋_GB2312"/>
          <w:sz w:val="32"/>
          <w:szCs w:val="32"/>
          <w:lang w:val="en-US" w:eastAsia="zh-CN"/>
        </w:rPr>
        <w:t>213.38</w:t>
      </w:r>
      <w:r>
        <w:rPr>
          <w:rFonts w:hint="eastAsia" w:eastAsia="仿宋_GB2312" w:cs="仿宋_GB2312"/>
          <w:sz w:val="32"/>
          <w:szCs w:val="32"/>
        </w:rPr>
        <w:t>万元，其中：</w:t>
      </w:r>
    </w:p>
    <w:p w14:paraId="3BB1CAB7">
      <w:pPr>
        <w:spacing w:line="600" w:lineRule="exact"/>
        <w:ind w:firstLine="640"/>
        <w:rPr>
          <w:rFonts w:eastAsia="仿宋_GB2312" w:cs="仿宋_GB2312"/>
          <w:sz w:val="32"/>
          <w:szCs w:val="32"/>
        </w:rPr>
      </w:pPr>
      <w:r>
        <w:rPr>
          <w:rFonts w:hint="eastAsia" w:eastAsia="仿宋_GB2312" w:cs="仿宋_GB2312"/>
          <w:sz w:val="32"/>
          <w:szCs w:val="32"/>
        </w:rPr>
        <w:t>人员经费</w:t>
      </w:r>
      <w:r>
        <w:rPr>
          <w:rFonts w:hint="eastAsia" w:eastAsia="仿宋_GB2312" w:cs="仿宋_GB2312"/>
          <w:sz w:val="32"/>
          <w:szCs w:val="32"/>
          <w:lang w:val="en-US" w:eastAsia="zh-CN"/>
        </w:rPr>
        <w:t>177.85</w:t>
      </w:r>
      <w:r>
        <w:rPr>
          <w:rFonts w:hint="eastAsia" w:eastAsia="仿宋_GB2312" w:cs="仿宋_GB2312"/>
          <w:sz w:val="32"/>
          <w:szCs w:val="32"/>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eastAsia="仿宋_GB2312" w:cs="仿宋_GB2312"/>
          <w:sz w:val="32"/>
          <w:szCs w:val="32"/>
        </w:rPr>
        <w:br w:type="textWrapping"/>
      </w:r>
      <w:r>
        <w:rPr>
          <w:rFonts w:hint="eastAsia" w:eastAsia="仿宋_GB2312" w:cs="仿宋_GB2312"/>
          <w:sz w:val="32"/>
          <w:szCs w:val="32"/>
        </w:rPr>
        <w:t>　　公用经费</w:t>
      </w:r>
      <w:r>
        <w:rPr>
          <w:rFonts w:hint="eastAsia" w:eastAsia="仿宋_GB2312" w:cs="仿宋_GB2312"/>
          <w:sz w:val="32"/>
          <w:szCs w:val="32"/>
          <w:lang w:val="en-US" w:eastAsia="zh-CN"/>
        </w:rPr>
        <w:t>35.53</w:t>
      </w:r>
      <w:r>
        <w:rPr>
          <w:rFonts w:hint="eastAsia" w:eastAsia="仿宋_GB2312" w:cs="仿宋_GB2312"/>
          <w:sz w:val="32"/>
          <w:szCs w:val="32"/>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51500C6E">
      <w:pPr>
        <w:spacing w:line="600" w:lineRule="exact"/>
        <w:ind w:firstLine="640"/>
        <w:outlineLvl w:val="1"/>
        <w:rPr>
          <w:rStyle w:val="29"/>
          <w:rFonts w:ascii="Times New Roman" w:hAnsi="Times New Roman" w:eastAsia="黑体"/>
          <w:b w:val="0"/>
        </w:rPr>
      </w:pPr>
      <w:bookmarkStart w:id="36" w:name="_Toc15396609"/>
      <w:bookmarkStart w:id="37" w:name="_Toc15377215"/>
      <w:r>
        <w:rPr>
          <w:rFonts w:hint="eastAsia" w:eastAsia="黑体"/>
          <w:sz w:val="32"/>
          <w:szCs w:val="32"/>
        </w:rPr>
        <w:t>七、</w:t>
      </w:r>
      <w:r>
        <w:rPr>
          <w:rStyle w:val="29"/>
          <w:rFonts w:hint="eastAsia" w:ascii="Times New Roman" w:hAnsi="Times New Roman" w:eastAsia="黑体"/>
          <w:b w:val="0"/>
        </w:rPr>
        <w:t>财政拨款</w:t>
      </w:r>
      <w:r>
        <w:rPr>
          <w:rStyle w:val="29"/>
          <w:rFonts w:hint="eastAsia" w:ascii="Times New Roman" w:hAnsi="Times New Roman" w:eastAsia="黑体"/>
        </w:rPr>
        <w:t>“</w:t>
      </w:r>
      <w:r>
        <w:rPr>
          <w:rStyle w:val="29"/>
          <w:rFonts w:hint="eastAsia" w:ascii="Times New Roman" w:hAnsi="Times New Roman" w:eastAsia="黑体"/>
          <w:b w:val="0"/>
        </w:rPr>
        <w:t>三公”经费支出决算情况说明</w:t>
      </w:r>
      <w:bookmarkEnd w:id="36"/>
      <w:bookmarkEnd w:id="37"/>
    </w:p>
    <w:p w14:paraId="18567500">
      <w:pPr>
        <w:spacing w:line="600" w:lineRule="exact"/>
        <w:ind w:firstLine="643" w:firstLineChars="200"/>
        <w:outlineLvl w:val="2"/>
        <w:rPr>
          <w:rFonts w:eastAsia="楷体_GB2312" w:cs="楷体_GB2312"/>
          <w:b/>
          <w:sz w:val="32"/>
          <w:szCs w:val="32"/>
        </w:rPr>
      </w:pPr>
      <w:bookmarkStart w:id="38" w:name="_Toc15377216"/>
      <w:r>
        <w:rPr>
          <w:rFonts w:hint="eastAsia" w:eastAsia="楷体_GB2312" w:cs="楷体_GB2312"/>
          <w:b/>
          <w:sz w:val="32"/>
          <w:szCs w:val="32"/>
        </w:rPr>
        <w:t>（一）财政拨款“三公”经费支出决算总体情况说明</w:t>
      </w:r>
      <w:bookmarkEnd w:id="38"/>
    </w:p>
    <w:p w14:paraId="60F257B9">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2025年度财政拨款“三公”经费支出决算为</w:t>
      </w:r>
      <w:r>
        <w:rPr>
          <w:rFonts w:hint="eastAsia" w:eastAsia="仿宋_GB2312" w:cs="仿宋_GB2312"/>
          <w:sz w:val="32"/>
          <w:szCs w:val="32"/>
          <w:lang w:val="en-US" w:eastAsia="zh-CN"/>
        </w:rPr>
        <w:t>11.52</w:t>
      </w:r>
      <w:r>
        <w:rPr>
          <w:rFonts w:hint="eastAsia" w:eastAsia="仿宋_GB2312" w:cs="仿宋_GB2312"/>
          <w:sz w:val="32"/>
          <w:szCs w:val="32"/>
        </w:rPr>
        <w:t>万元，完成预算</w:t>
      </w:r>
      <w:r>
        <w:rPr>
          <w:rFonts w:hint="eastAsia" w:eastAsia="仿宋_GB2312" w:cs="仿宋_GB2312"/>
          <w:sz w:val="32"/>
          <w:szCs w:val="32"/>
          <w:lang w:val="en-US" w:eastAsia="zh-CN"/>
        </w:rPr>
        <w:t>100</w:t>
      </w:r>
      <w:r>
        <w:rPr>
          <w:rFonts w:hint="eastAsia" w:eastAsia="仿宋_GB2312" w:cs="仿宋_GB2312"/>
          <w:sz w:val="32"/>
          <w:szCs w:val="32"/>
        </w:rPr>
        <w:t>%，较上年度</w:t>
      </w:r>
      <w:r>
        <w:rPr>
          <w:rFonts w:hint="eastAsia" w:eastAsia="仿宋_GB2312" w:cs="仿宋_GB2312"/>
          <w:sz w:val="32"/>
          <w:szCs w:val="32"/>
          <w:lang w:eastAsia="zh-CN"/>
        </w:rPr>
        <w:t>无变化。</w:t>
      </w:r>
    </w:p>
    <w:p w14:paraId="341C1D6A">
      <w:pPr>
        <w:spacing w:line="600" w:lineRule="exact"/>
        <w:ind w:firstLine="643" w:firstLineChars="200"/>
        <w:outlineLvl w:val="2"/>
        <w:rPr>
          <w:rFonts w:eastAsia="楷体_GB2312" w:cs="楷体_GB2312"/>
          <w:b/>
          <w:sz w:val="32"/>
          <w:szCs w:val="32"/>
        </w:rPr>
      </w:pPr>
      <w:bookmarkStart w:id="39" w:name="_Toc15377217"/>
      <w:r>
        <w:rPr>
          <w:rFonts w:hint="eastAsia" w:eastAsia="楷体_GB2312" w:cs="楷体_GB2312"/>
          <w:b/>
          <w:sz w:val="32"/>
          <w:szCs w:val="32"/>
        </w:rPr>
        <w:t>（二）财政拨款“三公”经费支出决算具体情况说明</w:t>
      </w:r>
      <w:bookmarkEnd w:id="39"/>
    </w:p>
    <w:p w14:paraId="77D1EF63">
      <w:pPr>
        <w:spacing w:line="600" w:lineRule="exact"/>
        <w:ind w:firstLine="640"/>
      </w:pPr>
      <w:r>
        <w:rPr>
          <w:rFonts w:hint="eastAsia" w:eastAsia="仿宋_GB2312" w:cs="仿宋_GB2312"/>
          <w:sz w:val="32"/>
          <w:szCs w:val="32"/>
        </w:rPr>
        <w:t>2025年度财政拨款“三公”经费支出决算中，公务用车购置及运行维护费支出决算</w:t>
      </w:r>
      <w:r>
        <w:rPr>
          <w:rFonts w:hint="eastAsia" w:eastAsia="仿宋_GB2312" w:cs="仿宋_GB2312"/>
          <w:sz w:val="32"/>
          <w:szCs w:val="32"/>
          <w:lang w:val="en-US" w:eastAsia="zh-CN"/>
        </w:rPr>
        <w:t>11.52</w:t>
      </w:r>
      <w:r>
        <w:rPr>
          <w:rFonts w:hint="eastAsia" w:eastAsia="仿宋_GB2312" w:cs="仿宋_GB2312"/>
          <w:sz w:val="32"/>
          <w:szCs w:val="32"/>
        </w:rPr>
        <w:t>万元，占</w:t>
      </w:r>
      <w:r>
        <w:rPr>
          <w:rFonts w:hint="eastAsia" w:eastAsia="仿宋_GB2312" w:cs="仿宋_GB2312"/>
          <w:sz w:val="32"/>
          <w:szCs w:val="32"/>
          <w:lang w:val="en-US" w:eastAsia="zh-CN"/>
        </w:rPr>
        <w:t>100</w:t>
      </w:r>
      <w:r>
        <w:rPr>
          <w:rFonts w:hint="eastAsia" w:eastAsia="仿宋_GB2312" w:cs="仿宋_GB2312"/>
          <w:sz w:val="32"/>
          <w:szCs w:val="32"/>
        </w:rPr>
        <w:t>%。具体情况如下：</w:t>
      </w:r>
    </w:p>
    <w:p w14:paraId="7FD73E08">
      <w:pPr>
        <w:spacing w:line="600" w:lineRule="exact"/>
        <w:ind w:firstLine="640"/>
        <w:rPr>
          <w:rFonts w:hint="eastAsia" w:eastAsia="仿宋_GB2312" w:cs="仿宋_GB2312"/>
          <w:sz w:val="32"/>
          <w:szCs w:val="32"/>
        </w:rPr>
      </w:pPr>
      <w:r>
        <w:rPr>
          <w:rFonts w:hint="eastAsia" w:eastAsia="仿宋_GB2312" w:cs="仿宋_GB2312"/>
          <w:sz w:val="32"/>
          <w:szCs w:val="32"/>
        </w:rPr>
        <w:t>（图7：财政拨款“三公”经费支出结构）（饼状图）</w:t>
      </w:r>
    </w:p>
    <w:p w14:paraId="05F143F5">
      <w:pPr>
        <w:pStyle w:val="5"/>
        <w:rPr>
          <w:rFonts w:hint="eastAsia" w:eastAsia="仿宋_GB2312"/>
          <w:lang w:eastAsia="zh-CN"/>
        </w:rPr>
      </w:pPr>
      <w:r>
        <w:rPr>
          <w:rFonts w:hint="eastAsia" w:eastAsia="仿宋_GB2312"/>
          <w:lang w:eastAsia="zh-CN"/>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064B9108">
      <w:pPr>
        <w:numPr>
          <w:ilvl w:val="0"/>
          <w:numId w:val="3"/>
        </w:numPr>
        <w:spacing w:line="600" w:lineRule="exact"/>
        <w:ind w:firstLine="640"/>
        <w:rPr>
          <w:rFonts w:hint="eastAsia" w:eastAsia="仿宋_GB2312" w:cs="仿宋_GB2312"/>
          <w:sz w:val="32"/>
          <w:szCs w:val="32"/>
          <w:lang w:eastAsia="zh-CN"/>
        </w:rPr>
      </w:pPr>
      <w:r>
        <w:rPr>
          <w:rFonts w:hint="eastAsia" w:eastAsia="仿宋_GB2312" w:cs="仿宋_GB2312"/>
          <w:b/>
          <w:bCs/>
          <w:sz w:val="32"/>
          <w:szCs w:val="32"/>
        </w:rPr>
        <w:t>公务用车购置及运行维护费支出</w:t>
      </w:r>
      <w:r>
        <w:rPr>
          <w:rFonts w:hint="eastAsia" w:eastAsia="仿宋_GB2312" w:cs="仿宋_GB2312"/>
          <w:b/>
          <w:bCs/>
          <w:sz w:val="32"/>
          <w:szCs w:val="32"/>
          <w:lang w:val="en-US" w:eastAsia="zh-CN"/>
        </w:rPr>
        <w:t>11.52</w:t>
      </w:r>
      <w:r>
        <w:rPr>
          <w:rFonts w:hint="eastAsia" w:eastAsia="仿宋_GB2312" w:cs="仿宋_GB2312"/>
          <w:b/>
          <w:bCs/>
          <w:sz w:val="32"/>
          <w:szCs w:val="32"/>
        </w:rPr>
        <w:t>万元，完成预算</w:t>
      </w:r>
      <w:r>
        <w:rPr>
          <w:rFonts w:hint="eastAsia" w:eastAsia="仿宋_GB2312" w:cs="仿宋_GB2312"/>
          <w:b/>
          <w:bCs/>
          <w:sz w:val="32"/>
          <w:szCs w:val="32"/>
          <w:lang w:val="en-US" w:eastAsia="zh-CN"/>
        </w:rPr>
        <w:t>100</w:t>
      </w:r>
      <w:r>
        <w:rPr>
          <w:rFonts w:hint="eastAsia" w:eastAsia="仿宋_GB2312" w:cs="仿宋_GB2312"/>
          <w:b/>
          <w:bCs/>
          <w:sz w:val="32"/>
          <w:szCs w:val="32"/>
        </w:rPr>
        <w:t>%。</w:t>
      </w:r>
      <w:r>
        <w:rPr>
          <w:rFonts w:hint="eastAsia" w:eastAsia="仿宋_GB2312" w:cs="仿宋_GB2312"/>
          <w:sz w:val="32"/>
          <w:szCs w:val="32"/>
        </w:rPr>
        <w:t>公务用车购置及运行维护费支出决算比上年度</w:t>
      </w:r>
      <w:r>
        <w:rPr>
          <w:rFonts w:hint="eastAsia" w:eastAsia="仿宋_GB2312" w:cs="仿宋_GB2312"/>
          <w:sz w:val="32"/>
          <w:szCs w:val="32"/>
          <w:lang w:eastAsia="zh-CN"/>
        </w:rPr>
        <w:t>无变化。</w:t>
      </w:r>
    </w:p>
    <w:p w14:paraId="6E731C30">
      <w:pPr>
        <w:numPr>
          <w:ilvl w:val="0"/>
          <w:numId w:val="0"/>
        </w:numPr>
        <w:spacing w:line="600" w:lineRule="exact"/>
        <w:ind w:firstLine="640" w:firstLineChars="200"/>
        <w:rPr>
          <w:rFonts w:eastAsia="仿宋_GB2312" w:cs="仿宋_GB2312"/>
          <w:sz w:val="32"/>
          <w:szCs w:val="32"/>
        </w:rPr>
      </w:pPr>
      <w:r>
        <w:rPr>
          <w:rFonts w:hint="eastAsia" w:eastAsia="仿宋_GB2312" w:cs="仿宋_GB2312"/>
          <w:sz w:val="32"/>
          <w:szCs w:val="32"/>
        </w:rPr>
        <w:t>其中：截至2025年12月31日，单位共有公务用车</w:t>
      </w:r>
      <w:r>
        <w:rPr>
          <w:rFonts w:hint="eastAsia" w:eastAsia="仿宋_GB2312" w:cs="仿宋_GB2312"/>
          <w:sz w:val="32"/>
          <w:szCs w:val="32"/>
          <w:lang w:val="en-US" w:eastAsia="zh-CN"/>
        </w:rPr>
        <w:t>4</w:t>
      </w:r>
      <w:r>
        <w:rPr>
          <w:rFonts w:hint="eastAsia" w:eastAsia="仿宋_GB2312" w:cs="仿宋_GB2312"/>
          <w:sz w:val="32"/>
          <w:szCs w:val="32"/>
        </w:rPr>
        <w:t>辆，其中：轿车</w:t>
      </w:r>
      <w:r>
        <w:rPr>
          <w:rFonts w:hint="eastAsia" w:eastAsia="仿宋_GB2312" w:cs="仿宋_GB2312"/>
          <w:sz w:val="32"/>
          <w:szCs w:val="32"/>
          <w:lang w:val="en-US" w:eastAsia="zh-CN"/>
        </w:rPr>
        <w:t>0</w:t>
      </w:r>
      <w:r>
        <w:rPr>
          <w:rFonts w:hint="eastAsia" w:eastAsia="仿宋_GB2312" w:cs="仿宋_GB2312"/>
          <w:sz w:val="32"/>
          <w:szCs w:val="32"/>
        </w:rPr>
        <w:t>辆、越野车</w:t>
      </w:r>
      <w:r>
        <w:rPr>
          <w:rFonts w:hint="eastAsia" w:eastAsia="仿宋_GB2312" w:cs="仿宋_GB2312"/>
          <w:sz w:val="32"/>
          <w:szCs w:val="32"/>
          <w:lang w:val="en-US" w:eastAsia="zh-CN"/>
        </w:rPr>
        <w:t>4</w:t>
      </w:r>
      <w:r>
        <w:rPr>
          <w:rFonts w:hint="eastAsia" w:eastAsia="仿宋_GB2312" w:cs="仿宋_GB2312"/>
          <w:sz w:val="32"/>
          <w:szCs w:val="32"/>
        </w:rPr>
        <w:t>辆、载客汽车</w:t>
      </w:r>
      <w:r>
        <w:rPr>
          <w:rFonts w:hint="eastAsia" w:eastAsia="仿宋_GB2312" w:cs="仿宋_GB2312"/>
          <w:sz w:val="32"/>
          <w:szCs w:val="32"/>
          <w:lang w:val="en-US" w:eastAsia="zh-CN"/>
        </w:rPr>
        <w:t>0</w:t>
      </w:r>
      <w:r>
        <w:rPr>
          <w:rFonts w:hint="eastAsia" w:eastAsia="仿宋_GB2312" w:cs="仿宋_GB2312"/>
          <w:sz w:val="32"/>
          <w:szCs w:val="32"/>
        </w:rPr>
        <w:t>辆。</w:t>
      </w:r>
    </w:p>
    <w:p w14:paraId="7BC11745">
      <w:pPr>
        <w:spacing w:line="600" w:lineRule="exact"/>
        <w:ind w:firstLine="640"/>
        <w:rPr>
          <w:rFonts w:eastAsia="仿宋_GB2312" w:cs="仿宋_GB2312"/>
          <w:sz w:val="32"/>
          <w:szCs w:val="32"/>
        </w:rPr>
      </w:pPr>
      <w:r>
        <w:rPr>
          <w:rFonts w:hint="eastAsia" w:eastAsia="仿宋_GB2312" w:cs="仿宋_GB2312"/>
          <w:sz w:val="32"/>
          <w:szCs w:val="32"/>
        </w:rPr>
        <w:t>公务用车运行维护费支出</w:t>
      </w:r>
      <w:r>
        <w:rPr>
          <w:rFonts w:hint="eastAsia" w:eastAsia="仿宋_GB2312" w:cs="仿宋_GB2312"/>
          <w:sz w:val="32"/>
          <w:szCs w:val="32"/>
          <w:lang w:val="en-US" w:eastAsia="zh-CN"/>
        </w:rPr>
        <w:t>11.52</w:t>
      </w:r>
      <w:r>
        <w:rPr>
          <w:rFonts w:hint="eastAsia" w:eastAsia="仿宋_GB2312" w:cs="仿宋_GB2312"/>
          <w:sz w:val="32"/>
          <w:szCs w:val="32"/>
        </w:rPr>
        <w:t>万元。主要用于</w:t>
      </w:r>
      <w:r>
        <w:rPr>
          <w:rFonts w:hint="eastAsia" w:eastAsia="仿宋_GB2312" w:cs="仿宋_GB2312"/>
          <w:sz w:val="32"/>
          <w:szCs w:val="32"/>
          <w:lang w:eastAsia="zh-CN"/>
        </w:rPr>
        <w:t>环境监测等</w:t>
      </w:r>
      <w:r>
        <w:rPr>
          <w:rFonts w:hint="eastAsia" w:eastAsia="仿宋_GB2312" w:cs="仿宋_GB2312"/>
          <w:sz w:val="32"/>
          <w:szCs w:val="32"/>
        </w:rPr>
        <w:t>所需的公务用车燃料费、维修费、过路过桥费、保险费等支出。</w:t>
      </w:r>
      <w:bookmarkStart w:id="40" w:name="_Toc15396610"/>
      <w:bookmarkStart w:id="41" w:name="_Toc15377218"/>
    </w:p>
    <w:p w14:paraId="2B6BEF3D">
      <w:pPr>
        <w:spacing w:line="600" w:lineRule="exact"/>
        <w:ind w:firstLine="640"/>
        <w:outlineLvl w:val="1"/>
        <w:rPr>
          <w:rStyle w:val="29"/>
          <w:rFonts w:ascii="Times New Roman" w:hAnsi="Times New Roman" w:eastAsia="黑体"/>
        </w:rPr>
      </w:pPr>
      <w:r>
        <w:rPr>
          <w:rFonts w:hint="eastAsia" w:eastAsia="黑体"/>
          <w:sz w:val="32"/>
          <w:szCs w:val="32"/>
        </w:rPr>
        <w:t>八、</w:t>
      </w:r>
      <w:r>
        <w:rPr>
          <w:rStyle w:val="29"/>
          <w:rFonts w:hint="eastAsia" w:ascii="Times New Roman" w:hAnsi="Times New Roman" w:eastAsia="黑体"/>
          <w:b w:val="0"/>
        </w:rPr>
        <w:t>政府性基金预算支出决算情况说明</w:t>
      </w:r>
      <w:bookmarkEnd w:id="40"/>
      <w:bookmarkEnd w:id="41"/>
    </w:p>
    <w:p w14:paraId="7684E5BA">
      <w:pPr>
        <w:spacing w:line="600" w:lineRule="exact"/>
        <w:ind w:firstLine="640"/>
        <w:rPr>
          <w:rFonts w:eastAsia="仿宋_GB2312" w:cs="仿宋_GB2312"/>
          <w:sz w:val="32"/>
          <w:szCs w:val="32"/>
        </w:rPr>
      </w:pPr>
      <w:r>
        <w:rPr>
          <w:rFonts w:hint="eastAsia" w:eastAsia="仿宋_GB2312" w:cs="仿宋_GB2312"/>
          <w:sz w:val="32"/>
          <w:szCs w:val="32"/>
        </w:rPr>
        <w:t>2025年度政府性基金预算财政拨款支出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w:t>
      </w:r>
    </w:p>
    <w:p w14:paraId="795F33FE">
      <w:pPr>
        <w:spacing w:line="600" w:lineRule="exact"/>
        <w:ind w:left="630"/>
        <w:outlineLvl w:val="1"/>
        <w:rPr>
          <w:rStyle w:val="29"/>
          <w:rFonts w:ascii="Times New Roman" w:hAnsi="Times New Roman" w:eastAsia="黑体"/>
          <w:b w:val="0"/>
        </w:rPr>
      </w:pPr>
      <w:bookmarkStart w:id="42" w:name="_Toc15377219"/>
      <w:bookmarkStart w:id="43" w:name="_Toc15396611"/>
      <w:r>
        <w:rPr>
          <w:rStyle w:val="29"/>
          <w:rFonts w:hint="eastAsia" w:ascii="Times New Roman" w:hAnsi="Times New Roman" w:eastAsia="黑体"/>
          <w:b w:val="0"/>
        </w:rPr>
        <w:t>九、国有资本经营预算支出决算情况说明</w:t>
      </w:r>
      <w:bookmarkEnd w:id="42"/>
      <w:bookmarkEnd w:id="43"/>
    </w:p>
    <w:p w14:paraId="45230DCF">
      <w:pPr>
        <w:spacing w:line="600" w:lineRule="exact"/>
        <w:ind w:firstLine="640"/>
        <w:rPr>
          <w:rFonts w:eastAsia="仿宋_GB2312" w:cs="仿宋_GB2312"/>
          <w:sz w:val="32"/>
          <w:szCs w:val="32"/>
        </w:rPr>
      </w:pPr>
      <w:r>
        <w:rPr>
          <w:rFonts w:hint="eastAsia" w:eastAsia="仿宋_GB2312" w:cs="仿宋_GB2312"/>
          <w:sz w:val="32"/>
          <w:szCs w:val="32"/>
        </w:rPr>
        <w:t>2025年度国有资本经营预算财政拨款支出</w:t>
      </w:r>
      <w:r>
        <w:rPr>
          <w:rFonts w:hint="eastAsia" w:eastAsia="仿宋_GB2312" w:cs="仿宋_GB2312"/>
          <w:sz w:val="32"/>
          <w:szCs w:val="32"/>
          <w:lang w:val="en-US" w:eastAsia="zh-CN"/>
        </w:rPr>
        <w:t>0</w:t>
      </w:r>
      <w:r>
        <w:rPr>
          <w:rFonts w:hint="eastAsia" w:eastAsia="仿宋_GB2312" w:cs="仿宋_GB2312"/>
          <w:sz w:val="32"/>
          <w:szCs w:val="32"/>
        </w:rPr>
        <w:t>万元，占本年支出合计的</w:t>
      </w:r>
      <w:r>
        <w:rPr>
          <w:rFonts w:hint="eastAsia" w:eastAsia="仿宋_GB2312" w:cs="仿宋_GB2312"/>
          <w:sz w:val="32"/>
          <w:szCs w:val="32"/>
          <w:lang w:val="en-US" w:eastAsia="zh-CN"/>
        </w:rPr>
        <w:t>0</w:t>
      </w:r>
      <w:r>
        <w:rPr>
          <w:rFonts w:hint="eastAsia" w:eastAsia="仿宋_GB2312" w:cs="仿宋_GB2312"/>
          <w:sz w:val="32"/>
          <w:szCs w:val="32"/>
        </w:rPr>
        <w:t>%。</w:t>
      </w:r>
    </w:p>
    <w:p w14:paraId="53D06FEB">
      <w:pPr>
        <w:spacing w:line="600" w:lineRule="exact"/>
        <w:ind w:left="630"/>
        <w:outlineLvl w:val="1"/>
        <w:rPr>
          <w:rStyle w:val="29"/>
          <w:rFonts w:ascii="Times New Roman" w:hAnsi="Times New Roman" w:eastAsia="黑体"/>
          <w:b w:val="0"/>
        </w:rPr>
      </w:pPr>
      <w:bookmarkStart w:id="44" w:name="_Toc15377221"/>
      <w:bookmarkStart w:id="45" w:name="_Toc15396612"/>
      <w:r>
        <w:rPr>
          <w:rStyle w:val="29"/>
          <w:rFonts w:hint="eastAsia" w:ascii="Times New Roman" w:hAnsi="Times New Roman" w:eastAsia="黑体"/>
          <w:b w:val="0"/>
        </w:rPr>
        <w:t>十、其他重要事项的情况说明</w:t>
      </w:r>
      <w:bookmarkEnd w:id="44"/>
      <w:bookmarkEnd w:id="45"/>
    </w:p>
    <w:p w14:paraId="7E22E271">
      <w:pPr>
        <w:spacing w:line="600" w:lineRule="exact"/>
        <w:ind w:firstLine="643" w:firstLineChars="200"/>
        <w:outlineLvl w:val="2"/>
        <w:rPr>
          <w:rFonts w:eastAsia="楷体_GB2312" w:cs="楷体_GB2312"/>
          <w:b/>
          <w:sz w:val="32"/>
          <w:szCs w:val="32"/>
        </w:rPr>
      </w:pPr>
      <w:bookmarkStart w:id="46" w:name="_Toc15377222"/>
      <w:r>
        <w:rPr>
          <w:rFonts w:hint="eastAsia" w:eastAsia="楷体_GB2312" w:cs="楷体_GB2312"/>
          <w:b/>
          <w:sz w:val="32"/>
          <w:szCs w:val="32"/>
        </w:rPr>
        <w:t>（一）机关运行经费支出情况</w:t>
      </w:r>
      <w:bookmarkEnd w:id="46"/>
    </w:p>
    <w:p w14:paraId="6DB573F7">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eastAsia="仿宋_GB2312" w:cs="仿宋_GB2312"/>
          <w:sz w:val="32"/>
          <w:szCs w:val="32"/>
          <w:lang w:eastAsia="zh-CN"/>
        </w:rPr>
        <w:t>阿坝州</w:t>
      </w:r>
      <w:r>
        <w:rPr>
          <w:rFonts w:hint="eastAsia" w:eastAsia="仿宋_GB2312" w:cs="仿宋_GB2312"/>
          <w:sz w:val="32"/>
          <w:szCs w:val="32"/>
        </w:rPr>
        <w:t>阿坝生态环境局机关运行经费支出</w:t>
      </w:r>
      <w:r>
        <w:rPr>
          <w:rFonts w:hint="eastAsia" w:eastAsia="仿宋_GB2312" w:cs="仿宋_GB2312"/>
          <w:sz w:val="32"/>
          <w:szCs w:val="32"/>
          <w:lang w:val="en-US" w:eastAsia="zh-CN"/>
        </w:rPr>
        <w:t>35.53</w:t>
      </w:r>
      <w:r>
        <w:rPr>
          <w:rFonts w:hint="eastAsia" w:eastAsia="仿宋_GB2312" w:cs="仿宋_GB2312"/>
          <w:sz w:val="32"/>
          <w:szCs w:val="32"/>
        </w:rPr>
        <w:t>万元，比上年度减少</w:t>
      </w:r>
      <w:r>
        <w:rPr>
          <w:rFonts w:hint="eastAsia" w:eastAsia="仿宋_GB2312" w:cs="仿宋_GB2312"/>
          <w:sz w:val="32"/>
          <w:szCs w:val="32"/>
          <w:lang w:val="en-US" w:eastAsia="zh-CN"/>
        </w:rPr>
        <w:t>9.18</w:t>
      </w:r>
      <w:r>
        <w:rPr>
          <w:rFonts w:hint="eastAsia" w:eastAsia="仿宋_GB2312" w:cs="仿宋_GB2312"/>
          <w:sz w:val="32"/>
          <w:szCs w:val="32"/>
        </w:rPr>
        <w:t>万元，下降</w:t>
      </w:r>
      <w:r>
        <w:rPr>
          <w:rFonts w:hint="eastAsia" w:eastAsia="仿宋_GB2312" w:cs="仿宋_GB2312"/>
          <w:sz w:val="32"/>
          <w:szCs w:val="32"/>
          <w:lang w:val="en-US" w:eastAsia="zh-CN"/>
        </w:rPr>
        <w:t>20.53</w:t>
      </w:r>
      <w:r>
        <w:rPr>
          <w:rFonts w:hint="eastAsia" w:eastAsia="仿宋_GB2312" w:cs="仿宋_GB2312"/>
          <w:sz w:val="32"/>
          <w:szCs w:val="32"/>
        </w:rPr>
        <w:t>%。主要原因是</w:t>
      </w:r>
      <w:r>
        <w:rPr>
          <w:rFonts w:hint="eastAsia" w:ascii="仿宋" w:hAnsi="仿宋" w:eastAsia="仿宋"/>
          <w:sz w:val="32"/>
          <w:szCs w:val="32"/>
          <w:lang w:val="en-US" w:eastAsia="zh-CN"/>
        </w:rPr>
        <w:t>人员调出，费用减少</w:t>
      </w:r>
      <w:r>
        <w:rPr>
          <w:rFonts w:hint="eastAsia" w:ascii="仿宋" w:hAnsi="仿宋" w:eastAsia="仿宋"/>
          <w:sz w:val="32"/>
          <w:szCs w:val="32"/>
          <w:lang w:eastAsia="zh-CN"/>
        </w:rPr>
        <w:t>。</w:t>
      </w:r>
    </w:p>
    <w:p w14:paraId="203A1A06">
      <w:pPr>
        <w:spacing w:line="600" w:lineRule="exact"/>
        <w:ind w:firstLine="643" w:firstLineChars="200"/>
        <w:outlineLvl w:val="2"/>
        <w:rPr>
          <w:rFonts w:eastAsia="楷体_GB2312" w:cs="楷体_GB2312"/>
          <w:b/>
          <w:sz w:val="32"/>
          <w:szCs w:val="32"/>
        </w:rPr>
      </w:pPr>
      <w:bookmarkStart w:id="47" w:name="_Toc15377223"/>
      <w:r>
        <w:rPr>
          <w:rFonts w:hint="eastAsia" w:eastAsia="楷体_GB2312" w:cs="楷体_GB2312"/>
          <w:b/>
          <w:sz w:val="32"/>
          <w:szCs w:val="32"/>
        </w:rPr>
        <w:t>（二）政府采购支出情况</w:t>
      </w:r>
      <w:bookmarkEnd w:id="47"/>
    </w:p>
    <w:p w14:paraId="3733559B">
      <w:pPr>
        <w:spacing w:line="600" w:lineRule="exact"/>
        <w:ind w:firstLine="640"/>
        <w:rPr>
          <w:rFonts w:eastAsia="仿宋_GB2312" w:cs="仿宋_GB2312"/>
          <w:sz w:val="32"/>
          <w:szCs w:val="32"/>
        </w:rPr>
      </w:pPr>
      <w:r>
        <w:rPr>
          <w:rFonts w:hint="eastAsia" w:eastAsia="仿宋_GB2312" w:cs="仿宋_GB2312"/>
          <w:sz w:val="32"/>
          <w:szCs w:val="32"/>
        </w:rPr>
        <w:t>2025年度，</w:t>
      </w:r>
      <w:r>
        <w:rPr>
          <w:rFonts w:hint="eastAsia" w:eastAsia="仿宋_GB2312" w:cs="仿宋_GB2312"/>
          <w:sz w:val="32"/>
          <w:szCs w:val="32"/>
          <w:lang w:eastAsia="zh-CN"/>
        </w:rPr>
        <w:t>阿坝州</w:t>
      </w:r>
      <w:r>
        <w:rPr>
          <w:rFonts w:hint="eastAsia" w:eastAsia="仿宋_GB2312" w:cs="仿宋_GB2312"/>
          <w:sz w:val="32"/>
          <w:szCs w:val="32"/>
        </w:rPr>
        <w:t>阿坝生态环境局政府采购支出总额</w:t>
      </w:r>
      <w:r>
        <w:rPr>
          <w:rFonts w:hint="eastAsia" w:eastAsia="仿宋_GB2312" w:cs="仿宋_GB2312"/>
          <w:sz w:val="32"/>
          <w:szCs w:val="32"/>
          <w:lang w:val="en-US" w:eastAsia="zh-CN"/>
        </w:rPr>
        <w:t>554.06</w:t>
      </w:r>
      <w:r>
        <w:rPr>
          <w:rFonts w:hint="eastAsia" w:eastAsia="仿宋_GB2312" w:cs="仿宋_GB2312"/>
          <w:sz w:val="32"/>
          <w:szCs w:val="32"/>
        </w:rPr>
        <w:t>万元，其中：政府采购货物支出</w:t>
      </w:r>
      <w:r>
        <w:rPr>
          <w:rFonts w:hint="eastAsia" w:eastAsia="仿宋_GB2312" w:cs="仿宋_GB2312"/>
          <w:sz w:val="32"/>
          <w:szCs w:val="32"/>
          <w:lang w:val="en-US" w:eastAsia="zh-CN"/>
        </w:rPr>
        <w:t>0</w:t>
      </w:r>
      <w:r>
        <w:rPr>
          <w:rFonts w:hint="eastAsia" w:eastAsia="仿宋_GB2312" w:cs="仿宋_GB2312"/>
          <w:sz w:val="32"/>
          <w:szCs w:val="32"/>
        </w:rPr>
        <w:t>万元、政府采购工程支出</w:t>
      </w:r>
      <w:r>
        <w:rPr>
          <w:rFonts w:hint="eastAsia" w:eastAsia="仿宋_GB2312" w:cs="仿宋_GB2312"/>
          <w:sz w:val="32"/>
          <w:szCs w:val="32"/>
          <w:lang w:val="en-US" w:eastAsia="zh-CN"/>
        </w:rPr>
        <w:t>549</w:t>
      </w:r>
      <w:r>
        <w:rPr>
          <w:rFonts w:hint="eastAsia" w:eastAsia="仿宋_GB2312" w:cs="仿宋_GB2312"/>
          <w:sz w:val="32"/>
          <w:szCs w:val="32"/>
        </w:rPr>
        <w:t>万元、政府采购服务支出</w:t>
      </w:r>
      <w:r>
        <w:rPr>
          <w:rFonts w:hint="eastAsia" w:eastAsia="仿宋_GB2312" w:cs="仿宋_GB2312"/>
          <w:sz w:val="32"/>
          <w:szCs w:val="32"/>
          <w:lang w:val="en-US" w:eastAsia="zh-CN"/>
        </w:rPr>
        <w:t>5.07</w:t>
      </w:r>
      <w:r>
        <w:rPr>
          <w:rFonts w:hint="eastAsia" w:eastAsia="仿宋_GB2312" w:cs="仿宋_GB2312"/>
          <w:sz w:val="32"/>
          <w:szCs w:val="32"/>
        </w:rPr>
        <w:t>万元。主要用于</w:t>
      </w:r>
      <w:r>
        <w:rPr>
          <w:rFonts w:hint="eastAsia" w:eastAsia="仿宋_GB2312" w:cs="仿宋_GB2312"/>
          <w:sz w:val="32"/>
          <w:szCs w:val="32"/>
          <w:lang w:val="en-US" w:eastAsia="zh-CN"/>
        </w:rPr>
        <w:t>基础设施维护、农村污水治理、委托三方环境监测</w:t>
      </w:r>
      <w:r>
        <w:rPr>
          <w:rFonts w:hint="eastAsia" w:eastAsia="仿宋_GB2312" w:cs="仿宋_GB2312"/>
          <w:sz w:val="32"/>
          <w:szCs w:val="32"/>
        </w:rPr>
        <w:t>。</w:t>
      </w:r>
    </w:p>
    <w:p w14:paraId="510B8649">
      <w:pPr>
        <w:spacing w:line="600" w:lineRule="exact"/>
        <w:ind w:firstLine="643" w:firstLineChars="200"/>
        <w:outlineLvl w:val="2"/>
        <w:rPr>
          <w:rFonts w:eastAsia="楷体_GB2312" w:cs="楷体_GB2312"/>
          <w:b/>
          <w:sz w:val="32"/>
          <w:szCs w:val="32"/>
        </w:rPr>
      </w:pPr>
      <w:bookmarkStart w:id="48" w:name="_Toc15377224"/>
      <w:r>
        <w:rPr>
          <w:rFonts w:hint="eastAsia" w:eastAsia="楷体_GB2312" w:cs="楷体_GB2312"/>
          <w:b/>
          <w:sz w:val="32"/>
          <w:szCs w:val="32"/>
        </w:rPr>
        <w:t>（三）国有资产占有使用情况</w:t>
      </w:r>
      <w:bookmarkEnd w:id="48"/>
    </w:p>
    <w:p w14:paraId="7D1B21F4">
      <w:pPr>
        <w:spacing w:line="600" w:lineRule="exact"/>
        <w:ind w:firstLine="640"/>
        <w:rPr>
          <w:rFonts w:eastAsia="仿宋_GB2312" w:cs="仿宋_GB2312"/>
          <w:sz w:val="32"/>
          <w:szCs w:val="32"/>
        </w:rPr>
      </w:pPr>
      <w:r>
        <w:rPr>
          <w:rFonts w:hint="eastAsia" w:eastAsia="仿宋_GB2312" w:cs="仿宋_GB2312"/>
          <w:sz w:val="32"/>
          <w:szCs w:val="32"/>
        </w:rPr>
        <w:t>截至2025年12月31日，</w:t>
      </w:r>
      <w:r>
        <w:rPr>
          <w:rFonts w:hint="eastAsia" w:eastAsia="仿宋_GB2312" w:cs="仿宋_GB2312"/>
          <w:sz w:val="32"/>
          <w:szCs w:val="32"/>
          <w:lang w:eastAsia="zh-CN"/>
        </w:rPr>
        <w:t>阿坝州</w:t>
      </w:r>
      <w:r>
        <w:rPr>
          <w:rFonts w:hint="eastAsia" w:eastAsia="仿宋_GB2312" w:cs="仿宋_GB2312"/>
          <w:sz w:val="32"/>
          <w:szCs w:val="32"/>
        </w:rPr>
        <w:t>阿坝生态环境局共有车辆</w:t>
      </w:r>
      <w:r>
        <w:rPr>
          <w:rFonts w:hint="eastAsia" w:eastAsia="仿宋_GB2312" w:cs="仿宋_GB2312"/>
          <w:sz w:val="32"/>
          <w:szCs w:val="32"/>
          <w:lang w:val="en-US" w:eastAsia="zh-CN"/>
        </w:rPr>
        <w:t>4</w:t>
      </w:r>
      <w:r>
        <w:rPr>
          <w:rFonts w:hint="eastAsia" w:eastAsia="仿宋_GB2312" w:cs="仿宋_GB2312"/>
          <w:sz w:val="32"/>
          <w:szCs w:val="32"/>
        </w:rPr>
        <w:t>辆，其中：副部（省）级及以上领导用车</w:t>
      </w:r>
      <w:r>
        <w:rPr>
          <w:rFonts w:hint="eastAsia" w:eastAsia="仿宋_GB2312" w:cs="仿宋_GB2312"/>
          <w:sz w:val="32"/>
          <w:szCs w:val="32"/>
          <w:lang w:val="en-US" w:eastAsia="zh-CN"/>
        </w:rPr>
        <w:t>0</w:t>
      </w:r>
      <w:r>
        <w:rPr>
          <w:rFonts w:hint="eastAsia" w:eastAsia="仿宋_GB2312" w:cs="仿宋_GB2312"/>
          <w:sz w:val="32"/>
          <w:szCs w:val="32"/>
        </w:rPr>
        <w:t>辆、主要负责人用车</w:t>
      </w:r>
      <w:r>
        <w:rPr>
          <w:rFonts w:hint="eastAsia" w:eastAsia="仿宋_GB2312" w:cs="仿宋_GB2312"/>
          <w:sz w:val="32"/>
          <w:szCs w:val="32"/>
          <w:lang w:val="en-US" w:eastAsia="zh-CN"/>
        </w:rPr>
        <w:t>0</w:t>
      </w:r>
      <w:r>
        <w:rPr>
          <w:rFonts w:hint="eastAsia" w:eastAsia="仿宋_GB2312" w:cs="仿宋_GB2312"/>
          <w:sz w:val="32"/>
          <w:szCs w:val="32"/>
        </w:rPr>
        <w:t>辆、机要通信用车</w:t>
      </w:r>
      <w:r>
        <w:rPr>
          <w:rFonts w:hint="eastAsia" w:eastAsia="仿宋_GB2312" w:cs="仿宋_GB2312"/>
          <w:sz w:val="32"/>
          <w:szCs w:val="32"/>
          <w:lang w:val="en-US" w:eastAsia="zh-CN"/>
        </w:rPr>
        <w:t>0</w:t>
      </w:r>
      <w:r>
        <w:rPr>
          <w:rFonts w:hint="eastAsia" w:eastAsia="仿宋_GB2312" w:cs="仿宋_GB2312"/>
          <w:sz w:val="32"/>
          <w:szCs w:val="32"/>
        </w:rPr>
        <w:t>辆、应急保障用车</w:t>
      </w:r>
      <w:r>
        <w:rPr>
          <w:rFonts w:hint="eastAsia" w:eastAsia="仿宋_GB2312" w:cs="仿宋_GB2312"/>
          <w:sz w:val="32"/>
          <w:szCs w:val="32"/>
          <w:lang w:val="en-US" w:eastAsia="zh-CN"/>
        </w:rPr>
        <w:t>0</w:t>
      </w:r>
      <w:r>
        <w:rPr>
          <w:rFonts w:hint="eastAsia" w:eastAsia="仿宋_GB2312" w:cs="仿宋_GB2312"/>
          <w:sz w:val="32"/>
          <w:szCs w:val="32"/>
        </w:rPr>
        <w:t>辆、执法执勤用车</w:t>
      </w:r>
      <w:r>
        <w:rPr>
          <w:rFonts w:hint="eastAsia" w:eastAsia="仿宋_GB2312" w:cs="仿宋_GB2312"/>
          <w:sz w:val="32"/>
          <w:szCs w:val="32"/>
          <w:lang w:val="en-US" w:eastAsia="zh-CN"/>
        </w:rPr>
        <w:t>0</w:t>
      </w:r>
      <w:r>
        <w:rPr>
          <w:rFonts w:hint="eastAsia" w:eastAsia="仿宋_GB2312" w:cs="仿宋_GB2312"/>
          <w:sz w:val="32"/>
          <w:szCs w:val="32"/>
        </w:rPr>
        <w:t>辆、特种专业技术用车</w:t>
      </w:r>
      <w:r>
        <w:rPr>
          <w:rFonts w:hint="eastAsia" w:eastAsia="仿宋_GB2312" w:cs="仿宋_GB2312"/>
          <w:sz w:val="32"/>
          <w:szCs w:val="32"/>
          <w:lang w:val="en-US" w:eastAsia="zh-CN"/>
        </w:rPr>
        <w:t>0</w:t>
      </w:r>
      <w:r>
        <w:rPr>
          <w:rFonts w:hint="eastAsia" w:eastAsia="仿宋_GB2312" w:cs="仿宋_GB2312"/>
          <w:sz w:val="32"/>
          <w:szCs w:val="32"/>
        </w:rPr>
        <w:t>辆、离退休干部服务用车</w:t>
      </w:r>
      <w:r>
        <w:rPr>
          <w:rFonts w:hint="eastAsia" w:eastAsia="仿宋_GB2312" w:cs="仿宋_GB2312"/>
          <w:sz w:val="32"/>
          <w:szCs w:val="32"/>
          <w:lang w:val="en-US" w:eastAsia="zh-CN"/>
        </w:rPr>
        <w:t>0</w:t>
      </w:r>
      <w:r>
        <w:rPr>
          <w:rFonts w:hint="eastAsia" w:eastAsia="仿宋_GB2312" w:cs="仿宋_GB2312"/>
          <w:sz w:val="32"/>
          <w:szCs w:val="32"/>
        </w:rPr>
        <w:t>辆、其他用车</w:t>
      </w:r>
      <w:r>
        <w:rPr>
          <w:rFonts w:hint="eastAsia" w:eastAsia="仿宋_GB2312" w:cs="仿宋_GB2312"/>
          <w:sz w:val="32"/>
          <w:szCs w:val="32"/>
          <w:lang w:val="en-US" w:eastAsia="zh-CN"/>
        </w:rPr>
        <w:t>4</w:t>
      </w:r>
      <w:r>
        <w:rPr>
          <w:rFonts w:hint="eastAsia" w:eastAsia="仿宋_GB2312" w:cs="仿宋_GB2312"/>
          <w:sz w:val="32"/>
          <w:szCs w:val="32"/>
        </w:rPr>
        <w:t>辆，其他用车主要是用于</w:t>
      </w:r>
      <w:r>
        <w:rPr>
          <w:rFonts w:hint="eastAsia" w:eastAsia="仿宋_GB2312" w:cs="仿宋_GB2312"/>
          <w:sz w:val="32"/>
          <w:szCs w:val="32"/>
          <w:lang w:eastAsia="zh-CN"/>
        </w:rPr>
        <w:t>执行公务</w:t>
      </w:r>
      <w:r>
        <w:rPr>
          <w:rFonts w:hint="eastAsia" w:eastAsia="仿宋_GB2312" w:cs="仿宋_GB2312"/>
          <w:sz w:val="32"/>
          <w:szCs w:val="32"/>
        </w:rPr>
        <w:t>。单价100万元（含）以上设备（不含车辆）</w:t>
      </w:r>
      <w:r>
        <w:rPr>
          <w:rFonts w:hint="eastAsia" w:eastAsia="仿宋_GB2312" w:cs="仿宋_GB2312"/>
          <w:sz w:val="32"/>
          <w:szCs w:val="32"/>
          <w:lang w:val="en-US" w:eastAsia="zh-CN"/>
        </w:rPr>
        <w:t>0</w:t>
      </w:r>
      <w:r>
        <w:rPr>
          <w:rFonts w:hint="eastAsia" w:eastAsia="仿宋_GB2312" w:cs="仿宋_GB2312"/>
          <w:sz w:val="32"/>
          <w:szCs w:val="32"/>
        </w:rPr>
        <w:t>台（套）。</w:t>
      </w:r>
    </w:p>
    <w:p w14:paraId="08F96012">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（四）预算绩效管理情况</w:t>
      </w:r>
    </w:p>
    <w:p w14:paraId="6AB8A9EB">
      <w:pPr>
        <w:spacing w:line="600" w:lineRule="exact"/>
        <w:ind w:firstLine="640"/>
        <w:rPr>
          <w:rFonts w:eastAsia="仿宋_GB2312" w:cs="仿宋_GB2312"/>
          <w:sz w:val="32"/>
          <w:szCs w:val="32"/>
        </w:rPr>
      </w:pPr>
      <w:r>
        <w:rPr>
          <w:rFonts w:hint="eastAsia" w:eastAsia="仿宋_GB2312" w:cs="仿宋_GB2312"/>
          <w:sz w:val="32"/>
          <w:szCs w:val="32"/>
        </w:rPr>
        <w:t>根据预算绩效管理要求，</w:t>
      </w:r>
      <w:r>
        <w:rPr>
          <w:rFonts w:hint="eastAsia" w:eastAsia="仿宋_GB2312" w:cs="仿宋_GB2312"/>
          <w:sz w:val="32"/>
          <w:szCs w:val="32"/>
          <w:lang w:eastAsia="zh-CN"/>
        </w:rPr>
        <w:t>阿坝州</w:t>
      </w:r>
      <w:r>
        <w:rPr>
          <w:rFonts w:hint="eastAsia" w:eastAsia="仿宋_GB2312" w:cs="仿宋_GB2312"/>
          <w:sz w:val="32"/>
          <w:szCs w:val="32"/>
        </w:rPr>
        <w:t>阿坝生态环境局在2025年度，组织对建设项目环境影响评价技术审查评估专项经费等</w:t>
      </w:r>
      <w:r>
        <w:rPr>
          <w:rFonts w:hint="eastAsia" w:eastAsia="仿宋_GB2312" w:cs="仿宋_GB2312"/>
          <w:sz w:val="32"/>
          <w:szCs w:val="32"/>
          <w:lang w:val="en-US" w:eastAsia="zh-CN"/>
        </w:rPr>
        <w:t>19</w:t>
      </w:r>
      <w:r>
        <w:rPr>
          <w:rFonts w:hint="eastAsia" w:eastAsia="仿宋_GB2312" w:cs="仿宋_GB2312"/>
          <w:sz w:val="32"/>
          <w:szCs w:val="32"/>
        </w:rPr>
        <w:t>个项目涉及金额</w:t>
      </w:r>
      <w:r>
        <w:rPr>
          <w:rFonts w:hint="eastAsia" w:eastAsia="仿宋_GB2312" w:cs="仿宋_GB2312"/>
          <w:sz w:val="32"/>
          <w:szCs w:val="32"/>
          <w:lang w:val="en-US" w:eastAsia="zh-CN"/>
        </w:rPr>
        <w:t>912.04</w:t>
      </w:r>
      <w:r>
        <w:rPr>
          <w:rFonts w:hint="eastAsia" w:eastAsia="仿宋_GB2312" w:cs="仿宋_GB2312"/>
          <w:sz w:val="32"/>
          <w:szCs w:val="32"/>
        </w:rPr>
        <w:t>万元开展了事前绩效评估，对</w:t>
      </w:r>
      <w:r>
        <w:rPr>
          <w:rFonts w:hint="eastAsia" w:eastAsia="仿宋_GB2312" w:cs="仿宋_GB2312"/>
          <w:sz w:val="32"/>
          <w:szCs w:val="32"/>
          <w:lang w:val="en-US" w:eastAsia="zh-CN"/>
        </w:rPr>
        <w:t>19</w:t>
      </w:r>
      <w:r>
        <w:rPr>
          <w:rFonts w:hint="eastAsia" w:eastAsia="仿宋_GB2312" w:cs="仿宋_GB2312"/>
          <w:sz w:val="32"/>
          <w:szCs w:val="32"/>
        </w:rPr>
        <w:t>个项目编制了绩效目标，预算执行过程中，选取</w:t>
      </w:r>
      <w:r>
        <w:rPr>
          <w:rFonts w:hint="eastAsia" w:eastAsia="仿宋_GB2312" w:cs="仿宋_GB2312"/>
          <w:sz w:val="32"/>
          <w:szCs w:val="32"/>
          <w:lang w:val="en-US" w:eastAsia="zh-CN"/>
        </w:rPr>
        <w:t>10</w:t>
      </w:r>
      <w:r>
        <w:rPr>
          <w:rFonts w:hint="eastAsia" w:eastAsia="仿宋_GB2312" w:cs="仿宋_GB2312"/>
          <w:sz w:val="32"/>
          <w:szCs w:val="32"/>
        </w:rPr>
        <w:t>个项目开展绩效监控。</w:t>
      </w:r>
    </w:p>
    <w:p w14:paraId="464657E4">
      <w:pPr>
        <w:spacing w:line="600" w:lineRule="exact"/>
        <w:ind w:firstLine="640"/>
        <w:rPr>
          <w:rFonts w:hint="eastAsia" w:eastAsia="仿宋_GB2312" w:cs="仿宋_GB2312"/>
          <w:sz w:val="32"/>
          <w:szCs w:val="32"/>
          <w:lang w:eastAsia="zh-CN"/>
        </w:rPr>
      </w:pPr>
      <w:r>
        <w:rPr>
          <w:rFonts w:hint="eastAsia" w:eastAsia="仿宋_GB2312" w:cs="仿宋_GB2312"/>
          <w:sz w:val="32"/>
          <w:szCs w:val="32"/>
        </w:rPr>
        <w:t>组织对2025年度一般公共预算、政府性基金预算、国有资本经营预算、社会保险基金预算以及资本资产、债券资金等全面开展绩效自评，形成</w:t>
      </w:r>
      <w:r>
        <w:rPr>
          <w:rFonts w:hint="eastAsia" w:eastAsia="仿宋_GB2312" w:cs="仿宋_GB2312"/>
          <w:sz w:val="32"/>
          <w:szCs w:val="32"/>
          <w:lang w:eastAsia="zh-CN"/>
        </w:rPr>
        <w:t>阿坝州</w:t>
      </w:r>
      <w:r>
        <w:rPr>
          <w:rFonts w:hint="eastAsia" w:eastAsia="仿宋_GB2312" w:cs="仿宋_GB2312"/>
          <w:sz w:val="32"/>
          <w:szCs w:val="32"/>
        </w:rPr>
        <w:t>阿坝生态环境局部门预算</w:t>
      </w:r>
      <w:r>
        <w:rPr>
          <w:rFonts w:hint="eastAsia" w:eastAsia="仿宋_GB2312" w:cs="仿宋_GB2312"/>
          <w:sz w:val="32"/>
          <w:szCs w:val="32"/>
          <w:lang w:eastAsia="zh-CN"/>
        </w:rPr>
        <w:t>整体</w:t>
      </w:r>
      <w:r>
        <w:rPr>
          <w:rFonts w:hint="eastAsia" w:eastAsia="仿宋_GB2312" w:cs="仿宋_GB2312"/>
          <w:sz w:val="32"/>
          <w:szCs w:val="32"/>
        </w:rPr>
        <w:t>绩效自评报告</w:t>
      </w:r>
      <w:r>
        <w:rPr>
          <w:rFonts w:hint="eastAsia" w:eastAsia="仿宋_GB2312" w:cs="仿宋_GB2312"/>
          <w:sz w:val="32"/>
          <w:szCs w:val="32"/>
          <w:lang w:eastAsia="zh-CN"/>
        </w:rPr>
        <w:t>。</w:t>
      </w:r>
    </w:p>
    <w:p w14:paraId="6B658AA5">
      <w:pPr>
        <w:pStyle w:val="5"/>
        <w:rPr>
          <w:rFonts w:hint="eastAsia" w:eastAsia="仿宋_GB2312" w:cs="仿宋_GB2312"/>
          <w:sz w:val="32"/>
          <w:szCs w:val="32"/>
          <w:lang w:eastAsia="zh-CN"/>
        </w:rPr>
      </w:pPr>
    </w:p>
    <w:p w14:paraId="339BEFAE">
      <w:pPr>
        <w:pStyle w:val="5"/>
        <w:rPr>
          <w:rFonts w:hint="eastAsia" w:eastAsia="仿宋_GB2312" w:cs="仿宋_GB2312"/>
          <w:sz w:val="32"/>
          <w:szCs w:val="32"/>
          <w:lang w:eastAsia="zh-CN"/>
        </w:rPr>
      </w:pPr>
    </w:p>
    <w:p w14:paraId="4762C16A">
      <w:pPr>
        <w:pStyle w:val="5"/>
        <w:rPr>
          <w:rFonts w:hint="eastAsia" w:eastAsia="仿宋_GB2312" w:cs="仿宋_GB2312"/>
          <w:sz w:val="32"/>
          <w:szCs w:val="32"/>
          <w:lang w:eastAsia="zh-CN"/>
        </w:rPr>
      </w:pPr>
    </w:p>
    <w:p w14:paraId="4B17FDE7">
      <w:pPr>
        <w:pStyle w:val="5"/>
        <w:rPr>
          <w:rFonts w:hint="eastAsia" w:eastAsia="仿宋_GB2312" w:cs="仿宋_GB2312"/>
          <w:sz w:val="32"/>
          <w:szCs w:val="32"/>
          <w:lang w:eastAsia="zh-CN"/>
        </w:rPr>
      </w:pPr>
    </w:p>
    <w:p w14:paraId="73B01D07">
      <w:pPr>
        <w:pStyle w:val="5"/>
        <w:rPr>
          <w:rFonts w:hint="eastAsia" w:eastAsia="仿宋_GB2312" w:cs="仿宋_GB2312"/>
          <w:sz w:val="32"/>
          <w:szCs w:val="32"/>
          <w:lang w:eastAsia="zh-CN"/>
        </w:rPr>
      </w:pPr>
    </w:p>
    <w:p w14:paraId="5796D419">
      <w:pPr>
        <w:pStyle w:val="5"/>
        <w:rPr>
          <w:rFonts w:hint="eastAsia" w:eastAsia="仿宋_GB2312" w:cs="仿宋_GB2312"/>
          <w:sz w:val="32"/>
          <w:szCs w:val="32"/>
          <w:lang w:eastAsia="zh-CN"/>
        </w:rPr>
      </w:pPr>
    </w:p>
    <w:p w14:paraId="1EEE5971">
      <w:pPr>
        <w:pStyle w:val="5"/>
        <w:rPr>
          <w:rFonts w:hint="eastAsia" w:eastAsia="仿宋_GB2312" w:cs="仿宋_GB2312"/>
          <w:sz w:val="32"/>
          <w:szCs w:val="32"/>
          <w:lang w:eastAsia="zh-CN"/>
        </w:rPr>
      </w:pPr>
    </w:p>
    <w:p w14:paraId="5C68F6C0">
      <w:pPr>
        <w:pStyle w:val="5"/>
        <w:rPr>
          <w:rFonts w:hint="eastAsia" w:eastAsia="仿宋_GB2312" w:cs="仿宋_GB2312"/>
          <w:sz w:val="32"/>
          <w:szCs w:val="32"/>
          <w:lang w:eastAsia="zh-CN"/>
        </w:rPr>
      </w:pPr>
    </w:p>
    <w:p w14:paraId="7F7136DC">
      <w:pPr>
        <w:pStyle w:val="5"/>
        <w:rPr>
          <w:rFonts w:hint="eastAsia" w:eastAsia="仿宋_GB2312" w:cs="仿宋_GB2312"/>
          <w:sz w:val="32"/>
          <w:szCs w:val="32"/>
          <w:lang w:eastAsia="zh-CN"/>
        </w:rPr>
      </w:pPr>
    </w:p>
    <w:p w14:paraId="21405832">
      <w:pPr>
        <w:spacing w:line="600" w:lineRule="exact"/>
        <w:jc w:val="center"/>
        <w:outlineLvl w:val="0"/>
        <w:rPr>
          <w:rFonts w:eastAsia="黑体"/>
          <w:sz w:val="44"/>
          <w:szCs w:val="44"/>
        </w:rPr>
      </w:pPr>
      <w:bookmarkStart w:id="49" w:name="_Toc15396613"/>
      <w:bookmarkStart w:id="50" w:name="_Toc15377225"/>
      <w:r>
        <w:rPr>
          <w:rFonts w:hint="eastAsia" w:eastAsia="黑体"/>
          <w:sz w:val="44"/>
          <w:szCs w:val="44"/>
        </w:rPr>
        <w:t>第三部分  名词解释</w:t>
      </w:r>
      <w:bookmarkEnd w:id="49"/>
      <w:bookmarkEnd w:id="50"/>
    </w:p>
    <w:p w14:paraId="222EB419">
      <w:pPr>
        <w:spacing w:line="600" w:lineRule="exact"/>
        <w:jc w:val="left"/>
        <w:rPr>
          <w:b/>
          <w:sz w:val="44"/>
          <w:szCs w:val="44"/>
        </w:rPr>
      </w:pPr>
    </w:p>
    <w:p w14:paraId="2AE30EA3">
      <w:pPr>
        <w:spacing w:line="600" w:lineRule="exact"/>
        <w:ind w:firstLine="640"/>
        <w:rPr>
          <w:rFonts w:eastAsia="仿宋_GB2312" w:cs="仿宋_GB2312"/>
          <w:sz w:val="32"/>
          <w:szCs w:val="32"/>
        </w:rPr>
      </w:pPr>
      <w:r>
        <w:rPr>
          <w:rFonts w:hint="eastAsia" w:eastAsia="仿宋_GB2312" w:cs="仿宋_GB2312"/>
          <w:sz w:val="32"/>
          <w:szCs w:val="32"/>
        </w:rPr>
        <w:t>1.财政拨款收入：指单位从同级财政部门取得的财政预算资金。</w:t>
      </w:r>
    </w:p>
    <w:p w14:paraId="68C1ED40">
      <w:pPr>
        <w:spacing w:line="600" w:lineRule="exact"/>
        <w:ind w:firstLine="640"/>
        <w:rPr>
          <w:rFonts w:eastAsia="仿宋_GB2312" w:cs="仿宋_GB2312"/>
          <w:sz w:val="32"/>
          <w:szCs w:val="32"/>
        </w:rPr>
      </w:pPr>
      <w:r>
        <w:rPr>
          <w:rFonts w:hint="eastAsia" w:eastAsia="仿宋_GB2312" w:cs="仿宋_GB2312"/>
          <w:sz w:val="32"/>
          <w:szCs w:val="32"/>
        </w:rPr>
        <w:t>2.事业收入：指事业单位开展专业业务活动及辅助活动取得的收入。</w:t>
      </w:r>
    </w:p>
    <w:p w14:paraId="073439F5">
      <w:pPr>
        <w:spacing w:line="600" w:lineRule="exact"/>
        <w:ind w:firstLine="640"/>
        <w:rPr>
          <w:rFonts w:hint="eastAsia" w:eastAsia="仿宋_GB2312" w:cs="仿宋_GB2312"/>
          <w:sz w:val="32"/>
          <w:szCs w:val="32"/>
        </w:rPr>
      </w:pPr>
      <w:r>
        <w:rPr>
          <w:rFonts w:hint="eastAsia" w:eastAsia="仿宋_GB2312" w:cs="仿宋_GB2312"/>
          <w:sz w:val="32"/>
          <w:szCs w:val="32"/>
        </w:rPr>
        <w:t>3.经营收入：指事业单位在专业业务活动及其辅助活动之外开展非独立核算经营活动取得的收入。</w:t>
      </w:r>
    </w:p>
    <w:p w14:paraId="6CDDEA3A">
      <w:pPr>
        <w:spacing w:line="600" w:lineRule="exact"/>
        <w:ind w:firstLine="640"/>
        <w:rPr>
          <w:rFonts w:eastAsia="仿宋_GB2312" w:cs="仿宋_GB2312"/>
          <w:sz w:val="32"/>
          <w:szCs w:val="32"/>
        </w:rPr>
      </w:pPr>
      <w:r>
        <w:rPr>
          <w:rFonts w:hint="eastAsia" w:eastAsia="仿宋_GB2312" w:cs="仿宋_GB2312"/>
          <w:sz w:val="32"/>
          <w:szCs w:val="32"/>
        </w:rPr>
        <w:t xml:space="preserve">4.其他收入：指单位取得的除上述收入以外的各项收入。 </w:t>
      </w:r>
    </w:p>
    <w:p w14:paraId="30B5B1F4">
      <w:pPr>
        <w:spacing w:line="600" w:lineRule="exact"/>
        <w:ind w:firstLine="640"/>
        <w:rPr>
          <w:rFonts w:eastAsia="仿宋_GB2312" w:cs="仿宋_GB2312"/>
          <w:sz w:val="32"/>
          <w:szCs w:val="32"/>
        </w:rPr>
      </w:pPr>
      <w:r>
        <w:rPr>
          <w:rFonts w:hint="eastAsia" w:eastAsia="仿宋_GB2312" w:cs="仿宋_GB2312"/>
          <w:sz w:val="32"/>
          <w:szCs w:val="32"/>
        </w:rPr>
        <w:t xml:space="preserve">5.使用非财政拨款结余（含专用结余）：指事业单位使用以前年度积累的非财政拨款结余弥补当年收支差额的金额。 </w:t>
      </w:r>
    </w:p>
    <w:p w14:paraId="5ADA4531">
      <w:pPr>
        <w:spacing w:line="600" w:lineRule="exact"/>
        <w:ind w:firstLine="640"/>
        <w:rPr>
          <w:rFonts w:eastAsia="仿宋_GB2312" w:cs="仿宋_GB2312"/>
          <w:sz w:val="32"/>
          <w:szCs w:val="32"/>
        </w:rPr>
      </w:pPr>
      <w:r>
        <w:rPr>
          <w:rFonts w:hint="eastAsia" w:eastAsia="仿宋_GB2312" w:cs="仿宋_GB2312"/>
          <w:sz w:val="32"/>
          <w:szCs w:val="32"/>
        </w:rPr>
        <w:t xml:space="preserve">6.年初结转和结余：指以前年度尚未完成、结转到本年按有关规定继续使用的资金。 </w:t>
      </w:r>
    </w:p>
    <w:p w14:paraId="41C05567">
      <w:pPr>
        <w:spacing w:line="600" w:lineRule="exact"/>
        <w:ind w:firstLine="640"/>
        <w:rPr>
          <w:rFonts w:eastAsia="仿宋_GB2312" w:cs="仿宋_GB2312"/>
          <w:sz w:val="32"/>
          <w:szCs w:val="32"/>
        </w:rPr>
      </w:pPr>
      <w:r>
        <w:rPr>
          <w:rFonts w:hint="eastAsia" w:eastAsia="仿宋_GB2312" w:cs="仿宋_GB2312"/>
          <w:sz w:val="32"/>
          <w:szCs w:val="32"/>
        </w:rPr>
        <w:t>7.结余分配：指事业单位按照会计制度规定缴纳的所得税、提取的专用结余以及转入非财政拨款结余的金额等。</w:t>
      </w:r>
    </w:p>
    <w:p w14:paraId="697F5B55">
      <w:pPr>
        <w:spacing w:line="600" w:lineRule="exact"/>
        <w:ind w:firstLine="640"/>
        <w:rPr>
          <w:rFonts w:eastAsia="仿宋_GB2312" w:cs="仿宋_GB2312"/>
          <w:sz w:val="32"/>
          <w:szCs w:val="32"/>
        </w:rPr>
      </w:pPr>
      <w:r>
        <w:rPr>
          <w:rFonts w:hint="eastAsia" w:eastAsia="仿宋_GB2312" w:cs="仿宋_GB2312"/>
          <w:sz w:val="32"/>
          <w:szCs w:val="32"/>
        </w:rPr>
        <w:t>8.年末结转和结余：指单位按有关规定结转到下年或以后年度继续使用的资金。</w:t>
      </w:r>
    </w:p>
    <w:p w14:paraId="7447C555">
      <w:pPr>
        <w:ind w:firstLine="640" w:firstLineChars="200"/>
        <w:rPr>
          <w:rFonts w:hint="eastAsia" w:ascii="仿宋_GB2312" w:eastAsia="仿宋_GB2312"/>
          <w:color w:val="000000"/>
          <w:sz w:val="32"/>
          <w:szCs w:val="32"/>
        </w:rPr>
      </w:pPr>
      <w:bookmarkStart w:id="51" w:name="_Toc15377226"/>
      <w:r>
        <w:rPr>
          <w:rFonts w:hint="eastAsia" w:ascii="仿宋_GB2312" w:eastAsia="仿宋_GB2312"/>
          <w:color w:val="000000"/>
          <w:sz w:val="32"/>
          <w:szCs w:val="32"/>
        </w:rPr>
        <w:t>9.一般公共服务：指反映政府提供一般公共服务的支出。</w:t>
      </w:r>
    </w:p>
    <w:p w14:paraId="1F4AACBC">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10.公共安全：指反映政府维护社会公共安全方面的支出。</w:t>
      </w:r>
    </w:p>
    <w:p w14:paraId="51605D62">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11.教育：指费用教育方面的支出。</w:t>
      </w:r>
    </w:p>
    <w:p w14:paraId="099C251D">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12.科学技术：指反映科学技术方面的支出。</w:t>
      </w:r>
    </w:p>
    <w:p w14:paraId="25424F44">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13.文化体育与传媒：指反映政府在文化、文物、体育、广播影视、新闻出版等方面的支出。</w:t>
      </w:r>
    </w:p>
    <w:p w14:paraId="081B2848">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14.社会保障和就业：指反映政府在社会保障和就业方面的支出。</w:t>
      </w:r>
    </w:p>
    <w:p w14:paraId="02966CB2">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15.医疗卫生与计划生育：指反映政府医疗卫生与计划生育、中医等管理事务的支出。</w:t>
      </w:r>
    </w:p>
    <w:p w14:paraId="4448BB2A">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16.节能环保：指反映政府节能环保支出。</w:t>
      </w:r>
    </w:p>
    <w:p w14:paraId="54FEF3B3">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17.城乡社区：指反映政府城乡社区事务支出。</w:t>
      </w:r>
    </w:p>
    <w:p w14:paraId="07FE0C3D">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18.农林水：指反映政府农林水事务支出。</w:t>
      </w:r>
    </w:p>
    <w:p w14:paraId="0F8B3CCC">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19.交通运输：指反映政府交通运输和邮政业方面的支出。</w:t>
      </w:r>
    </w:p>
    <w:p w14:paraId="401E2CD8">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20.资源勘探信息等：指反映用于资源勘探、制造业、建筑业、工业信息等方面支出。</w:t>
      </w:r>
    </w:p>
    <w:p w14:paraId="48FA294C">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21.商业服务业：指反映商业服务业等方面支出。</w:t>
      </w:r>
    </w:p>
    <w:p w14:paraId="219E884A">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22.金融：指金融方面的支出。</w:t>
      </w:r>
    </w:p>
    <w:p w14:paraId="1EEE3A94">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23.国土海洋气象等：指反映政府国土资源、海洋、测绘、地震、气象等公益事业方面的支出。</w:t>
      </w:r>
    </w:p>
    <w:p w14:paraId="7160A2F5">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24.住房保障：指反映政府住房保障的支出。</w:t>
      </w:r>
    </w:p>
    <w:p w14:paraId="3D7E99FE">
      <w:pPr>
        <w:ind w:firstLine="640" w:firstLineChars="200"/>
        <w:rPr>
          <w:rFonts w:hint="eastAsia" w:ascii="仿宋_GB2312" w:eastAsia="仿宋_GB2312"/>
          <w:color w:val="000000"/>
          <w:sz w:val="32"/>
          <w:szCs w:val="32"/>
        </w:rPr>
      </w:pPr>
      <w:r>
        <w:rPr>
          <w:rFonts w:hint="eastAsia" w:ascii="仿宋_GB2312" w:eastAsia="仿宋_GB2312"/>
          <w:color w:val="000000"/>
          <w:sz w:val="32"/>
          <w:szCs w:val="32"/>
        </w:rPr>
        <w:t>25.粮油物资储备：指反映政府用于粮油物资储备方面的支出。</w:t>
      </w:r>
    </w:p>
    <w:p w14:paraId="439C13A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6</w:t>
      </w:r>
      <w:r>
        <w:rPr>
          <w:rFonts w:hint="eastAsia" w:ascii="Times New Roman" w:hAnsi="Times New Roman" w:eastAsia="仿宋_GB2312" w:cs="仿宋_GB2312"/>
          <w:color w:val="auto"/>
          <w:kern w:val="2"/>
          <w:sz w:val="32"/>
          <w:szCs w:val="32"/>
          <w:highlight w:val="none"/>
          <w:lang w:val="en-US" w:eastAsia="zh-CN" w:bidi="ar-SA"/>
        </w:rPr>
        <w:t>.基本支出：指为保障机构正常运转、完成日常工作任务而发生的人员支出和公用支出。</w:t>
      </w:r>
    </w:p>
    <w:p w14:paraId="1CC0562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7</w:t>
      </w:r>
      <w:r>
        <w:rPr>
          <w:rFonts w:hint="eastAsia" w:ascii="Times New Roman" w:hAnsi="Times New Roman" w:eastAsia="仿宋_GB2312" w:cs="仿宋_GB2312"/>
          <w:color w:val="auto"/>
          <w:kern w:val="2"/>
          <w:sz w:val="32"/>
          <w:szCs w:val="32"/>
          <w:highlight w:val="none"/>
          <w:lang w:val="en-US" w:eastAsia="zh-CN" w:bidi="ar-SA"/>
        </w:rPr>
        <w:t xml:space="preserve">.项目支出：指在基本支出之外为完成特定行政任务和事业发展目标所发生的支出。 </w:t>
      </w:r>
    </w:p>
    <w:p w14:paraId="1284AF1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w:t>
      </w:r>
      <w:r>
        <w:rPr>
          <w:rFonts w:hint="eastAsia" w:eastAsia="仿宋_GB2312" w:cs="仿宋_GB2312"/>
          <w:color w:val="auto"/>
          <w:kern w:val="2"/>
          <w:sz w:val="32"/>
          <w:szCs w:val="32"/>
          <w:highlight w:val="none"/>
          <w:lang w:val="en-US" w:eastAsia="zh-CN" w:bidi="ar-SA"/>
        </w:rPr>
        <w:t>8</w:t>
      </w:r>
      <w:r>
        <w:rPr>
          <w:rFonts w:hint="eastAsia" w:ascii="Times New Roman" w:hAnsi="Times New Roman" w:eastAsia="仿宋_GB2312" w:cs="仿宋_GB2312"/>
          <w:color w:val="auto"/>
          <w:kern w:val="2"/>
          <w:sz w:val="32"/>
          <w:szCs w:val="32"/>
          <w:highlight w:val="none"/>
          <w:lang w:val="en-US" w:eastAsia="zh-CN" w:bidi="ar-SA"/>
        </w:rPr>
        <w:t>.经营支出：指事业单位在专业业务活动及其辅助活动之外开展非独立核算经营活动发生的支出。</w:t>
      </w:r>
    </w:p>
    <w:p w14:paraId="41AD784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29</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4D00AA5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55F1CA31">
      <w:pPr>
        <w:spacing w:line="600" w:lineRule="exact"/>
        <w:jc w:val="center"/>
        <w:rPr>
          <w:rStyle w:val="28"/>
          <w:rFonts w:eastAsia="黑体"/>
          <w:b w:val="0"/>
        </w:rPr>
      </w:pPr>
      <w:r>
        <w:rPr>
          <w:rFonts w:hint="eastAsia" w:eastAsia="仿宋_GB2312" w:cs="仿宋_GB2312"/>
          <w:sz w:val="32"/>
          <w:szCs w:val="32"/>
        </w:rPr>
        <w:br w:type="page"/>
      </w:r>
      <w:bookmarkStart w:id="52" w:name="_Toc15396614"/>
      <w:r>
        <w:rPr>
          <w:rFonts w:hint="eastAsia" w:eastAsia="黑体"/>
          <w:sz w:val="44"/>
          <w:szCs w:val="44"/>
        </w:rPr>
        <w:t>第四部分  附件</w:t>
      </w:r>
      <w:bookmarkEnd w:id="52"/>
    </w:p>
    <w:p w14:paraId="674D762A">
      <w:pPr>
        <w:spacing w:line="572" w:lineRule="exact"/>
        <w:jc w:val="left"/>
        <w:outlineLvl w:val="0"/>
        <w:rPr>
          <w:rFonts w:eastAsia="黑体" w:cs="黑体"/>
          <w:color w:val="FF0000"/>
          <w:sz w:val="32"/>
          <w:szCs w:val="32"/>
        </w:rPr>
      </w:pPr>
    </w:p>
    <w:p w14:paraId="36A84A63">
      <w:pPr>
        <w:spacing w:line="572" w:lineRule="exact"/>
        <w:jc w:val="left"/>
        <w:outlineLvl w:val="0"/>
        <w:rPr>
          <w:rFonts w:eastAsia="黑体" w:cs="方正小标宋简体"/>
          <w:sz w:val="44"/>
          <w:szCs w:val="44"/>
        </w:rPr>
      </w:pPr>
      <w:r>
        <w:rPr>
          <w:rFonts w:hint="eastAsia" w:eastAsia="黑体" w:cs="黑体"/>
          <w:sz w:val="32"/>
          <w:szCs w:val="32"/>
        </w:rPr>
        <w:t>附件1</w:t>
      </w:r>
    </w:p>
    <w:p w14:paraId="4D046DFF">
      <w:pPr>
        <w:widowControl/>
        <w:spacing w:line="578" w:lineRule="exact"/>
        <w:contextualSpacing/>
        <w:jc w:val="center"/>
        <w:rPr>
          <w:rFonts w:eastAsia="方正小标宋简体"/>
          <w:bCs/>
          <w:sz w:val="44"/>
          <w:szCs w:val="44"/>
          <w:shd w:val="clear" w:color="auto" w:fill="FFFFFF"/>
        </w:rPr>
      </w:pPr>
    </w:p>
    <w:p w14:paraId="026F3A01">
      <w:pPr>
        <w:widowControl/>
        <w:spacing w:line="578" w:lineRule="exact"/>
        <w:contextualSpacing/>
        <w:jc w:val="center"/>
        <w:rPr>
          <w:rFonts w:eastAsia="方正小标宋简体"/>
          <w:bCs/>
          <w:sz w:val="44"/>
          <w:szCs w:val="44"/>
          <w:shd w:val="clear" w:color="auto" w:fill="FFFFFF"/>
        </w:rPr>
      </w:pPr>
      <w:r>
        <w:rPr>
          <w:rFonts w:eastAsia="方正小标宋简体"/>
          <w:bCs/>
          <w:sz w:val="44"/>
          <w:szCs w:val="44"/>
          <w:shd w:val="clear" w:color="auto" w:fill="FFFFFF"/>
        </w:rPr>
        <w:t>部门预算绩效</w:t>
      </w:r>
      <w:r>
        <w:rPr>
          <w:rFonts w:hint="eastAsia" w:eastAsia="方正小标宋简体"/>
          <w:bCs/>
          <w:sz w:val="44"/>
          <w:szCs w:val="44"/>
          <w:shd w:val="clear" w:color="auto" w:fill="FFFFFF"/>
        </w:rPr>
        <w:t>评价</w:t>
      </w:r>
      <w:r>
        <w:rPr>
          <w:rFonts w:eastAsia="方正小标宋简体"/>
          <w:bCs/>
          <w:sz w:val="44"/>
          <w:szCs w:val="44"/>
          <w:shd w:val="clear" w:color="auto" w:fill="FFFFFF"/>
        </w:rPr>
        <w:t>报告范本</w:t>
      </w:r>
    </w:p>
    <w:p w14:paraId="23D4FF04">
      <w:pPr>
        <w:widowControl/>
        <w:spacing w:line="578" w:lineRule="exact"/>
        <w:contextualSpacing/>
        <w:jc w:val="center"/>
        <w:rPr>
          <w:rFonts w:eastAsia="仿宋_GB2312"/>
          <w:sz w:val="32"/>
          <w:szCs w:val="32"/>
          <w:shd w:val="clear" w:color="auto" w:fill="FFFFFF"/>
        </w:rPr>
      </w:pPr>
      <w:r>
        <w:rPr>
          <w:rFonts w:eastAsia="仿宋_GB2312"/>
          <w:sz w:val="32"/>
          <w:szCs w:val="32"/>
          <w:shd w:val="clear" w:color="auto" w:fill="FFFFFF"/>
        </w:rPr>
        <w:t>（报告范围包括机关和下属单位）</w:t>
      </w:r>
    </w:p>
    <w:p w14:paraId="45DEBCFE">
      <w:pPr>
        <w:widowControl/>
        <w:adjustRightInd w:val="0"/>
        <w:snapToGrid w:val="0"/>
        <w:spacing w:line="578" w:lineRule="exact"/>
        <w:ind w:firstLine="480" w:firstLineChars="200"/>
        <w:contextualSpacing/>
        <w:jc w:val="left"/>
        <w:rPr>
          <w:rFonts w:eastAsia="黑体"/>
          <w:color w:val="000000"/>
          <w:kern w:val="0"/>
          <w:sz w:val="24"/>
          <w:szCs w:val="32"/>
          <w:shd w:val="clear" w:color="auto" w:fill="FFFFFF"/>
        </w:rPr>
      </w:pPr>
    </w:p>
    <w:p w14:paraId="70117DC2">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hint="eastAsia" w:eastAsia="黑体"/>
          <w:color w:val="000000"/>
          <w:kern w:val="0"/>
          <w:sz w:val="32"/>
          <w:szCs w:val="32"/>
          <w:shd w:val="clear" w:color="auto" w:fill="FFFFFF"/>
          <w:lang w:val="zh-CN"/>
        </w:rPr>
        <w:t>一、</w:t>
      </w:r>
      <w:r>
        <w:rPr>
          <w:rFonts w:eastAsia="黑体"/>
          <w:color w:val="000000"/>
          <w:kern w:val="0"/>
          <w:sz w:val="32"/>
          <w:szCs w:val="32"/>
          <w:shd w:val="clear" w:color="auto" w:fill="FFFFFF"/>
          <w:lang w:val="zh-CN"/>
        </w:rPr>
        <w:t>部门（单位）基本情况</w:t>
      </w:r>
    </w:p>
    <w:p w14:paraId="51B9CB4B">
      <w:pPr>
        <w:widowControl/>
        <w:adjustRightInd w:val="0"/>
        <w:snapToGrid w:val="0"/>
        <w:spacing w:line="578" w:lineRule="exact"/>
        <w:ind w:firstLine="643" w:firstLineChars="200"/>
        <w:contextualSpacing/>
        <w:jc w:val="left"/>
        <w:rPr>
          <w:rFonts w:eastAsia="楷体_GB2312" w:cs="楷体_GB2312"/>
          <w:b/>
          <w:sz w:val="32"/>
          <w:szCs w:val="32"/>
          <w:lang w:val="zh-CN"/>
        </w:rPr>
      </w:pPr>
      <w:r>
        <w:rPr>
          <w:rFonts w:hint="eastAsia" w:eastAsia="楷体_GB2312" w:cs="楷体_GB2312"/>
          <w:b/>
          <w:sz w:val="32"/>
          <w:szCs w:val="32"/>
          <w:lang w:val="zh-CN"/>
        </w:rPr>
        <w:t>（一）</w:t>
      </w:r>
      <w:r>
        <w:rPr>
          <w:rFonts w:eastAsia="楷体_GB2312" w:cs="楷体_GB2312"/>
          <w:b/>
          <w:sz w:val="32"/>
          <w:szCs w:val="32"/>
          <w:lang w:val="zh-CN"/>
        </w:rPr>
        <w:t>机构组成。</w:t>
      </w:r>
    </w:p>
    <w:p w14:paraId="648DD572">
      <w:pPr>
        <w:pStyle w:val="5"/>
        <w:spacing w:before="262" w:line="323" w:lineRule="auto"/>
        <w:ind w:left="9" w:firstLine="679"/>
        <w:jc w:val="both"/>
        <w:rPr>
          <w:rFonts w:ascii="Times New Roman" w:hAnsi="Times New Roman" w:eastAsia="仿宋_GB2312" w:cs="Times New Roman"/>
          <w:kern w:val="2"/>
          <w:sz w:val="32"/>
          <w:szCs w:val="32"/>
          <w:lang w:val="en-US" w:eastAsia="zh-CN" w:bidi="ar-SA"/>
        </w:rPr>
      </w:pPr>
      <w:r>
        <w:rPr>
          <w:rFonts w:ascii="Times New Roman" w:hAnsi="Times New Roman" w:eastAsia="仿宋_GB2312" w:cs="Times New Roman"/>
          <w:kern w:val="2"/>
          <w:sz w:val="32"/>
          <w:szCs w:val="32"/>
          <w:lang w:val="en-US" w:eastAsia="zh-CN" w:bidi="ar-SA"/>
        </w:rPr>
        <w:t>1. 阿坝州阿坝生态环境局属阿坝州生态环境局派出正 科级行政单位，内设生态环境保护中心、生态环境保护</w:t>
      </w:r>
      <w:r>
        <w:rPr>
          <w:rFonts w:hint="eastAsia" w:ascii="Times New Roman" w:hAnsi="Times New Roman" w:eastAsia="仿宋_GB2312" w:cs="Times New Roman"/>
          <w:kern w:val="2"/>
          <w:sz w:val="32"/>
          <w:szCs w:val="32"/>
          <w:lang w:val="en-US" w:eastAsia="zh-CN" w:bidi="ar-SA"/>
        </w:rPr>
        <w:t>综合行政执法</w:t>
      </w:r>
      <w:r>
        <w:rPr>
          <w:rFonts w:ascii="Times New Roman" w:hAnsi="Times New Roman" w:eastAsia="仿宋_GB2312" w:cs="Times New Roman"/>
          <w:kern w:val="2"/>
          <w:sz w:val="32"/>
          <w:szCs w:val="32"/>
          <w:lang w:val="en-US" w:eastAsia="zh-CN" w:bidi="ar-SA"/>
        </w:rPr>
        <w:t>大队。</w:t>
      </w:r>
    </w:p>
    <w:p w14:paraId="6620215C">
      <w:pPr>
        <w:pStyle w:val="5"/>
        <w:spacing w:before="262" w:line="323" w:lineRule="auto"/>
        <w:ind w:left="9" w:firstLine="679"/>
        <w:jc w:val="both"/>
        <w:rPr>
          <w:rFonts w:eastAsia="楷体_GB2312" w:cs="楷体_GB2312"/>
          <w:b/>
          <w:sz w:val="32"/>
          <w:szCs w:val="32"/>
          <w:lang w:val="zh-CN"/>
        </w:rPr>
      </w:pPr>
      <w:r>
        <w:rPr>
          <w:rFonts w:ascii="Times New Roman" w:hAnsi="Times New Roman" w:eastAsia="仿宋_GB2312" w:cs="Times New Roman"/>
          <w:kern w:val="2"/>
          <w:sz w:val="32"/>
          <w:szCs w:val="32"/>
          <w:lang w:val="en-US" w:eastAsia="zh-CN" w:bidi="ar-SA"/>
        </w:rPr>
        <w:t>2. 阿坝州阿坝环境监测站隶属于阿坝州阿坝生态环境 局下属事业机构</w:t>
      </w:r>
      <w:r>
        <w:rPr>
          <w:spacing w:val="-8"/>
        </w:rPr>
        <w:t>。</w:t>
      </w:r>
    </w:p>
    <w:p w14:paraId="7E41F11A">
      <w:pPr>
        <w:widowControl/>
        <w:adjustRightInd w:val="0"/>
        <w:snapToGrid w:val="0"/>
        <w:spacing w:line="578" w:lineRule="exact"/>
        <w:ind w:firstLine="643" w:firstLineChars="200"/>
        <w:contextualSpacing/>
        <w:jc w:val="left"/>
        <w:rPr>
          <w:rFonts w:hint="eastAsia" w:eastAsia="楷体_GB2312" w:cs="楷体_GB2312"/>
          <w:b/>
          <w:sz w:val="32"/>
          <w:szCs w:val="32"/>
          <w:lang w:val="zh-CN"/>
        </w:rPr>
      </w:pPr>
      <w:r>
        <w:rPr>
          <w:rFonts w:eastAsia="楷体_GB2312" w:cs="楷体_GB2312"/>
          <w:b/>
          <w:sz w:val="32"/>
          <w:szCs w:val="32"/>
          <w:lang w:val="zh-CN"/>
        </w:rPr>
        <w:t>（二）机构职能</w:t>
      </w:r>
      <w:r>
        <w:rPr>
          <w:rFonts w:hint="eastAsia" w:eastAsia="楷体_GB2312" w:cs="楷体_GB2312"/>
          <w:b/>
          <w:sz w:val="32"/>
          <w:szCs w:val="32"/>
          <w:lang w:val="zh-CN"/>
        </w:rPr>
        <w:t>。</w:t>
      </w:r>
    </w:p>
    <w:p w14:paraId="5FA5A964">
      <w:pPr>
        <w:pStyle w:val="5"/>
        <w:spacing w:before="134" w:line="291" w:lineRule="auto"/>
        <w:ind w:right="175"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cs="Times New Roman"/>
          <w:kern w:val="2"/>
          <w:sz w:val="32"/>
          <w:szCs w:val="32"/>
          <w:lang w:val="en-US" w:eastAsia="zh-CN" w:bidi="ar-SA"/>
        </w:rPr>
        <w:t>1.</w:t>
      </w:r>
      <w:r>
        <w:rPr>
          <w:rFonts w:hint="eastAsia" w:ascii="Times New Roman" w:hAnsi="Times New Roman" w:eastAsia="仿宋_GB2312" w:cs="Times New Roman"/>
          <w:kern w:val="2"/>
          <w:sz w:val="32"/>
          <w:szCs w:val="32"/>
          <w:lang w:val="en-US" w:eastAsia="zh-CN" w:bidi="ar-SA"/>
        </w:rPr>
        <w:t>负责贯彻落实国家、省、州生态环环境基本制度，组织编制环境功能区划、会同有关部门编制并监督实施重点区域、流域、饮用水源地生态环境规划和水功能区划，监督指导农业面源污染治理。</w:t>
      </w:r>
    </w:p>
    <w:p w14:paraId="3D1390C4">
      <w:pPr>
        <w:pStyle w:val="5"/>
        <w:spacing w:before="134" w:line="291" w:lineRule="auto"/>
        <w:ind w:right="175"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cs="Times New Roman"/>
          <w:kern w:val="2"/>
          <w:sz w:val="32"/>
          <w:szCs w:val="32"/>
          <w:lang w:val="en-US" w:eastAsia="zh-CN" w:bidi="ar-SA"/>
        </w:rPr>
        <w:t>2.</w:t>
      </w:r>
      <w:r>
        <w:rPr>
          <w:rFonts w:hint="eastAsia" w:ascii="Times New Roman" w:hAnsi="Times New Roman" w:eastAsia="仿宋_GB2312" w:cs="Times New Roman"/>
          <w:kern w:val="2"/>
          <w:sz w:val="32"/>
          <w:szCs w:val="32"/>
          <w:lang w:val="en-US" w:eastAsia="zh-CN" w:bidi="ar-SA"/>
        </w:rPr>
        <w:t>负责县域重大生态环境问题的统筹协调和监督管理。配合上级部门做好辖区内重特大突发生态环境生态环境事件的应急、预警工作，负责具体实施生态环境损害赔偿制度。</w:t>
      </w:r>
    </w:p>
    <w:p w14:paraId="68303AEC">
      <w:pPr>
        <w:pStyle w:val="5"/>
        <w:spacing w:before="134" w:line="291" w:lineRule="auto"/>
        <w:ind w:right="175"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cs="Times New Roman"/>
          <w:kern w:val="2"/>
          <w:sz w:val="32"/>
          <w:szCs w:val="32"/>
          <w:lang w:val="en-US" w:eastAsia="zh-CN" w:bidi="ar-SA"/>
        </w:rPr>
        <w:t>3.</w:t>
      </w:r>
      <w:r>
        <w:rPr>
          <w:rFonts w:hint="eastAsia" w:ascii="Times New Roman" w:hAnsi="Times New Roman" w:eastAsia="仿宋_GB2312" w:cs="Times New Roman"/>
          <w:kern w:val="2"/>
          <w:sz w:val="32"/>
          <w:szCs w:val="32"/>
          <w:lang w:val="en-US" w:eastAsia="zh-CN" w:bidi="ar-SA"/>
        </w:rPr>
        <w:t>负责监督管理辖区内污染减排工作。组织并监督实施辖区内各类污染物排放总量控制和排污许可证制度，确定大气、水等环境纳污能力，实施总量控制的污染物名称和控制指标，承担排污口设置管理，承担辖区内污染物减排任务，实施生态环境保护目标责任制。</w:t>
      </w:r>
    </w:p>
    <w:p w14:paraId="496639DE">
      <w:pPr>
        <w:pStyle w:val="5"/>
        <w:spacing w:before="134" w:line="291" w:lineRule="auto"/>
        <w:ind w:right="175"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cs="Times New Roman"/>
          <w:kern w:val="2"/>
          <w:sz w:val="32"/>
          <w:szCs w:val="32"/>
          <w:lang w:val="en-US" w:eastAsia="zh-CN" w:bidi="ar-SA"/>
        </w:rPr>
        <w:t>4.</w:t>
      </w:r>
      <w:r>
        <w:rPr>
          <w:rFonts w:hint="eastAsia" w:ascii="Times New Roman" w:hAnsi="Times New Roman" w:eastAsia="仿宋_GB2312" w:cs="Times New Roman"/>
          <w:kern w:val="2"/>
          <w:sz w:val="32"/>
          <w:szCs w:val="32"/>
          <w:lang w:val="en-US" w:eastAsia="zh-CN" w:bidi="ar-SA"/>
        </w:rPr>
        <w:t>负责提出辖区内环境污染防治的监督管理。负责大气、水、土壤、噪声光、恶臭、固体废物、化学品、机动车等的污染防治工作。</w:t>
      </w:r>
    </w:p>
    <w:p w14:paraId="7416DB17">
      <w:pPr>
        <w:pStyle w:val="5"/>
        <w:spacing w:before="134" w:line="291" w:lineRule="auto"/>
        <w:ind w:right="175"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cs="Times New Roman"/>
          <w:kern w:val="2"/>
          <w:sz w:val="32"/>
          <w:szCs w:val="32"/>
          <w:lang w:val="en-US" w:eastAsia="zh-CN" w:bidi="ar-SA"/>
        </w:rPr>
        <w:t>5.</w:t>
      </w:r>
      <w:r>
        <w:rPr>
          <w:rFonts w:hint="eastAsia" w:ascii="Times New Roman" w:hAnsi="Times New Roman" w:eastAsia="仿宋_GB2312" w:cs="Times New Roman"/>
          <w:kern w:val="2"/>
          <w:sz w:val="32"/>
          <w:szCs w:val="32"/>
          <w:lang w:val="en-US" w:eastAsia="zh-CN" w:bidi="ar-SA"/>
        </w:rPr>
        <w:t>协调、监督生态保护修复工作。组织编制和监督实施辖区内生态环境保护规划，监督对生态环境有影响的自然资源开发利用活动、重要生态环境建设和生态破坏修复工作。参与生态保护补偿工作。</w:t>
      </w:r>
    </w:p>
    <w:p w14:paraId="4F79A490">
      <w:pPr>
        <w:pStyle w:val="5"/>
        <w:spacing w:before="134" w:line="291" w:lineRule="auto"/>
        <w:ind w:right="175"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cs="Times New Roman"/>
          <w:kern w:val="2"/>
          <w:sz w:val="32"/>
          <w:szCs w:val="32"/>
          <w:lang w:val="en-US" w:eastAsia="zh-CN" w:bidi="ar-SA"/>
        </w:rPr>
        <w:t>6.</w:t>
      </w:r>
      <w:r>
        <w:rPr>
          <w:rFonts w:hint="eastAsia" w:ascii="Times New Roman" w:hAnsi="Times New Roman" w:eastAsia="仿宋_GB2312" w:cs="Times New Roman"/>
          <w:kern w:val="2"/>
          <w:sz w:val="32"/>
          <w:szCs w:val="32"/>
          <w:lang w:val="en-US" w:eastAsia="zh-CN" w:bidi="ar-SA"/>
        </w:rPr>
        <w:t>负责辖区内生态环境准入的监督管理。经州生态环境局授权后，行使有关环境影响评价，按规定审批项目环境影响评价文件。拟定并组织实施辖区内生态环境准入清单。</w:t>
      </w:r>
    </w:p>
    <w:p w14:paraId="49062F89">
      <w:pPr>
        <w:pStyle w:val="5"/>
        <w:spacing w:before="134" w:line="291" w:lineRule="auto"/>
        <w:ind w:right="175"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cs="Times New Roman"/>
          <w:kern w:val="2"/>
          <w:sz w:val="32"/>
          <w:szCs w:val="32"/>
          <w:lang w:val="en-US" w:eastAsia="zh-CN" w:bidi="ar-SA"/>
        </w:rPr>
        <w:t>7.</w:t>
      </w:r>
      <w:r>
        <w:rPr>
          <w:rFonts w:hint="eastAsia" w:ascii="Times New Roman" w:hAnsi="Times New Roman" w:eastAsia="仿宋_GB2312" w:cs="Times New Roman"/>
          <w:kern w:val="2"/>
          <w:sz w:val="32"/>
          <w:szCs w:val="32"/>
          <w:lang w:val="en-US" w:eastAsia="zh-CN" w:bidi="ar-SA"/>
        </w:rPr>
        <w:t>负责辖区内生态环境监测工作。执行国家、省、州的生态环境监督制度和规范。组织实施污染源监督性监测、执法监测、应急监测。组织对辖区内生态环境质量状况进行调查评价、预警预测，建立和实行生态环境质量公告制度，统一发布辖区内生态环境综合性报告和重大生态环境局信息。负责辖区内生态环境质量考核和生态环境统计工作。</w:t>
      </w:r>
    </w:p>
    <w:p w14:paraId="044D8B56">
      <w:pPr>
        <w:pStyle w:val="5"/>
        <w:spacing w:before="134" w:line="291" w:lineRule="auto"/>
        <w:ind w:right="175"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cs="Times New Roman"/>
          <w:kern w:val="2"/>
          <w:sz w:val="32"/>
          <w:szCs w:val="32"/>
          <w:lang w:val="en-US" w:eastAsia="zh-CN" w:bidi="ar-SA"/>
        </w:rPr>
        <w:t>8.</w:t>
      </w:r>
      <w:r>
        <w:rPr>
          <w:rFonts w:hint="eastAsia" w:ascii="Times New Roman" w:hAnsi="Times New Roman" w:eastAsia="仿宋_GB2312" w:cs="Times New Roman"/>
          <w:kern w:val="2"/>
          <w:sz w:val="32"/>
          <w:szCs w:val="32"/>
          <w:lang w:val="en-US" w:eastAsia="zh-CN" w:bidi="ar-SA"/>
        </w:rPr>
        <w:t>组织开展辖区内生态环境保护督查工作。监督指导生</w:t>
      </w:r>
    </w:p>
    <w:p w14:paraId="6A091540">
      <w:pPr>
        <w:pStyle w:val="5"/>
        <w:spacing w:before="134" w:line="291" w:lineRule="auto"/>
        <w:ind w:right="175"/>
        <w:rPr>
          <w:rFonts w:hint="eastAsia" w:ascii="Times New Roman" w:hAnsi="Times New Roman" w:eastAsia="仿宋_GB2312" w:cs="Times New Roman"/>
          <w:kern w:val="2"/>
          <w:sz w:val="32"/>
          <w:szCs w:val="32"/>
          <w:lang w:val="en-US" w:eastAsia="zh-CN" w:bidi="ar-SA"/>
        </w:rPr>
      </w:pPr>
      <w:r>
        <w:rPr>
          <w:rFonts w:hint="eastAsia" w:ascii="Times New Roman" w:hAnsi="Times New Roman" w:eastAsia="仿宋_GB2312" w:cs="Times New Roman"/>
          <w:kern w:val="2"/>
          <w:sz w:val="32"/>
          <w:szCs w:val="32"/>
          <w:lang w:val="en-US" w:eastAsia="zh-CN" w:bidi="ar-SA"/>
        </w:rPr>
        <w:t>态环境保护督查工作贯彻落实。</w:t>
      </w:r>
    </w:p>
    <w:p w14:paraId="73A35436">
      <w:pPr>
        <w:pStyle w:val="5"/>
        <w:spacing w:before="134" w:line="291" w:lineRule="auto"/>
        <w:ind w:right="175"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cs="Times New Roman"/>
          <w:kern w:val="2"/>
          <w:sz w:val="32"/>
          <w:szCs w:val="32"/>
          <w:lang w:val="en-US" w:eastAsia="zh-CN" w:bidi="ar-SA"/>
        </w:rPr>
        <w:t>9.</w:t>
      </w:r>
      <w:r>
        <w:rPr>
          <w:rFonts w:hint="eastAsia" w:ascii="Times New Roman" w:hAnsi="Times New Roman" w:eastAsia="仿宋_GB2312" w:cs="Times New Roman"/>
          <w:kern w:val="2"/>
          <w:sz w:val="32"/>
          <w:szCs w:val="32"/>
          <w:lang w:val="en-US" w:eastAsia="zh-CN" w:bidi="ar-SA"/>
        </w:rPr>
        <w:t>负责辖区内生态环境监督执法。组织开展生态环境保护执法检查活动，开展辖区内生态环境保护综合执法队伍建设和业务工作。</w:t>
      </w:r>
    </w:p>
    <w:p w14:paraId="0E4F0A8C">
      <w:pPr>
        <w:pStyle w:val="5"/>
        <w:spacing w:before="134" w:line="291" w:lineRule="auto"/>
        <w:ind w:right="175" w:firstLine="640" w:firstLineChars="200"/>
        <w:rPr>
          <w:rFonts w:hint="eastAsia" w:ascii="Times New Roman" w:hAnsi="Times New Roman" w:eastAsia="仿宋_GB2312" w:cs="Times New Roman"/>
          <w:kern w:val="2"/>
          <w:sz w:val="32"/>
          <w:szCs w:val="32"/>
          <w:lang w:val="en-US" w:eastAsia="zh-CN" w:bidi="ar-SA"/>
        </w:rPr>
      </w:pPr>
      <w:r>
        <w:rPr>
          <w:rFonts w:hint="eastAsia" w:ascii="Times New Roman" w:cs="Times New Roman"/>
          <w:kern w:val="2"/>
          <w:sz w:val="32"/>
          <w:szCs w:val="32"/>
          <w:lang w:val="en-US" w:eastAsia="zh-CN" w:bidi="ar-SA"/>
        </w:rPr>
        <w:t>10.</w:t>
      </w:r>
      <w:r>
        <w:rPr>
          <w:rFonts w:hint="eastAsia" w:ascii="Times New Roman" w:hAnsi="Times New Roman" w:eastAsia="仿宋_GB2312" w:cs="Times New Roman"/>
          <w:kern w:val="2"/>
          <w:sz w:val="32"/>
          <w:szCs w:val="32"/>
          <w:lang w:val="en-US" w:eastAsia="zh-CN" w:bidi="ar-SA"/>
        </w:rPr>
        <w:t>组织辖区内生态环境宣传教育工作，推动社会组织和公众参与生态环境保护。</w:t>
      </w:r>
    </w:p>
    <w:p w14:paraId="6B7460C5">
      <w:pPr>
        <w:pStyle w:val="5"/>
        <w:spacing w:before="134" w:line="291" w:lineRule="auto"/>
        <w:ind w:right="175" w:firstLine="640" w:firstLineChars="200"/>
        <w:rPr>
          <w:rFonts w:hint="eastAsia" w:ascii="Times New Roman" w:hAnsi="Times New Roman" w:eastAsia="Times New Roman" w:cs="Times New Roman"/>
          <w:lang w:val="zh-CN"/>
        </w:rPr>
      </w:pPr>
      <w:r>
        <w:rPr>
          <w:rFonts w:hint="eastAsia" w:ascii="Times New Roman" w:cs="Times New Roman"/>
          <w:kern w:val="2"/>
          <w:sz w:val="32"/>
          <w:szCs w:val="32"/>
          <w:lang w:val="en-US" w:eastAsia="zh-CN" w:bidi="ar-SA"/>
        </w:rPr>
        <w:t>11.</w:t>
      </w:r>
      <w:r>
        <w:rPr>
          <w:rFonts w:hint="eastAsia" w:ascii="Times New Roman" w:hAnsi="Times New Roman" w:eastAsia="仿宋_GB2312" w:cs="Times New Roman"/>
          <w:kern w:val="2"/>
          <w:sz w:val="32"/>
          <w:szCs w:val="32"/>
          <w:lang w:val="en-US" w:eastAsia="zh-CN" w:bidi="ar-SA"/>
        </w:rPr>
        <w:t>完成州生态环境局、县委、县政府交办的其他任务。</w:t>
      </w:r>
    </w:p>
    <w:p w14:paraId="37DDD4D6">
      <w:pPr>
        <w:spacing w:line="600" w:lineRule="exact"/>
        <w:ind w:firstLine="643" w:firstLineChars="200"/>
        <w:rPr>
          <w:rFonts w:hint="eastAsia" w:eastAsia="仿宋_GB2312" w:cs="仿宋_GB2312"/>
          <w:sz w:val="32"/>
          <w:szCs w:val="32"/>
          <w:lang w:eastAsia="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）人员概况</w:t>
      </w:r>
      <w:r>
        <w:rPr>
          <w:rFonts w:hint="eastAsia" w:eastAsia="楷体_GB2312"/>
          <w:b/>
          <w:bCs/>
          <w:color w:val="000000"/>
          <w:kern w:val="0"/>
          <w:sz w:val="32"/>
          <w:szCs w:val="32"/>
          <w:shd w:val="clear" w:color="auto" w:fill="FFFFFF"/>
          <w:lang w:val="zh-CN"/>
        </w:rPr>
        <w:t>。</w:t>
      </w:r>
      <w:r>
        <w:rPr>
          <w:rFonts w:eastAsia="仿宋_GB2312"/>
          <w:sz w:val="32"/>
          <w:szCs w:val="32"/>
        </w:rPr>
        <w:t>截至202</w:t>
      </w:r>
      <w:r>
        <w:rPr>
          <w:rFonts w:hint="eastAsia" w:eastAsia="仿宋_GB2312"/>
          <w:sz w:val="32"/>
          <w:szCs w:val="32"/>
        </w:rPr>
        <w:t>5</w:t>
      </w:r>
      <w:r>
        <w:rPr>
          <w:rFonts w:eastAsia="仿宋_GB2312"/>
          <w:sz w:val="32"/>
          <w:szCs w:val="32"/>
        </w:rPr>
        <w:t>年末，</w:t>
      </w:r>
      <w:r>
        <w:rPr>
          <w:rFonts w:hint="eastAsia" w:eastAsia="仿宋_GB2312" w:cs="仿宋_GB2312"/>
          <w:sz w:val="32"/>
          <w:szCs w:val="32"/>
        </w:rPr>
        <w:t>阿坝州阿坝生态环境局总编制3名（行政）在编在岗2名，执法大队7名（参公）在编在岗5名，环保中心3名（参公）在编在岗3名。共在职人员11 人。阿坝州阿坝环境监测站总编制10名，均属于事业编制。在职人数10人（其中：专业技术人员9人，工勤1人）</w:t>
      </w:r>
      <w:r>
        <w:rPr>
          <w:rFonts w:hint="eastAsia" w:eastAsia="仿宋_GB2312" w:cs="仿宋_GB2312"/>
          <w:sz w:val="32"/>
          <w:szCs w:val="32"/>
          <w:lang w:eastAsia="zh-CN"/>
        </w:rPr>
        <w:t>。</w:t>
      </w:r>
    </w:p>
    <w:p w14:paraId="164A3254">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二、部门资金收支情况</w:t>
      </w:r>
    </w:p>
    <w:p w14:paraId="60ED5C6B">
      <w:pPr>
        <w:widowControl/>
        <w:adjustRightInd w:val="0"/>
        <w:snapToGrid w:val="0"/>
        <w:spacing w:line="578" w:lineRule="exact"/>
        <w:ind w:firstLine="643" w:firstLineChars="200"/>
        <w:contextualSpacing/>
        <w:jc w:val="left"/>
        <w:rPr>
          <w:rFonts w:eastAsia="楷体_GB2312"/>
          <w:b/>
          <w:bCs/>
          <w:color w:val="000000"/>
          <w:kern w:val="0"/>
          <w:szCs w:val="32"/>
          <w:shd w:val="clear" w:color="auto" w:fill="FFFFFF"/>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收入情况</w:t>
      </w:r>
      <w:r>
        <w:rPr>
          <w:rFonts w:eastAsia="楷体_GB2312"/>
          <w:b/>
          <w:bCs/>
          <w:color w:val="000000"/>
          <w:kern w:val="0"/>
          <w:sz w:val="32"/>
          <w:szCs w:val="32"/>
          <w:shd w:val="clear" w:color="auto" w:fill="FFFFFF"/>
          <w:lang w:val="zh-CN"/>
        </w:rPr>
        <w:t>。</w:t>
      </w:r>
      <w:r>
        <w:rPr>
          <w:rFonts w:ascii="Times New Roman" w:hAnsi="Times New Roman" w:eastAsia="仿宋_GB2312" w:cs="Times New Roman"/>
          <w:kern w:val="2"/>
          <w:sz w:val="32"/>
          <w:szCs w:val="32"/>
          <w:lang w:val="en-US" w:eastAsia="zh-CN" w:bidi="ar-SA"/>
        </w:rPr>
        <w:t>阿坝州阿坝生态环境局</w:t>
      </w:r>
      <w:r>
        <w:rPr>
          <w:rFonts w:hint="eastAsia" w:eastAsia="仿宋_GB2312"/>
          <w:sz w:val="32"/>
          <w:szCs w:val="32"/>
        </w:rPr>
        <w:t>2025年年初预算收入</w:t>
      </w:r>
      <w:r>
        <w:rPr>
          <w:rFonts w:hint="eastAsia" w:ascii="仿宋" w:hAnsi="仿宋" w:eastAsia="仿宋" w:cs="仿宋"/>
          <w:b w:val="0"/>
          <w:bCs w:val="0"/>
          <w:i w:val="0"/>
          <w:iCs w:val="0"/>
          <w:caps w:val="0"/>
          <w:color w:val="333333"/>
          <w:spacing w:val="0"/>
          <w:sz w:val="32"/>
          <w:szCs w:val="32"/>
          <w:shd w:val="clear" w:fill="FFFFFF"/>
        </w:rPr>
        <w:t>237.37万元</w:t>
      </w:r>
      <w:r>
        <w:rPr>
          <w:rFonts w:hint="eastAsia" w:eastAsia="仿宋_GB2312"/>
          <w:sz w:val="32"/>
          <w:szCs w:val="32"/>
        </w:rPr>
        <w:t>、决算报表收入701.6</w:t>
      </w:r>
      <w:r>
        <w:rPr>
          <w:rFonts w:hint="eastAsia" w:eastAsia="仿宋_GB2312"/>
          <w:sz w:val="32"/>
          <w:szCs w:val="32"/>
          <w:lang w:eastAsia="zh-CN"/>
        </w:rPr>
        <w:t>万元</w:t>
      </w:r>
      <w:r>
        <w:rPr>
          <w:rFonts w:hint="eastAsia" w:eastAsia="仿宋_GB2312"/>
          <w:sz w:val="32"/>
          <w:szCs w:val="32"/>
        </w:rPr>
        <w:t>。</w:t>
      </w:r>
    </w:p>
    <w:p w14:paraId="69ABEF49">
      <w:pPr>
        <w:widowControl/>
        <w:adjustRightInd w:val="0"/>
        <w:snapToGrid w:val="0"/>
        <w:spacing w:line="578" w:lineRule="exact"/>
        <w:ind w:firstLine="643" w:firstLineChars="200"/>
        <w:contextualSpacing/>
        <w:jc w:val="left"/>
        <w:rPr>
          <w:szCs w:val="32"/>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二</w:t>
      </w: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支出情况</w:t>
      </w:r>
      <w:r>
        <w:rPr>
          <w:rFonts w:eastAsia="楷体_GB2312"/>
          <w:b/>
          <w:bCs/>
          <w:color w:val="000000"/>
          <w:kern w:val="0"/>
          <w:sz w:val="32"/>
          <w:szCs w:val="32"/>
          <w:shd w:val="clear" w:color="auto" w:fill="FFFFFF"/>
          <w:lang w:val="zh-CN"/>
        </w:rPr>
        <w:t>。</w:t>
      </w:r>
      <w:r>
        <w:rPr>
          <w:rFonts w:ascii="Times New Roman" w:hAnsi="Times New Roman" w:eastAsia="仿宋_GB2312" w:cs="Times New Roman"/>
          <w:kern w:val="2"/>
          <w:sz w:val="32"/>
          <w:szCs w:val="32"/>
          <w:lang w:val="en-US" w:eastAsia="zh-CN" w:bidi="ar-SA"/>
        </w:rPr>
        <w:t>阿坝州阿坝生态环境局</w:t>
      </w:r>
      <w:r>
        <w:rPr>
          <w:rFonts w:hint="eastAsia" w:eastAsia="仿宋_GB2312"/>
          <w:sz w:val="32"/>
          <w:szCs w:val="32"/>
        </w:rPr>
        <w:t>2025年年初预算支出</w:t>
      </w:r>
      <w:r>
        <w:rPr>
          <w:rFonts w:ascii="仿宋" w:hAnsi="仿宋" w:eastAsia="仿宋" w:cs="仿宋"/>
          <w:b w:val="0"/>
          <w:bCs w:val="0"/>
          <w:i w:val="0"/>
          <w:iCs w:val="0"/>
          <w:caps w:val="0"/>
          <w:color w:val="333333"/>
          <w:spacing w:val="0"/>
          <w:sz w:val="32"/>
          <w:szCs w:val="32"/>
          <w:shd w:val="clear" w:fill="FFFFFF"/>
        </w:rPr>
        <w:t>237.37</w:t>
      </w:r>
      <w:r>
        <w:rPr>
          <w:rFonts w:hint="eastAsia" w:ascii="仿宋" w:hAnsi="仿宋" w:eastAsia="仿宋" w:cs="仿宋"/>
          <w:b w:val="0"/>
          <w:bCs w:val="0"/>
          <w:i w:val="0"/>
          <w:iCs w:val="0"/>
          <w:caps w:val="0"/>
          <w:color w:val="333333"/>
          <w:spacing w:val="0"/>
          <w:sz w:val="32"/>
          <w:szCs w:val="32"/>
          <w:shd w:val="clear" w:fill="FFFFFF"/>
        </w:rPr>
        <w:t>万元</w:t>
      </w:r>
      <w:r>
        <w:rPr>
          <w:rFonts w:hint="eastAsia" w:eastAsia="仿宋_GB2312"/>
          <w:sz w:val="32"/>
          <w:szCs w:val="32"/>
        </w:rPr>
        <w:t>、决算报表支出701.6</w:t>
      </w:r>
      <w:r>
        <w:rPr>
          <w:rFonts w:hint="eastAsia" w:eastAsia="仿宋_GB2312"/>
          <w:sz w:val="32"/>
          <w:szCs w:val="32"/>
          <w:lang w:eastAsia="zh-CN"/>
        </w:rPr>
        <w:t>万元</w:t>
      </w:r>
      <w:r>
        <w:rPr>
          <w:rFonts w:hint="eastAsia" w:eastAsia="仿宋_GB2312"/>
          <w:sz w:val="32"/>
          <w:szCs w:val="32"/>
        </w:rPr>
        <w:t>。</w:t>
      </w:r>
    </w:p>
    <w:p w14:paraId="0F0E5919">
      <w:pPr>
        <w:widowControl/>
        <w:adjustRightInd w:val="0"/>
        <w:snapToGrid w:val="0"/>
        <w:spacing w:line="578" w:lineRule="exact"/>
        <w:ind w:firstLine="643" w:firstLineChars="200"/>
        <w:contextualSpacing/>
        <w:jc w:val="left"/>
        <w:rPr>
          <w:rFonts w:eastAsia="仿宋_GB2312"/>
          <w:color w:val="000000"/>
          <w:kern w:val="0"/>
          <w:szCs w:val="32"/>
          <w:shd w:val="clear" w:color="auto" w:fill="FFFFFF"/>
          <w:lang w:val="zh-CN"/>
        </w:rPr>
      </w:pPr>
      <w:r>
        <w:rPr>
          <w:rFonts w:eastAsia="楷体_GB2312"/>
          <w:b/>
          <w:bCs/>
          <w:color w:val="000000"/>
          <w:kern w:val="0"/>
          <w:sz w:val="32"/>
          <w:szCs w:val="32"/>
          <w:shd w:val="clear" w:color="auto" w:fill="FFFFFF"/>
          <w:lang w:val="zh-CN"/>
        </w:rPr>
        <w:t>（</w:t>
      </w:r>
      <w:r>
        <w:rPr>
          <w:rFonts w:hint="eastAsia" w:eastAsia="楷体_GB2312"/>
          <w:b/>
          <w:bCs/>
          <w:color w:val="000000"/>
          <w:kern w:val="0"/>
          <w:sz w:val="32"/>
          <w:szCs w:val="32"/>
          <w:shd w:val="clear" w:color="auto" w:fill="FFFFFF"/>
          <w:lang w:val="zh-CN"/>
        </w:rPr>
        <w:t>三</w:t>
      </w:r>
      <w:r>
        <w:rPr>
          <w:rFonts w:eastAsia="楷体_GB2312"/>
          <w:b/>
          <w:bCs/>
          <w:color w:val="000000"/>
          <w:kern w:val="0"/>
          <w:sz w:val="32"/>
          <w:szCs w:val="32"/>
          <w:shd w:val="clear" w:color="auto" w:fill="FFFFFF"/>
          <w:lang w:val="zh-CN"/>
        </w:rPr>
        <w:t>）结余分配和结转结余情况</w:t>
      </w:r>
      <w:r>
        <w:rPr>
          <w:rFonts w:hint="eastAsia" w:eastAsia="楷体_GB2312"/>
          <w:b/>
          <w:bCs/>
          <w:color w:val="000000"/>
          <w:kern w:val="0"/>
          <w:sz w:val="32"/>
          <w:szCs w:val="32"/>
          <w:shd w:val="clear" w:color="auto" w:fill="FFFFFF"/>
          <w:lang w:val="zh-CN"/>
        </w:rPr>
        <w:t>。</w:t>
      </w:r>
      <w:r>
        <w:rPr>
          <w:rFonts w:ascii="Times New Roman" w:hAnsi="Times New Roman" w:eastAsia="仿宋_GB2312" w:cs="Times New Roman"/>
          <w:kern w:val="2"/>
          <w:sz w:val="32"/>
          <w:szCs w:val="32"/>
          <w:lang w:val="en-US" w:eastAsia="zh-CN" w:bidi="ar-SA"/>
        </w:rPr>
        <w:t>阿坝州阿坝生态环境局</w:t>
      </w:r>
      <w:r>
        <w:rPr>
          <w:rFonts w:hint="eastAsia" w:eastAsia="仿宋_GB2312"/>
          <w:sz w:val="32"/>
          <w:szCs w:val="32"/>
        </w:rPr>
        <w:t>2025年决算报表</w:t>
      </w:r>
      <w:r>
        <w:rPr>
          <w:rFonts w:eastAsia="仿宋_GB2312"/>
          <w:sz w:val="32"/>
          <w:szCs w:val="32"/>
        </w:rPr>
        <w:t>结转结余</w:t>
      </w:r>
      <w:r>
        <w:rPr>
          <w:rFonts w:hint="eastAsia" w:eastAsia="仿宋_GB2312"/>
          <w:sz w:val="32"/>
          <w:szCs w:val="32"/>
        </w:rPr>
        <w:t>103.98</w:t>
      </w:r>
      <w:r>
        <w:rPr>
          <w:rFonts w:hint="eastAsia" w:eastAsia="仿宋_GB2312"/>
          <w:sz w:val="32"/>
          <w:szCs w:val="32"/>
          <w:lang w:eastAsia="zh-CN"/>
        </w:rPr>
        <w:t>万元</w:t>
      </w:r>
      <w:r>
        <w:rPr>
          <w:rFonts w:eastAsia="仿宋_GB2312"/>
          <w:sz w:val="32"/>
          <w:szCs w:val="32"/>
        </w:rPr>
        <w:t>。</w:t>
      </w:r>
    </w:p>
    <w:p w14:paraId="6DB73E3D">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三、部门预算绩效分析</w:t>
      </w:r>
    </w:p>
    <w:p w14:paraId="2F74FD22">
      <w:pPr>
        <w:adjustRightInd w:val="0"/>
        <w:snapToGrid w:val="0"/>
        <w:spacing w:line="578" w:lineRule="exact"/>
        <w:ind w:firstLine="643" w:firstLineChars="200"/>
        <w:contextualSpacing/>
        <w:jc w:val="left"/>
        <w:rPr>
          <w:rFonts w:hint="eastAsia" w:eastAsia="仿宋_GB2312" w:cs="仿宋_GB2312"/>
          <w:sz w:val="32"/>
          <w:szCs w:val="32"/>
          <w:lang w:val="zh-CN"/>
        </w:rPr>
      </w:pPr>
      <w:r>
        <w:rPr>
          <w:rFonts w:eastAsia="楷体_GB2312"/>
          <w:b/>
          <w:bCs/>
          <w:color w:val="000000"/>
          <w:kern w:val="0"/>
          <w:sz w:val="32"/>
          <w:szCs w:val="32"/>
          <w:shd w:val="clear" w:color="auto" w:fill="FFFFFF"/>
          <w:lang w:val="zh-CN"/>
        </w:rPr>
        <w:t>（一）</w:t>
      </w:r>
      <w:r>
        <w:rPr>
          <w:rFonts w:hint="eastAsia" w:eastAsia="楷体_GB2312"/>
          <w:b/>
          <w:bCs/>
          <w:color w:val="000000"/>
          <w:kern w:val="0"/>
          <w:sz w:val="32"/>
          <w:szCs w:val="32"/>
          <w:shd w:val="clear" w:color="auto" w:fill="FFFFFF"/>
          <w:lang w:val="zh-CN"/>
        </w:rPr>
        <w:t>部门预算</w:t>
      </w:r>
      <w:r>
        <w:rPr>
          <w:rFonts w:eastAsia="楷体_GB2312"/>
          <w:b/>
          <w:bCs/>
          <w:color w:val="000000"/>
          <w:kern w:val="0"/>
          <w:sz w:val="32"/>
          <w:szCs w:val="32"/>
          <w:shd w:val="clear" w:color="auto" w:fill="FFFFFF"/>
          <w:lang w:val="zh-CN"/>
        </w:rPr>
        <w:t>总体绩效分析。</w:t>
      </w:r>
      <w:r>
        <w:rPr>
          <w:rFonts w:hint="eastAsia" w:eastAsia="仿宋_GB2312" w:cs="仿宋_GB2312"/>
          <w:sz w:val="32"/>
          <w:szCs w:val="32"/>
          <w:lang w:val="zh-CN"/>
        </w:rPr>
        <w:t>2025年度，阿坝县生态环境局严格落实州、县财政预算绩效管理工作要求，对照部门预算绩效评价指标体系，从履职效能、预算管理、财务管理、资产管理、采购管理五个维度开展全年整体绩效自评，各项工作运行规范、总体绩效良好，部门整体履职保障能力持续提升。</w:t>
      </w:r>
    </w:p>
    <w:p w14:paraId="22C78882">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rPr>
        <w:t>1.</w:t>
      </w:r>
      <w:r>
        <w:rPr>
          <w:rFonts w:hint="eastAsia" w:eastAsia="仿宋_GB2312" w:cs="仿宋_GB2312"/>
          <w:sz w:val="32"/>
          <w:szCs w:val="32"/>
          <w:lang w:val="zh-CN"/>
        </w:rPr>
        <w:t>履职效能。本局核心职能聚焦生态环境保护监管、污染防治攻坚、生态修复治理、环境监测预警、环保宣传执法五大重点目标。</w:t>
      </w:r>
    </w:p>
    <w:p w14:paraId="5F733B41">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一是生态环境监管履职到位。常态化开展县域大气、水体、土壤、噪声环境巡查监管，扎实推进长江黄河流域阿坝县段生态保护治理，严格落实河湖长制、林长制生态环保职责，县域生态环境质量总体保持稳定向好。</w:t>
      </w:r>
    </w:p>
    <w:p w14:paraId="7E09AC2E">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二是污染防治工作有序推进。持续开展农村生活污染、畜禽养殖污染、工地扬尘、餐饮油烟常态化整治，重点污染源监管全覆盖，未发生重大环境污染事故、重大生态破坏事件。</w:t>
      </w:r>
    </w:p>
    <w:p w14:paraId="6123963B">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三是生态修复治理稳步实施。围绕高原生态保护、草原湿地管护、矿山生态修复等重点工作，有序推进各类生态治理项目落地见效，筑牢川西北高原生态安全屏障。</w:t>
      </w:r>
    </w:p>
    <w:p w14:paraId="563CD9A8">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四是环境监测与应急能力持续提升。按时完成年度环境例行监测、水质采样、空气质量数据分析工作，完善突发环境事件应急预案，常态化开展隐患排查，环境风险防控能力有效增强。</w:t>
      </w:r>
    </w:p>
    <w:p w14:paraId="47E45206">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五是环保宣传与执法常态化开展。通过乡镇宣讲、线上宣传、入户科普等方式普及生态环保政策法规，规范开展环境执法检查、信访问题处置，群众生态环保意识持续提升，环境信访办结率、满意率较高。</w:t>
      </w:r>
    </w:p>
    <w:p w14:paraId="4736F8C1">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整体来看，本局年度核心职能目标基本全部完成，履职成效贴合县域生态环境保护工作实际，充分发挥了基层生态环境部门监管、治理、服务、保障职能。</w:t>
      </w:r>
    </w:p>
    <w:p w14:paraId="75683E40">
      <w:pPr>
        <w:adjustRightInd w:val="0"/>
        <w:snapToGrid w:val="0"/>
        <w:spacing w:line="578" w:lineRule="exact"/>
        <w:ind w:firstLine="640" w:firstLineChars="200"/>
        <w:contextualSpacing/>
        <w:jc w:val="left"/>
        <w:rPr>
          <w:rFonts w:hint="eastAsia" w:eastAsia="仿宋_GB2312" w:cs="仿宋_GB2312"/>
          <w:sz w:val="32"/>
          <w:szCs w:val="32"/>
          <w:lang w:val="zh-CN"/>
        </w:rPr>
      </w:pPr>
    </w:p>
    <w:p w14:paraId="44F2DD69">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rPr>
        <w:t>2.</w:t>
      </w:r>
      <w:r>
        <w:rPr>
          <w:rFonts w:eastAsia="仿宋_GB2312" w:cs="仿宋_GB2312"/>
          <w:sz w:val="32"/>
          <w:szCs w:val="32"/>
          <w:lang w:val="zh-CN"/>
        </w:rPr>
        <w:t>预算管理</w:t>
      </w:r>
      <w:r>
        <w:rPr>
          <w:rFonts w:hint="eastAsia" w:eastAsia="仿宋_GB2312" w:cs="仿宋_GB2312"/>
          <w:sz w:val="32"/>
          <w:szCs w:val="32"/>
          <w:lang w:val="zh-CN"/>
        </w:rPr>
        <w:t>。2025年度，本局严格执行《预算法》及州县预算管理相关规定，预算管理规范化、精细化水平持续提升。</w:t>
      </w:r>
    </w:p>
    <w:p w14:paraId="4059F78E">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一是预算编制质量稳步提升。结合本局生态监管、项目治理、日常运维、执法监测等实际工作需求，科学测算年度收支预算，预算编制贴合工作实际、依据充分、项目细化，有效规避预算编制粗放、脱离实际等问题。</w:t>
      </w:r>
    </w:p>
    <w:p w14:paraId="610BE84E">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二是收入统筹管理规范。严格执行国库集中支付制度，规范统筹各项财政拨款收入，无违规坐收坐支、截留挪用收入等情况，单位收入管理合规有序。</w:t>
      </w:r>
    </w:p>
    <w:p w14:paraId="111E194A">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三是支出执行进度总体可控。严格按照时间节点、工作进度有序推进预算支出，优先保障执法办公、环境监测、生态巡查、项目实施等重点工作支出，全年预算执行进度总体达标。</w:t>
      </w:r>
    </w:p>
    <w:p w14:paraId="0FF31833">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四是年终结余管控严格。坚持盘活存量资金、严控结余结转，对长期闲置、沉淀资金及时清理统筹使用，无大额、长期不合理结余资金。</w:t>
      </w:r>
    </w:p>
    <w:p w14:paraId="66D8E363">
      <w:pPr>
        <w:adjustRightInd w:val="0"/>
        <w:snapToGrid w:val="0"/>
        <w:spacing w:line="578" w:lineRule="exact"/>
        <w:ind w:firstLine="640" w:firstLineChars="200"/>
        <w:contextualSpacing/>
        <w:jc w:val="left"/>
        <w:rPr>
          <w:rFonts w:eastAsia="仿宋_GB2312" w:cs="仿宋_GB2312"/>
          <w:sz w:val="32"/>
          <w:szCs w:val="32"/>
          <w:lang w:val="zh-CN"/>
        </w:rPr>
      </w:pPr>
      <w:r>
        <w:rPr>
          <w:rFonts w:hint="eastAsia" w:eastAsia="仿宋_GB2312" w:cs="仿宋_GB2312"/>
          <w:sz w:val="32"/>
          <w:szCs w:val="32"/>
          <w:lang w:val="zh-CN"/>
        </w:rPr>
        <w:t>五是一般性支出从严管控。严格落实“过紧日子”要求，严控三公经费、会议费、培训费、办公耗材等一般性支出，厉行节约、精打细算，经费使用效益持续提升。</w:t>
      </w:r>
    </w:p>
    <w:p w14:paraId="43992C1C">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rPr>
        <w:t>3.</w:t>
      </w:r>
      <w:r>
        <w:rPr>
          <w:rFonts w:eastAsia="仿宋_GB2312" w:cs="仿宋_GB2312"/>
          <w:sz w:val="32"/>
          <w:szCs w:val="32"/>
          <w:lang w:val="zh-CN"/>
        </w:rPr>
        <w:t>财务管理</w:t>
      </w:r>
      <w:r>
        <w:rPr>
          <w:rFonts w:hint="eastAsia" w:eastAsia="仿宋_GB2312" w:cs="仿宋_GB2312"/>
          <w:sz w:val="32"/>
          <w:szCs w:val="32"/>
          <w:lang w:val="zh-CN"/>
        </w:rPr>
        <w:t>。本局严格落实行政单位财务管理制度，财务管理体系健全、运行规范。</w:t>
      </w:r>
    </w:p>
    <w:p w14:paraId="768F54D5">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一是制度体系完善。已建立健全经费报销、资金管理、资产管控、财务审批、内控制度等一系列财务管理制度，所有财务工作严格依规执行，制度约束力有效发挥。</w:t>
      </w:r>
    </w:p>
    <w:p w14:paraId="5B0AF432">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二是岗位设置规范。严格执行财务不相容岗位分离制度，分设会计、出纳岗位，岗位职责清晰、分工明确，做到账款分离、账账相符、账实相符，有效防范财务风险。</w:t>
      </w:r>
    </w:p>
    <w:p w14:paraId="63193F21">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三是资金使用规范。所有财政资金、项目资金严格按照批复用途、政策规定使用，资金审批流程完整、报销附件齐全、支出真实合规，无挤占、挪用、截留、违规支出等问题，资金使用安全规范、公开透明。</w:t>
      </w:r>
    </w:p>
    <w:p w14:paraId="4DF9A3DC">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rPr>
        <w:t>4.</w:t>
      </w:r>
      <w:r>
        <w:rPr>
          <w:rFonts w:eastAsia="仿宋_GB2312" w:cs="仿宋_GB2312"/>
          <w:sz w:val="32"/>
          <w:szCs w:val="32"/>
          <w:lang w:val="zh-CN"/>
        </w:rPr>
        <w:t>资产管理</w:t>
      </w:r>
      <w:r>
        <w:rPr>
          <w:rFonts w:hint="eastAsia" w:eastAsia="仿宋_GB2312" w:cs="仿宋_GB2312"/>
          <w:sz w:val="32"/>
          <w:szCs w:val="32"/>
          <w:lang w:val="zh-CN"/>
        </w:rPr>
        <w:t>。本局严格落实行政事业单位国有资产管理办法，常态化开展资产清查、登记、盘活工作。</w:t>
      </w:r>
    </w:p>
    <w:p w14:paraId="1A0D263A">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一是资产变动管理规范。全年严格做好资产购置、入库、领用、调拨、报废处置全流程登记管理，台账信息完整准确，人均资产变动合理，无资产账实不符、私自处置资产等问题。</w:t>
      </w:r>
    </w:p>
    <w:p w14:paraId="21DDFCC0">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二是资产利用率整体良好。办公设备、执法设备、监测设备、公务车辆等资产优先保障日常履职、一线监管、项目实施使用，闲置资产较少，资产日常使用频次高，有效支撑各项业务工作开展。</w:t>
      </w:r>
    </w:p>
    <w:p w14:paraId="4D3BAEBA">
      <w:pPr>
        <w:adjustRightInd w:val="0"/>
        <w:snapToGrid w:val="0"/>
        <w:spacing w:line="578" w:lineRule="exact"/>
        <w:ind w:firstLine="640" w:firstLineChars="200"/>
        <w:contextualSpacing/>
        <w:jc w:val="left"/>
        <w:rPr>
          <w:rFonts w:eastAsia="仿宋_GB2312" w:cs="仿宋_GB2312"/>
          <w:sz w:val="32"/>
          <w:szCs w:val="32"/>
          <w:lang w:val="zh-CN"/>
        </w:rPr>
      </w:pPr>
      <w:r>
        <w:rPr>
          <w:rFonts w:hint="eastAsia" w:eastAsia="仿宋_GB2312" w:cs="仿宋_GB2312"/>
          <w:sz w:val="32"/>
          <w:szCs w:val="32"/>
          <w:lang w:val="zh-CN"/>
        </w:rPr>
        <w:t>三是资产盘活有序推进。定期开展存量闲置资产排查梳理，对低效、闲置资产统筹调剂使用，最大限度盘活现有资产资源，提升国有资产使用效益，杜绝资产闲置浪费。</w:t>
      </w:r>
    </w:p>
    <w:p w14:paraId="444B28BE">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rPr>
        <w:t>5.</w:t>
      </w:r>
      <w:r>
        <w:rPr>
          <w:rFonts w:eastAsia="仿宋_GB2312" w:cs="仿宋_GB2312"/>
          <w:sz w:val="32"/>
          <w:szCs w:val="32"/>
          <w:lang w:val="zh-CN"/>
        </w:rPr>
        <w:t>采购管理</w:t>
      </w:r>
      <w:r>
        <w:rPr>
          <w:rFonts w:hint="eastAsia" w:eastAsia="仿宋_GB2312" w:cs="仿宋_GB2312"/>
          <w:sz w:val="32"/>
          <w:szCs w:val="32"/>
          <w:lang w:val="zh-CN"/>
        </w:rPr>
        <w:t>。2025年度本局政府采购工作合规有序。</w:t>
      </w:r>
    </w:p>
    <w:p w14:paraId="6E69A8AF">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一是积极支持中小企业发展。严格落实政府采购扶持中小企业相关政策，在办公耗材、设备采购、服务采购等项目中，优先面向中小企业采购，切实落实扶持政策，助力本地中小微企业发展。</w:t>
      </w:r>
    </w:p>
    <w:p w14:paraId="75FBB944">
      <w:pPr>
        <w:adjustRightInd w:val="0"/>
        <w:snapToGrid w:val="0"/>
        <w:spacing w:line="578" w:lineRule="exact"/>
        <w:ind w:firstLine="640" w:firstLineChars="200"/>
        <w:contextualSpacing/>
        <w:jc w:val="left"/>
        <w:rPr>
          <w:rFonts w:hint="eastAsia" w:eastAsia="仿宋_GB2312" w:cs="仿宋_GB2312"/>
          <w:sz w:val="32"/>
          <w:szCs w:val="32"/>
          <w:lang w:val="zh-CN"/>
        </w:rPr>
      </w:pPr>
      <w:r>
        <w:rPr>
          <w:rFonts w:hint="eastAsia" w:eastAsia="仿宋_GB2312" w:cs="仿宋_GB2312"/>
          <w:sz w:val="32"/>
          <w:szCs w:val="32"/>
          <w:lang w:val="zh-CN"/>
        </w:rPr>
        <w:t>二是采购执行率较高。所有采购项目严格履行审批、备案、招投标、定点采购等法定程序，采购流程规范、资料归档完整，年度政府采购计划落地到位，采购执行进度、执行质量达标，无违规采购、规避招标等问题。</w:t>
      </w:r>
    </w:p>
    <w:p w14:paraId="660AB718">
      <w:pPr>
        <w:adjustRightInd w:val="0"/>
        <w:snapToGrid w:val="0"/>
        <w:spacing w:line="578" w:lineRule="exact"/>
        <w:ind w:firstLine="643" w:firstLineChars="200"/>
        <w:contextualSpacing/>
        <w:rPr>
          <w:rFonts w:hint="eastAsia" w:eastAsia="仿宋_GB2312" w:cs="仿宋_GB2312"/>
          <w:sz w:val="32"/>
          <w:szCs w:val="32"/>
          <w:lang w:val="zh-CN"/>
        </w:rPr>
      </w:pPr>
      <w:r>
        <w:rPr>
          <w:rFonts w:eastAsia="楷体_GB2312"/>
          <w:b/>
          <w:bCs/>
          <w:color w:val="000000"/>
          <w:kern w:val="0"/>
          <w:sz w:val="32"/>
          <w:szCs w:val="32"/>
          <w:shd w:val="clear" w:color="auto" w:fill="FFFFFF"/>
          <w:lang w:val="zh-CN"/>
        </w:rPr>
        <w:t>（二）部门预算项目绩效分析。</w:t>
      </w:r>
      <w:r>
        <w:rPr>
          <w:rFonts w:hint="eastAsia" w:eastAsia="仿宋_GB2312" w:cs="仿宋_GB2312"/>
          <w:sz w:val="32"/>
          <w:szCs w:val="32"/>
          <w:lang w:val="zh-CN"/>
        </w:rPr>
        <w:t xml:space="preserve"> </w:t>
      </w:r>
    </w:p>
    <w:p w14:paraId="25FAC938">
      <w:pPr>
        <w:adjustRightInd w:val="0"/>
        <w:snapToGrid w:val="0"/>
        <w:spacing w:line="578" w:lineRule="exact"/>
        <w:ind w:firstLine="640" w:firstLineChars="200"/>
        <w:contextualSpacing/>
        <w:rPr>
          <w:rFonts w:hint="eastAsia" w:eastAsia="仿宋_GB2312" w:cs="仿宋_GB2312"/>
          <w:sz w:val="32"/>
          <w:szCs w:val="32"/>
          <w:lang w:val="zh-CN"/>
        </w:rPr>
      </w:pPr>
      <w:r>
        <w:rPr>
          <w:rFonts w:hint="eastAsia" w:eastAsia="仿宋_GB2312" w:cs="仿宋_GB2312"/>
          <w:sz w:val="32"/>
          <w:szCs w:val="32"/>
          <w:lang w:val="zh-CN"/>
        </w:rPr>
        <w:t>2025年度，阿坝县生态环境局统筹推进一般公共预算、政府性基金预算相关项目实施，涵盖生态保护、污染治理、环境监管、监测运维、环保宣传、执法保障等领域，同步规范债券资金、政府购买服务项目管理，全年项目运行总体平稳、绩效目标基本实现。</w:t>
      </w:r>
    </w:p>
    <w:p w14:paraId="4CE921D9">
      <w:pPr>
        <w:adjustRightInd w:val="0"/>
        <w:snapToGrid w:val="0"/>
        <w:spacing w:line="578" w:lineRule="exact"/>
        <w:ind w:firstLine="640" w:firstLineChars="200"/>
        <w:contextualSpacing/>
        <w:rPr>
          <w:rFonts w:hint="eastAsia" w:eastAsia="仿宋_GB2312" w:cs="仿宋_GB2312"/>
          <w:sz w:val="32"/>
          <w:szCs w:val="32"/>
          <w:lang w:val="zh-CN"/>
        </w:rPr>
      </w:pPr>
      <w:r>
        <w:rPr>
          <w:rFonts w:hint="eastAsia" w:eastAsia="仿宋_GB2312" w:cs="仿宋_GB2312"/>
          <w:sz w:val="32"/>
          <w:szCs w:val="32"/>
          <w:lang w:val="zh-CN"/>
        </w:rPr>
        <w:t>常年项目绩效分析。该类项目总数</w:t>
      </w:r>
      <w:r>
        <w:rPr>
          <w:rFonts w:hint="eastAsia" w:eastAsia="仿宋_GB2312" w:cs="仿宋_GB2312"/>
          <w:sz w:val="32"/>
          <w:szCs w:val="32"/>
          <w:lang w:val="en-US" w:eastAsia="zh-CN"/>
        </w:rPr>
        <w:t>5</w:t>
      </w:r>
      <w:r>
        <w:rPr>
          <w:rFonts w:hint="eastAsia" w:eastAsia="仿宋_GB2312" w:cs="仿宋_GB2312"/>
          <w:sz w:val="32"/>
          <w:szCs w:val="32"/>
          <w:lang w:val="zh-CN"/>
        </w:rPr>
        <w:t>个，涉及预算总金额</w:t>
      </w:r>
      <w:r>
        <w:rPr>
          <w:rFonts w:hint="eastAsia" w:eastAsia="仿宋_GB2312" w:cs="仿宋_GB2312"/>
          <w:sz w:val="32"/>
          <w:szCs w:val="32"/>
          <w:lang w:val="en-US" w:eastAsia="zh-CN"/>
        </w:rPr>
        <w:t>20</w:t>
      </w:r>
      <w:r>
        <w:rPr>
          <w:rFonts w:hint="eastAsia" w:eastAsia="仿宋_GB2312" w:cs="仿宋_GB2312"/>
          <w:sz w:val="32"/>
          <w:szCs w:val="32"/>
          <w:lang w:val="zh-CN"/>
        </w:rPr>
        <w:t>万元，1—12月预算执行总体进度为</w:t>
      </w:r>
      <w:r>
        <w:rPr>
          <w:rFonts w:hint="eastAsia" w:eastAsia="仿宋_GB2312" w:cs="仿宋_GB2312"/>
          <w:sz w:val="32"/>
          <w:szCs w:val="32"/>
          <w:lang w:val="en-US" w:eastAsia="zh-CN"/>
        </w:rPr>
        <w:t>81</w:t>
      </w:r>
      <w:r>
        <w:rPr>
          <w:rFonts w:hint="eastAsia" w:eastAsia="仿宋_GB2312" w:cs="仿宋_GB2312"/>
          <w:sz w:val="32"/>
          <w:szCs w:val="32"/>
          <w:lang w:val="zh-CN"/>
        </w:rPr>
        <w:t>%，其中：预算结余率大于10%的项目共计</w:t>
      </w:r>
      <w:r>
        <w:rPr>
          <w:rFonts w:hint="eastAsia" w:eastAsia="仿宋_GB2312" w:cs="仿宋_GB2312"/>
          <w:sz w:val="32"/>
          <w:szCs w:val="32"/>
          <w:lang w:val="en-US" w:eastAsia="zh-CN"/>
        </w:rPr>
        <w:t>1</w:t>
      </w:r>
      <w:r>
        <w:rPr>
          <w:rFonts w:hint="eastAsia" w:eastAsia="仿宋_GB2312" w:cs="仿宋_GB2312"/>
          <w:sz w:val="32"/>
          <w:szCs w:val="32"/>
          <w:lang w:val="zh-CN"/>
        </w:rPr>
        <w:t>个。</w:t>
      </w:r>
    </w:p>
    <w:p w14:paraId="5342A477">
      <w:pPr>
        <w:adjustRightInd w:val="0"/>
        <w:snapToGrid w:val="0"/>
        <w:spacing w:line="578" w:lineRule="exact"/>
        <w:ind w:firstLine="640" w:firstLineChars="200"/>
        <w:contextualSpacing/>
        <w:rPr>
          <w:rFonts w:hint="eastAsia" w:eastAsia="仿宋_GB2312" w:cs="仿宋_GB2312"/>
          <w:sz w:val="32"/>
          <w:szCs w:val="32"/>
          <w:lang w:val="zh-CN"/>
        </w:rPr>
      </w:pPr>
      <w:r>
        <w:rPr>
          <w:rFonts w:hint="eastAsia" w:eastAsia="仿宋_GB2312" w:cs="仿宋_GB2312"/>
          <w:sz w:val="32"/>
          <w:szCs w:val="32"/>
          <w:lang w:val="zh-CN"/>
        </w:rPr>
        <w:t>阶段（一次性）项目绩效分析。该类项目总数</w:t>
      </w:r>
      <w:r>
        <w:rPr>
          <w:rFonts w:hint="eastAsia" w:eastAsia="仿宋_GB2312" w:cs="仿宋_GB2312"/>
          <w:sz w:val="32"/>
          <w:szCs w:val="32"/>
          <w:lang w:val="en-US" w:eastAsia="zh-CN"/>
        </w:rPr>
        <w:t>4</w:t>
      </w:r>
      <w:r>
        <w:rPr>
          <w:rFonts w:hint="eastAsia" w:eastAsia="仿宋_GB2312" w:cs="仿宋_GB2312"/>
          <w:sz w:val="32"/>
          <w:szCs w:val="32"/>
          <w:lang w:val="zh-CN"/>
        </w:rPr>
        <w:t>个，涉及预算总金额</w:t>
      </w:r>
      <w:r>
        <w:rPr>
          <w:rFonts w:hint="eastAsia" w:eastAsia="仿宋_GB2312" w:cs="仿宋_GB2312"/>
          <w:sz w:val="32"/>
          <w:szCs w:val="32"/>
          <w:lang w:val="en-US" w:eastAsia="zh-CN"/>
        </w:rPr>
        <w:t>574</w:t>
      </w:r>
      <w:r>
        <w:rPr>
          <w:rFonts w:hint="eastAsia" w:eastAsia="仿宋_GB2312" w:cs="仿宋_GB2312"/>
          <w:sz w:val="32"/>
          <w:szCs w:val="32"/>
          <w:lang w:val="zh-CN"/>
        </w:rPr>
        <w:t>万元，1—12月预算执行总体进度为</w:t>
      </w:r>
      <w:r>
        <w:rPr>
          <w:rFonts w:hint="eastAsia" w:eastAsia="仿宋_GB2312" w:cs="仿宋_GB2312"/>
          <w:sz w:val="32"/>
          <w:szCs w:val="32"/>
          <w:lang w:val="en-US" w:eastAsia="zh-CN"/>
        </w:rPr>
        <w:t>96.5</w:t>
      </w:r>
      <w:r>
        <w:rPr>
          <w:rFonts w:hint="eastAsia" w:eastAsia="仿宋_GB2312" w:cs="仿宋_GB2312"/>
          <w:sz w:val="32"/>
          <w:szCs w:val="32"/>
          <w:lang w:val="zh-CN"/>
        </w:rPr>
        <w:t>%，其中：预算结余率大于10%的项目共计</w:t>
      </w:r>
      <w:r>
        <w:rPr>
          <w:rFonts w:hint="eastAsia" w:eastAsia="仿宋_GB2312" w:cs="仿宋_GB2312"/>
          <w:sz w:val="32"/>
          <w:szCs w:val="32"/>
          <w:lang w:val="en-US" w:eastAsia="zh-CN"/>
        </w:rPr>
        <w:t>0</w:t>
      </w:r>
      <w:r>
        <w:rPr>
          <w:rFonts w:hint="eastAsia" w:eastAsia="仿宋_GB2312" w:cs="仿宋_GB2312"/>
          <w:sz w:val="32"/>
          <w:szCs w:val="32"/>
          <w:lang w:val="zh-CN"/>
        </w:rPr>
        <w:t>个。</w:t>
      </w:r>
    </w:p>
    <w:p w14:paraId="2ADA49BF">
      <w:pPr>
        <w:adjustRightInd w:val="0"/>
        <w:snapToGrid w:val="0"/>
        <w:spacing w:line="578" w:lineRule="exact"/>
        <w:ind w:firstLine="640" w:firstLineChars="200"/>
        <w:contextualSpacing/>
        <w:rPr>
          <w:rFonts w:hint="eastAsia" w:eastAsia="仿宋_GB2312" w:cs="仿宋_GB2312"/>
          <w:sz w:val="32"/>
          <w:szCs w:val="32"/>
          <w:lang w:val="zh-CN"/>
        </w:rPr>
      </w:pPr>
      <w:r>
        <w:rPr>
          <w:rFonts w:hint="eastAsia" w:eastAsia="仿宋_GB2312" w:cs="仿宋_GB2312"/>
          <w:sz w:val="32"/>
          <w:szCs w:val="32"/>
        </w:rPr>
        <w:t>1.</w:t>
      </w:r>
      <w:r>
        <w:rPr>
          <w:rFonts w:hint="eastAsia" w:eastAsia="仿宋_GB2312" w:cs="仿宋_GB2312"/>
          <w:sz w:val="32"/>
          <w:szCs w:val="32"/>
          <w:lang w:val="zh-CN"/>
        </w:rPr>
        <w:t>项目决策。一是决策程序规范。本局所有预算项目均严格按照部门申报、财政审核、集体研究、逐级报批的流程开展，项目立项依据充分、程序合规、论证充分，贴合阿坝县高原生态保护工作实际需求。</w:t>
      </w:r>
    </w:p>
    <w:p w14:paraId="1807D837">
      <w:pPr>
        <w:adjustRightInd w:val="0"/>
        <w:snapToGrid w:val="0"/>
        <w:spacing w:line="578" w:lineRule="exact"/>
        <w:ind w:firstLine="640" w:firstLineChars="200"/>
        <w:contextualSpacing/>
        <w:rPr>
          <w:rFonts w:hint="eastAsia" w:eastAsia="仿宋_GB2312" w:cs="仿宋_GB2312"/>
          <w:sz w:val="32"/>
          <w:szCs w:val="32"/>
          <w:lang w:val="zh-CN"/>
        </w:rPr>
      </w:pPr>
      <w:r>
        <w:rPr>
          <w:rFonts w:hint="eastAsia" w:eastAsia="仿宋_GB2312" w:cs="仿宋_GB2312"/>
          <w:sz w:val="32"/>
          <w:szCs w:val="32"/>
          <w:lang w:val="zh-CN"/>
        </w:rPr>
        <w:t>二是目标设置科学。各项目绩效目标设置清晰具体、量化可考，涵盖产出指标、效益指标、满意度指标，贴合项目实施内容、工作任务和履职需求，目标合理性、针对性较强。</w:t>
      </w:r>
    </w:p>
    <w:p w14:paraId="3546358D">
      <w:pPr>
        <w:adjustRightInd w:val="0"/>
        <w:snapToGrid w:val="0"/>
        <w:spacing w:line="578" w:lineRule="exact"/>
        <w:ind w:firstLine="640" w:firstLineChars="200"/>
        <w:contextualSpacing/>
        <w:rPr>
          <w:rFonts w:hint="eastAsia" w:eastAsia="仿宋_GB2312" w:cs="仿宋_GB2312"/>
          <w:sz w:val="32"/>
          <w:szCs w:val="32"/>
          <w:lang w:val="zh-CN"/>
        </w:rPr>
      </w:pPr>
      <w:r>
        <w:rPr>
          <w:rFonts w:hint="eastAsia" w:eastAsia="仿宋_GB2312" w:cs="仿宋_GB2312"/>
          <w:sz w:val="32"/>
          <w:szCs w:val="32"/>
          <w:lang w:val="zh-CN"/>
        </w:rPr>
        <w:t>三是项目入库规范。严格按照财政项目库管理要求，完成项目储备、入库申报、动态更新管理，入库资料齐全、信息准确，无无预算、无立项、违规入库项目，项目库管理规范化。</w:t>
      </w:r>
    </w:p>
    <w:p w14:paraId="08C53779">
      <w:pPr>
        <w:adjustRightInd w:val="0"/>
        <w:snapToGrid w:val="0"/>
        <w:spacing w:line="578" w:lineRule="exact"/>
        <w:ind w:firstLine="640" w:firstLineChars="200"/>
        <w:contextualSpacing/>
        <w:rPr>
          <w:rFonts w:hint="eastAsia" w:eastAsia="仿宋_GB2312" w:cs="仿宋_GB2312"/>
          <w:sz w:val="32"/>
          <w:szCs w:val="32"/>
          <w:lang w:val="zh-CN"/>
        </w:rPr>
      </w:pPr>
      <w:r>
        <w:rPr>
          <w:rFonts w:hint="eastAsia" w:eastAsia="仿宋_GB2312" w:cs="仿宋_GB2312"/>
          <w:sz w:val="32"/>
          <w:szCs w:val="32"/>
        </w:rPr>
        <w:t>2.项目执行</w:t>
      </w:r>
      <w:r>
        <w:rPr>
          <w:rFonts w:hint="eastAsia" w:eastAsia="仿宋_GB2312" w:cs="仿宋_GB2312"/>
          <w:sz w:val="32"/>
          <w:szCs w:val="32"/>
          <w:lang w:val="zh-CN"/>
        </w:rPr>
        <w:t>。一是资金执行匹配度较好。项目资金支出与项目实施进度、工作内容高度同向，资金拨付及时、使用精准，专款专用，无资金挪用、串用问题。</w:t>
      </w:r>
    </w:p>
    <w:p w14:paraId="6D9BFCD0">
      <w:pPr>
        <w:adjustRightInd w:val="0"/>
        <w:snapToGrid w:val="0"/>
        <w:spacing w:line="578" w:lineRule="exact"/>
        <w:ind w:firstLine="640" w:firstLineChars="200"/>
        <w:contextualSpacing/>
        <w:rPr>
          <w:rFonts w:hint="eastAsia" w:eastAsia="仿宋_GB2312" w:cs="仿宋_GB2312"/>
          <w:sz w:val="32"/>
          <w:szCs w:val="32"/>
          <w:lang w:val="zh-CN"/>
        </w:rPr>
      </w:pPr>
      <w:r>
        <w:rPr>
          <w:rFonts w:hint="eastAsia" w:eastAsia="仿宋_GB2312" w:cs="仿宋_GB2312"/>
          <w:sz w:val="32"/>
          <w:szCs w:val="32"/>
          <w:lang w:val="zh-CN"/>
        </w:rPr>
        <w:t>二是项目调整管控严格。全年项目严格按立项方案实施，确因政策调整、客观条件变化需微调的项目，均严格履行报批手续，无擅自调整项目内容、用途、规模的情况。</w:t>
      </w:r>
    </w:p>
    <w:p w14:paraId="5A20B61C">
      <w:pPr>
        <w:adjustRightInd w:val="0"/>
        <w:snapToGrid w:val="0"/>
        <w:spacing w:line="578" w:lineRule="exact"/>
        <w:ind w:firstLine="640" w:firstLineChars="200"/>
        <w:contextualSpacing/>
        <w:rPr>
          <w:rFonts w:hint="eastAsia" w:eastAsia="仿宋_GB2312" w:cs="仿宋_GB2312"/>
          <w:sz w:val="32"/>
          <w:szCs w:val="32"/>
          <w:lang w:val="zh-CN"/>
        </w:rPr>
      </w:pPr>
      <w:r>
        <w:rPr>
          <w:rFonts w:hint="eastAsia" w:eastAsia="仿宋_GB2312" w:cs="仿宋_GB2312"/>
          <w:sz w:val="32"/>
          <w:szCs w:val="32"/>
          <w:lang w:val="zh-CN"/>
        </w:rPr>
        <w:t>三是执行结果总体良好。各类项目按期推进、保质完成既定工作任务，有效支撑污染防治、生态保护、环境监管等重点工作落地，项目执行质量较高。</w:t>
      </w:r>
    </w:p>
    <w:p w14:paraId="42D2B2C2">
      <w:pPr>
        <w:adjustRightInd w:val="0"/>
        <w:snapToGrid w:val="0"/>
        <w:spacing w:line="578" w:lineRule="exact"/>
        <w:ind w:firstLine="640" w:firstLineChars="200"/>
        <w:contextualSpacing/>
        <w:rPr>
          <w:rFonts w:hint="eastAsia" w:eastAsia="仿宋_GB2312" w:cs="仿宋_GB2312"/>
          <w:sz w:val="32"/>
          <w:szCs w:val="32"/>
          <w:lang w:val="zh-CN"/>
        </w:rPr>
      </w:pPr>
      <w:r>
        <w:rPr>
          <w:rFonts w:hint="eastAsia" w:eastAsia="仿宋_GB2312" w:cs="仿宋_GB2312"/>
          <w:sz w:val="32"/>
          <w:szCs w:val="32"/>
        </w:rPr>
        <w:t>3.</w:t>
      </w:r>
      <w:r>
        <w:rPr>
          <w:rFonts w:hint="eastAsia" w:eastAsia="仿宋_GB2312" w:cs="仿宋_GB2312"/>
          <w:sz w:val="32"/>
          <w:szCs w:val="32"/>
          <w:lang w:val="zh-CN"/>
        </w:rPr>
        <w:t>目标实现。一是总体目标基本完成。2025年度所有常年项目、阶段性项目既定产出、效益目标基本实现，圆满完成年度生态环境保护各项重点工作任务。</w:t>
      </w:r>
    </w:p>
    <w:p w14:paraId="3097A948">
      <w:pPr>
        <w:adjustRightInd w:val="0"/>
        <w:snapToGrid w:val="0"/>
        <w:spacing w:line="578" w:lineRule="exact"/>
        <w:ind w:firstLine="640" w:firstLineChars="200"/>
        <w:contextualSpacing/>
        <w:rPr>
          <w:rFonts w:hint="eastAsia" w:eastAsia="仿宋_GB2312" w:cs="仿宋_GB2312"/>
          <w:sz w:val="32"/>
          <w:szCs w:val="32"/>
          <w:lang w:val="zh-CN"/>
        </w:rPr>
      </w:pPr>
      <w:r>
        <w:rPr>
          <w:rFonts w:hint="eastAsia" w:eastAsia="仿宋_GB2312" w:cs="仿宋_GB2312"/>
          <w:sz w:val="32"/>
          <w:szCs w:val="32"/>
          <w:lang w:val="zh-CN"/>
        </w:rPr>
        <w:t>二是目标偏离度较低。少数项目因高原气候、施工周期、上级调度调整等客观因素，存在小幅进度偏差，无重大绩效目标偏离、项目失效问题。</w:t>
      </w:r>
    </w:p>
    <w:p w14:paraId="7F6C38E9">
      <w:pPr>
        <w:adjustRightInd w:val="0"/>
        <w:snapToGrid w:val="0"/>
        <w:spacing w:line="578" w:lineRule="exact"/>
        <w:ind w:firstLine="640" w:firstLineChars="200"/>
        <w:contextualSpacing/>
        <w:rPr>
          <w:rFonts w:eastAsia="仿宋_GB2312" w:cs="仿宋_GB2312"/>
          <w:sz w:val="32"/>
          <w:szCs w:val="32"/>
        </w:rPr>
      </w:pPr>
      <w:r>
        <w:rPr>
          <w:rFonts w:hint="eastAsia" w:eastAsia="仿宋_GB2312" w:cs="仿宋_GB2312"/>
          <w:sz w:val="32"/>
          <w:szCs w:val="32"/>
          <w:lang w:val="zh-CN"/>
        </w:rPr>
        <w:t>三是实施效益显著。通过各类项目实施，县域生态环境质量持续稳定，污染问题有效整治，环境风险隐患有效化解，群众人居环境持续改善，生态保护社会效益、生态效益明显。</w:t>
      </w:r>
    </w:p>
    <w:p w14:paraId="64E3A4E3">
      <w:pPr>
        <w:numPr>
          <w:ilvl w:val="0"/>
          <w:numId w:val="4"/>
        </w:numPr>
        <w:adjustRightInd w:val="0"/>
        <w:snapToGrid w:val="0"/>
        <w:spacing w:line="578" w:lineRule="exact"/>
        <w:ind w:firstLine="643" w:firstLineChars="200"/>
        <w:contextualSpacing/>
        <w:rPr>
          <w:rFonts w:hint="eastAsia"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绩效结果应用情况</w:t>
      </w:r>
      <w:r>
        <w:rPr>
          <w:rFonts w:hint="eastAsia" w:eastAsia="楷体_GB2312"/>
          <w:b/>
          <w:bCs/>
          <w:color w:val="000000"/>
          <w:kern w:val="0"/>
          <w:sz w:val="32"/>
          <w:szCs w:val="32"/>
          <w:shd w:val="clear" w:color="auto" w:fill="FFFFFF"/>
          <w:lang w:val="zh-CN"/>
        </w:rPr>
        <w:t>。</w:t>
      </w:r>
    </w:p>
    <w:p w14:paraId="5F4358E5">
      <w:pPr>
        <w:numPr>
          <w:ilvl w:val="0"/>
          <w:numId w:val="0"/>
        </w:numPr>
        <w:adjustRightInd w:val="0"/>
        <w:snapToGrid w:val="0"/>
        <w:spacing w:line="578" w:lineRule="exact"/>
        <w:ind w:firstLine="960" w:firstLineChars="300"/>
        <w:contextualSpacing/>
        <w:rPr>
          <w:rFonts w:hint="eastAsia" w:eastAsia="仿宋_GB2312" w:cs="仿宋_GB2312"/>
          <w:sz w:val="32"/>
          <w:szCs w:val="32"/>
          <w:lang w:val="zh-CN"/>
        </w:rPr>
      </w:pPr>
      <w:r>
        <w:rPr>
          <w:rFonts w:hint="eastAsia" w:eastAsia="仿宋_GB2312" w:cs="仿宋_GB2312"/>
          <w:sz w:val="32"/>
          <w:szCs w:val="32"/>
          <w:lang w:val="zh-CN"/>
        </w:rPr>
        <w:t xml:space="preserve">1.内部应用情况 </w:t>
      </w:r>
    </w:p>
    <w:p w14:paraId="4E6B95A1">
      <w:pPr>
        <w:adjustRightInd w:val="0"/>
        <w:snapToGrid w:val="0"/>
        <w:spacing w:line="578" w:lineRule="exact"/>
        <w:ind w:firstLine="640" w:firstLineChars="200"/>
        <w:contextualSpacing/>
        <w:rPr>
          <w:rFonts w:hint="eastAsia" w:eastAsia="仿宋_GB2312" w:cs="仿宋_GB2312"/>
          <w:sz w:val="32"/>
          <w:szCs w:val="32"/>
          <w:lang w:val="zh-CN"/>
        </w:rPr>
      </w:pPr>
      <w:r>
        <w:rPr>
          <w:rFonts w:hint="eastAsia" w:eastAsia="仿宋_GB2312" w:cs="仿宋_GB2312"/>
          <w:sz w:val="32"/>
          <w:szCs w:val="32"/>
          <w:lang w:val="zh-CN"/>
        </w:rPr>
        <w:t>本局高度重视预算绩效结果运用，将年度绩效自评结果、项目绩效完成情况作为下一年度预算编制、项目储备、资金分配、工作调整的重要依据。针对绩效薄弱环节及时整改优化，优化资金投向、压减低效无效支出，提升整体预算管理和履职保障水平。</w:t>
      </w:r>
    </w:p>
    <w:p w14:paraId="55BB2476">
      <w:pPr>
        <w:adjustRightInd w:val="0"/>
        <w:snapToGrid w:val="0"/>
        <w:spacing w:line="578" w:lineRule="exact"/>
        <w:ind w:firstLine="640" w:firstLineChars="200"/>
        <w:contextualSpacing/>
        <w:rPr>
          <w:rFonts w:hint="eastAsia" w:eastAsia="仿宋_GB2312" w:cs="仿宋_GB2312"/>
          <w:sz w:val="32"/>
          <w:szCs w:val="32"/>
          <w:lang w:val="zh-CN"/>
        </w:rPr>
      </w:pPr>
      <w:r>
        <w:rPr>
          <w:rFonts w:hint="eastAsia" w:eastAsia="仿宋_GB2312" w:cs="仿宋_GB2312"/>
          <w:sz w:val="32"/>
          <w:szCs w:val="32"/>
          <w:lang w:val="zh-CN"/>
        </w:rPr>
        <w:t>2.信息公开情况</w:t>
      </w:r>
    </w:p>
    <w:p w14:paraId="410A4CB6">
      <w:pPr>
        <w:adjustRightInd w:val="0"/>
        <w:snapToGrid w:val="0"/>
        <w:spacing w:line="578" w:lineRule="exact"/>
        <w:ind w:firstLine="640" w:firstLineChars="200"/>
        <w:contextualSpacing/>
        <w:rPr>
          <w:rFonts w:hint="eastAsia" w:eastAsia="仿宋_GB2312" w:cs="仿宋_GB2312"/>
          <w:sz w:val="32"/>
          <w:szCs w:val="32"/>
          <w:lang w:val="zh-CN"/>
        </w:rPr>
      </w:pPr>
      <w:r>
        <w:rPr>
          <w:rFonts w:hint="eastAsia" w:eastAsia="仿宋_GB2312" w:cs="仿宋_GB2312"/>
          <w:sz w:val="32"/>
          <w:szCs w:val="32"/>
          <w:lang w:val="zh-CN"/>
        </w:rPr>
        <w:t>严格按照财政信息公开要求，按时完成部门预算、决算、绩效自评报告、绩效公开表等信息公开工作，公开内容真实完整、及时规范，主动接受社会监督，绩效信息公开常态化、制度化。</w:t>
      </w:r>
    </w:p>
    <w:p w14:paraId="46D24B80">
      <w:pPr>
        <w:adjustRightInd w:val="0"/>
        <w:snapToGrid w:val="0"/>
        <w:spacing w:line="578" w:lineRule="exact"/>
        <w:ind w:firstLine="640" w:firstLineChars="200"/>
        <w:contextualSpacing/>
        <w:rPr>
          <w:rFonts w:hint="eastAsia" w:eastAsia="仿宋_GB2312" w:cs="仿宋_GB2312"/>
          <w:sz w:val="32"/>
          <w:szCs w:val="32"/>
          <w:lang w:val="zh-CN"/>
        </w:rPr>
      </w:pPr>
      <w:r>
        <w:rPr>
          <w:rFonts w:hint="eastAsia" w:eastAsia="仿宋_GB2312" w:cs="仿宋_GB2312"/>
          <w:sz w:val="32"/>
          <w:szCs w:val="32"/>
          <w:lang w:val="zh-CN"/>
        </w:rPr>
        <w:t xml:space="preserve">3.整改反馈情况 </w:t>
      </w:r>
    </w:p>
    <w:p w14:paraId="1C602075">
      <w:pPr>
        <w:adjustRightInd w:val="0"/>
        <w:snapToGrid w:val="0"/>
        <w:spacing w:line="578" w:lineRule="exact"/>
        <w:ind w:firstLine="640" w:firstLineChars="200"/>
        <w:contextualSpacing/>
        <w:rPr>
          <w:rFonts w:hint="eastAsia" w:eastAsia="仿宋_GB2312" w:cs="仿宋_GB2312"/>
          <w:sz w:val="32"/>
          <w:szCs w:val="32"/>
          <w:lang w:val="zh-CN"/>
        </w:rPr>
      </w:pPr>
      <w:r>
        <w:rPr>
          <w:rFonts w:hint="eastAsia" w:eastAsia="仿宋_GB2312" w:cs="仿宋_GB2312"/>
          <w:sz w:val="32"/>
          <w:szCs w:val="32"/>
          <w:lang w:val="zh-CN"/>
        </w:rPr>
        <w:t>针对历年绩效评价、财政检查反馈问题，建立问题台账、整改台账、销号台账，逐项落实整改措施、明确整改时限、压实整改责任，所有问题整改闭环到位，形成“评价—反馈—整改—提升”的绩效管理闭环机制。</w:t>
      </w:r>
    </w:p>
    <w:p w14:paraId="7C573747">
      <w:pPr>
        <w:widowControl/>
        <w:adjustRightInd w:val="0"/>
        <w:snapToGrid w:val="0"/>
        <w:spacing w:line="578" w:lineRule="exact"/>
        <w:ind w:firstLine="640" w:firstLineChars="200"/>
        <w:contextualSpacing/>
        <w:jc w:val="left"/>
        <w:rPr>
          <w:rFonts w:eastAsia="黑体"/>
          <w:color w:val="000000"/>
          <w:kern w:val="0"/>
          <w:sz w:val="32"/>
          <w:szCs w:val="32"/>
          <w:shd w:val="clear" w:color="auto" w:fill="FFFFFF"/>
          <w:lang w:val="zh-CN"/>
        </w:rPr>
      </w:pPr>
      <w:r>
        <w:rPr>
          <w:rFonts w:eastAsia="黑体"/>
          <w:color w:val="000000"/>
          <w:kern w:val="0"/>
          <w:sz w:val="32"/>
          <w:szCs w:val="32"/>
          <w:shd w:val="clear" w:color="auto" w:fill="FFFFFF"/>
          <w:lang w:val="zh-CN"/>
        </w:rPr>
        <w:t>四、评价结论及建议</w:t>
      </w:r>
    </w:p>
    <w:p w14:paraId="37AABFAC">
      <w:pPr>
        <w:widowControl/>
        <w:adjustRightInd w:val="0"/>
        <w:snapToGrid w:val="0"/>
        <w:spacing w:line="578" w:lineRule="exact"/>
        <w:ind w:firstLine="643"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（一）评价结论。</w:t>
      </w:r>
    </w:p>
    <w:p w14:paraId="5C1B49C0">
      <w:pPr>
        <w:adjustRightInd w:val="0"/>
        <w:snapToGrid w:val="0"/>
        <w:spacing w:line="578" w:lineRule="exact"/>
        <w:ind w:firstLine="640" w:firstLineChars="200"/>
        <w:contextualSpacing/>
        <w:rPr>
          <w:rFonts w:hint="eastAsia" w:ascii="Times New Roman" w:hAnsi="Times New Roman" w:eastAsia="仿宋_GB2312" w:cs="仿宋_GB2312"/>
          <w:sz w:val="32"/>
          <w:szCs w:val="32"/>
          <w:lang w:val="zh-CN"/>
        </w:rPr>
      </w:pPr>
      <w:r>
        <w:rPr>
          <w:rFonts w:hint="eastAsia" w:ascii="Times New Roman" w:hAnsi="Times New Roman" w:eastAsia="仿宋_GB2312" w:cs="仿宋_GB2312"/>
          <w:sz w:val="32"/>
          <w:szCs w:val="32"/>
          <w:lang w:val="zh-CN"/>
        </w:rPr>
        <w:t>2025年度，阿坝县生态环境局预算绩效管理体系运行健全有效，部门整体履职效能突出，预算、财务、资产、采购管理规范有序，各类预算项目实施成效良好，绩效结果应用到位，整体绩效评价等级为良好，圆满完成2025年度各项预算绩效目标和生态环境保护工作任务。</w:t>
      </w:r>
    </w:p>
    <w:p w14:paraId="570D750B">
      <w:pPr>
        <w:widowControl/>
        <w:numPr>
          <w:ilvl w:val="0"/>
          <w:numId w:val="5"/>
        </w:numPr>
        <w:adjustRightInd w:val="0"/>
        <w:snapToGrid w:val="0"/>
        <w:spacing w:line="578" w:lineRule="exact"/>
        <w:ind w:firstLine="643"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存在问题。</w:t>
      </w:r>
    </w:p>
    <w:p w14:paraId="6928D8DC">
      <w:pPr>
        <w:widowControl/>
        <w:numPr>
          <w:ilvl w:val="0"/>
          <w:numId w:val="0"/>
        </w:numPr>
        <w:adjustRightInd w:val="0"/>
        <w:snapToGrid w:val="0"/>
        <w:spacing w:line="578" w:lineRule="exact"/>
        <w:ind w:firstLine="640" w:firstLineChars="200"/>
        <w:contextualSpacing/>
        <w:jc w:val="left"/>
        <w:rPr>
          <w:rFonts w:hint="eastAsia" w:eastAsia="仿宋_GB2312"/>
          <w:sz w:val="32"/>
          <w:szCs w:val="32"/>
        </w:rPr>
      </w:pPr>
      <w:r>
        <w:rPr>
          <w:rFonts w:hint="eastAsia" w:eastAsia="仿宋_GB2312"/>
          <w:sz w:val="32"/>
          <w:szCs w:val="32"/>
        </w:rPr>
        <w:t>1. 部分专项项目预算执行进度不均衡，受高原气候、施工窗口期短、项目前期手续繁琐等客观因素影响，个别项目年末存在少量资金结余，资金使用效率有待进一步提升。</w:t>
      </w:r>
    </w:p>
    <w:p w14:paraId="7D312D29">
      <w:pPr>
        <w:widowControl/>
        <w:adjustRightInd w:val="0"/>
        <w:snapToGrid w:val="0"/>
        <w:spacing w:line="578" w:lineRule="exact"/>
        <w:ind w:firstLine="640" w:firstLineChars="200"/>
        <w:contextualSpacing/>
        <w:jc w:val="left"/>
        <w:rPr>
          <w:rFonts w:hint="eastAsia" w:eastAsia="仿宋_GB2312"/>
          <w:sz w:val="32"/>
          <w:szCs w:val="32"/>
        </w:rPr>
      </w:pPr>
      <w:r>
        <w:rPr>
          <w:rFonts w:hint="eastAsia" w:eastAsia="仿宋_GB2312"/>
          <w:sz w:val="32"/>
          <w:szCs w:val="32"/>
        </w:rPr>
        <w:t>2. 绩效目标精细化水平仍需提升，个别项目绩效指标量化、细化程度不足，过程动态监管、全过程绩效管理力度</w:t>
      </w:r>
      <w:bookmarkStart w:id="68" w:name="_GoBack"/>
      <w:bookmarkEnd w:id="68"/>
      <w:r>
        <w:rPr>
          <w:rFonts w:hint="eastAsia" w:eastAsia="仿宋_GB2312"/>
          <w:sz w:val="32"/>
          <w:szCs w:val="32"/>
        </w:rPr>
        <w:t>有待加强。</w:t>
      </w:r>
    </w:p>
    <w:p w14:paraId="609E7C5D">
      <w:pPr>
        <w:widowControl/>
        <w:adjustRightInd w:val="0"/>
        <w:snapToGrid w:val="0"/>
        <w:spacing w:line="578" w:lineRule="exact"/>
        <w:ind w:firstLine="640" w:firstLineChars="200"/>
        <w:contextualSpacing/>
        <w:jc w:val="left"/>
        <w:rPr>
          <w:rFonts w:hint="eastAsia" w:eastAsia="仿宋_GB2312"/>
          <w:sz w:val="32"/>
          <w:szCs w:val="32"/>
        </w:rPr>
      </w:pPr>
      <w:r>
        <w:rPr>
          <w:rFonts w:hint="eastAsia" w:eastAsia="仿宋_GB2312"/>
          <w:sz w:val="32"/>
          <w:szCs w:val="32"/>
        </w:rPr>
        <w:t>3. 资产精细化管理有待提质，部分专业监测设备、执法设备使用频次动态统计不足，资产效能分析、精准盘活力度仍有提升空间。</w:t>
      </w:r>
    </w:p>
    <w:p w14:paraId="2D681E2A">
      <w:pPr>
        <w:widowControl/>
        <w:adjustRightInd w:val="0"/>
        <w:snapToGrid w:val="0"/>
        <w:spacing w:line="578" w:lineRule="exact"/>
        <w:ind w:firstLine="640" w:firstLineChars="200"/>
        <w:contextualSpacing/>
        <w:jc w:val="left"/>
        <w:rPr>
          <w:rFonts w:hint="eastAsia" w:eastAsia="仿宋_GB2312"/>
          <w:sz w:val="32"/>
          <w:szCs w:val="32"/>
        </w:rPr>
      </w:pPr>
      <w:r>
        <w:rPr>
          <w:rFonts w:hint="eastAsia" w:eastAsia="仿宋_GB2312"/>
          <w:sz w:val="32"/>
          <w:szCs w:val="32"/>
        </w:rPr>
        <w:t>4. 项目全过程绩效管理意识有待强化，重立项实施、轻绩效跟踪的现象依然存在，日常绩效监控、动态纠偏不够常态化。</w:t>
      </w:r>
    </w:p>
    <w:p w14:paraId="54AC0195">
      <w:pPr>
        <w:widowControl/>
        <w:adjustRightInd w:val="0"/>
        <w:snapToGrid w:val="0"/>
        <w:spacing w:line="578" w:lineRule="exact"/>
        <w:ind w:firstLine="643" w:firstLineChars="200"/>
        <w:contextualSpacing/>
        <w:jc w:val="left"/>
        <w:rPr>
          <w:rFonts w:eastAsia="楷体_GB2312"/>
          <w:b/>
          <w:bCs/>
          <w:color w:val="000000"/>
          <w:kern w:val="0"/>
          <w:sz w:val="32"/>
          <w:szCs w:val="32"/>
          <w:shd w:val="clear" w:color="auto" w:fill="FFFFFF"/>
          <w:lang w:val="zh-CN"/>
        </w:rPr>
      </w:pPr>
      <w:r>
        <w:rPr>
          <w:rFonts w:eastAsia="楷体_GB2312"/>
          <w:b/>
          <w:bCs/>
          <w:color w:val="000000"/>
          <w:kern w:val="0"/>
          <w:sz w:val="32"/>
          <w:szCs w:val="32"/>
          <w:shd w:val="clear" w:color="auto" w:fill="FFFFFF"/>
          <w:lang w:val="zh-CN"/>
        </w:rPr>
        <w:t>（三）改进建议。</w:t>
      </w:r>
      <w:bookmarkStart w:id="53" w:name="_Hlk110546638"/>
    </w:p>
    <w:p w14:paraId="234E67C2">
      <w:pPr>
        <w:widowControl/>
        <w:adjustRightInd w:val="0"/>
        <w:snapToGrid w:val="0"/>
        <w:spacing w:line="578" w:lineRule="exact"/>
        <w:ind w:firstLine="640" w:firstLineChars="200"/>
        <w:contextualSpacing/>
        <w:jc w:val="left"/>
        <w:rPr>
          <w:rFonts w:hint="eastAsia" w:eastAsia="仿宋_GB2312"/>
          <w:sz w:val="32"/>
          <w:szCs w:val="32"/>
        </w:rPr>
      </w:pPr>
      <w:r>
        <w:rPr>
          <w:rFonts w:hint="eastAsia" w:eastAsia="仿宋_GB2312"/>
          <w:sz w:val="32"/>
          <w:szCs w:val="32"/>
        </w:rPr>
        <w:t>1. 精准把控项目执行进度，提升资金使用效益。结合阿坝县高原季节施工特点，提前谋划下年度项目前期工作，细化月度、季度推进计划，常态化跟踪项目执行进度，及时盘活结余资金，减少年末存量结余，最大化提升财政资金使用效率。</w:t>
      </w:r>
    </w:p>
    <w:p w14:paraId="0CC99D7B">
      <w:pPr>
        <w:widowControl/>
        <w:adjustRightInd w:val="0"/>
        <w:snapToGrid w:val="0"/>
        <w:spacing w:line="578" w:lineRule="exact"/>
        <w:ind w:firstLine="640" w:firstLineChars="200"/>
        <w:contextualSpacing/>
        <w:jc w:val="left"/>
        <w:rPr>
          <w:rFonts w:hint="eastAsia" w:eastAsia="仿宋_GB2312"/>
          <w:sz w:val="32"/>
          <w:szCs w:val="32"/>
        </w:rPr>
      </w:pPr>
      <w:r>
        <w:rPr>
          <w:rFonts w:hint="eastAsia" w:eastAsia="仿宋_GB2312"/>
          <w:sz w:val="32"/>
          <w:szCs w:val="32"/>
        </w:rPr>
        <w:t>2. 细化绩效指标体系，提升绩效管理精细化水平。在来年预算编制和项目入库阶段，进一步量化、细化产出、效益、满意度指标，增强指标可衡量、可考核性，建立项目全过程动态绩效监控机制，及时发现并纠偏绩效偏差问题。</w:t>
      </w:r>
    </w:p>
    <w:p w14:paraId="242E30A6">
      <w:pPr>
        <w:widowControl/>
        <w:adjustRightInd w:val="0"/>
        <w:snapToGrid w:val="0"/>
        <w:spacing w:line="578" w:lineRule="exact"/>
        <w:ind w:firstLine="640" w:firstLineChars="200"/>
        <w:contextualSpacing/>
        <w:jc w:val="left"/>
        <w:rPr>
          <w:rFonts w:hint="eastAsia" w:eastAsia="仿宋_GB2312"/>
          <w:sz w:val="32"/>
          <w:szCs w:val="32"/>
        </w:rPr>
      </w:pPr>
      <w:r>
        <w:rPr>
          <w:rFonts w:hint="eastAsia" w:eastAsia="仿宋_GB2312"/>
          <w:sz w:val="32"/>
          <w:szCs w:val="32"/>
        </w:rPr>
        <w:t>3. 强化资产精细化、动态化管理。建立资产使用动态台账，定期统计专业设备、办公资产使用情况，常态化开展低效闲置资产排查调剂，精准盘活存量资产，持续提升国有资产利用率和管理质效。</w:t>
      </w:r>
    </w:p>
    <w:p w14:paraId="0A0C9ADD">
      <w:pPr>
        <w:widowControl/>
        <w:adjustRightInd w:val="0"/>
        <w:snapToGrid w:val="0"/>
        <w:spacing w:line="578" w:lineRule="exact"/>
        <w:ind w:firstLine="640" w:firstLineChars="200"/>
        <w:contextualSpacing/>
        <w:jc w:val="left"/>
        <w:rPr>
          <w:rFonts w:hint="eastAsia" w:eastAsia="仿宋_GB2312"/>
          <w:sz w:val="32"/>
          <w:szCs w:val="32"/>
        </w:rPr>
      </w:pPr>
      <w:r>
        <w:rPr>
          <w:rFonts w:hint="eastAsia" w:eastAsia="仿宋_GB2312"/>
          <w:sz w:val="32"/>
          <w:szCs w:val="32"/>
        </w:rPr>
        <w:t>4. 压实全过程绩效管理责任。进一步强化全员绩效意识，将绩效管控贯穿预算编制、项目实施、资金使用、验收收尾全流程，健全绩效自评、问题整改、结果运用长效机制，以绩效管理提质推动生态环保履职工作提质增效。</w:t>
      </w:r>
    </w:p>
    <w:p w14:paraId="0059EA43">
      <w:pPr>
        <w:widowControl/>
        <w:adjustRightInd w:val="0"/>
        <w:snapToGrid w:val="0"/>
        <w:spacing w:line="578" w:lineRule="exact"/>
        <w:ind w:firstLine="640" w:firstLineChars="200"/>
        <w:contextualSpacing/>
        <w:jc w:val="left"/>
        <w:rPr>
          <w:rFonts w:hint="eastAsia" w:eastAsia="仿宋_GB2312"/>
          <w:sz w:val="32"/>
          <w:szCs w:val="32"/>
        </w:rPr>
      </w:pPr>
      <w:r>
        <w:rPr>
          <w:rFonts w:hint="eastAsia" w:eastAsia="仿宋_GB2312"/>
          <w:sz w:val="32"/>
          <w:szCs w:val="32"/>
        </w:rPr>
        <w:t>5. 规范专项资金及购买服务管理。持续严格落实债券资金、专项项目资金、政府购买服务管理制度，细化台账管理、过程监管、验收评价，确保各类财政资金规范高效发挥生态效益和社会效益。</w:t>
      </w:r>
    </w:p>
    <w:bookmarkEnd w:id="53"/>
    <w:p w14:paraId="6EDC79BB">
      <w:pPr>
        <w:pStyle w:val="7"/>
        <w:spacing w:line="560" w:lineRule="exact"/>
        <w:ind w:left="0" w:leftChars="0" w:firstLine="640"/>
        <w:rPr>
          <w:rFonts w:ascii="Times New Roman" w:eastAsia="仿宋_GB2312"/>
          <w:sz w:val="32"/>
          <w:lang w:val="zh-CN"/>
        </w:rPr>
      </w:pPr>
    </w:p>
    <w:p w14:paraId="716B02D6">
      <w:pPr>
        <w:pStyle w:val="5"/>
        <w:spacing w:before="93"/>
        <w:rPr>
          <w:rFonts w:hint="eastAsia" w:ascii="Times New Roman" w:eastAsia="仿宋_GB2312"/>
          <w:sz w:val="32"/>
          <w:lang w:val="zh-CN"/>
        </w:rPr>
      </w:pPr>
    </w:p>
    <w:p w14:paraId="137F492C">
      <w:pPr>
        <w:pStyle w:val="5"/>
        <w:spacing w:before="93"/>
        <w:rPr>
          <w:rFonts w:hint="eastAsia" w:ascii="Times New Roman" w:eastAsia="仿宋_GB2312"/>
          <w:sz w:val="32"/>
          <w:lang w:val="zh-CN"/>
        </w:rPr>
      </w:pPr>
    </w:p>
    <w:p w14:paraId="3936BC93">
      <w:pPr>
        <w:pStyle w:val="5"/>
        <w:spacing w:before="93"/>
        <w:rPr>
          <w:rFonts w:hint="eastAsia" w:ascii="Times New Roman" w:eastAsia="仿宋_GB2312"/>
          <w:sz w:val="32"/>
          <w:lang w:val="zh-CN"/>
        </w:rPr>
      </w:pPr>
    </w:p>
    <w:p w14:paraId="3645F125">
      <w:pPr>
        <w:pStyle w:val="5"/>
        <w:spacing w:before="93"/>
        <w:rPr>
          <w:rFonts w:hint="eastAsia" w:ascii="Times New Roman" w:eastAsia="仿宋_GB2312"/>
          <w:sz w:val="32"/>
          <w:lang w:val="zh-CN"/>
        </w:rPr>
      </w:pPr>
    </w:p>
    <w:p w14:paraId="47F9E542">
      <w:pPr>
        <w:pStyle w:val="5"/>
        <w:spacing w:before="93"/>
        <w:rPr>
          <w:rFonts w:hint="eastAsia" w:ascii="Times New Roman" w:eastAsia="仿宋_GB2312"/>
          <w:sz w:val="32"/>
          <w:lang w:val="zh-CN"/>
        </w:rPr>
      </w:pPr>
    </w:p>
    <w:p w14:paraId="49EB66F6">
      <w:pPr>
        <w:pStyle w:val="5"/>
        <w:spacing w:before="93"/>
        <w:rPr>
          <w:rFonts w:hint="eastAsia" w:ascii="Times New Roman" w:eastAsia="仿宋_GB2312"/>
          <w:sz w:val="32"/>
          <w:lang w:val="zh-CN"/>
        </w:rPr>
      </w:pPr>
    </w:p>
    <w:p w14:paraId="20E61F97">
      <w:pPr>
        <w:pStyle w:val="5"/>
        <w:spacing w:before="93"/>
        <w:rPr>
          <w:rFonts w:hint="eastAsia" w:ascii="Times New Roman" w:eastAsia="仿宋_GB2312"/>
          <w:sz w:val="32"/>
          <w:lang w:val="zh-CN"/>
        </w:rPr>
      </w:pPr>
    </w:p>
    <w:p w14:paraId="716E7778">
      <w:pPr>
        <w:pStyle w:val="5"/>
        <w:spacing w:before="93"/>
        <w:rPr>
          <w:rFonts w:hint="eastAsia" w:ascii="Times New Roman" w:eastAsia="仿宋_GB2312"/>
          <w:sz w:val="32"/>
          <w:lang w:val="zh-CN"/>
        </w:rPr>
      </w:pPr>
    </w:p>
    <w:p w14:paraId="21D02B15">
      <w:pPr>
        <w:pStyle w:val="5"/>
        <w:spacing w:before="93"/>
        <w:rPr>
          <w:rFonts w:hint="eastAsia" w:ascii="Times New Roman" w:eastAsia="仿宋_GB2312"/>
          <w:sz w:val="32"/>
          <w:lang w:val="zh-CN"/>
        </w:rPr>
      </w:pPr>
    </w:p>
    <w:p w14:paraId="79C69B4D">
      <w:pPr>
        <w:pStyle w:val="5"/>
        <w:spacing w:before="93"/>
        <w:rPr>
          <w:rFonts w:hint="eastAsia" w:ascii="Times New Roman" w:eastAsia="仿宋_GB2312"/>
          <w:sz w:val="32"/>
          <w:lang w:val="zh-CN"/>
        </w:rPr>
      </w:pPr>
    </w:p>
    <w:p w14:paraId="691EFF31">
      <w:pPr>
        <w:pStyle w:val="5"/>
        <w:spacing w:before="93"/>
        <w:rPr>
          <w:rFonts w:hint="eastAsia" w:ascii="Times New Roman" w:eastAsia="仿宋_GB2312"/>
          <w:sz w:val="32"/>
        </w:rPr>
      </w:pPr>
      <w:r>
        <w:rPr>
          <w:rFonts w:hint="eastAsia" w:ascii="Times New Roman" w:eastAsia="仿宋_GB2312"/>
          <w:sz w:val="32"/>
          <w:lang w:val="zh-CN"/>
        </w:rPr>
        <w:t>附表：</w:t>
      </w:r>
      <w:r>
        <w:rPr>
          <w:rFonts w:hint="eastAsia" w:ascii="Times New Roman" w:eastAsia="仿宋_GB2312"/>
          <w:sz w:val="32"/>
        </w:rPr>
        <w:t>部门预算项目支出绩效自评表（2025年度）</w:t>
      </w:r>
    </w:p>
    <w:tbl>
      <w:tblPr>
        <w:tblStyle w:val="15"/>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02"/>
        <w:gridCol w:w="614"/>
        <w:gridCol w:w="827"/>
        <w:gridCol w:w="1478"/>
        <w:gridCol w:w="436"/>
        <w:gridCol w:w="941"/>
        <w:gridCol w:w="793"/>
        <w:gridCol w:w="995"/>
        <w:gridCol w:w="532"/>
        <w:gridCol w:w="440"/>
        <w:gridCol w:w="864"/>
      </w:tblGrid>
      <w:tr w14:paraId="069721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8C179D4">
            <w:pPr>
              <w:keepNext/>
              <w:keepLines w:val="0"/>
              <w:widowControl/>
              <w:suppressLineNumbers w:val="0"/>
              <w:snapToGrid w:val="0"/>
              <w:jc w:val="center"/>
              <w:textAlignment w:val="center"/>
              <w:rPr>
                <w:rFonts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D03A4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4339A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BC215D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51320022R000005969462-追加州级部门编内退休人员一次性退休补贴</w:t>
            </w:r>
          </w:p>
        </w:tc>
      </w:tr>
      <w:tr w14:paraId="13C998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587366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68FEB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583" w:type="pct"/>
            <w:tcBorders>
              <w:top w:val="nil"/>
              <w:left w:val="nil"/>
              <w:bottom w:val="nil"/>
              <w:right w:val="nil"/>
            </w:tcBorders>
            <w:shd w:val="clear" w:color="auto" w:fill="auto"/>
            <w:vAlign w:val="center"/>
          </w:tcPr>
          <w:p w14:paraId="5B20E0D1">
            <w:pPr>
              <w:keepNext/>
              <w:keepLines w:val="0"/>
              <w:widowControl/>
              <w:suppressLineNumbers w:val="0"/>
              <w:snapToGrid w:val="0"/>
              <w:jc w:val="left"/>
              <w:textAlignment w:val="center"/>
              <w:rPr>
                <w:rFonts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7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0F796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阿坝县生态环境局</w:t>
            </w:r>
          </w:p>
        </w:tc>
      </w:tr>
      <w:tr w14:paraId="09D88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6B326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CC065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6F4622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43ABF35">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148E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B87436">
            <w:pPr>
              <w:keepNext/>
              <w:snapToGrid w:val="0"/>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E35D16">
            <w:pPr>
              <w:keepNext/>
              <w:snapToGrid w:val="0"/>
              <w:rPr>
                <w:rFonts w:hint="eastAsia" w:ascii="宋体" w:hAnsi="宋体" w:eastAsia="宋体" w:cs="宋体"/>
                <w:i w:val="0"/>
                <w:iCs w:val="0"/>
                <w:color w:val="000000"/>
                <w:sz w:val="18"/>
                <w:szCs w:val="18"/>
                <w:u w:val="none"/>
              </w:rPr>
            </w:pP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0E118C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3FA0BAF">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已完成保障退休人员经费支出的年度目标</w:t>
            </w:r>
          </w:p>
        </w:tc>
      </w:tr>
      <w:tr w14:paraId="33B989F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1BCC1B">
            <w:pPr>
              <w:keepNext/>
              <w:snapToGrid w:val="0"/>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F1A7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8E75A1">
            <w:pPr>
              <w:keepNext/>
              <w:snapToGrid w:val="0"/>
              <w:rPr>
                <w:rFonts w:hint="eastAsia" w:ascii="宋体" w:hAnsi="宋体" w:eastAsia="宋体" w:cs="宋体"/>
                <w:i w:val="0"/>
                <w:iCs w:val="0"/>
                <w:color w:val="000000"/>
                <w:sz w:val="18"/>
                <w:szCs w:val="18"/>
                <w:u w:val="none"/>
              </w:rPr>
            </w:pPr>
          </w:p>
        </w:tc>
      </w:tr>
      <w:tr w14:paraId="7467E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22B2F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B2FB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8E7D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245F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9139F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DF58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F723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10EA5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24CC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B7E21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847998">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30B6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EC0F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69FF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5.43</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C60540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5.43</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B938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B90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52BA8">
            <w:pPr>
              <w:keepNext/>
              <w:snapToGrid w:val="0"/>
              <w:jc w:val="center"/>
              <w:rPr>
                <w:rFonts w:hint="eastAsia" w:ascii="宋体" w:hAnsi="宋体" w:eastAsia="宋体" w:cs="宋体"/>
                <w:i w:val="0"/>
                <w:iCs w:val="0"/>
                <w:color w:val="000000"/>
                <w:sz w:val="18"/>
                <w:szCs w:val="18"/>
                <w:u w:val="none"/>
              </w:rPr>
            </w:pP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83DED0">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1.预算执行率已达100%;</w:t>
            </w:r>
          </w:p>
        </w:tc>
      </w:tr>
      <w:tr w14:paraId="4E88F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A14ED6">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F4F4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6F7F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11F1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5.43</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DC943B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5.43</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10B6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2329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AAC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879786">
            <w:pPr>
              <w:keepNext/>
              <w:snapToGrid w:val="0"/>
              <w:rPr>
                <w:rFonts w:hint="eastAsia" w:ascii="黑体" w:hAnsi="黑体" w:eastAsia="黑体" w:cs="黑体"/>
                <w:i/>
                <w:iCs/>
                <w:color w:val="000000"/>
                <w:sz w:val="18"/>
                <w:szCs w:val="18"/>
                <w:u w:val="none"/>
              </w:rPr>
            </w:pPr>
          </w:p>
        </w:tc>
      </w:tr>
      <w:tr w14:paraId="46E3F8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F25C6">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21B5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A690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9D3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3D9F48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2EB0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52562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0BF68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37639">
            <w:pPr>
              <w:keepNext/>
              <w:snapToGrid w:val="0"/>
              <w:rPr>
                <w:rFonts w:hint="eastAsia" w:ascii="黑体" w:hAnsi="黑体" w:eastAsia="黑体" w:cs="黑体"/>
                <w:i/>
                <w:iCs/>
                <w:color w:val="000000"/>
                <w:sz w:val="18"/>
                <w:szCs w:val="18"/>
                <w:u w:val="none"/>
              </w:rPr>
            </w:pPr>
          </w:p>
        </w:tc>
      </w:tr>
      <w:tr w14:paraId="1852A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6896B6">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5B5C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B9ED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A2F8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1794BC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91A9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295B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E698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D6C1CB">
            <w:pPr>
              <w:keepNext/>
              <w:snapToGrid w:val="0"/>
              <w:rPr>
                <w:rFonts w:hint="eastAsia" w:ascii="黑体" w:hAnsi="黑体" w:eastAsia="黑体" w:cs="黑体"/>
                <w:i/>
                <w:iCs/>
                <w:color w:val="000000"/>
                <w:sz w:val="18"/>
                <w:szCs w:val="18"/>
                <w:u w:val="none"/>
              </w:rPr>
            </w:pPr>
          </w:p>
        </w:tc>
      </w:tr>
      <w:tr w14:paraId="21DD7D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9B8D10">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C622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0C709">
            <w:pPr>
              <w:keepNext/>
              <w:snapToGrid w:val="0"/>
              <w:jc w:val="center"/>
              <w:rPr>
                <w:rFonts w:hint="eastAsia" w:ascii="微软雅黑" w:hAnsi="微软雅黑" w:eastAsia="微软雅黑" w:cs="微软雅黑"/>
                <w:i/>
                <w:iCs/>
                <w:color w:val="000000"/>
                <w:sz w:val="16"/>
                <w:szCs w:val="16"/>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B04201">
            <w:pPr>
              <w:keepNext/>
              <w:snapToGrid w:val="0"/>
              <w:jc w:val="center"/>
              <w:rPr>
                <w:rFonts w:hint="eastAsia" w:ascii="微软雅黑" w:hAnsi="微软雅黑" w:eastAsia="微软雅黑" w:cs="微软雅黑"/>
                <w:i/>
                <w:iCs/>
                <w:color w:val="000000"/>
                <w:sz w:val="16"/>
                <w:szCs w:val="16"/>
                <w:u w:val="none"/>
              </w:rPr>
            </w:pP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9D1652A">
            <w:pPr>
              <w:keepNext/>
              <w:snapToGrid w:val="0"/>
              <w:jc w:val="center"/>
              <w:rPr>
                <w:rFonts w:hint="eastAsia" w:ascii="微软雅黑" w:hAnsi="微软雅黑" w:eastAsia="微软雅黑" w:cs="微软雅黑"/>
                <w:i/>
                <w:iCs/>
                <w:color w:val="000000"/>
                <w:sz w:val="16"/>
                <w:szCs w:val="16"/>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5E5CF">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A466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23D89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B89B4">
            <w:pPr>
              <w:keepNext/>
              <w:snapToGrid w:val="0"/>
              <w:rPr>
                <w:rFonts w:hint="eastAsia" w:ascii="黑体" w:hAnsi="黑体" w:eastAsia="黑体" w:cs="黑体"/>
                <w:i/>
                <w:iCs/>
                <w:color w:val="000000"/>
                <w:sz w:val="18"/>
                <w:szCs w:val="18"/>
                <w:u w:val="none"/>
              </w:rPr>
            </w:pPr>
          </w:p>
        </w:tc>
      </w:tr>
      <w:tr w14:paraId="55209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F06F6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693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FB8D1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3B17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A585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6A7C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E43C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A46F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B8B5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9BDE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ECCB3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7E04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7CE1E2">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8" w:space="0"/>
              <w:left w:val="single" w:color="000000" w:sz="8" w:space="0"/>
              <w:bottom w:val="single" w:color="000000" w:sz="8" w:space="0"/>
              <w:right w:val="single" w:color="000000" w:sz="8" w:space="0"/>
            </w:tcBorders>
            <w:shd w:val="clear" w:color="auto" w:fill="auto"/>
            <w:vAlign w:val="center"/>
          </w:tcPr>
          <w:p w14:paraId="48FDC9B3">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485" w:type="pct"/>
            <w:tcBorders>
              <w:top w:val="single" w:color="000000" w:sz="8" w:space="0"/>
              <w:left w:val="nil"/>
              <w:bottom w:val="single" w:color="000000" w:sz="8" w:space="0"/>
              <w:right w:val="single" w:color="000000" w:sz="8" w:space="0"/>
            </w:tcBorders>
            <w:shd w:val="clear" w:color="auto" w:fill="auto"/>
            <w:vAlign w:val="center"/>
          </w:tcPr>
          <w:p w14:paraId="7C5BE452">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867" w:type="pct"/>
            <w:tcBorders>
              <w:top w:val="single" w:color="000000" w:sz="8" w:space="0"/>
              <w:left w:val="nil"/>
              <w:bottom w:val="single" w:color="000000" w:sz="8" w:space="0"/>
              <w:right w:val="single" w:color="000000" w:sz="8" w:space="0"/>
            </w:tcBorders>
            <w:shd w:val="clear" w:color="auto" w:fill="auto"/>
            <w:vAlign w:val="center"/>
          </w:tcPr>
          <w:p w14:paraId="71D4657F">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发放（缴纳）覆盖率</w:t>
            </w:r>
          </w:p>
        </w:tc>
        <w:tc>
          <w:tcPr>
            <w:tcW w:w="255" w:type="pct"/>
            <w:tcBorders>
              <w:top w:val="single" w:color="000000" w:sz="8" w:space="0"/>
              <w:left w:val="nil"/>
              <w:bottom w:val="single" w:color="000000" w:sz="8" w:space="0"/>
              <w:right w:val="single" w:color="000000" w:sz="8" w:space="0"/>
            </w:tcBorders>
            <w:shd w:val="clear" w:color="auto" w:fill="auto"/>
            <w:vAlign w:val="center"/>
          </w:tcPr>
          <w:p w14:paraId="15E31A12">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52" w:type="pct"/>
            <w:tcBorders>
              <w:top w:val="single" w:color="000000" w:sz="8" w:space="0"/>
              <w:left w:val="nil"/>
              <w:bottom w:val="single" w:color="000000" w:sz="8" w:space="0"/>
              <w:right w:val="single" w:color="000000" w:sz="8" w:space="0"/>
            </w:tcBorders>
            <w:shd w:val="clear" w:color="auto" w:fill="auto"/>
            <w:vAlign w:val="center"/>
          </w:tcPr>
          <w:p w14:paraId="2F373C0C">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65" w:type="pct"/>
            <w:tcBorders>
              <w:top w:val="single" w:color="000000" w:sz="8" w:space="0"/>
              <w:left w:val="nil"/>
              <w:bottom w:val="single" w:color="000000" w:sz="8" w:space="0"/>
              <w:right w:val="single" w:color="000000" w:sz="8" w:space="0"/>
            </w:tcBorders>
            <w:shd w:val="clear" w:color="auto" w:fill="auto"/>
            <w:vAlign w:val="center"/>
          </w:tcPr>
          <w:p w14:paraId="0B913B36">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83" w:type="pct"/>
            <w:tcBorders>
              <w:top w:val="single" w:color="000000" w:sz="8" w:space="0"/>
              <w:left w:val="nil"/>
              <w:bottom w:val="single" w:color="000000" w:sz="8" w:space="0"/>
              <w:right w:val="single" w:color="000000" w:sz="8" w:space="0"/>
            </w:tcBorders>
            <w:shd w:val="clear" w:color="auto" w:fill="auto"/>
            <w:vAlign w:val="center"/>
          </w:tcPr>
          <w:p w14:paraId="196359FE">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8" w:space="0"/>
              <w:left w:val="nil"/>
              <w:bottom w:val="single" w:color="000000" w:sz="8" w:space="0"/>
              <w:right w:val="single" w:color="000000" w:sz="8" w:space="0"/>
            </w:tcBorders>
            <w:shd w:val="clear" w:color="auto" w:fill="auto"/>
            <w:vAlign w:val="center"/>
          </w:tcPr>
          <w:p w14:paraId="4DAF6C1E">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258" w:type="pct"/>
            <w:tcBorders>
              <w:top w:val="single" w:color="000000" w:sz="8" w:space="0"/>
              <w:left w:val="nil"/>
              <w:bottom w:val="single" w:color="000000" w:sz="8" w:space="0"/>
              <w:right w:val="single" w:color="000000" w:sz="8" w:space="0"/>
            </w:tcBorders>
            <w:shd w:val="clear" w:color="auto" w:fill="auto"/>
            <w:vAlign w:val="center"/>
          </w:tcPr>
          <w:p w14:paraId="451107A7">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8" w:space="0"/>
              <w:left w:val="nil"/>
              <w:bottom w:val="single" w:color="000000" w:sz="8" w:space="0"/>
              <w:right w:val="single" w:color="000000" w:sz="8" w:space="0"/>
            </w:tcBorders>
            <w:shd w:val="clear" w:color="auto" w:fill="auto"/>
            <w:vAlign w:val="center"/>
          </w:tcPr>
          <w:p w14:paraId="78183A39">
            <w:pPr>
              <w:keepNext/>
              <w:snapToGrid w:val="0"/>
              <w:jc w:val="center"/>
              <w:rPr>
                <w:rFonts w:hint="eastAsia" w:ascii="微软雅黑" w:hAnsi="微软雅黑" w:eastAsia="微软雅黑" w:cs="微软雅黑"/>
                <w:i/>
                <w:iCs/>
                <w:color w:val="000000"/>
                <w:sz w:val="16"/>
                <w:szCs w:val="16"/>
                <w:u w:val="none"/>
              </w:rPr>
            </w:pPr>
          </w:p>
        </w:tc>
      </w:tr>
      <w:tr w14:paraId="14C28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467D18">
            <w:pPr>
              <w:keepNext/>
              <w:snapToGrid w:val="0"/>
              <w:jc w:val="center"/>
              <w:rPr>
                <w:rFonts w:hint="eastAsia" w:ascii="宋体" w:hAnsi="宋体" w:eastAsia="宋体" w:cs="宋体"/>
                <w:i w:val="0"/>
                <w:iCs w:val="0"/>
                <w:color w:val="000000"/>
                <w:sz w:val="18"/>
                <w:szCs w:val="18"/>
                <w:u w:val="none"/>
              </w:rPr>
            </w:pPr>
          </w:p>
        </w:tc>
        <w:tc>
          <w:tcPr>
            <w:tcW w:w="360" w:type="pct"/>
            <w:tcBorders>
              <w:top w:val="nil"/>
              <w:left w:val="single" w:color="000000" w:sz="8" w:space="0"/>
              <w:bottom w:val="single" w:color="000000" w:sz="8" w:space="0"/>
              <w:right w:val="single" w:color="000000" w:sz="8" w:space="0"/>
            </w:tcBorders>
            <w:shd w:val="clear" w:color="auto" w:fill="auto"/>
            <w:vAlign w:val="center"/>
          </w:tcPr>
          <w:p w14:paraId="37A8BACC">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485" w:type="pct"/>
            <w:tcBorders>
              <w:top w:val="nil"/>
              <w:left w:val="nil"/>
              <w:bottom w:val="single" w:color="000000" w:sz="8" w:space="0"/>
              <w:right w:val="single" w:color="000000" w:sz="8" w:space="0"/>
            </w:tcBorders>
            <w:shd w:val="clear" w:color="auto" w:fill="auto"/>
            <w:vAlign w:val="center"/>
          </w:tcPr>
          <w:p w14:paraId="48A64A86">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867" w:type="pct"/>
            <w:tcBorders>
              <w:top w:val="nil"/>
              <w:left w:val="nil"/>
              <w:bottom w:val="single" w:color="000000" w:sz="8" w:space="0"/>
              <w:right w:val="single" w:color="000000" w:sz="8" w:space="0"/>
            </w:tcBorders>
            <w:shd w:val="clear" w:color="auto" w:fill="auto"/>
            <w:vAlign w:val="center"/>
          </w:tcPr>
          <w:p w14:paraId="77B33ED5">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足额保障率（参保率）</w:t>
            </w:r>
          </w:p>
        </w:tc>
        <w:tc>
          <w:tcPr>
            <w:tcW w:w="255" w:type="pct"/>
            <w:tcBorders>
              <w:top w:val="nil"/>
              <w:left w:val="nil"/>
              <w:bottom w:val="single" w:color="000000" w:sz="8" w:space="0"/>
              <w:right w:val="single" w:color="000000" w:sz="8" w:space="0"/>
            </w:tcBorders>
            <w:shd w:val="clear" w:color="auto" w:fill="auto"/>
            <w:vAlign w:val="center"/>
          </w:tcPr>
          <w:p w14:paraId="6F840160">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52" w:type="pct"/>
            <w:tcBorders>
              <w:top w:val="nil"/>
              <w:left w:val="nil"/>
              <w:bottom w:val="single" w:color="000000" w:sz="8" w:space="0"/>
              <w:right w:val="single" w:color="000000" w:sz="8" w:space="0"/>
            </w:tcBorders>
            <w:shd w:val="clear" w:color="auto" w:fill="auto"/>
            <w:vAlign w:val="center"/>
          </w:tcPr>
          <w:p w14:paraId="203CBC32">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65" w:type="pct"/>
            <w:tcBorders>
              <w:top w:val="nil"/>
              <w:left w:val="nil"/>
              <w:bottom w:val="single" w:color="000000" w:sz="8" w:space="0"/>
              <w:right w:val="single" w:color="000000" w:sz="8" w:space="0"/>
            </w:tcBorders>
            <w:shd w:val="clear" w:color="auto" w:fill="auto"/>
            <w:vAlign w:val="center"/>
          </w:tcPr>
          <w:p w14:paraId="69928A55">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583" w:type="pct"/>
            <w:tcBorders>
              <w:top w:val="nil"/>
              <w:left w:val="nil"/>
              <w:bottom w:val="single" w:color="000000" w:sz="8" w:space="0"/>
              <w:right w:val="single" w:color="000000" w:sz="8" w:space="0"/>
            </w:tcBorders>
            <w:shd w:val="clear" w:color="auto" w:fill="auto"/>
            <w:vAlign w:val="center"/>
          </w:tcPr>
          <w:p w14:paraId="01E32152">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nil"/>
              <w:left w:val="nil"/>
              <w:bottom w:val="single" w:color="000000" w:sz="8" w:space="0"/>
              <w:right w:val="single" w:color="000000" w:sz="8" w:space="0"/>
            </w:tcBorders>
            <w:shd w:val="clear" w:color="auto" w:fill="auto"/>
            <w:vAlign w:val="center"/>
          </w:tcPr>
          <w:p w14:paraId="09617B4A">
            <w:pPr>
              <w:keepNext/>
              <w:keepLines w:val="0"/>
              <w:widowControl/>
              <w:suppressLineNumbers w:val="0"/>
              <w:snapToGrid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258" w:type="pct"/>
            <w:tcBorders>
              <w:top w:val="nil"/>
              <w:left w:val="nil"/>
              <w:bottom w:val="single" w:color="000000" w:sz="8" w:space="0"/>
              <w:right w:val="single" w:color="000000" w:sz="8" w:space="0"/>
            </w:tcBorders>
            <w:shd w:val="clear" w:color="auto" w:fill="auto"/>
            <w:vAlign w:val="center"/>
          </w:tcPr>
          <w:p w14:paraId="647B47C9">
            <w:pPr>
              <w:keepNext/>
              <w:snapToGrid w:val="0"/>
              <w:jc w:val="center"/>
              <w:rPr>
                <w:rFonts w:hint="eastAsia" w:ascii="宋体" w:hAnsi="宋体" w:eastAsia="宋体" w:cs="宋体"/>
                <w:i w:val="0"/>
                <w:iCs w:val="0"/>
                <w:color w:val="000000"/>
                <w:sz w:val="18"/>
                <w:szCs w:val="18"/>
                <w:u w:val="none"/>
              </w:rPr>
            </w:pPr>
          </w:p>
        </w:tc>
        <w:tc>
          <w:tcPr>
            <w:tcW w:w="505" w:type="pct"/>
            <w:tcBorders>
              <w:top w:val="nil"/>
              <w:left w:val="nil"/>
              <w:bottom w:val="single" w:color="000000" w:sz="8" w:space="0"/>
              <w:right w:val="single" w:color="000000" w:sz="8" w:space="0"/>
            </w:tcBorders>
            <w:shd w:val="clear" w:color="auto" w:fill="auto"/>
            <w:noWrap/>
            <w:vAlign w:val="center"/>
          </w:tcPr>
          <w:p w14:paraId="76D055C4">
            <w:pPr>
              <w:keepNext/>
              <w:snapToGrid w:val="0"/>
              <w:rPr>
                <w:rFonts w:hint="eastAsia" w:ascii="宋体" w:hAnsi="宋体" w:eastAsia="宋体" w:cs="宋体"/>
                <w:i w:val="0"/>
                <w:iCs w:val="0"/>
                <w:color w:val="000000"/>
                <w:sz w:val="22"/>
                <w:szCs w:val="22"/>
                <w:u w:val="none"/>
              </w:rPr>
            </w:pPr>
          </w:p>
        </w:tc>
      </w:tr>
      <w:tr w14:paraId="3170C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2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1883E4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2B49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3FA9D">
            <w:pPr>
              <w:keepNext/>
              <w:snapToGrid w:val="0"/>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5C252">
            <w:pPr>
              <w:keepNext/>
              <w:snapToGrid w:val="0"/>
              <w:rPr>
                <w:rFonts w:hint="eastAsia" w:ascii="宋体" w:hAnsi="宋体" w:eastAsia="宋体" w:cs="宋体"/>
                <w:i w:val="0"/>
                <w:iCs w:val="0"/>
                <w:color w:val="000000"/>
                <w:sz w:val="18"/>
                <w:szCs w:val="18"/>
                <w:u w:val="none"/>
              </w:rPr>
            </w:pPr>
          </w:p>
        </w:tc>
      </w:tr>
      <w:tr w14:paraId="3742A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C8DE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C5D3EF">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已完成保障退休人员经费支出的年度目标，自评得分100分</w:t>
            </w:r>
          </w:p>
        </w:tc>
      </w:tr>
      <w:tr w14:paraId="5E815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19B9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053787">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92DF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F057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1DBCDC1">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FD5755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3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BC9697">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项目负责人：王文</w:t>
            </w:r>
          </w:p>
        </w:tc>
        <w:tc>
          <w:tcPr>
            <w:tcW w:w="267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7F9377">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财务负责人：张世康</w:t>
            </w:r>
          </w:p>
        </w:tc>
      </w:tr>
      <w:tr w14:paraId="7331C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7357B25C">
            <w:pPr>
              <w:keepNext/>
              <w:snapToGrid w:val="0"/>
              <w:rPr>
                <w:rFonts w:hint="eastAsia" w:ascii="宋体" w:hAnsi="宋体" w:eastAsia="宋体" w:cs="宋体"/>
                <w:i w:val="0"/>
                <w:iCs w:val="0"/>
                <w:color w:val="000000"/>
                <w:sz w:val="18"/>
                <w:szCs w:val="18"/>
                <w:u w:val="none"/>
              </w:rPr>
            </w:pPr>
          </w:p>
        </w:tc>
        <w:tc>
          <w:tcPr>
            <w:tcW w:w="360" w:type="pct"/>
            <w:tcBorders>
              <w:top w:val="nil"/>
              <w:left w:val="nil"/>
              <w:bottom w:val="nil"/>
              <w:right w:val="nil"/>
            </w:tcBorders>
            <w:shd w:val="clear" w:color="auto" w:fill="auto"/>
            <w:vAlign w:val="center"/>
          </w:tcPr>
          <w:p w14:paraId="729E5D3E">
            <w:pPr>
              <w:keepNext/>
              <w:snapToGrid w:val="0"/>
              <w:rPr>
                <w:rFonts w:hint="eastAsia" w:ascii="宋体" w:hAnsi="宋体" w:eastAsia="宋体" w:cs="宋体"/>
                <w:i w:val="0"/>
                <w:iCs w:val="0"/>
                <w:color w:val="000000"/>
                <w:sz w:val="18"/>
                <w:szCs w:val="18"/>
                <w:u w:val="none"/>
              </w:rPr>
            </w:pPr>
          </w:p>
        </w:tc>
        <w:tc>
          <w:tcPr>
            <w:tcW w:w="485" w:type="pct"/>
            <w:tcBorders>
              <w:top w:val="nil"/>
              <w:left w:val="nil"/>
              <w:bottom w:val="nil"/>
              <w:right w:val="nil"/>
            </w:tcBorders>
            <w:shd w:val="clear" w:color="auto" w:fill="auto"/>
            <w:vAlign w:val="center"/>
          </w:tcPr>
          <w:p w14:paraId="3C568CC1">
            <w:pPr>
              <w:keepNext/>
              <w:snapToGrid w:val="0"/>
              <w:rPr>
                <w:rFonts w:hint="eastAsia" w:ascii="宋体" w:hAnsi="宋体" w:eastAsia="宋体" w:cs="宋体"/>
                <w:i w:val="0"/>
                <w:iCs w:val="0"/>
                <w:color w:val="000000"/>
                <w:sz w:val="18"/>
                <w:szCs w:val="18"/>
                <w:u w:val="none"/>
              </w:rPr>
            </w:pPr>
          </w:p>
        </w:tc>
        <w:tc>
          <w:tcPr>
            <w:tcW w:w="867" w:type="pct"/>
            <w:tcBorders>
              <w:top w:val="nil"/>
              <w:left w:val="nil"/>
              <w:bottom w:val="nil"/>
              <w:right w:val="nil"/>
            </w:tcBorders>
            <w:shd w:val="clear" w:color="auto" w:fill="auto"/>
            <w:vAlign w:val="center"/>
          </w:tcPr>
          <w:p w14:paraId="6697CB28">
            <w:pPr>
              <w:keepNext/>
              <w:snapToGrid w:val="0"/>
              <w:rPr>
                <w:rFonts w:hint="eastAsia" w:ascii="宋体" w:hAnsi="宋体" w:eastAsia="宋体" w:cs="宋体"/>
                <w:i w:val="0"/>
                <w:iCs w:val="0"/>
                <w:color w:val="000000"/>
                <w:sz w:val="18"/>
                <w:szCs w:val="18"/>
                <w:u w:val="none"/>
              </w:rPr>
            </w:pPr>
          </w:p>
          <w:p w14:paraId="18C041B6">
            <w:pPr>
              <w:keepNext/>
              <w:snapToGrid w:val="0"/>
              <w:rPr>
                <w:rFonts w:hint="eastAsia" w:ascii="宋体" w:hAnsi="宋体" w:eastAsia="宋体" w:cs="宋体"/>
                <w:i w:val="0"/>
                <w:iCs w:val="0"/>
                <w:color w:val="000000"/>
                <w:sz w:val="18"/>
                <w:szCs w:val="18"/>
                <w:u w:val="none"/>
              </w:rPr>
            </w:pPr>
          </w:p>
          <w:p w14:paraId="4D6F54D5">
            <w:pPr>
              <w:keepNext/>
              <w:snapToGrid w:val="0"/>
              <w:rPr>
                <w:rFonts w:hint="eastAsia" w:ascii="宋体" w:hAnsi="宋体" w:eastAsia="宋体" w:cs="宋体"/>
                <w:i w:val="0"/>
                <w:iCs w:val="0"/>
                <w:color w:val="000000"/>
                <w:sz w:val="18"/>
                <w:szCs w:val="18"/>
                <w:u w:val="none"/>
              </w:rPr>
            </w:pPr>
          </w:p>
          <w:p w14:paraId="2E84D4EA">
            <w:pPr>
              <w:keepNext/>
              <w:snapToGrid w:val="0"/>
              <w:rPr>
                <w:rFonts w:hint="eastAsia" w:ascii="宋体" w:hAnsi="宋体" w:eastAsia="宋体" w:cs="宋体"/>
                <w:i w:val="0"/>
                <w:iCs w:val="0"/>
                <w:color w:val="000000"/>
                <w:sz w:val="18"/>
                <w:szCs w:val="18"/>
                <w:u w:val="none"/>
              </w:rPr>
            </w:pPr>
          </w:p>
          <w:p w14:paraId="38F40CB5">
            <w:pPr>
              <w:keepNext/>
              <w:snapToGrid w:val="0"/>
              <w:rPr>
                <w:rFonts w:hint="eastAsia" w:ascii="宋体" w:hAnsi="宋体" w:eastAsia="宋体" w:cs="宋体"/>
                <w:i w:val="0"/>
                <w:iCs w:val="0"/>
                <w:color w:val="000000"/>
                <w:sz w:val="18"/>
                <w:szCs w:val="18"/>
                <w:u w:val="none"/>
              </w:rPr>
            </w:pPr>
          </w:p>
          <w:p w14:paraId="066681C9">
            <w:pPr>
              <w:keepNext/>
              <w:snapToGrid w:val="0"/>
              <w:rPr>
                <w:rFonts w:hint="eastAsia" w:ascii="宋体" w:hAnsi="宋体" w:eastAsia="宋体" w:cs="宋体"/>
                <w:i w:val="0"/>
                <w:iCs w:val="0"/>
                <w:color w:val="000000"/>
                <w:sz w:val="18"/>
                <w:szCs w:val="18"/>
                <w:u w:val="none"/>
              </w:rPr>
            </w:pPr>
          </w:p>
          <w:p w14:paraId="4639E6C7">
            <w:pPr>
              <w:keepNext/>
              <w:snapToGrid w:val="0"/>
              <w:rPr>
                <w:rFonts w:hint="eastAsia" w:ascii="宋体" w:hAnsi="宋体" w:eastAsia="宋体" w:cs="宋体"/>
                <w:i w:val="0"/>
                <w:iCs w:val="0"/>
                <w:color w:val="000000"/>
                <w:sz w:val="18"/>
                <w:szCs w:val="18"/>
                <w:u w:val="none"/>
              </w:rPr>
            </w:pPr>
          </w:p>
        </w:tc>
        <w:tc>
          <w:tcPr>
            <w:tcW w:w="255" w:type="pct"/>
            <w:tcBorders>
              <w:top w:val="nil"/>
              <w:left w:val="nil"/>
              <w:bottom w:val="nil"/>
              <w:right w:val="nil"/>
            </w:tcBorders>
            <w:shd w:val="clear" w:color="auto" w:fill="auto"/>
            <w:vAlign w:val="center"/>
          </w:tcPr>
          <w:p w14:paraId="54A40BB1">
            <w:pPr>
              <w:keepNext/>
              <w:snapToGrid w:val="0"/>
              <w:rPr>
                <w:rFonts w:hint="eastAsia" w:ascii="宋体" w:hAnsi="宋体" w:eastAsia="宋体" w:cs="宋体"/>
                <w:i w:val="0"/>
                <w:iCs w:val="0"/>
                <w:color w:val="000000"/>
                <w:sz w:val="18"/>
                <w:szCs w:val="18"/>
                <w:u w:val="none"/>
              </w:rPr>
            </w:pPr>
          </w:p>
        </w:tc>
        <w:tc>
          <w:tcPr>
            <w:tcW w:w="552" w:type="pct"/>
            <w:tcBorders>
              <w:top w:val="nil"/>
              <w:left w:val="nil"/>
              <w:bottom w:val="nil"/>
              <w:right w:val="nil"/>
            </w:tcBorders>
            <w:shd w:val="clear" w:color="auto" w:fill="auto"/>
            <w:vAlign w:val="center"/>
          </w:tcPr>
          <w:p w14:paraId="36CEC9FD">
            <w:pPr>
              <w:keepNext/>
              <w:snapToGrid w:val="0"/>
              <w:rPr>
                <w:rFonts w:hint="eastAsia" w:ascii="宋体" w:hAnsi="宋体" w:eastAsia="宋体" w:cs="宋体"/>
                <w:i w:val="0"/>
                <w:iCs w:val="0"/>
                <w:color w:val="000000"/>
                <w:sz w:val="18"/>
                <w:szCs w:val="18"/>
                <w:u w:val="none"/>
              </w:rPr>
            </w:pPr>
          </w:p>
        </w:tc>
        <w:tc>
          <w:tcPr>
            <w:tcW w:w="465" w:type="pct"/>
            <w:tcBorders>
              <w:top w:val="nil"/>
              <w:left w:val="nil"/>
              <w:bottom w:val="nil"/>
              <w:right w:val="nil"/>
            </w:tcBorders>
            <w:shd w:val="clear" w:color="auto" w:fill="auto"/>
            <w:vAlign w:val="center"/>
          </w:tcPr>
          <w:p w14:paraId="6A6102DF">
            <w:pPr>
              <w:keepNext/>
              <w:snapToGrid w:val="0"/>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2F00FAD">
            <w:pPr>
              <w:keepNext/>
              <w:snapToGrid w:val="0"/>
              <w:rPr>
                <w:rFonts w:hint="eastAsia" w:ascii="宋体" w:hAnsi="宋体" w:eastAsia="宋体" w:cs="宋体"/>
                <w:i w:val="0"/>
                <w:iCs w:val="0"/>
                <w:color w:val="000000"/>
                <w:sz w:val="18"/>
                <w:szCs w:val="18"/>
                <w:u w:val="none"/>
              </w:rPr>
            </w:pPr>
          </w:p>
        </w:tc>
        <w:tc>
          <w:tcPr>
            <w:tcW w:w="312" w:type="pct"/>
            <w:tcBorders>
              <w:top w:val="nil"/>
              <w:left w:val="nil"/>
              <w:bottom w:val="nil"/>
              <w:right w:val="nil"/>
            </w:tcBorders>
            <w:shd w:val="clear" w:color="auto" w:fill="auto"/>
            <w:vAlign w:val="center"/>
          </w:tcPr>
          <w:p w14:paraId="6A5075C9">
            <w:pPr>
              <w:keepNext/>
              <w:snapToGrid w:val="0"/>
              <w:rPr>
                <w:rFonts w:hint="eastAsia" w:ascii="宋体" w:hAnsi="宋体" w:eastAsia="宋体" w:cs="宋体"/>
                <w:i w:val="0"/>
                <w:iCs w:val="0"/>
                <w:color w:val="000000"/>
                <w:sz w:val="18"/>
                <w:szCs w:val="18"/>
                <w:u w:val="none"/>
              </w:rPr>
            </w:pPr>
          </w:p>
        </w:tc>
        <w:tc>
          <w:tcPr>
            <w:tcW w:w="258" w:type="pct"/>
            <w:tcBorders>
              <w:top w:val="nil"/>
              <w:left w:val="nil"/>
              <w:bottom w:val="nil"/>
              <w:right w:val="nil"/>
            </w:tcBorders>
            <w:shd w:val="clear" w:color="auto" w:fill="auto"/>
            <w:vAlign w:val="center"/>
          </w:tcPr>
          <w:p w14:paraId="01380EE1">
            <w:pPr>
              <w:keepNext/>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14:paraId="6683DB7D">
            <w:pPr>
              <w:keepNext/>
              <w:snapToGrid w:val="0"/>
              <w:rPr>
                <w:rFonts w:hint="eastAsia" w:ascii="宋体" w:hAnsi="宋体" w:eastAsia="宋体" w:cs="宋体"/>
                <w:i w:val="0"/>
                <w:iCs w:val="0"/>
                <w:color w:val="000000"/>
                <w:sz w:val="18"/>
                <w:szCs w:val="18"/>
                <w:u w:val="none"/>
              </w:rPr>
            </w:pPr>
          </w:p>
        </w:tc>
      </w:tr>
      <w:tr w14:paraId="11DE7B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DE0C714">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1FA8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DD22E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6AC3879">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51320023R000009914893-工资性支出</w:t>
            </w:r>
          </w:p>
        </w:tc>
      </w:tr>
      <w:tr w14:paraId="0053B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0CCD0C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5C8A34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583" w:type="pct"/>
            <w:tcBorders>
              <w:top w:val="nil"/>
              <w:left w:val="nil"/>
              <w:bottom w:val="nil"/>
              <w:right w:val="nil"/>
            </w:tcBorders>
            <w:shd w:val="clear" w:color="auto" w:fill="auto"/>
            <w:vAlign w:val="center"/>
          </w:tcPr>
          <w:p w14:paraId="2355DED3">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7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F3729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阿坝县生态环境局</w:t>
            </w:r>
          </w:p>
        </w:tc>
      </w:tr>
      <w:tr w14:paraId="3B5408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53A32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F8F67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D17A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F6C5237">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4312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C7777">
            <w:pPr>
              <w:keepNext/>
              <w:snapToGrid w:val="0"/>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DAF6C">
            <w:pPr>
              <w:keepNext/>
              <w:snapToGrid w:val="0"/>
              <w:rPr>
                <w:rFonts w:hint="eastAsia" w:ascii="宋体" w:hAnsi="宋体" w:eastAsia="宋体" w:cs="宋体"/>
                <w:i w:val="0"/>
                <w:iCs w:val="0"/>
                <w:color w:val="000000"/>
                <w:sz w:val="18"/>
                <w:szCs w:val="18"/>
                <w:u w:val="none"/>
              </w:rPr>
            </w:pP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A846DB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B06958">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始终严格执行相关政策，完成保障工资及时、足额发放的年度目标，预算编制科学合理，没有结余资金。</w:t>
            </w:r>
          </w:p>
        </w:tc>
      </w:tr>
      <w:tr w14:paraId="484602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B76969">
            <w:pPr>
              <w:keepNext/>
              <w:snapToGrid w:val="0"/>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96A4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35696D7">
            <w:pPr>
              <w:keepNext/>
              <w:snapToGrid w:val="0"/>
              <w:rPr>
                <w:rFonts w:hint="eastAsia" w:ascii="宋体" w:hAnsi="宋体" w:eastAsia="宋体" w:cs="宋体"/>
                <w:i w:val="0"/>
                <w:iCs w:val="0"/>
                <w:color w:val="000000"/>
                <w:sz w:val="18"/>
                <w:szCs w:val="18"/>
                <w:u w:val="none"/>
              </w:rPr>
            </w:pPr>
          </w:p>
        </w:tc>
      </w:tr>
      <w:tr w14:paraId="1CBE58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A1B09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3458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288C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48F23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B27F61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50ED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3A5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C290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5E64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E7B7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091AD">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EFC3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BA97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106.94</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D0FD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96.59</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F1724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96.59</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5050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BD90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85D05">
            <w:pPr>
              <w:keepNext/>
              <w:snapToGrid w:val="0"/>
              <w:jc w:val="center"/>
              <w:rPr>
                <w:rFonts w:hint="eastAsia" w:ascii="宋体" w:hAnsi="宋体" w:eastAsia="宋体" w:cs="宋体"/>
                <w:i w:val="0"/>
                <w:iCs w:val="0"/>
                <w:color w:val="000000"/>
                <w:sz w:val="18"/>
                <w:szCs w:val="18"/>
                <w:u w:val="none"/>
              </w:rPr>
            </w:pP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AEA33F">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1.预算执行率已达100%.</w:t>
            </w:r>
          </w:p>
        </w:tc>
      </w:tr>
      <w:tr w14:paraId="3F0AA7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2A432">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1BF7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8F0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106.94</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4A53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96.59</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AD418D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96.59</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C1E0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F1CA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0F9B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EF887E">
            <w:pPr>
              <w:keepNext/>
              <w:snapToGrid w:val="0"/>
              <w:rPr>
                <w:rFonts w:hint="eastAsia" w:ascii="黑体" w:hAnsi="黑体" w:eastAsia="黑体" w:cs="黑体"/>
                <w:i/>
                <w:iCs/>
                <w:color w:val="000000"/>
                <w:sz w:val="18"/>
                <w:szCs w:val="18"/>
                <w:u w:val="none"/>
              </w:rPr>
            </w:pPr>
          </w:p>
        </w:tc>
      </w:tr>
      <w:tr w14:paraId="74322E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BEAA45">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D8D4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EB26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8E795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64819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F43D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FB81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A098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1A2DE">
            <w:pPr>
              <w:keepNext/>
              <w:snapToGrid w:val="0"/>
              <w:rPr>
                <w:rFonts w:hint="eastAsia" w:ascii="黑体" w:hAnsi="黑体" w:eastAsia="黑体" w:cs="黑体"/>
                <w:i/>
                <w:iCs/>
                <w:color w:val="000000"/>
                <w:sz w:val="18"/>
                <w:szCs w:val="18"/>
                <w:u w:val="none"/>
              </w:rPr>
            </w:pPr>
          </w:p>
        </w:tc>
      </w:tr>
      <w:tr w14:paraId="42586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9C2109">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03BF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821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5398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34E79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FA72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4A3D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C508E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B578F">
            <w:pPr>
              <w:keepNext/>
              <w:snapToGrid w:val="0"/>
              <w:rPr>
                <w:rFonts w:hint="eastAsia" w:ascii="黑体" w:hAnsi="黑体" w:eastAsia="黑体" w:cs="黑体"/>
                <w:i/>
                <w:iCs/>
                <w:color w:val="000000"/>
                <w:sz w:val="18"/>
                <w:szCs w:val="18"/>
                <w:u w:val="none"/>
              </w:rPr>
            </w:pPr>
          </w:p>
        </w:tc>
      </w:tr>
      <w:tr w14:paraId="7F844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810AE">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0B329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16DFB">
            <w:pPr>
              <w:keepNext/>
              <w:snapToGrid w:val="0"/>
              <w:jc w:val="center"/>
              <w:rPr>
                <w:rFonts w:hint="eastAsia" w:ascii="微软雅黑" w:hAnsi="微软雅黑" w:eastAsia="微软雅黑" w:cs="微软雅黑"/>
                <w:i/>
                <w:iCs/>
                <w:color w:val="000000"/>
                <w:sz w:val="16"/>
                <w:szCs w:val="16"/>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117F11">
            <w:pPr>
              <w:keepNext/>
              <w:snapToGrid w:val="0"/>
              <w:jc w:val="center"/>
              <w:rPr>
                <w:rFonts w:hint="eastAsia" w:ascii="微软雅黑" w:hAnsi="微软雅黑" w:eastAsia="微软雅黑" w:cs="微软雅黑"/>
                <w:i/>
                <w:iCs/>
                <w:color w:val="000000"/>
                <w:sz w:val="16"/>
                <w:szCs w:val="16"/>
                <w:u w:val="none"/>
              </w:rPr>
            </w:pP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0E6D4B">
            <w:pPr>
              <w:keepNext/>
              <w:snapToGrid w:val="0"/>
              <w:jc w:val="center"/>
              <w:rPr>
                <w:rFonts w:hint="eastAsia" w:ascii="微软雅黑" w:hAnsi="微软雅黑" w:eastAsia="微软雅黑" w:cs="微软雅黑"/>
                <w:i/>
                <w:iCs/>
                <w:color w:val="000000"/>
                <w:sz w:val="16"/>
                <w:szCs w:val="16"/>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6B974">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7EB1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42BD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1720E9">
            <w:pPr>
              <w:keepNext/>
              <w:snapToGrid w:val="0"/>
              <w:rPr>
                <w:rFonts w:hint="eastAsia" w:ascii="黑体" w:hAnsi="黑体" w:eastAsia="黑体" w:cs="黑体"/>
                <w:i/>
                <w:iCs/>
                <w:color w:val="000000"/>
                <w:sz w:val="18"/>
                <w:szCs w:val="18"/>
                <w:u w:val="none"/>
              </w:rPr>
            </w:pPr>
          </w:p>
        </w:tc>
      </w:tr>
      <w:tr w14:paraId="656333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CD9F0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C02E9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44F24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A941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92FA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37D6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8A67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542C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6F08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0133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A0AC9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059A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0EE8D7">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CC3B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3B94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A30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AA04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1A58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5CB5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4F465">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8FA8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B3ABB">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10284">
            <w:pPr>
              <w:keepNext/>
              <w:snapToGrid w:val="0"/>
              <w:jc w:val="center"/>
              <w:rPr>
                <w:rFonts w:hint="eastAsia" w:ascii="微软雅黑" w:hAnsi="微软雅黑" w:eastAsia="微软雅黑" w:cs="微软雅黑"/>
                <w:i/>
                <w:iCs/>
                <w:color w:val="000000"/>
                <w:sz w:val="16"/>
                <w:szCs w:val="16"/>
                <w:u w:val="none"/>
              </w:rPr>
            </w:pPr>
          </w:p>
        </w:tc>
      </w:tr>
      <w:tr w14:paraId="67AB51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D3F089">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A660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8D0C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AC82E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84F9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D75E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8583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435A4">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0992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F36A6">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AAEBED">
            <w:pPr>
              <w:keepNext/>
              <w:snapToGrid w:val="0"/>
              <w:jc w:val="center"/>
              <w:rPr>
                <w:rFonts w:hint="eastAsia" w:ascii="微软雅黑" w:hAnsi="微软雅黑" w:eastAsia="微软雅黑" w:cs="微软雅黑"/>
                <w:i/>
                <w:iCs/>
                <w:color w:val="000000"/>
                <w:sz w:val="16"/>
                <w:szCs w:val="16"/>
                <w:u w:val="none"/>
              </w:rPr>
            </w:pPr>
          </w:p>
        </w:tc>
      </w:tr>
      <w:tr w14:paraId="02376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2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648E620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87C1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89684">
            <w:pPr>
              <w:keepNext/>
              <w:snapToGrid w:val="0"/>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CC901">
            <w:pPr>
              <w:keepNext/>
              <w:snapToGrid w:val="0"/>
              <w:rPr>
                <w:rFonts w:hint="eastAsia" w:ascii="宋体" w:hAnsi="宋体" w:eastAsia="宋体" w:cs="宋体"/>
                <w:i w:val="0"/>
                <w:iCs w:val="0"/>
                <w:color w:val="000000"/>
                <w:sz w:val="18"/>
                <w:szCs w:val="18"/>
                <w:u w:val="none"/>
              </w:rPr>
            </w:pPr>
          </w:p>
        </w:tc>
      </w:tr>
      <w:tr w14:paraId="2D76E8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DE19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AD922A">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始终严格执行相关政策，完成保障工资及时、足额发放的年度目标，预算编制科学合理，没有结余资金。自评结果100分，为优。</w:t>
            </w:r>
          </w:p>
        </w:tc>
      </w:tr>
      <w:tr w14:paraId="298FC7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FADB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6E5116">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EC369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F58F1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434C9F">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85509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1C9F77">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项目负责人：王文</w:t>
            </w:r>
          </w:p>
        </w:tc>
        <w:tc>
          <w:tcPr>
            <w:tcW w:w="267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234EC07">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财务负责人：张世康</w:t>
            </w:r>
          </w:p>
        </w:tc>
      </w:tr>
      <w:tr w14:paraId="30C636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74F33E1E">
            <w:pPr>
              <w:keepNext/>
              <w:snapToGrid w:val="0"/>
              <w:rPr>
                <w:rFonts w:hint="eastAsia" w:ascii="宋体" w:hAnsi="宋体" w:eastAsia="宋体" w:cs="宋体"/>
                <w:i w:val="0"/>
                <w:iCs w:val="0"/>
                <w:color w:val="000000"/>
                <w:sz w:val="18"/>
                <w:szCs w:val="18"/>
                <w:u w:val="none"/>
              </w:rPr>
            </w:pPr>
          </w:p>
        </w:tc>
        <w:tc>
          <w:tcPr>
            <w:tcW w:w="360" w:type="pct"/>
            <w:tcBorders>
              <w:top w:val="nil"/>
              <w:left w:val="nil"/>
              <w:bottom w:val="nil"/>
              <w:right w:val="nil"/>
            </w:tcBorders>
            <w:shd w:val="clear" w:color="auto" w:fill="auto"/>
            <w:vAlign w:val="center"/>
          </w:tcPr>
          <w:p w14:paraId="1514F9EF">
            <w:pPr>
              <w:keepNext/>
              <w:snapToGrid w:val="0"/>
              <w:rPr>
                <w:rFonts w:hint="eastAsia" w:ascii="宋体" w:hAnsi="宋体" w:eastAsia="宋体" w:cs="宋体"/>
                <w:i w:val="0"/>
                <w:iCs w:val="0"/>
                <w:color w:val="000000"/>
                <w:sz w:val="18"/>
                <w:szCs w:val="18"/>
                <w:u w:val="none"/>
              </w:rPr>
            </w:pPr>
          </w:p>
          <w:p w14:paraId="071CDCCE">
            <w:pPr>
              <w:keepNext/>
              <w:snapToGrid w:val="0"/>
              <w:rPr>
                <w:rFonts w:hint="eastAsia" w:ascii="宋体" w:hAnsi="宋体" w:eastAsia="宋体" w:cs="宋体"/>
                <w:i w:val="0"/>
                <w:iCs w:val="0"/>
                <w:color w:val="000000"/>
                <w:sz w:val="18"/>
                <w:szCs w:val="18"/>
                <w:u w:val="none"/>
              </w:rPr>
            </w:pPr>
          </w:p>
          <w:p w14:paraId="06196D12">
            <w:pPr>
              <w:keepNext/>
              <w:snapToGrid w:val="0"/>
              <w:rPr>
                <w:rFonts w:hint="eastAsia" w:ascii="宋体" w:hAnsi="宋体" w:eastAsia="宋体" w:cs="宋体"/>
                <w:i w:val="0"/>
                <w:iCs w:val="0"/>
                <w:color w:val="000000"/>
                <w:sz w:val="18"/>
                <w:szCs w:val="18"/>
                <w:u w:val="none"/>
              </w:rPr>
            </w:pPr>
          </w:p>
          <w:p w14:paraId="44EC2D7E">
            <w:pPr>
              <w:keepNext/>
              <w:snapToGrid w:val="0"/>
              <w:rPr>
                <w:rFonts w:hint="eastAsia" w:ascii="宋体" w:hAnsi="宋体" w:eastAsia="宋体" w:cs="宋体"/>
                <w:i w:val="0"/>
                <w:iCs w:val="0"/>
                <w:color w:val="000000"/>
                <w:sz w:val="18"/>
                <w:szCs w:val="18"/>
                <w:u w:val="none"/>
              </w:rPr>
            </w:pPr>
          </w:p>
          <w:p w14:paraId="719D232B">
            <w:pPr>
              <w:keepNext/>
              <w:snapToGrid w:val="0"/>
              <w:rPr>
                <w:rFonts w:hint="eastAsia" w:ascii="宋体" w:hAnsi="宋体" w:eastAsia="宋体" w:cs="宋体"/>
                <w:i w:val="0"/>
                <w:iCs w:val="0"/>
                <w:color w:val="000000"/>
                <w:sz w:val="18"/>
                <w:szCs w:val="18"/>
                <w:u w:val="none"/>
              </w:rPr>
            </w:pPr>
          </w:p>
          <w:p w14:paraId="2EE2AF72">
            <w:pPr>
              <w:keepNext/>
              <w:snapToGrid w:val="0"/>
              <w:rPr>
                <w:rFonts w:hint="eastAsia" w:ascii="宋体" w:hAnsi="宋体" w:eastAsia="宋体" w:cs="宋体"/>
                <w:i w:val="0"/>
                <w:iCs w:val="0"/>
                <w:color w:val="000000"/>
                <w:sz w:val="18"/>
                <w:szCs w:val="18"/>
                <w:u w:val="none"/>
              </w:rPr>
            </w:pPr>
          </w:p>
          <w:p w14:paraId="7D7CE6E6">
            <w:pPr>
              <w:keepNext/>
              <w:snapToGrid w:val="0"/>
              <w:rPr>
                <w:rFonts w:hint="eastAsia" w:ascii="宋体" w:hAnsi="宋体" w:eastAsia="宋体" w:cs="宋体"/>
                <w:i w:val="0"/>
                <w:iCs w:val="0"/>
                <w:color w:val="000000"/>
                <w:sz w:val="18"/>
                <w:szCs w:val="18"/>
                <w:u w:val="none"/>
              </w:rPr>
            </w:pPr>
          </w:p>
          <w:p w14:paraId="082025F4">
            <w:pPr>
              <w:keepNext/>
              <w:snapToGrid w:val="0"/>
              <w:rPr>
                <w:rFonts w:hint="eastAsia" w:ascii="宋体" w:hAnsi="宋体" w:eastAsia="宋体" w:cs="宋体"/>
                <w:i w:val="0"/>
                <w:iCs w:val="0"/>
                <w:color w:val="000000"/>
                <w:sz w:val="18"/>
                <w:szCs w:val="18"/>
                <w:u w:val="none"/>
              </w:rPr>
            </w:pPr>
          </w:p>
        </w:tc>
        <w:tc>
          <w:tcPr>
            <w:tcW w:w="485" w:type="pct"/>
            <w:tcBorders>
              <w:top w:val="nil"/>
              <w:left w:val="nil"/>
              <w:bottom w:val="nil"/>
              <w:right w:val="nil"/>
            </w:tcBorders>
            <w:shd w:val="clear" w:color="auto" w:fill="auto"/>
            <w:vAlign w:val="center"/>
          </w:tcPr>
          <w:p w14:paraId="6F5B7126">
            <w:pPr>
              <w:keepNext/>
              <w:snapToGrid w:val="0"/>
              <w:rPr>
                <w:rFonts w:hint="eastAsia" w:ascii="宋体" w:hAnsi="宋体" w:eastAsia="宋体" w:cs="宋体"/>
                <w:i w:val="0"/>
                <w:iCs w:val="0"/>
                <w:color w:val="000000"/>
                <w:sz w:val="18"/>
                <w:szCs w:val="18"/>
                <w:u w:val="none"/>
              </w:rPr>
            </w:pPr>
          </w:p>
        </w:tc>
        <w:tc>
          <w:tcPr>
            <w:tcW w:w="867" w:type="pct"/>
            <w:tcBorders>
              <w:top w:val="nil"/>
              <w:left w:val="nil"/>
              <w:bottom w:val="nil"/>
              <w:right w:val="nil"/>
            </w:tcBorders>
            <w:shd w:val="clear" w:color="auto" w:fill="auto"/>
            <w:vAlign w:val="center"/>
          </w:tcPr>
          <w:p w14:paraId="7ADE5878">
            <w:pPr>
              <w:keepNext/>
              <w:snapToGrid w:val="0"/>
              <w:rPr>
                <w:rFonts w:hint="eastAsia" w:ascii="宋体" w:hAnsi="宋体" w:eastAsia="宋体" w:cs="宋体"/>
                <w:i w:val="0"/>
                <w:iCs w:val="0"/>
                <w:color w:val="000000"/>
                <w:sz w:val="18"/>
                <w:szCs w:val="18"/>
                <w:u w:val="none"/>
              </w:rPr>
            </w:pPr>
          </w:p>
        </w:tc>
        <w:tc>
          <w:tcPr>
            <w:tcW w:w="255" w:type="pct"/>
            <w:tcBorders>
              <w:top w:val="nil"/>
              <w:left w:val="nil"/>
              <w:bottom w:val="nil"/>
              <w:right w:val="nil"/>
            </w:tcBorders>
            <w:shd w:val="clear" w:color="auto" w:fill="auto"/>
            <w:vAlign w:val="center"/>
          </w:tcPr>
          <w:p w14:paraId="418B4128">
            <w:pPr>
              <w:keepNext/>
              <w:snapToGrid w:val="0"/>
              <w:rPr>
                <w:rFonts w:hint="eastAsia" w:ascii="宋体" w:hAnsi="宋体" w:eastAsia="宋体" w:cs="宋体"/>
                <w:i w:val="0"/>
                <w:iCs w:val="0"/>
                <w:color w:val="000000"/>
                <w:sz w:val="18"/>
                <w:szCs w:val="18"/>
                <w:u w:val="none"/>
              </w:rPr>
            </w:pPr>
          </w:p>
        </w:tc>
        <w:tc>
          <w:tcPr>
            <w:tcW w:w="552" w:type="pct"/>
            <w:tcBorders>
              <w:top w:val="nil"/>
              <w:left w:val="nil"/>
              <w:bottom w:val="nil"/>
              <w:right w:val="nil"/>
            </w:tcBorders>
            <w:shd w:val="clear" w:color="auto" w:fill="auto"/>
            <w:vAlign w:val="center"/>
          </w:tcPr>
          <w:p w14:paraId="3AA36174">
            <w:pPr>
              <w:keepNext/>
              <w:snapToGrid w:val="0"/>
              <w:rPr>
                <w:rFonts w:hint="eastAsia" w:ascii="宋体" w:hAnsi="宋体" w:eastAsia="宋体" w:cs="宋体"/>
                <w:i w:val="0"/>
                <w:iCs w:val="0"/>
                <w:color w:val="000000"/>
                <w:sz w:val="18"/>
                <w:szCs w:val="18"/>
                <w:u w:val="none"/>
              </w:rPr>
            </w:pPr>
          </w:p>
        </w:tc>
        <w:tc>
          <w:tcPr>
            <w:tcW w:w="465" w:type="pct"/>
            <w:tcBorders>
              <w:top w:val="nil"/>
              <w:left w:val="nil"/>
              <w:bottom w:val="nil"/>
              <w:right w:val="nil"/>
            </w:tcBorders>
            <w:shd w:val="clear" w:color="auto" w:fill="auto"/>
            <w:vAlign w:val="center"/>
          </w:tcPr>
          <w:p w14:paraId="5FD77F3F">
            <w:pPr>
              <w:keepNext/>
              <w:snapToGrid w:val="0"/>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26CFE2E8">
            <w:pPr>
              <w:keepNext/>
              <w:snapToGrid w:val="0"/>
              <w:rPr>
                <w:rFonts w:hint="eastAsia" w:ascii="宋体" w:hAnsi="宋体" w:eastAsia="宋体" w:cs="宋体"/>
                <w:i w:val="0"/>
                <w:iCs w:val="0"/>
                <w:color w:val="000000"/>
                <w:sz w:val="18"/>
                <w:szCs w:val="18"/>
                <w:u w:val="none"/>
              </w:rPr>
            </w:pPr>
          </w:p>
        </w:tc>
        <w:tc>
          <w:tcPr>
            <w:tcW w:w="312" w:type="pct"/>
            <w:tcBorders>
              <w:top w:val="nil"/>
              <w:left w:val="nil"/>
              <w:bottom w:val="nil"/>
              <w:right w:val="nil"/>
            </w:tcBorders>
            <w:shd w:val="clear" w:color="auto" w:fill="auto"/>
            <w:vAlign w:val="center"/>
          </w:tcPr>
          <w:p w14:paraId="049EDBDB">
            <w:pPr>
              <w:keepNext/>
              <w:snapToGrid w:val="0"/>
              <w:rPr>
                <w:rFonts w:hint="eastAsia" w:ascii="宋体" w:hAnsi="宋体" w:eastAsia="宋体" w:cs="宋体"/>
                <w:i w:val="0"/>
                <w:iCs w:val="0"/>
                <w:color w:val="000000"/>
                <w:sz w:val="18"/>
                <w:szCs w:val="18"/>
                <w:u w:val="none"/>
              </w:rPr>
            </w:pPr>
          </w:p>
        </w:tc>
        <w:tc>
          <w:tcPr>
            <w:tcW w:w="258" w:type="pct"/>
            <w:tcBorders>
              <w:top w:val="nil"/>
              <w:left w:val="nil"/>
              <w:bottom w:val="nil"/>
              <w:right w:val="nil"/>
            </w:tcBorders>
            <w:shd w:val="clear" w:color="auto" w:fill="auto"/>
            <w:vAlign w:val="center"/>
          </w:tcPr>
          <w:p w14:paraId="36B0192C">
            <w:pPr>
              <w:keepNext/>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14:paraId="66E915A1">
            <w:pPr>
              <w:keepNext/>
              <w:snapToGrid w:val="0"/>
              <w:rPr>
                <w:rFonts w:hint="eastAsia" w:ascii="宋体" w:hAnsi="宋体" w:eastAsia="宋体" w:cs="宋体"/>
                <w:i w:val="0"/>
                <w:iCs w:val="0"/>
                <w:color w:val="000000"/>
                <w:sz w:val="18"/>
                <w:szCs w:val="18"/>
                <w:u w:val="none"/>
              </w:rPr>
            </w:pPr>
          </w:p>
        </w:tc>
      </w:tr>
      <w:tr w14:paraId="716C14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F002C76">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CA08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FF067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77EE3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51320023R000009915221-单位缴费</w:t>
            </w:r>
          </w:p>
        </w:tc>
      </w:tr>
      <w:tr w14:paraId="3A5B1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24EE7D">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EEEC40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583" w:type="pct"/>
            <w:tcBorders>
              <w:top w:val="nil"/>
              <w:left w:val="nil"/>
              <w:bottom w:val="nil"/>
              <w:right w:val="nil"/>
            </w:tcBorders>
            <w:shd w:val="clear" w:color="auto" w:fill="auto"/>
            <w:vAlign w:val="center"/>
          </w:tcPr>
          <w:p w14:paraId="41D78975">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7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B9D337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阿坝县生态环境局</w:t>
            </w:r>
          </w:p>
        </w:tc>
      </w:tr>
      <w:tr w14:paraId="34CF5C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3EE91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717F0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27442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09B0F5A">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E0A707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8FA0B">
            <w:pPr>
              <w:keepNext/>
              <w:snapToGrid w:val="0"/>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550AE5">
            <w:pPr>
              <w:keepNext/>
              <w:snapToGrid w:val="0"/>
              <w:rPr>
                <w:rFonts w:hint="eastAsia" w:ascii="宋体" w:hAnsi="宋体" w:eastAsia="宋体" w:cs="宋体"/>
                <w:i w:val="0"/>
                <w:iCs w:val="0"/>
                <w:color w:val="000000"/>
                <w:sz w:val="18"/>
                <w:szCs w:val="18"/>
                <w:u w:val="none"/>
              </w:rPr>
            </w:pP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D36B80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23C9724">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始终严格执行相关政策，已完成保障发放社保及时、足额缴纳的年度目标，预算编制科学合理，不存在结余资金。</w:t>
            </w:r>
          </w:p>
        </w:tc>
      </w:tr>
      <w:tr w14:paraId="3B78A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FAA585">
            <w:pPr>
              <w:keepNext/>
              <w:snapToGrid w:val="0"/>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8ED4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2A43DBA">
            <w:pPr>
              <w:keepNext/>
              <w:snapToGrid w:val="0"/>
              <w:rPr>
                <w:rFonts w:hint="eastAsia" w:ascii="宋体" w:hAnsi="宋体" w:eastAsia="宋体" w:cs="宋体"/>
                <w:i w:val="0"/>
                <w:iCs w:val="0"/>
                <w:color w:val="000000"/>
                <w:sz w:val="18"/>
                <w:szCs w:val="18"/>
                <w:u w:val="none"/>
              </w:rPr>
            </w:pPr>
          </w:p>
        </w:tc>
      </w:tr>
      <w:tr w14:paraId="1A0AF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8B49A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D292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F87B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8627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9A028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272B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C9492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4633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1346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B91DA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80F7BC">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0EDE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35BF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64.80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A35F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60.49</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69394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60.49</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1F9C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02133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39395">
            <w:pPr>
              <w:keepNext/>
              <w:snapToGrid w:val="0"/>
              <w:jc w:val="center"/>
              <w:rPr>
                <w:rFonts w:hint="eastAsia" w:ascii="宋体" w:hAnsi="宋体" w:eastAsia="宋体" w:cs="宋体"/>
                <w:i w:val="0"/>
                <w:iCs w:val="0"/>
                <w:color w:val="000000"/>
                <w:sz w:val="18"/>
                <w:szCs w:val="18"/>
                <w:u w:val="none"/>
              </w:rPr>
            </w:pP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373B8F">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1.预算执行率已达100%.</w:t>
            </w:r>
          </w:p>
        </w:tc>
      </w:tr>
      <w:tr w14:paraId="7C4A29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1A179">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0238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B2BF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64.80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E1AD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60.49</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0319A8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60.49</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A598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DD81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413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01BA6">
            <w:pPr>
              <w:keepNext/>
              <w:snapToGrid w:val="0"/>
              <w:rPr>
                <w:rFonts w:hint="eastAsia" w:ascii="黑体" w:hAnsi="黑体" w:eastAsia="黑体" w:cs="黑体"/>
                <w:i/>
                <w:iCs/>
                <w:color w:val="000000"/>
                <w:sz w:val="18"/>
                <w:szCs w:val="18"/>
                <w:u w:val="none"/>
              </w:rPr>
            </w:pPr>
          </w:p>
        </w:tc>
      </w:tr>
      <w:tr w14:paraId="7084E3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E29623">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C2F7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29FE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4A029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DFF28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6559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9F7B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42E6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37E83">
            <w:pPr>
              <w:keepNext/>
              <w:snapToGrid w:val="0"/>
              <w:rPr>
                <w:rFonts w:hint="eastAsia" w:ascii="黑体" w:hAnsi="黑体" w:eastAsia="黑体" w:cs="黑体"/>
                <w:i/>
                <w:iCs/>
                <w:color w:val="000000"/>
                <w:sz w:val="18"/>
                <w:szCs w:val="18"/>
                <w:u w:val="none"/>
              </w:rPr>
            </w:pPr>
          </w:p>
        </w:tc>
      </w:tr>
      <w:tr w14:paraId="6B64B2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143F4">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C1FD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A78D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37C3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28B67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86C5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E3C5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02B4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D064D">
            <w:pPr>
              <w:keepNext/>
              <w:snapToGrid w:val="0"/>
              <w:rPr>
                <w:rFonts w:hint="eastAsia" w:ascii="黑体" w:hAnsi="黑体" w:eastAsia="黑体" w:cs="黑体"/>
                <w:i/>
                <w:iCs/>
                <w:color w:val="000000"/>
                <w:sz w:val="18"/>
                <w:szCs w:val="18"/>
                <w:u w:val="none"/>
              </w:rPr>
            </w:pPr>
          </w:p>
        </w:tc>
      </w:tr>
      <w:tr w14:paraId="0F687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13BD7E">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907A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BC20A">
            <w:pPr>
              <w:keepNext/>
              <w:snapToGrid w:val="0"/>
              <w:jc w:val="center"/>
              <w:rPr>
                <w:rFonts w:hint="eastAsia" w:ascii="微软雅黑" w:hAnsi="微软雅黑" w:eastAsia="微软雅黑" w:cs="微软雅黑"/>
                <w:i/>
                <w:iCs/>
                <w:color w:val="000000"/>
                <w:sz w:val="16"/>
                <w:szCs w:val="16"/>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CC4B2">
            <w:pPr>
              <w:keepNext/>
              <w:snapToGrid w:val="0"/>
              <w:jc w:val="center"/>
              <w:rPr>
                <w:rFonts w:hint="eastAsia" w:ascii="微软雅黑" w:hAnsi="微软雅黑" w:eastAsia="微软雅黑" w:cs="微软雅黑"/>
                <w:i/>
                <w:iCs/>
                <w:color w:val="000000"/>
                <w:sz w:val="16"/>
                <w:szCs w:val="16"/>
                <w:u w:val="none"/>
              </w:rPr>
            </w:pP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43A8B77">
            <w:pPr>
              <w:keepNext/>
              <w:snapToGrid w:val="0"/>
              <w:jc w:val="center"/>
              <w:rPr>
                <w:rFonts w:hint="eastAsia" w:ascii="微软雅黑" w:hAnsi="微软雅黑" w:eastAsia="微软雅黑" w:cs="微软雅黑"/>
                <w:i/>
                <w:iCs/>
                <w:color w:val="000000"/>
                <w:sz w:val="16"/>
                <w:szCs w:val="16"/>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4DB50">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BC8D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D053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A6F7CA">
            <w:pPr>
              <w:keepNext/>
              <w:snapToGrid w:val="0"/>
              <w:rPr>
                <w:rFonts w:hint="eastAsia" w:ascii="黑体" w:hAnsi="黑体" w:eastAsia="黑体" w:cs="黑体"/>
                <w:i/>
                <w:iCs/>
                <w:color w:val="000000"/>
                <w:sz w:val="18"/>
                <w:szCs w:val="18"/>
                <w:u w:val="none"/>
              </w:rPr>
            </w:pPr>
          </w:p>
        </w:tc>
      </w:tr>
      <w:tr w14:paraId="348942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7E1BE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E2ED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7747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D97A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DE28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F421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F07E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7D94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A527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8B85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898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451E8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C8067">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0014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4D35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2F4E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FE82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C3C1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ACF1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E0290">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AC7B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4305B">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56A53">
            <w:pPr>
              <w:keepNext/>
              <w:snapToGrid w:val="0"/>
              <w:jc w:val="center"/>
              <w:rPr>
                <w:rFonts w:hint="eastAsia" w:ascii="微软雅黑" w:hAnsi="微软雅黑" w:eastAsia="微软雅黑" w:cs="微软雅黑"/>
                <w:i/>
                <w:iCs/>
                <w:color w:val="000000"/>
                <w:sz w:val="16"/>
                <w:szCs w:val="16"/>
                <w:u w:val="none"/>
              </w:rPr>
            </w:pPr>
          </w:p>
        </w:tc>
      </w:tr>
      <w:tr w14:paraId="22512F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2D3E45">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6DF5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4882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FEC5B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9DAF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D7D6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9F59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02748">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B3B3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26496">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59D2A">
            <w:pPr>
              <w:keepNext/>
              <w:snapToGrid w:val="0"/>
              <w:jc w:val="center"/>
              <w:rPr>
                <w:rFonts w:hint="eastAsia" w:ascii="微软雅黑" w:hAnsi="微软雅黑" w:eastAsia="微软雅黑" w:cs="微软雅黑"/>
                <w:i/>
                <w:iCs/>
                <w:color w:val="000000"/>
                <w:sz w:val="16"/>
                <w:szCs w:val="16"/>
                <w:u w:val="none"/>
              </w:rPr>
            </w:pPr>
          </w:p>
        </w:tc>
      </w:tr>
      <w:tr w14:paraId="1D0137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2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9E6567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A483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D2241B">
            <w:pPr>
              <w:keepNext/>
              <w:snapToGrid w:val="0"/>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B9FF7">
            <w:pPr>
              <w:keepNext/>
              <w:snapToGrid w:val="0"/>
              <w:rPr>
                <w:rFonts w:hint="eastAsia" w:ascii="宋体" w:hAnsi="宋体" w:eastAsia="宋体" w:cs="宋体"/>
                <w:i w:val="0"/>
                <w:iCs w:val="0"/>
                <w:color w:val="000000"/>
                <w:sz w:val="18"/>
                <w:szCs w:val="18"/>
                <w:u w:val="none"/>
              </w:rPr>
            </w:pPr>
          </w:p>
        </w:tc>
      </w:tr>
      <w:tr w14:paraId="23F8FD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F6DA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0554CF4">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始终严格执行相关政策，已完成保障发放社保及时、足额缴纳的年度目标，预算编制科学合理，不存在结余资金。自评结果100分，为有</w:t>
            </w:r>
          </w:p>
        </w:tc>
      </w:tr>
      <w:tr w14:paraId="5E2EF9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4900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A3C238">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FDBAD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7B5E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169323">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CC6F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43772C">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项目负责人：王文</w:t>
            </w:r>
          </w:p>
        </w:tc>
        <w:tc>
          <w:tcPr>
            <w:tcW w:w="267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A93BBF2">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财务负责人：张世康</w:t>
            </w:r>
          </w:p>
        </w:tc>
      </w:tr>
      <w:tr w14:paraId="125D2E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56D9F06C">
            <w:pPr>
              <w:keepNext/>
              <w:snapToGrid w:val="0"/>
              <w:rPr>
                <w:rFonts w:hint="eastAsia" w:ascii="宋体" w:hAnsi="宋体" w:eastAsia="宋体" w:cs="宋体"/>
                <w:i w:val="0"/>
                <w:iCs w:val="0"/>
                <w:color w:val="000000"/>
                <w:sz w:val="18"/>
                <w:szCs w:val="18"/>
                <w:u w:val="none"/>
              </w:rPr>
            </w:pPr>
          </w:p>
        </w:tc>
        <w:tc>
          <w:tcPr>
            <w:tcW w:w="360" w:type="pct"/>
            <w:tcBorders>
              <w:top w:val="nil"/>
              <w:left w:val="nil"/>
              <w:bottom w:val="nil"/>
              <w:right w:val="nil"/>
            </w:tcBorders>
            <w:shd w:val="clear" w:color="auto" w:fill="auto"/>
            <w:vAlign w:val="center"/>
          </w:tcPr>
          <w:p w14:paraId="32E8781C">
            <w:pPr>
              <w:keepNext/>
              <w:snapToGrid w:val="0"/>
              <w:rPr>
                <w:rFonts w:hint="eastAsia" w:ascii="宋体" w:hAnsi="宋体" w:eastAsia="宋体" w:cs="宋体"/>
                <w:i w:val="0"/>
                <w:iCs w:val="0"/>
                <w:color w:val="000000"/>
                <w:sz w:val="18"/>
                <w:szCs w:val="18"/>
                <w:u w:val="none"/>
              </w:rPr>
            </w:pPr>
          </w:p>
          <w:p w14:paraId="187DF6D4">
            <w:pPr>
              <w:keepNext/>
              <w:snapToGrid w:val="0"/>
              <w:rPr>
                <w:rFonts w:hint="eastAsia" w:ascii="宋体" w:hAnsi="宋体" w:eastAsia="宋体" w:cs="宋体"/>
                <w:i w:val="0"/>
                <w:iCs w:val="0"/>
                <w:color w:val="000000"/>
                <w:sz w:val="18"/>
                <w:szCs w:val="18"/>
                <w:u w:val="none"/>
              </w:rPr>
            </w:pPr>
          </w:p>
          <w:p w14:paraId="5F5319AA">
            <w:pPr>
              <w:keepNext/>
              <w:snapToGrid w:val="0"/>
              <w:rPr>
                <w:rFonts w:hint="eastAsia" w:ascii="宋体" w:hAnsi="宋体" w:eastAsia="宋体" w:cs="宋体"/>
                <w:i w:val="0"/>
                <w:iCs w:val="0"/>
                <w:color w:val="000000"/>
                <w:sz w:val="18"/>
                <w:szCs w:val="18"/>
                <w:u w:val="none"/>
              </w:rPr>
            </w:pPr>
          </w:p>
          <w:p w14:paraId="68F0F86F">
            <w:pPr>
              <w:keepNext/>
              <w:snapToGrid w:val="0"/>
              <w:rPr>
                <w:rFonts w:hint="eastAsia" w:ascii="宋体" w:hAnsi="宋体" w:eastAsia="宋体" w:cs="宋体"/>
                <w:i w:val="0"/>
                <w:iCs w:val="0"/>
                <w:color w:val="000000"/>
                <w:sz w:val="18"/>
                <w:szCs w:val="18"/>
                <w:u w:val="none"/>
              </w:rPr>
            </w:pPr>
          </w:p>
          <w:p w14:paraId="378B8D05">
            <w:pPr>
              <w:keepNext/>
              <w:snapToGrid w:val="0"/>
              <w:rPr>
                <w:rFonts w:hint="eastAsia" w:ascii="宋体" w:hAnsi="宋体" w:eastAsia="宋体" w:cs="宋体"/>
                <w:i w:val="0"/>
                <w:iCs w:val="0"/>
                <w:color w:val="000000"/>
                <w:sz w:val="18"/>
                <w:szCs w:val="18"/>
                <w:u w:val="none"/>
              </w:rPr>
            </w:pPr>
          </w:p>
          <w:p w14:paraId="205FF915">
            <w:pPr>
              <w:keepNext/>
              <w:snapToGrid w:val="0"/>
              <w:rPr>
                <w:rFonts w:hint="eastAsia" w:ascii="宋体" w:hAnsi="宋体" w:eastAsia="宋体" w:cs="宋体"/>
                <w:i w:val="0"/>
                <w:iCs w:val="0"/>
                <w:color w:val="000000"/>
                <w:sz w:val="18"/>
                <w:szCs w:val="18"/>
                <w:u w:val="none"/>
              </w:rPr>
            </w:pPr>
          </w:p>
          <w:p w14:paraId="2B9706BD">
            <w:pPr>
              <w:keepNext/>
              <w:snapToGrid w:val="0"/>
              <w:rPr>
                <w:rFonts w:hint="eastAsia" w:ascii="宋体" w:hAnsi="宋体" w:eastAsia="宋体" w:cs="宋体"/>
                <w:i w:val="0"/>
                <w:iCs w:val="0"/>
                <w:color w:val="000000"/>
                <w:sz w:val="18"/>
                <w:szCs w:val="18"/>
                <w:u w:val="none"/>
              </w:rPr>
            </w:pPr>
          </w:p>
        </w:tc>
        <w:tc>
          <w:tcPr>
            <w:tcW w:w="485" w:type="pct"/>
            <w:tcBorders>
              <w:top w:val="nil"/>
              <w:left w:val="nil"/>
              <w:bottom w:val="nil"/>
              <w:right w:val="nil"/>
            </w:tcBorders>
            <w:shd w:val="clear" w:color="auto" w:fill="auto"/>
            <w:vAlign w:val="center"/>
          </w:tcPr>
          <w:p w14:paraId="0C3563A1">
            <w:pPr>
              <w:keepNext/>
              <w:snapToGrid w:val="0"/>
              <w:rPr>
                <w:rFonts w:hint="eastAsia" w:ascii="宋体" w:hAnsi="宋体" w:eastAsia="宋体" w:cs="宋体"/>
                <w:i w:val="0"/>
                <w:iCs w:val="0"/>
                <w:color w:val="000000"/>
                <w:sz w:val="18"/>
                <w:szCs w:val="18"/>
                <w:u w:val="none"/>
              </w:rPr>
            </w:pPr>
          </w:p>
        </w:tc>
        <w:tc>
          <w:tcPr>
            <w:tcW w:w="867" w:type="pct"/>
            <w:tcBorders>
              <w:top w:val="nil"/>
              <w:left w:val="nil"/>
              <w:bottom w:val="nil"/>
              <w:right w:val="nil"/>
            </w:tcBorders>
            <w:shd w:val="clear" w:color="auto" w:fill="auto"/>
            <w:vAlign w:val="center"/>
          </w:tcPr>
          <w:p w14:paraId="604715AF">
            <w:pPr>
              <w:keepNext/>
              <w:snapToGrid w:val="0"/>
              <w:rPr>
                <w:rFonts w:hint="eastAsia" w:ascii="宋体" w:hAnsi="宋体" w:eastAsia="宋体" w:cs="宋体"/>
                <w:i w:val="0"/>
                <w:iCs w:val="0"/>
                <w:color w:val="000000"/>
                <w:sz w:val="18"/>
                <w:szCs w:val="18"/>
                <w:u w:val="none"/>
              </w:rPr>
            </w:pPr>
          </w:p>
        </w:tc>
        <w:tc>
          <w:tcPr>
            <w:tcW w:w="255" w:type="pct"/>
            <w:tcBorders>
              <w:top w:val="nil"/>
              <w:left w:val="nil"/>
              <w:bottom w:val="nil"/>
              <w:right w:val="nil"/>
            </w:tcBorders>
            <w:shd w:val="clear" w:color="auto" w:fill="auto"/>
            <w:vAlign w:val="center"/>
          </w:tcPr>
          <w:p w14:paraId="5979E6F9">
            <w:pPr>
              <w:keepNext/>
              <w:snapToGrid w:val="0"/>
              <w:rPr>
                <w:rFonts w:hint="eastAsia" w:ascii="宋体" w:hAnsi="宋体" w:eastAsia="宋体" w:cs="宋体"/>
                <w:i w:val="0"/>
                <w:iCs w:val="0"/>
                <w:color w:val="000000"/>
                <w:sz w:val="18"/>
                <w:szCs w:val="18"/>
                <w:u w:val="none"/>
              </w:rPr>
            </w:pPr>
          </w:p>
        </w:tc>
        <w:tc>
          <w:tcPr>
            <w:tcW w:w="552" w:type="pct"/>
            <w:tcBorders>
              <w:top w:val="nil"/>
              <w:left w:val="nil"/>
              <w:bottom w:val="nil"/>
              <w:right w:val="nil"/>
            </w:tcBorders>
            <w:shd w:val="clear" w:color="auto" w:fill="auto"/>
            <w:vAlign w:val="center"/>
          </w:tcPr>
          <w:p w14:paraId="071B9E04">
            <w:pPr>
              <w:keepNext/>
              <w:snapToGrid w:val="0"/>
              <w:rPr>
                <w:rFonts w:hint="eastAsia" w:ascii="宋体" w:hAnsi="宋体" w:eastAsia="宋体" w:cs="宋体"/>
                <w:i w:val="0"/>
                <w:iCs w:val="0"/>
                <w:color w:val="000000"/>
                <w:sz w:val="18"/>
                <w:szCs w:val="18"/>
                <w:u w:val="none"/>
              </w:rPr>
            </w:pPr>
          </w:p>
        </w:tc>
        <w:tc>
          <w:tcPr>
            <w:tcW w:w="465" w:type="pct"/>
            <w:tcBorders>
              <w:top w:val="nil"/>
              <w:left w:val="nil"/>
              <w:bottom w:val="nil"/>
              <w:right w:val="nil"/>
            </w:tcBorders>
            <w:shd w:val="clear" w:color="auto" w:fill="auto"/>
            <w:vAlign w:val="center"/>
          </w:tcPr>
          <w:p w14:paraId="7663F81C">
            <w:pPr>
              <w:keepNext/>
              <w:snapToGrid w:val="0"/>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7E5272BC">
            <w:pPr>
              <w:keepNext/>
              <w:snapToGrid w:val="0"/>
              <w:rPr>
                <w:rFonts w:hint="eastAsia" w:ascii="宋体" w:hAnsi="宋体" w:eastAsia="宋体" w:cs="宋体"/>
                <w:i w:val="0"/>
                <w:iCs w:val="0"/>
                <w:color w:val="000000"/>
                <w:sz w:val="18"/>
                <w:szCs w:val="18"/>
                <w:u w:val="none"/>
              </w:rPr>
            </w:pPr>
          </w:p>
        </w:tc>
        <w:tc>
          <w:tcPr>
            <w:tcW w:w="312" w:type="pct"/>
            <w:tcBorders>
              <w:top w:val="nil"/>
              <w:left w:val="nil"/>
              <w:bottom w:val="nil"/>
              <w:right w:val="nil"/>
            </w:tcBorders>
            <w:shd w:val="clear" w:color="auto" w:fill="auto"/>
            <w:vAlign w:val="center"/>
          </w:tcPr>
          <w:p w14:paraId="13740FD9">
            <w:pPr>
              <w:keepNext/>
              <w:snapToGrid w:val="0"/>
              <w:rPr>
                <w:rFonts w:hint="eastAsia" w:ascii="宋体" w:hAnsi="宋体" w:eastAsia="宋体" w:cs="宋体"/>
                <w:i w:val="0"/>
                <w:iCs w:val="0"/>
                <w:color w:val="000000"/>
                <w:sz w:val="18"/>
                <w:szCs w:val="18"/>
                <w:u w:val="none"/>
              </w:rPr>
            </w:pPr>
          </w:p>
        </w:tc>
        <w:tc>
          <w:tcPr>
            <w:tcW w:w="258" w:type="pct"/>
            <w:tcBorders>
              <w:top w:val="nil"/>
              <w:left w:val="nil"/>
              <w:bottom w:val="nil"/>
              <w:right w:val="nil"/>
            </w:tcBorders>
            <w:shd w:val="clear" w:color="auto" w:fill="auto"/>
            <w:vAlign w:val="center"/>
          </w:tcPr>
          <w:p w14:paraId="17123417">
            <w:pPr>
              <w:keepNext/>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14:paraId="346663C0">
            <w:pPr>
              <w:keepNext/>
              <w:snapToGrid w:val="0"/>
              <w:rPr>
                <w:rFonts w:hint="eastAsia" w:ascii="宋体" w:hAnsi="宋体" w:eastAsia="宋体" w:cs="宋体"/>
                <w:i w:val="0"/>
                <w:iCs w:val="0"/>
                <w:color w:val="000000"/>
                <w:sz w:val="18"/>
                <w:szCs w:val="18"/>
                <w:u w:val="none"/>
              </w:rPr>
            </w:pPr>
          </w:p>
        </w:tc>
      </w:tr>
      <w:tr w14:paraId="4F03CC4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69877C0">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2018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9BB50A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783B72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51320023R000009915925-聘用人员经费</w:t>
            </w:r>
          </w:p>
        </w:tc>
      </w:tr>
      <w:tr w14:paraId="6891EF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288439">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A24BED">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583" w:type="pct"/>
            <w:tcBorders>
              <w:top w:val="nil"/>
              <w:left w:val="nil"/>
              <w:bottom w:val="nil"/>
              <w:right w:val="nil"/>
            </w:tcBorders>
            <w:shd w:val="clear" w:color="auto" w:fill="auto"/>
            <w:vAlign w:val="center"/>
          </w:tcPr>
          <w:p w14:paraId="5FB53C62">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7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74893A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阿坝县生态环境局</w:t>
            </w:r>
          </w:p>
        </w:tc>
      </w:tr>
      <w:tr w14:paraId="555D72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600F82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7AFA4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C34D89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9247029">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545DF1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8F236">
            <w:pPr>
              <w:keepNext/>
              <w:snapToGrid w:val="0"/>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AD96E5">
            <w:pPr>
              <w:keepNext/>
              <w:snapToGrid w:val="0"/>
              <w:rPr>
                <w:rFonts w:hint="eastAsia" w:ascii="宋体" w:hAnsi="宋体" w:eastAsia="宋体" w:cs="宋体"/>
                <w:i w:val="0"/>
                <w:iCs w:val="0"/>
                <w:color w:val="000000"/>
                <w:sz w:val="18"/>
                <w:szCs w:val="18"/>
                <w:u w:val="none"/>
              </w:rPr>
            </w:pP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2C06D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320949C">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始终严格执行相关政策，已完成保障聘用人员工资及时、足额发放的年度目标，预算编制科学合理，没有结余资金。</w:t>
            </w:r>
          </w:p>
        </w:tc>
      </w:tr>
      <w:tr w14:paraId="441681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0E24BD">
            <w:pPr>
              <w:keepNext/>
              <w:snapToGrid w:val="0"/>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60D2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54BEC97">
            <w:pPr>
              <w:keepNext/>
              <w:snapToGrid w:val="0"/>
              <w:rPr>
                <w:rFonts w:hint="eastAsia" w:ascii="宋体" w:hAnsi="宋体" w:eastAsia="宋体" w:cs="宋体"/>
                <w:i w:val="0"/>
                <w:iCs w:val="0"/>
                <w:color w:val="000000"/>
                <w:sz w:val="18"/>
                <w:szCs w:val="18"/>
                <w:u w:val="none"/>
              </w:rPr>
            </w:pPr>
          </w:p>
        </w:tc>
      </w:tr>
      <w:tr w14:paraId="33B313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5F68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AEB3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7CF6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770D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B3CE00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01EE4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839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98EA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4863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95303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65A489">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0F67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1A0E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1B60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9207E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4784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F409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72349">
            <w:pPr>
              <w:keepNext/>
              <w:snapToGrid w:val="0"/>
              <w:jc w:val="center"/>
              <w:rPr>
                <w:rFonts w:hint="eastAsia" w:ascii="宋体" w:hAnsi="宋体" w:eastAsia="宋体" w:cs="宋体"/>
                <w:i w:val="0"/>
                <w:iCs w:val="0"/>
                <w:color w:val="000000"/>
                <w:sz w:val="18"/>
                <w:szCs w:val="18"/>
                <w:u w:val="none"/>
              </w:rPr>
            </w:pP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8C5C133">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1.预算执行率已达100%.</w:t>
            </w:r>
          </w:p>
        </w:tc>
      </w:tr>
      <w:tr w14:paraId="1466B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07C98">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91C8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C191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3B23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6E39F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1.20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14B0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9D91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6692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AC1029">
            <w:pPr>
              <w:keepNext/>
              <w:snapToGrid w:val="0"/>
              <w:rPr>
                <w:rFonts w:hint="eastAsia" w:ascii="黑体" w:hAnsi="黑体" w:eastAsia="黑体" w:cs="黑体"/>
                <w:i/>
                <w:iCs/>
                <w:color w:val="000000"/>
                <w:sz w:val="18"/>
                <w:szCs w:val="18"/>
                <w:u w:val="none"/>
              </w:rPr>
            </w:pPr>
          </w:p>
        </w:tc>
      </w:tr>
      <w:tr w14:paraId="6CDEA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154513">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C06A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2CB4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0BDDA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43724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72FA0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5A59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A441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E03AA">
            <w:pPr>
              <w:keepNext/>
              <w:snapToGrid w:val="0"/>
              <w:rPr>
                <w:rFonts w:hint="eastAsia" w:ascii="黑体" w:hAnsi="黑体" w:eastAsia="黑体" w:cs="黑体"/>
                <w:i/>
                <w:iCs/>
                <w:color w:val="000000"/>
                <w:sz w:val="18"/>
                <w:szCs w:val="18"/>
                <w:u w:val="none"/>
              </w:rPr>
            </w:pPr>
          </w:p>
        </w:tc>
      </w:tr>
      <w:tr w14:paraId="3EDEC9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A4475B">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25BB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E1AC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5E64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AD499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4A2EE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D6DD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1A2E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AFE0C">
            <w:pPr>
              <w:keepNext/>
              <w:snapToGrid w:val="0"/>
              <w:rPr>
                <w:rFonts w:hint="eastAsia" w:ascii="黑体" w:hAnsi="黑体" w:eastAsia="黑体" w:cs="黑体"/>
                <w:i/>
                <w:iCs/>
                <w:color w:val="000000"/>
                <w:sz w:val="18"/>
                <w:szCs w:val="18"/>
                <w:u w:val="none"/>
              </w:rPr>
            </w:pPr>
          </w:p>
        </w:tc>
      </w:tr>
      <w:tr w14:paraId="129053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C06BD">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F733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501A1">
            <w:pPr>
              <w:keepNext/>
              <w:snapToGrid w:val="0"/>
              <w:jc w:val="center"/>
              <w:rPr>
                <w:rFonts w:hint="eastAsia" w:ascii="微软雅黑" w:hAnsi="微软雅黑" w:eastAsia="微软雅黑" w:cs="微软雅黑"/>
                <w:i/>
                <w:iCs/>
                <w:color w:val="000000"/>
                <w:sz w:val="16"/>
                <w:szCs w:val="16"/>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B7114">
            <w:pPr>
              <w:keepNext/>
              <w:snapToGrid w:val="0"/>
              <w:jc w:val="center"/>
              <w:rPr>
                <w:rFonts w:hint="eastAsia" w:ascii="微软雅黑" w:hAnsi="微软雅黑" w:eastAsia="微软雅黑" w:cs="微软雅黑"/>
                <w:i/>
                <w:iCs/>
                <w:color w:val="000000"/>
                <w:sz w:val="16"/>
                <w:szCs w:val="16"/>
                <w:u w:val="none"/>
              </w:rPr>
            </w:pP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5D39A3">
            <w:pPr>
              <w:keepNext/>
              <w:snapToGrid w:val="0"/>
              <w:jc w:val="center"/>
              <w:rPr>
                <w:rFonts w:hint="eastAsia" w:ascii="微软雅黑" w:hAnsi="微软雅黑" w:eastAsia="微软雅黑" w:cs="微软雅黑"/>
                <w:i/>
                <w:iCs/>
                <w:color w:val="000000"/>
                <w:sz w:val="16"/>
                <w:szCs w:val="16"/>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8AA32">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F38A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13FE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C516A">
            <w:pPr>
              <w:keepNext/>
              <w:snapToGrid w:val="0"/>
              <w:rPr>
                <w:rFonts w:hint="eastAsia" w:ascii="黑体" w:hAnsi="黑体" w:eastAsia="黑体" w:cs="黑体"/>
                <w:i/>
                <w:iCs/>
                <w:color w:val="000000"/>
                <w:sz w:val="18"/>
                <w:szCs w:val="18"/>
                <w:u w:val="none"/>
              </w:rPr>
            </w:pPr>
          </w:p>
        </w:tc>
      </w:tr>
      <w:tr w14:paraId="26FE0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C3ABF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B774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38D4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2270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5C3A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01AC0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CB13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0AE1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7B719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C7029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ED64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3E1913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17369E">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1855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CBA8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F4BD7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3539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AB22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084A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3529F7">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AC39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D01A69">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315F1">
            <w:pPr>
              <w:keepNext/>
              <w:snapToGrid w:val="0"/>
              <w:jc w:val="center"/>
              <w:rPr>
                <w:rFonts w:hint="eastAsia" w:ascii="微软雅黑" w:hAnsi="微软雅黑" w:eastAsia="微软雅黑" w:cs="微软雅黑"/>
                <w:i/>
                <w:iCs/>
                <w:color w:val="000000"/>
                <w:sz w:val="16"/>
                <w:szCs w:val="16"/>
                <w:u w:val="none"/>
              </w:rPr>
            </w:pPr>
          </w:p>
        </w:tc>
      </w:tr>
      <w:tr w14:paraId="06362D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47CCC8">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FA89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6633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3D95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0FDD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47F90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37B3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9A6DF">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B883D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22C6F4">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CC8B3">
            <w:pPr>
              <w:keepNext/>
              <w:snapToGrid w:val="0"/>
              <w:jc w:val="center"/>
              <w:rPr>
                <w:rFonts w:hint="eastAsia" w:ascii="微软雅黑" w:hAnsi="微软雅黑" w:eastAsia="微软雅黑" w:cs="微软雅黑"/>
                <w:i/>
                <w:iCs/>
                <w:color w:val="000000"/>
                <w:sz w:val="16"/>
                <w:szCs w:val="16"/>
                <w:u w:val="none"/>
              </w:rPr>
            </w:pPr>
          </w:p>
        </w:tc>
      </w:tr>
      <w:tr w14:paraId="2610E5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2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170D3C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9EBC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1446E">
            <w:pPr>
              <w:keepNext/>
              <w:snapToGrid w:val="0"/>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7EEE0">
            <w:pPr>
              <w:keepNext/>
              <w:snapToGrid w:val="0"/>
              <w:rPr>
                <w:rFonts w:hint="eastAsia" w:ascii="宋体" w:hAnsi="宋体" w:eastAsia="宋体" w:cs="宋体"/>
                <w:i w:val="0"/>
                <w:iCs w:val="0"/>
                <w:color w:val="000000"/>
                <w:sz w:val="18"/>
                <w:szCs w:val="18"/>
                <w:u w:val="none"/>
              </w:rPr>
            </w:pPr>
          </w:p>
        </w:tc>
      </w:tr>
      <w:tr w14:paraId="26ABDF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D8A7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90DFA91">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始终严格执行相关政策，已完成保障聘用人员工资及时、足额发放的年度目标，预算编制科学合理，没有结余资金。自评结果为100，为优。</w:t>
            </w:r>
          </w:p>
        </w:tc>
      </w:tr>
      <w:tr w14:paraId="7D8F65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9C4E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317C3E">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49C9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7F58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F82A0F">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5C9F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3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006485">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项目负责人：王文</w:t>
            </w:r>
          </w:p>
        </w:tc>
        <w:tc>
          <w:tcPr>
            <w:tcW w:w="267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A430BB6">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财务负责人：张世康</w:t>
            </w:r>
          </w:p>
        </w:tc>
      </w:tr>
      <w:tr w14:paraId="42322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76F37A98">
            <w:pPr>
              <w:keepNext/>
              <w:snapToGrid w:val="0"/>
              <w:rPr>
                <w:rFonts w:hint="eastAsia" w:ascii="宋体" w:hAnsi="宋体" w:eastAsia="宋体" w:cs="宋体"/>
                <w:i w:val="0"/>
                <w:iCs w:val="0"/>
                <w:color w:val="000000"/>
                <w:sz w:val="18"/>
                <w:szCs w:val="18"/>
                <w:u w:val="none"/>
              </w:rPr>
            </w:pPr>
          </w:p>
        </w:tc>
        <w:tc>
          <w:tcPr>
            <w:tcW w:w="360" w:type="pct"/>
            <w:tcBorders>
              <w:top w:val="nil"/>
              <w:left w:val="nil"/>
              <w:bottom w:val="nil"/>
              <w:right w:val="nil"/>
            </w:tcBorders>
            <w:shd w:val="clear" w:color="auto" w:fill="auto"/>
            <w:vAlign w:val="center"/>
          </w:tcPr>
          <w:p w14:paraId="014F716D">
            <w:pPr>
              <w:keepNext/>
              <w:snapToGrid w:val="0"/>
              <w:rPr>
                <w:rFonts w:hint="eastAsia" w:ascii="宋体" w:hAnsi="宋体" w:eastAsia="宋体" w:cs="宋体"/>
                <w:i w:val="0"/>
                <w:iCs w:val="0"/>
                <w:color w:val="000000"/>
                <w:sz w:val="18"/>
                <w:szCs w:val="18"/>
                <w:u w:val="none"/>
              </w:rPr>
            </w:pPr>
          </w:p>
        </w:tc>
        <w:tc>
          <w:tcPr>
            <w:tcW w:w="485" w:type="pct"/>
            <w:tcBorders>
              <w:top w:val="nil"/>
              <w:left w:val="nil"/>
              <w:bottom w:val="nil"/>
              <w:right w:val="nil"/>
            </w:tcBorders>
            <w:shd w:val="clear" w:color="auto" w:fill="auto"/>
            <w:vAlign w:val="center"/>
          </w:tcPr>
          <w:p w14:paraId="41225B5F">
            <w:pPr>
              <w:keepNext/>
              <w:snapToGrid w:val="0"/>
              <w:rPr>
                <w:rFonts w:hint="eastAsia" w:ascii="宋体" w:hAnsi="宋体" w:eastAsia="宋体" w:cs="宋体"/>
                <w:i w:val="0"/>
                <w:iCs w:val="0"/>
                <w:color w:val="000000"/>
                <w:sz w:val="18"/>
                <w:szCs w:val="18"/>
                <w:u w:val="none"/>
              </w:rPr>
            </w:pPr>
          </w:p>
          <w:p w14:paraId="7A5D9ACB">
            <w:pPr>
              <w:keepNext/>
              <w:snapToGrid w:val="0"/>
              <w:rPr>
                <w:rFonts w:hint="eastAsia" w:ascii="宋体" w:hAnsi="宋体" w:eastAsia="宋体" w:cs="宋体"/>
                <w:i w:val="0"/>
                <w:iCs w:val="0"/>
                <w:color w:val="000000"/>
                <w:sz w:val="18"/>
                <w:szCs w:val="18"/>
                <w:u w:val="none"/>
              </w:rPr>
            </w:pPr>
          </w:p>
          <w:p w14:paraId="0DDE79C5">
            <w:pPr>
              <w:keepNext/>
              <w:snapToGrid w:val="0"/>
              <w:rPr>
                <w:rFonts w:hint="eastAsia" w:ascii="宋体" w:hAnsi="宋体" w:eastAsia="宋体" w:cs="宋体"/>
                <w:i w:val="0"/>
                <w:iCs w:val="0"/>
                <w:color w:val="000000"/>
                <w:sz w:val="18"/>
                <w:szCs w:val="18"/>
                <w:u w:val="none"/>
              </w:rPr>
            </w:pPr>
          </w:p>
          <w:p w14:paraId="41FF02E0">
            <w:pPr>
              <w:keepNext/>
              <w:snapToGrid w:val="0"/>
              <w:rPr>
                <w:rFonts w:hint="eastAsia" w:ascii="宋体" w:hAnsi="宋体" w:eastAsia="宋体" w:cs="宋体"/>
                <w:i w:val="0"/>
                <w:iCs w:val="0"/>
                <w:color w:val="000000"/>
                <w:sz w:val="18"/>
                <w:szCs w:val="18"/>
                <w:u w:val="none"/>
              </w:rPr>
            </w:pPr>
          </w:p>
          <w:p w14:paraId="3A273585">
            <w:pPr>
              <w:keepNext/>
              <w:snapToGrid w:val="0"/>
              <w:rPr>
                <w:rFonts w:hint="eastAsia" w:ascii="宋体" w:hAnsi="宋体" w:eastAsia="宋体" w:cs="宋体"/>
                <w:i w:val="0"/>
                <w:iCs w:val="0"/>
                <w:color w:val="000000"/>
                <w:sz w:val="18"/>
                <w:szCs w:val="18"/>
                <w:u w:val="none"/>
              </w:rPr>
            </w:pPr>
          </w:p>
          <w:p w14:paraId="7A0562E3">
            <w:pPr>
              <w:keepNext/>
              <w:snapToGrid w:val="0"/>
              <w:rPr>
                <w:rFonts w:hint="eastAsia" w:ascii="宋体" w:hAnsi="宋体" w:eastAsia="宋体" w:cs="宋体"/>
                <w:i w:val="0"/>
                <w:iCs w:val="0"/>
                <w:color w:val="000000"/>
                <w:sz w:val="18"/>
                <w:szCs w:val="18"/>
                <w:u w:val="none"/>
              </w:rPr>
            </w:pPr>
          </w:p>
          <w:p w14:paraId="7CE63CB4">
            <w:pPr>
              <w:keepNext/>
              <w:snapToGrid w:val="0"/>
              <w:rPr>
                <w:rFonts w:hint="eastAsia" w:ascii="宋体" w:hAnsi="宋体" w:eastAsia="宋体" w:cs="宋体"/>
                <w:i w:val="0"/>
                <w:iCs w:val="0"/>
                <w:color w:val="000000"/>
                <w:sz w:val="18"/>
                <w:szCs w:val="18"/>
                <w:u w:val="none"/>
              </w:rPr>
            </w:pPr>
          </w:p>
        </w:tc>
        <w:tc>
          <w:tcPr>
            <w:tcW w:w="867" w:type="pct"/>
            <w:tcBorders>
              <w:top w:val="nil"/>
              <w:left w:val="nil"/>
              <w:bottom w:val="nil"/>
              <w:right w:val="nil"/>
            </w:tcBorders>
            <w:shd w:val="clear" w:color="auto" w:fill="auto"/>
            <w:vAlign w:val="center"/>
          </w:tcPr>
          <w:p w14:paraId="4C8B1857">
            <w:pPr>
              <w:keepNext/>
              <w:snapToGrid w:val="0"/>
              <w:rPr>
                <w:rFonts w:hint="eastAsia" w:ascii="宋体" w:hAnsi="宋体" w:eastAsia="宋体" w:cs="宋体"/>
                <w:i w:val="0"/>
                <w:iCs w:val="0"/>
                <w:color w:val="000000"/>
                <w:sz w:val="18"/>
                <w:szCs w:val="18"/>
                <w:u w:val="none"/>
              </w:rPr>
            </w:pPr>
          </w:p>
        </w:tc>
        <w:tc>
          <w:tcPr>
            <w:tcW w:w="255" w:type="pct"/>
            <w:tcBorders>
              <w:top w:val="nil"/>
              <w:left w:val="nil"/>
              <w:bottom w:val="nil"/>
              <w:right w:val="nil"/>
            </w:tcBorders>
            <w:shd w:val="clear" w:color="auto" w:fill="auto"/>
            <w:vAlign w:val="center"/>
          </w:tcPr>
          <w:p w14:paraId="3BF019E9">
            <w:pPr>
              <w:keepNext/>
              <w:snapToGrid w:val="0"/>
              <w:rPr>
                <w:rFonts w:hint="eastAsia" w:ascii="宋体" w:hAnsi="宋体" w:eastAsia="宋体" w:cs="宋体"/>
                <w:i w:val="0"/>
                <w:iCs w:val="0"/>
                <w:color w:val="000000"/>
                <w:sz w:val="18"/>
                <w:szCs w:val="18"/>
                <w:u w:val="none"/>
              </w:rPr>
            </w:pPr>
          </w:p>
        </w:tc>
        <w:tc>
          <w:tcPr>
            <w:tcW w:w="552" w:type="pct"/>
            <w:tcBorders>
              <w:top w:val="nil"/>
              <w:left w:val="nil"/>
              <w:bottom w:val="nil"/>
              <w:right w:val="nil"/>
            </w:tcBorders>
            <w:shd w:val="clear" w:color="auto" w:fill="auto"/>
            <w:vAlign w:val="center"/>
          </w:tcPr>
          <w:p w14:paraId="30121132">
            <w:pPr>
              <w:keepNext/>
              <w:snapToGrid w:val="0"/>
              <w:rPr>
                <w:rFonts w:hint="eastAsia" w:ascii="宋体" w:hAnsi="宋体" w:eastAsia="宋体" w:cs="宋体"/>
                <w:i w:val="0"/>
                <w:iCs w:val="0"/>
                <w:color w:val="000000"/>
                <w:sz w:val="18"/>
                <w:szCs w:val="18"/>
                <w:u w:val="none"/>
              </w:rPr>
            </w:pPr>
          </w:p>
        </w:tc>
        <w:tc>
          <w:tcPr>
            <w:tcW w:w="465" w:type="pct"/>
            <w:tcBorders>
              <w:top w:val="nil"/>
              <w:left w:val="nil"/>
              <w:bottom w:val="nil"/>
              <w:right w:val="nil"/>
            </w:tcBorders>
            <w:shd w:val="clear" w:color="auto" w:fill="auto"/>
            <w:vAlign w:val="center"/>
          </w:tcPr>
          <w:p w14:paraId="7A059663">
            <w:pPr>
              <w:keepNext/>
              <w:snapToGrid w:val="0"/>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6F6B619D">
            <w:pPr>
              <w:keepNext/>
              <w:snapToGrid w:val="0"/>
              <w:rPr>
                <w:rFonts w:hint="eastAsia" w:ascii="宋体" w:hAnsi="宋体" w:eastAsia="宋体" w:cs="宋体"/>
                <w:i w:val="0"/>
                <w:iCs w:val="0"/>
                <w:color w:val="000000"/>
                <w:sz w:val="18"/>
                <w:szCs w:val="18"/>
                <w:u w:val="none"/>
              </w:rPr>
            </w:pPr>
          </w:p>
        </w:tc>
        <w:tc>
          <w:tcPr>
            <w:tcW w:w="312" w:type="pct"/>
            <w:tcBorders>
              <w:top w:val="nil"/>
              <w:left w:val="nil"/>
              <w:bottom w:val="nil"/>
              <w:right w:val="nil"/>
            </w:tcBorders>
            <w:shd w:val="clear" w:color="auto" w:fill="auto"/>
            <w:vAlign w:val="center"/>
          </w:tcPr>
          <w:p w14:paraId="2267C05D">
            <w:pPr>
              <w:keepNext/>
              <w:snapToGrid w:val="0"/>
              <w:rPr>
                <w:rFonts w:hint="eastAsia" w:ascii="宋体" w:hAnsi="宋体" w:eastAsia="宋体" w:cs="宋体"/>
                <w:i w:val="0"/>
                <w:iCs w:val="0"/>
                <w:color w:val="000000"/>
                <w:sz w:val="18"/>
                <w:szCs w:val="18"/>
                <w:u w:val="none"/>
              </w:rPr>
            </w:pPr>
          </w:p>
        </w:tc>
        <w:tc>
          <w:tcPr>
            <w:tcW w:w="258" w:type="pct"/>
            <w:tcBorders>
              <w:top w:val="nil"/>
              <w:left w:val="nil"/>
              <w:bottom w:val="nil"/>
              <w:right w:val="nil"/>
            </w:tcBorders>
            <w:shd w:val="clear" w:color="auto" w:fill="auto"/>
            <w:vAlign w:val="center"/>
          </w:tcPr>
          <w:p w14:paraId="74D37194">
            <w:pPr>
              <w:keepNext/>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14:paraId="09A79F6D">
            <w:pPr>
              <w:keepNext/>
              <w:snapToGrid w:val="0"/>
              <w:rPr>
                <w:rFonts w:hint="eastAsia" w:ascii="宋体" w:hAnsi="宋体" w:eastAsia="宋体" w:cs="宋体"/>
                <w:i w:val="0"/>
                <w:iCs w:val="0"/>
                <w:color w:val="000000"/>
                <w:sz w:val="18"/>
                <w:szCs w:val="18"/>
                <w:u w:val="none"/>
              </w:rPr>
            </w:pPr>
          </w:p>
        </w:tc>
      </w:tr>
      <w:tr w14:paraId="11BA1D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18EBC9F">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51A6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6DD0F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19B759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51320023R000009916588-其他支出</w:t>
            </w:r>
          </w:p>
        </w:tc>
      </w:tr>
      <w:tr w14:paraId="5F996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6CC81B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FE6CFE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583" w:type="pct"/>
            <w:tcBorders>
              <w:top w:val="nil"/>
              <w:left w:val="nil"/>
              <w:bottom w:val="nil"/>
              <w:right w:val="nil"/>
            </w:tcBorders>
            <w:shd w:val="clear" w:color="auto" w:fill="auto"/>
            <w:vAlign w:val="center"/>
          </w:tcPr>
          <w:p w14:paraId="4750C1E4">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7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E426A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阿坝县生态环境局</w:t>
            </w:r>
          </w:p>
        </w:tc>
      </w:tr>
      <w:tr w14:paraId="016DE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4E45E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A70371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AC9D9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7A5D80C">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7299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25E4A8">
            <w:pPr>
              <w:keepNext/>
              <w:snapToGrid w:val="0"/>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7F436">
            <w:pPr>
              <w:keepNext/>
              <w:snapToGrid w:val="0"/>
              <w:rPr>
                <w:rFonts w:hint="eastAsia" w:ascii="宋体" w:hAnsi="宋体" w:eastAsia="宋体" w:cs="宋体"/>
                <w:i w:val="0"/>
                <w:iCs w:val="0"/>
                <w:color w:val="000000"/>
                <w:sz w:val="18"/>
                <w:szCs w:val="18"/>
                <w:u w:val="none"/>
              </w:rPr>
            </w:pP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95389A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36EB8D">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始终严格执行相关政策，已完成保障相关资金支出的年度目标。</w:t>
            </w:r>
          </w:p>
        </w:tc>
      </w:tr>
      <w:tr w14:paraId="44B9E4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F1266">
            <w:pPr>
              <w:keepNext/>
              <w:snapToGrid w:val="0"/>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3D11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AB3BDFB">
            <w:pPr>
              <w:keepNext/>
              <w:snapToGrid w:val="0"/>
              <w:rPr>
                <w:rFonts w:hint="eastAsia" w:ascii="宋体" w:hAnsi="宋体" w:eastAsia="宋体" w:cs="宋体"/>
                <w:i w:val="0"/>
                <w:iCs w:val="0"/>
                <w:color w:val="000000"/>
                <w:sz w:val="18"/>
                <w:szCs w:val="18"/>
                <w:u w:val="none"/>
              </w:rPr>
            </w:pPr>
          </w:p>
        </w:tc>
      </w:tr>
      <w:tr w14:paraId="7D75F5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71E7C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779B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A8F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E292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4774B0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6A8B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5FEC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2142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CC14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D2F4D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6638BF">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A8A3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961B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2.22</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A951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9EF09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F2B1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3416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3939E">
            <w:pPr>
              <w:keepNext/>
              <w:snapToGrid w:val="0"/>
              <w:jc w:val="center"/>
              <w:rPr>
                <w:rFonts w:hint="eastAsia" w:ascii="宋体" w:hAnsi="宋体" w:eastAsia="宋体" w:cs="宋体"/>
                <w:i w:val="0"/>
                <w:iCs w:val="0"/>
                <w:color w:val="000000"/>
                <w:sz w:val="18"/>
                <w:szCs w:val="18"/>
                <w:u w:val="none"/>
              </w:rPr>
            </w:pP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D1BFDA">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 xml:space="preserve">1.预算执行率已达100%; </w:t>
            </w:r>
          </w:p>
        </w:tc>
      </w:tr>
      <w:tr w14:paraId="789EC4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3C1013">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1F18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51BB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2.22</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A77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8E2BA3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6B87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8163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D3718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2BCE7">
            <w:pPr>
              <w:keepNext/>
              <w:snapToGrid w:val="0"/>
              <w:rPr>
                <w:rFonts w:hint="eastAsia" w:ascii="黑体" w:hAnsi="黑体" w:eastAsia="黑体" w:cs="黑体"/>
                <w:i/>
                <w:iCs/>
                <w:color w:val="000000"/>
                <w:sz w:val="18"/>
                <w:szCs w:val="18"/>
                <w:u w:val="none"/>
              </w:rPr>
            </w:pPr>
          </w:p>
        </w:tc>
      </w:tr>
      <w:tr w14:paraId="73E59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39831F">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EA19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72F3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F566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66890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8A51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6E8A2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9F54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E40B9C">
            <w:pPr>
              <w:keepNext/>
              <w:snapToGrid w:val="0"/>
              <w:rPr>
                <w:rFonts w:hint="eastAsia" w:ascii="黑体" w:hAnsi="黑体" w:eastAsia="黑体" w:cs="黑体"/>
                <w:i/>
                <w:iCs/>
                <w:color w:val="000000"/>
                <w:sz w:val="18"/>
                <w:szCs w:val="18"/>
                <w:u w:val="none"/>
              </w:rPr>
            </w:pPr>
          </w:p>
        </w:tc>
      </w:tr>
      <w:tr w14:paraId="5E02D4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83CC379">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D5A4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FF15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2D03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24EF4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5494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5230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8ED6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52FFC1">
            <w:pPr>
              <w:keepNext/>
              <w:snapToGrid w:val="0"/>
              <w:rPr>
                <w:rFonts w:hint="eastAsia" w:ascii="黑体" w:hAnsi="黑体" w:eastAsia="黑体" w:cs="黑体"/>
                <w:i/>
                <w:iCs/>
                <w:color w:val="000000"/>
                <w:sz w:val="18"/>
                <w:szCs w:val="18"/>
                <w:u w:val="none"/>
              </w:rPr>
            </w:pPr>
          </w:p>
        </w:tc>
      </w:tr>
      <w:tr w14:paraId="5DAE4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A6AD22">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DD68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98776">
            <w:pPr>
              <w:keepNext/>
              <w:snapToGrid w:val="0"/>
              <w:jc w:val="center"/>
              <w:rPr>
                <w:rFonts w:hint="eastAsia" w:ascii="微软雅黑" w:hAnsi="微软雅黑" w:eastAsia="微软雅黑" w:cs="微软雅黑"/>
                <w:i/>
                <w:iCs/>
                <w:color w:val="000000"/>
                <w:sz w:val="16"/>
                <w:szCs w:val="16"/>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16D06">
            <w:pPr>
              <w:keepNext/>
              <w:snapToGrid w:val="0"/>
              <w:jc w:val="center"/>
              <w:rPr>
                <w:rFonts w:hint="eastAsia" w:ascii="微软雅黑" w:hAnsi="微软雅黑" w:eastAsia="微软雅黑" w:cs="微软雅黑"/>
                <w:i/>
                <w:iCs/>
                <w:color w:val="000000"/>
                <w:sz w:val="16"/>
                <w:szCs w:val="16"/>
                <w:u w:val="none"/>
              </w:rPr>
            </w:pP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B09B48">
            <w:pPr>
              <w:keepNext/>
              <w:snapToGrid w:val="0"/>
              <w:jc w:val="center"/>
              <w:rPr>
                <w:rFonts w:hint="eastAsia" w:ascii="微软雅黑" w:hAnsi="微软雅黑" w:eastAsia="微软雅黑" w:cs="微软雅黑"/>
                <w:i/>
                <w:iCs/>
                <w:color w:val="000000"/>
                <w:sz w:val="16"/>
                <w:szCs w:val="16"/>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ECD01">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917BB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4BBB3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99B9E0">
            <w:pPr>
              <w:keepNext/>
              <w:snapToGrid w:val="0"/>
              <w:rPr>
                <w:rFonts w:hint="eastAsia" w:ascii="黑体" w:hAnsi="黑体" w:eastAsia="黑体" w:cs="黑体"/>
                <w:i/>
                <w:iCs/>
                <w:color w:val="000000"/>
                <w:sz w:val="18"/>
                <w:szCs w:val="18"/>
                <w:u w:val="none"/>
              </w:rPr>
            </w:pPr>
          </w:p>
        </w:tc>
      </w:tr>
      <w:tr w14:paraId="046CD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6372A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D0CE0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A8DA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A578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84CA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DCC9B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BFC37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AFE3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1B7E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3A72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9B85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22E6F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A97E38">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F6CC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4AF6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6E5B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A35D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F738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2961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8D2513">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46BB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6FAC7">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074A1">
            <w:pPr>
              <w:keepNext/>
              <w:snapToGrid w:val="0"/>
              <w:jc w:val="center"/>
              <w:rPr>
                <w:rFonts w:hint="eastAsia" w:ascii="微软雅黑" w:hAnsi="微软雅黑" w:eastAsia="微软雅黑" w:cs="微软雅黑"/>
                <w:i/>
                <w:iCs/>
                <w:color w:val="000000"/>
                <w:sz w:val="16"/>
                <w:szCs w:val="16"/>
                <w:u w:val="none"/>
              </w:rPr>
            </w:pPr>
          </w:p>
        </w:tc>
      </w:tr>
      <w:tr w14:paraId="377524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0C458">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E03C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7F7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A80A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1A3B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8247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4FC2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CA3F6">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49AC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3E553">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E227D5">
            <w:pPr>
              <w:keepNext/>
              <w:snapToGrid w:val="0"/>
              <w:jc w:val="center"/>
              <w:rPr>
                <w:rFonts w:hint="eastAsia" w:ascii="微软雅黑" w:hAnsi="微软雅黑" w:eastAsia="微软雅黑" w:cs="微软雅黑"/>
                <w:i/>
                <w:iCs/>
                <w:color w:val="000000"/>
                <w:sz w:val="16"/>
                <w:szCs w:val="16"/>
                <w:u w:val="none"/>
              </w:rPr>
            </w:pPr>
          </w:p>
        </w:tc>
      </w:tr>
      <w:tr w14:paraId="2F95B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2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A7266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4997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89A81">
            <w:pPr>
              <w:keepNext/>
              <w:snapToGrid w:val="0"/>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34A65">
            <w:pPr>
              <w:keepNext/>
              <w:snapToGrid w:val="0"/>
              <w:rPr>
                <w:rFonts w:hint="eastAsia" w:ascii="宋体" w:hAnsi="宋体" w:eastAsia="宋体" w:cs="宋体"/>
                <w:i w:val="0"/>
                <w:iCs w:val="0"/>
                <w:color w:val="000000"/>
                <w:sz w:val="18"/>
                <w:szCs w:val="18"/>
                <w:u w:val="none"/>
              </w:rPr>
            </w:pPr>
          </w:p>
        </w:tc>
      </w:tr>
      <w:tr w14:paraId="61A784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38C1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4C0E593">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始终严格执行相关政策，已完成保障相关资金支出的年度目标，自评得分100分。</w:t>
            </w:r>
          </w:p>
        </w:tc>
      </w:tr>
      <w:tr w14:paraId="5D47A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0D66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9397FF4">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EC931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2216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5A459EC">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58C4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E8F025A">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项目负责人：王文</w:t>
            </w:r>
          </w:p>
        </w:tc>
        <w:tc>
          <w:tcPr>
            <w:tcW w:w="267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3F83882">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财务负责人：张世康</w:t>
            </w:r>
          </w:p>
        </w:tc>
      </w:tr>
      <w:tr w14:paraId="63F5C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4A58800C">
            <w:pPr>
              <w:keepNext/>
              <w:snapToGrid w:val="0"/>
              <w:rPr>
                <w:rFonts w:hint="eastAsia" w:ascii="宋体" w:hAnsi="宋体" w:eastAsia="宋体" w:cs="宋体"/>
                <w:i w:val="0"/>
                <w:iCs w:val="0"/>
                <w:color w:val="000000"/>
                <w:sz w:val="18"/>
                <w:szCs w:val="18"/>
                <w:u w:val="none"/>
              </w:rPr>
            </w:pPr>
          </w:p>
        </w:tc>
        <w:tc>
          <w:tcPr>
            <w:tcW w:w="360" w:type="pct"/>
            <w:tcBorders>
              <w:top w:val="nil"/>
              <w:left w:val="nil"/>
              <w:bottom w:val="nil"/>
              <w:right w:val="nil"/>
            </w:tcBorders>
            <w:shd w:val="clear" w:color="auto" w:fill="auto"/>
            <w:vAlign w:val="center"/>
          </w:tcPr>
          <w:p w14:paraId="2FA53137">
            <w:pPr>
              <w:keepNext/>
              <w:snapToGrid w:val="0"/>
              <w:rPr>
                <w:rFonts w:hint="eastAsia" w:ascii="宋体" w:hAnsi="宋体" w:eastAsia="宋体" w:cs="宋体"/>
                <w:i w:val="0"/>
                <w:iCs w:val="0"/>
                <w:color w:val="000000"/>
                <w:sz w:val="18"/>
                <w:szCs w:val="18"/>
                <w:u w:val="none"/>
              </w:rPr>
            </w:pPr>
          </w:p>
          <w:p w14:paraId="65F86FF9">
            <w:pPr>
              <w:keepNext/>
              <w:snapToGrid w:val="0"/>
              <w:rPr>
                <w:rFonts w:hint="eastAsia" w:ascii="宋体" w:hAnsi="宋体" w:eastAsia="宋体" w:cs="宋体"/>
                <w:i w:val="0"/>
                <w:iCs w:val="0"/>
                <w:color w:val="000000"/>
                <w:sz w:val="18"/>
                <w:szCs w:val="18"/>
                <w:u w:val="none"/>
              </w:rPr>
            </w:pPr>
          </w:p>
          <w:p w14:paraId="4A6D0649">
            <w:pPr>
              <w:keepNext/>
              <w:snapToGrid w:val="0"/>
              <w:rPr>
                <w:rFonts w:hint="eastAsia" w:ascii="宋体" w:hAnsi="宋体" w:eastAsia="宋体" w:cs="宋体"/>
                <w:i w:val="0"/>
                <w:iCs w:val="0"/>
                <w:color w:val="000000"/>
                <w:sz w:val="18"/>
                <w:szCs w:val="18"/>
                <w:u w:val="none"/>
              </w:rPr>
            </w:pPr>
          </w:p>
          <w:p w14:paraId="2B1E2218">
            <w:pPr>
              <w:keepNext/>
              <w:snapToGrid w:val="0"/>
              <w:rPr>
                <w:rFonts w:hint="eastAsia" w:ascii="宋体" w:hAnsi="宋体" w:eastAsia="宋体" w:cs="宋体"/>
                <w:i w:val="0"/>
                <w:iCs w:val="0"/>
                <w:color w:val="000000"/>
                <w:sz w:val="18"/>
                <w:szCs w:val="18"/>
                <w:u w:val="none"/>
              </w:rPr>
            </w:pPr>
          </w:p>
          <w:p w14:paraId="06AAEAAF">
            <w:pPr>
              <w:keepNext/>
              <w:snapToGrid w:val="0"/>
              <w:rPr>
                <w:rFonts w:hint="eastAsia" w:ascii="宋体" w:hAnsi="宋体" w:eastAsia="宋体" w:cs="宋体"/>
                <w:i w:val="0"/>
                <w:iCs w:val="0"/>
                <w:color w:val="000000"/>
                <w:sz w:val="18"/>
                <w:szCs w:val="18"/>
                <w:u w:val="none"/>
              </w:rPr>
            </w:pPr>
          </w:p>
          <w:p w14:paraId="1F87DE71">
            <w:pPr>
              <w:keepNext/>
              <w:snapToGrid w:val="0"/>
              <w:rPr>
                <w:rFonts w:hint="eastAsia" w:ascii="宋体" w:hAnsi="宋体" w:eastAsia="宋体" w:cs="宋体"/>
                <w:i w:val="0"/>
                <w:iCs w:val="0"/>
                <w:color w:val="000000"/>
                <w:sz w:val="18"/>
                <w:szCs w:val="18"/>
                <w:u w:val="none"/>
              </w:rPr>
            </w:pPr>
          </w:p>
        </w:tc>
        <w:tc>
          <w:tcPr>
            <w:tcW w:w="485" w:type="pct"/>
            <w:tcBorders>
              <w:top w:val="nil"/>
              <w:left w:val="nil"/>
              <w:bottom w:val="nil"/>
              <w:right w:val="nil"/>
            </w:tcBorders>
            <w:shd w:val="clear" w:color="auto" w:fill="auto"/>
            <w:vAlign w:val="center"/>
          </w:tcPr>
          <w:p w14:paraId="479BFB54">
            <w:pPr>
              <w:keepNext/>
              <w:snapToGrid w:val="0"/>
              <w:rPr>
                <w:rFonts w:hint="eastAsia" w:ascii="宋体" w:hAnsi="宋体" w:eastAsia="宋体" w:cs="宋体"/>
                <w:i w:val="0"/>
                <w:iCs w:val="0"/>
                <w:color w:val="000000"/>
                <w:sz w:val="18"/>
                <w:szCs w:val="18"/>
                <w:u w:val="none"/>
              </w:rPr>
            </w:pPr>
          </w:p>
        </w:tc>
        <w:tc>
          <w:tcPr>
            <w:tcW w:w="867" w:type="pct"/>
            <w:tcBorders>
              <w:top w:val="nil"/>
              <w:left w:val="nil"/>
              <w:bottom w:val="nil"/>
              <w:right w:val="nil"/>
            </w:tcBorders>
            <w:shd w:val="clear" w:color="auto" w:fill="auto"/>
            <w:vAlign w:val="center"/>
          </w:tcPr>
          <w:p w14:paraId="67EE768A">
            <w:pPr>
              <w:keepNext/>
              <w:snapToGrid w:val="0"/>
              <w:rPr>
                <w:rFonts w:hint="eastAsia" w:ascii="宋体" w:hAnsi="宋体" w:eastAsia="宋体" w:cs="宋体"/>
                <w:i w:val="0"/>
                <w:iCs w:val="0"/>
                <w:color w:val="000000"/>
                <w:sz w:val="18"/>
                <w:szCs w:val="18"/>
                <w:u w:val="none"/>
              </w:rPr>
            </w:pPr>
          </w:p>
        </w:tc>
        <w:tc>
          <w:tcPr>
            <w:tcW w:w="255" w:type="pct"/>
            <w:tcBorders>
              <w:top w:val="nil"/>
              <w:left w:val="nil"/>
              <w:bottom w:val="nil"/>
              <w:right w:val="nil"/>
            </w:tcBorders>
            <w:shd w:val="clear" w:color="auto" w:fill="auto"/>
            <w:vAlign w:val="center"/>
          </w:tcPr>
          <w:p w14:paraId="5B5D5D9B">
            <w:pPr>
              <w:keepNext/>
              <w:snapToGrid w:val="0"/>
              <w:rPr>
                <w:rFonts w:hint="eastAsia" w:ascii="宋体" w:hAnsi="宋体" w:eastAsia="宋体" w:cs="宋体"/>
                <w:i w:val="0"/>
                <w:iCs w:val="0"/>
                <w:color w:val="000000"/>
                <w:sz w:val="18"/>
                <w:szCs w:val="18"/>
                <w:u w:val="none"/>
              </w:rPr>
            </w:pPr>
          </w:p>
        </w:tc>
        <w:tc>
          <w:tcPr>
            <w:tcW w:w="552" w:type="pct"/>
            <w:tcBorders>
              <w:top w:val="nil"/>
              <w:left w:val="nil"/>
              <w:bottom w:val="nil"/>
              <w:right w:val="nil"/>
            </w:tcBorders>
            <w:shd w:val="clear" w:color="auto" w:fill="auto"/>
            <w:vAlign w:val="center"/>
          </w:tcPr>
          <w:p w14:paraId="38FACFD0">
            <w:pPr>
              <w:keepNext/>
              <w:snapToGrid w:val="0"/>
              <w:rPr>
                <w:rFonts w:hint="eastAsia" w:ascii="宋体" w:hAnsi="宋体" w:eastAsia="宋体" w:cs="宋体"/>
                <w:i w:val="0"/>
                <w:iCs w:val="0"/>
                <w:color w:val="000000"/>
                <w:sz w:val="18"/>
                <w:szCs w:val="18"/>
                <w:u w:val="none"/>
              </w:rPr>
            </w:pPr>
          </w:p>
        </w:tc>
        <w:tc>
          <w:tcPr>
            <w:tcW w:w="465" w:type="pct"/>
            <w:tcBorders>
              <w:top w:val="nil"/>
              <w:left w:val="nil"/>
              <w:bottom w:val="nil"/>
              <w:right w:val="nil"/>
            </w:tcBorders>
            <w:shd w:val="clear" w:color="auto" w:fill="auto"/>
            <w:vAlign w:val="center"/>
          </w:tcPr>
          <w:p w14:paraId="64837FD3">
            <w:pPr>
              <w:keepNext/>
              <w:snapToGrid w:val="0"/>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0E753181">
            <w:pPr>
              <w:keepNext/>
              <w:snapToGrid w:val="0"/>
              <w:rPr>
                <w:rFonts w:hint="eastAsia" w:ascii="宋体" w:hAnsi="宋体" w:eastAsia="宋体" w:cs="宋体"/>
                <w:i w:val="0"/>
                <w:iCs w:val="0"/>
                <w:color w:val="000000"/>
                <w:sz w:val="18"/>
                <w:szCs w:val="18"/>
                <w:u w:val="none"/>
              </w:rPr>
            </w:pPr>
          </w:p>
        </w:tc>
        <w:tc>
          <w:tcPr>
            <w:tcW w:w="312" w:type="pct"/>
            <w:tcBorders>
              <w:top w:val="nil"/>
              <w:left w:val="nil"/>
              <w:bottom w:val="nil"/>
              <w:right w:val="nil"/>
            </w:tcBorders>
            <w:shd w:val="clear" w:color="auto" w:fill="auto"/>
            <w:vAlign w:val="center"/>
          </w:tcPr>
          <w:p w14:paraId="5195589B">
            <w:pPr>
              <w:keepNext/>
              <w:snapToGrid w:val="0"/>
              <w:rPr>
                <w:rFonts w:hint="eastAsia" w:ascii="宋体" w:hAnsi="宋体" w:eastAsia="宋体" w:cs="宋体"/>
                <w:i w:val="0"/>
                <w:iCs w:val="0"/>
                <w:color w:val="000000"/>
                <w:sz w:val="18"/>
                <w:szCs w:val="18"/>
                <w:u w:val="none"/>
              </w:rPr>
            </w:pPr>
          </w:p>
        </w:tc>
        <w:tc>
          <w:tcPr>
            <w:tcW w:w="258" w:type="pct"/>
            <w:tcBorders>
              <w:top w:val="nil"/>
              <w:left w:val="nil"/>
              <w:bottom w:val="nil"/>
              <w:right w:val="nil"/>
            </w:tcBorders>
            <w:shd w:val="clear" w:color="auto" w:fill="auto"/>
            <w:vAlign w:val="center"/>
          </w:tcPr>
          <w:p w14:paraId="0DE270A4">
            <w:pPr>
              <w:keepNext/>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14:paraId="0543130A">
            <w:pPr>
              <w:keepNext/>
              <w:snapToGrid w:val="0"/>
              <w:rPr>
                <w:rFonts w:hint="eastAsia" w:ascii="宋体" w:hAnsi="宋体" w:eastAsia="宋体" w:cs="宋体"/>
                <w:i w:val="0"/>
                <w:iCs w:val="0"/>
                <w:color w:val="000000"/>
                <w:sz w:val="18"/>
                <w:szCs w:val="18"/>
                <w:u w:val="none"/>
              </w:rPr>
            </w:pPr>
          </w:p>
        </w:tc>
      </w:tr>
      <w:tr w14:paraId="18AD2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64B786F5">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728EB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19C81B9">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CF74DD">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51320023T000007961289-建设项目环境影响评价技术审查评估专项经费</w:t>
            </w:r>
          </w:p>
        </w:tc>
      </w:tr>
      <w:tr w14:paraId="777D84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9D551B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62D5309">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583" w:type="pct"/>
            <w:tcBorders>
              <w:top w:val="nil"/>
              <w:left w:val="nil"/>
              <w:bottom w:val="nil"/>
              <w:right w:val="nil"/>
            </w:tcBorders>
            <w:shd w:val="clear" w:color="auto" w:fill="auto"/>
            <w:vAlign w:val="center"/>
          </w:tcPr>
          <w:p w14:paraId="10CF06E6">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7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BE1736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阿坝县生态环境局</w:t>
            </w:r>
          </w:p>
        </w:tc>
      </w:tr>
      <w:tr w14:paraId="470FC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F85984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563749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57724F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65E8C06">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93876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B2297">
            <w:pPr>
              <w:keepNext/>
              <w:snapToGrid w:val="0"/>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A58283">
            <w:pPr>
              <w:keepNext/>
              <w:snapToGrid w:val="0"/>
              <w:rPr>
                <w:rFonts w:hint="eastAsia" w:ascii="宋体" w:hAnsi="宋体" w:eastAsia="宋体" w:cs="宋体"/>
                <w:i w:val="0"/>
                <w:iCs w:val="0"/>
                <w:color w:val="000000"/>
                <w:sz w:val="18"/>
                <w:szCs w:val="18"/>
                <w:u w:val="none"/>
              </w:rPr>
            </w:pP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4A08A6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影响评价技术审查会专家评估经费，是为阿坝县提升建设项目环境影响评估以及排污相关能力建设，年度完成≥15个建设项目的环境影响评价技术审查会专家评估，提升建设项目环境影响评估以及排污相关能力建设。</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A1FAE86">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本年度年度完成≥15个建设项目的环境影响评价技术审查会专家评估，提升建设项目环境影响评估以及排污相关能力建设。</w:t>
            </w:r>
          </w:p>
        </w:tc>
      </w:tr>
      <w:tr w14:paraId="65B61E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CECF6C">
            <w:pPr>
              <w:keepNext/>
              <w:snapToGrid w:val="0"/>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F3EA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5767EB">
            <w:pPr>
              <w:keepNext/>
              <w:snapToGrid w:val="0"/>
              <w:rPr>
                <w:rFonts w:hint="eastAsia" w:ascii="宋体" w:hAnsi="宋体" w:eastAsia="宋体" w:cs="宋体"/>
                <w:i w:val="0"/>
                <w:iCs w:val="0"/>
                <w:color w:val="000000"/>
                <w:sz w:val="18"/>
                <w:szCs w:val="18"/>
                <w:u w:val="none"/>
              </w:rPr>
            </w:pPr>
          </w:p>
        </w:tc>
      </w:tr>
      <w:tr w14:paraId="6728BB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16214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058D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F600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B15A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3EE39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C57C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19FD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6277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4B607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F54B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CEC116">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98F75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DA6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2E8E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0.24</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BB1C4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0.24</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48B49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F3F1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F0F38">
            <w:pPr>
              <w:keepNext/>
              <w:snapToGrid w:val="0"/>
              <w:jc w:val="center"/>
              <w:rPr>
                <w:rFonts w:hint="eastAsia" w:ascii="宋体" w:hAnsi="宋体" w:eastAsia="宋体" w:cs="宋体"/>
                <w:i w:val="0"/>
                <w:iCs w:val="0"/>
                <w:color w:val="000000"/>
                <w:sz w:val="18"/>
                <w:szCs w:val="18"/>
                <w:u w:val="none"/>
              </w:rPr>
            </w:pP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AF181CF">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 xml:space="preserve">1.预算执行率已达100%; </w:t>
            </w:r>
          </w:p>
        </w:tc>
      </w:tr>
      <w:tr w14:paraId="2D4D03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FCF110">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7583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4C46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AD6E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0.24</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83224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0.24</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0F52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7637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150D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2A526C">
            <w:pPr>
              <w:keepNext/>
              <w:snapToGrid w:val="0"/>
              <w:rPr>
                <w:rFonts w:hint="eastAsia" w:ascii="黑体" w:hAnsi="黑体" w:eastAsia="黑体" w:cs="黑体"/>
                <w:i/>
                <w:iCs/>
                <w:color w:val="000000"/>
                <w:sz w:val="18"/>
                <w:szCs w:val="18"/>
                <w:u w:val="none"/>
              </w:rPr>
            </w:pPr>
          </w:p>
        </w:tc>
      </w:tr>
      <w:tr w14:paraId="64C727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194775">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169F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B4E0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C266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B2220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5942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9C01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0847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CC64A3">
            <w:pPr>
              <w:keepNext/>
              <w:snapToGrid w:val="0"/>
              <w:rPr>
                <w:rFonts w:hint="eastAsia" w:ascii="黑体" w:hAnsi="黑体" w:eastAsia="黑体" w:cs="黑体"/>
                <w:i/>
                <w:iCs/>
                <w:color w:val="000000"/>
                <w:sz w:val="18"/>
                <w:szCs w:val="18"/>
                <w:u w:val="none"/>
              </w:rPr>
            </w:pPr>
          </w:p>
        </w:tc>
      </w:tr>
      <w:tr w14:paraId="1A8C8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8D89C0">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2B84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9358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69AD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11A9F2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96BCB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AC2D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7FC9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34AB74">
            <w:pPr>
              <w:keepNext/>
              <w:snapToGrid w:val="0"/>
              <w:rPr>
                <w:rFonts w:hint="eastAsia" w:ascii="黑体" w:hAnsi="黑体" w:eastAsia="黑体" w:cs="黑体"/>
                <w:i/>
                <w:iCs/>
                <w:color w:val="000000"/>
                <w:sz w:val="18"/>
                <w:szCs w:val="18"/>
                <w:u w:val="none"/>
              </w:rPr>
            </w:pPr>
          </w:p>
        </w:tc>
      </w:tr>
      <w:tr w14:paraId="1FC037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A6BD4">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38FE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7ACF9">
            <w:pPr>
              <w:keepNext/>
              <w:snapToGrid w:val="0"/>
              <w:jc w:val="center"/>
              <w:rPr>
                <w:rFonts w:hint="eastAsia" w:ascii="微软雅黑" w:hAnsi="微软雅黑" w:eastAsia="微软雅黑" w:cs="微软雅黑"/>
                <w:i/>
                <w:iCs/>
                <w:color w:val="000000"/>
                <w:sz w:val="16"/>
                <w:szCs w:val="16"/>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D5F485">
            <w:pPr>
              <w:keepNext/>
              <w:snapToGrid w:val="0"/>
              <w:jc w:val="center"/>
              <w:rPr>
                <w:rFonts w:hint="eastAsia" w:ascii="微软雅黑" w:hAnsi="微软雅黑" w:eastAsia="微软雅黑" w:cs="微软雅黑"/>
                <w:i/>
                <w:iCs/>
                <w:color w:val="000000"/>
                <w:sz w:val="16"/>
                <w:szCs w:val="16"/>
                <w:u w:val="none"/>
              </w:rPr>
            </w:pP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2679B9C">
            <w:pPr>
              <w:keepNext/>
              <w:snapToGrid w:val="0"/>
              <w:jc w:val="center"/>
              <w:rPr>
                <w:rFonts w:hint="eastAsia" w:ascii="微软雅黑" w:hAnsi="微软雅黑" w:eastAsia="微软雅黑" w:cs="微软雅黑"/>
                <w:i/>
                <w:iCs/>
                <w:color w:val="000000"/>
                <w:sz w:val="16"/>
                <w:szCs w:val="16"/>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84588">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8C3D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26F3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E71E7D">
            <w:pPr>
              <w:keepNext/>
              <w:snapToGrid w:val="0"/>
              <w:rPr>
                <w:rFonts w:hint="eastAsia" w:ascii="黑体" w:hAnsi="黑体" w:eastAsia="黑体" w:cs="黑体"/>
                <w:i/>
                <w:iCs/>
                <w:color w:val="000000"/>
                <w:sz w:val="18"/>
                <w:szCs w:val="18"/>
                <w:u w:val="none"/>
              </w:rPr>
            </w:pPr>
          </w:p>
        </w:tc>
      </w:tr>
      <w:tr w14:paraId="5C78D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F8B847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39E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52B9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8ACE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D791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6524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63C8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6746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7AB9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AD56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1391E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FF4AA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29C1DA">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C1ACE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B8258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4119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完成建设项目数量</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06B7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DF20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531B1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9A2E9">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2B52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08DE2">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EA286">
            <w:pPr>
              <w:keepNext/>
              <w:snapToGrid w:val="0"/>
              <w:jc w:val="center"/>
              <w:rPr>
                <w:rFonts w:hint="eastAsia" w:ascii="微软雅黑" w:hAnsi="微软雅黑" w:eastAsia="微软雅黑" w:cs="微软雅黑"/>
                <w:i/>
                <w:iCs/>
                <w:color w:val="000000"/>
                <w:sz w:val="16"/>
                <w:szCs w:val="16"/>
                <w:u w:val="none"/>
              </w:rPr>
            </w:pPr>
          </w:p>
        </w:tc>
      </w:tr>
      <w:tr w14:paraId="7F0098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986E919">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81717A">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EEF2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44CF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评审合格率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CFCE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5F3B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7FFD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1AEFFC">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E2BA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F802C5">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6DF45">
            <w:pPr>
              <w:keepNext/>
              <w:snapToGrid w:val="0"/>
              <w:jc w:val="center"/>
              <w:rPr>
                <w:rFonts w:hint="eastAsia" w:ascii="微软雅黑" w:hAnsi="微软雅黑" w:eastAsia="微软雅黑" w:cs="微软雅黑"/>
                <w:i/>
                <w:iCs/>
                <w:color w:val="000000"/>
                <w:sz w:val="16"/>
                <w:szCs w:val="16"/>
                <w:u w:val="none"/>
              </w:rPr>
            </w:pPr>
          </w:p>
        </w:tc>
      </w:tr>
      <w:tr w14:paraId="250D97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C5A74">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491827">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DD75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43EB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评审完成时间</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51FD1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3F0F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按计划时间节点完成</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1633B">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71510">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FC94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F47EE">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D16E8">
            <w:pPr>
              <w:keepNext/>
              <w:snapToGrid w:val="0"/>
              <w:jc w:val="center"/>
              <w:rPr>
                <w:rFonts w:hint="eastAsia" w:ascii="微软雅黑" w:hAnsi="微软雅黑" w:eastAsia="微软雅黑" w:cs="微软雅黑"/>
                <w:i/>
                <w:iCs/>
                <w:color w:val="000000"/>
                <w:sz w:val="16"/>
                <w:szCs w:val="16"/>
                <w:u w:val="none"/>
              </w:rPr>
            </w:pPr>
          </w:p>
        </w:tc>
      </w:tr>
      <w:tr w14:paraId="68629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08F21">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7FA68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A45D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0096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环境影响评价规范性提升程度</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73D9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437F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评审显著提高</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5F75E">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26EFE6">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D48D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14066">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D1E85">
            <w:pPr>
              <w:keepNext/>
              <w:snapToGrid w:val="0"/>
              <w:jc w:val="center"/>
              <w:rPr>
                <w:rFonts w:hint="eastAsia" w:ascii="微软雅黑" w:hAnsi="微软雅黑" w:eastAsia="微软雅黑" w:cs="微软雅黑"/>
                <w:i/>
                <w:iCs/>
                <w:color w:val="000000"/>
                <w:sz w:val="16"/>
                <w:szCs w:val="16"/>
                <w:u w:val="none"/>
              </w:rPr>
            </w:pPr>
          </w:p>
        </w:tc>
      </w:tr>
      <w:tr w14:paraId="17187C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0F2AFF">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6A209">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5BE0C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4564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生态环境质量改善</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FC7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A2A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明显改善</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F81E14">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5D426">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81EE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8CB15">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54185">
            <w:pPr>
              <w:keepNext/>
              <w:snapToGrid w:val="0"/>
              <w:jc w:val="center"/>
              <w:rPr>
                <w:rFonts w:hint="eastAsia" w:ascii="微软雅黑" w:hAnsi="微软雅黑" w:eastAsia="微软雅黑" w:cs="微软雅黑"/>
                <w:i/>
                <w:iCs/>
                <w:color w:val="000000"/>
                <w:sz w:val="16"/>
                <w:szCs w:val="16"/>
                <w:u w:val="none"/>
              </w:rPr>
            </w:pPr>
          </w:p>
        </w:tc>
      </w:tr>
      <w:tr w14:paraId="65CA09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1B5F1C">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F78C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09587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2849E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57F2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E3C7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AC92D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45805">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5AA6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BF75F">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8F683">
            <w:pPr>
              <w:keepNext/>
              <w:snapToGrid w:val="0"/>
              <w:jc w:val="center"/>
              <w:rPr>
                <w:rFonts w:hint="eastAsia" w:ascii="微软雅黑" w:hAnsi="微软雅黑" w:eastAsia="微软雅黑" w:cs="微软雅黑"/>
                <w:i/>
                <w:iCs/>
                <w:color w:val="000000"/>
                <w:sz w:val="16"/>
                <w:szCs w:val="16"/>
                <w:u w:val="none"/>
              </w:rPr>
            </w:pPr>
          </w:p>
        </w:tc>
      </w:tr>
      <w:tr w14:paraId="69DCA3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6C01C4">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FCAD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4F0E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CC617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成本结余率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400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BF0EA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8401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BF1983">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3220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B29FBC">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A796FD">
            <w:pPr>
              <w:keepNext/>
              <w:snapToGrid w:val="0"/>
              <w:jc w:val="center"/>
              <w:rPr>
                <w:rFonts w:hint="eastAsia" w:ascii="微软雅黑" w:hAnsi="微软雅黑" w:eastAsia="微软雅黑" w:cs="微软雅黑"/>
                <w:i/>
                <w:iCs/>
                <w:color w:val="000000"/>
                <w:sz w:val="16"/>
                <w:szCs w:val="16"/>
                <w:u w:val="none"/>
              </w:rPr>
            </w:pPr>
          </w:p>
        </w:tc>
      </w:tr>
      <w:tr w14:paraId="6B7C9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2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B492D8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FBD9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B3F12">
            <w:pPr>
              <w:keepNext/>
              <w:snapToGrid w:val="0"/>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6E9A6">
            <w:pPr>
              <w:keepNext/>
              <w:snapToGrid w:val="0"/>
              <w:rPr>
                <w:rFonts w:hint="eastAsia" w:ascii="宋体" w:hAnsi="宋体" w:eastAsia="宋体" w:cs="宋体"/>
                <w:i w:val="0"/>
                <w:iCs w:val="0"/>
                <w:color w:val="000000"/>
                <w:sz w:val="18"/>
                <w:szCs w:val="18"/>
                <w:u w:val="none"/>
              </w:rPr>
            </w:pPr>
          </w:p>
        </w:tc>
      </w:tr>
      <w:tr w14:paraId="354710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397C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5C7175">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始终严格执行相关政策，已完成保障相关资金支出的年度目标，自评得分100分。</w:t>
            </w:r>
          </w:p>
        </w:tc>
      </w:tr>
      <w:tr w14:paraId="1E8FB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768D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0978E79">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8F137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8D14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F5EEE5E">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71617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3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AA25299">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项目负责人：王文</w:t>
            </w:r>
          </w:p>
        </w:tc>
        <w:tc>
          <w:tcPr>
            <w:tcW w:w="267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A010F8">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财务负责人：张世康</w:t>
            </w:r>
          </w:p>
        </w:tc>
      </w:tr>
      <w:tr w14:paraId="177995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0B2EBB30">
            <w:pPr>
              <w:keepNext/>
              <w:snapToGrid w:val="0"/>
              <w:rPr>
                <w:rFonts w:hint="eastAsia" w:ascii="宋体" w:hAnsi="宋体" w:eastAsia="宋体" w:cs="宋体"/>
                <w:i w:val="0"/>
                <w:iCs w:val="0"/>
                <w:color w:val="000000"/>
                <w:sz w:val="18"/>
                <w:szCs w:val="18"/>
                <w:u w:val="none"/>
              </w:rPr>
            </w:pPr>
          </w:p>
        </w:tc>
        <w:tc>
          <w:tcPr>
            <w:tcW w:w="360" w:type="pct"/>
            <w:tcBorders>
              <w:top w:val="nil"/>
              <w:left w:val="nil"/>
              <w:bottom w:val="nil"/>
              <w:right w:val="nil"/>
            </w:tcBorders>
            <w:shd w:val="clear" w:color="auto" w:fill="auto"/>
            <w:vAlign w:val="center"/>
          </w:tcPr>
          <w:p w14:paraId="5CE3B676">
            <w:pPr>
              <w:keepNext/>
              <w:snapToGrid w:val="0"/>
              <w:rPr>
                <w:rFonts w:hint="eastAsia" w:ascii="宋体" w:hAnsi="宋体" w:eastAsia="宋体" w:cs="宋体"/>
                <w:i w:val="0"/>
                <w:iCs w:val="0"/>
                <w:color w:val="000000"/>
                <w:sz w:val="18"/>
                <w:szCs w:val="18"/>
                <w:u w:val="none"/>
              </w:rPr>
            </w:pPr>
          </w:p>
        </w:tc>
        <w:tc>
          <w:tcPr>
            <w:tcW w:w="485" w:type="pct"/>
            <w:tcBorders>
              <w:top w:val="nil"/>
              <w:left w:val="nil"/>
              <w:bottom w:val="nil"/>
              <w:right w:val="nil"/>
            </w:tcBorders>
            <w:shd w:val="clear" w:color="auto" w:fill="auto"/>
            <w:vAlign w:val="center"/>
          </w:tcPr>
          <w:p w14:paraId="0B819CA2">
            <w:pPr>
              <w:keepNext/>
              <w:snapToGrid w:val="0"/>
              <w:rPr>
                <w:rFonts w:hint="eastAsia" w:ascii="宋体" w:hAnsi="宋体" w:eastAsia="宋体" w:cs="宋体"/>
                <w:i w:val="0"/>
                <w:iCs w:val="0"/>
                <w:color w:val="000000"/>
                <w:sz w:val="18"/>
                <w:szCs w:val="18"/>
                <w:u w:val="none"/>
              </w:rPr>
            </w:pPr>
          </w:p>
        </w:tc>
        <w:tc>
          <w:tcPr>
            <w:tcW w:w="867" w:type="pct"/>
            <w:tcBorders>
              <w:top w:val="nil"/>
              <w:left w:val="nil"/>
              <w:bottom w:val="nil"/>
              <w:right w:val="nil"/>
            </w:tcBorders>
            <w:shd w:val="clear" w:color="auto" w:fill="auto"/>
            <w:vAlign w:val="center"/>
          </w:tcPr>
          <w:p w14:paraId="23D12E7E">
            <w:pPr>
              <w:keepNext/>
              <w:snapToGrid w:val="0"/>
              <w:rPr>
                <w:rFonts w:hint="eastAsia" w:ascii="宋体" w:hAnsi="宋体" w:eastAsia="宋体" w:cs="宋体"/>
                <w:i w:val="0"/>
                <w:iCs w:val="0"/>
                <w:color w:val="000000"/>
                <w:sz w:val="18"/>
                <w:szCs w:val="18"/>
                <w:u w:val="none"/>
              </w:rPr>
            </w:pPr>
          </w:p>
        </w:tc>
        <w:tc>
          <w:tcPr>
            <w:tcW w:w="255" w:type="pct"/>
            <w:tcBorders>
              <w:top w:val="nil"/>
              <w:left w:val="nil"/>
              <w:bottom w:val="nil"/>
              <w:right w:val="nil"/>
            </w:tcBorders>
            <w:shd w:val="clear" w:color="auto" w:fill="auto"/>
            <w:vAlign w:val="center"/>
          </w:tcPr>
          <w:p w14:paraId="2FBF8ACB">
            <w:pPr>
              <w:keepNext/>
              <w:snapToGrid w:val="0"/>
              <w:rPr>
                <w:rFonts w:hint="eastAsia" w:ascii="宋体" w:hAnsi="宋体" w:eastAsia="宋体" w:cs="宋体"/>
                <w:i w:val="0"/>
                <w:iCs w:val="0"/>
                <w:color w:val="000000"/>
                <w:sz w:val="18"/>
                <w:szCs w:val="18"/>
                <w:u w:val="none"/>
              </w:rPr>
            </w:pPr>
          </w:p>
        </w:tc>
        <w:tc>
          <w:tcPr>
            <w:tcW w:w="552" w:type="pct"/>
            <w:tcBorders>
              <w:top w:val="nil"/>
              <w:left w:val="nil"/>
              <w:bottom w:val="nil"/>
              <w:right w:val="nil"/>
            </w:tcBorders>
            <w:shd w:val="clear" w:color="auto" w:fill="auto"/>
            <w:vAlign w:val="center"/>
          </w:tcPr>
          <w:p w14:paraId="20583132">
            <w:pPr>
              <w:keepNext/>
              <w:snapToGrid w:val="0"/>
              <w:rPr>
                <w:rFonts w:hint="eastAsia" w:ascii="宋体" w:hAnsi="宋体" w:eastAsia="宋体" w:cs="宋体"/>
                <w:i w:val="0"/>
                <w:iCs w:val="0"/>
                <w:color w:val="000000"/>
                <w:sz w:val="18"/>
                <w:szCs w:val="18"/>
                <w:u w:val="none"/>
              </w:rPr>
            </w:pPr>
          </w:p>
        </w:tc>
        <w:tc>
          <w:tcPr>
            <w:tcW w:w="465" w:type="pct"/>
            <w:tcBorders>
              <w:top w:val="nil"/>
              <w:left w:val="nil"/>
              <w:bottom w:val="nil"/>
              <w:right w:val="nil"/>
            </w:tcBorders>
            <w:shd w:val="clear" w:color="auto" w:fill="auto"/>
            <w:vAlign w:val="center"/>
          </w:tcPr>
          <w:p w14:paraId="6BDE55A5">
            <w:pPr>
              <w:keepNext/>
              <w:snapToGrid w:val="0"/>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D55EFB9">
            <w:pPr>
              <w:keepNext/>
              <w:snapToGrid w:val="0"/>
              <w:rPr>
                <w:rFonts w:hint="eastAsia" w:ascii="宋体" w:hAnsi="宋体" w:eastAsia="宋体" w:cs="宋体"/>
                <w:i w:val="0"/>
                <w:iCs w:val="0"/>
                <w:color w:val="000000"/>
                <w:sz w:val="18"/>
                <w:szCs w:val="18"/>
                <w:u w:val="none"/>
              </w:rPr>
            </w:pPr>
          </w:p>
        </w:tc>
        <w:tc>
          <w:tcPr>
            <w:tcW w:w="312" w:type="pct"/>
            <w:tcBorders>
              <w:top w:val="nil"/>
              <w:left w:val="nil"/>
              <w:bottom w:val="nil"/>
              <w:right w:val="nil"/>
            </w:tcBorders>
            <w:shd w:val="clear" w:color="auto" w:fill="auto"/>
            <w:vAlign w:val="center"/>
          </w:tcPr>
          <w:p w14:paraId="5C613ACE">
            <w:pPr>
              <w:keepNext/>
              <w:snapToGrid w:val="0"/>
              <w:rPr>
                <w:rFonts w:hint="eastAsia" w:ascii="宋体" w:hAnsi="宋体" w:eastAsia="宋体" w:cs="宋体"/>
                <w:i w:val="0"/>
                <w:iCs w:val="0"/>
                <w:color w:val="000000"/>
                <w:sz w:val="18"/>
                <w:szCs w:val="18"/>
                <w:u w:val="none"/>
              </w:rPr>
            </w:pPr>
          </w:p>
        </w:tc>
        <w:tc>
          <w:tcPr>
            <w:tcW w:w="258" w:type="pct"/>
            <w:tcBorders>
              <w:top w:val="nil"/>
              <w:left w:val="nil"/>
              <w:bottom w:val="nil"/>
              <w:right w:val="nil"/>
            </w:tcBorders>
            <w:shd w:val="clear" w:color="auto" w:fill="auto"/>
            <w:vAlign w:val="center"/>
          </w:tcPr>
          <w:p w14:paraId="583E5796">
            <w:pPr>
              <w:keepNext/>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14:paraId="282830F1">
            <w:pPr>
              <w:keepNext/>
              <w:snapToGrid w:val="0"/>
              <w:rPr>
                <w:rFonts w:hint="eastAsia" w:ascii="宋体" w:hAnsi="宋体" w:eastAsia="宋体" w:cs="宋体"/>
                <w:i w:val="0"/>
                <w:iCs w:val="0"/>
                <w:color w:val="000000"/>
                <w:sz w:val="18"/>
                <w:szCs w:val="18"/>
                <w:u w:val="none"/>
              </w:rPr>
            </w:pPr>
          </w:p>
        </w:tc>
      </w:tr>
      <w:tr w14:paraId="2D66C0F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C941F90">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05E0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763909">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B77C49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51320023T000009578786-2023年农村污水治理“千村示范工程”以奖代补资金</w:t>
            </w:r>
          </w:p>
        </w:tc>
      </w:tr>
      <w:tr w14:paraId="385DE4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132DA7">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95583D">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583" w:type="pct"/>
            <w:tcBorders>
              <w:top w:val="nil"/>
              <w:left w:val="nil"/>
              <w:bottom w:val="nil"/>
              <w:right w:val="nil"/>
            </w:tcBorders>
            <w:shd w:val="clear" w:color="auto" w:fill="auto"/>
            <w:vAlign w:val="center"/>
          </w:tcPr>
          <w:p w14:paraId="133CFAD9">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7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67A32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阿坝县生态环境局</w:t>
            </w:r>
          </w:p>
        </w:tc>
      </w:tr>
      <w:tr w14:paraId="79A0D0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BF746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8A646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49B3D1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943A747">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F7461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178A28">
            <w:pPr>
              <w:keepNext/>
              <w:snapToGrid w:val="0"/>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6E9770">
            <w:pPr>
              <w:keepNext/>
              <w:snapToGrid w:val="0"/>
              <w:rPr>
                <w:rFonts w:hint="eastAsia" w:ascii="宋体" w:hAnsi="宋体" w:eastAsia="宋体" w:cs="宋体"/>
                <w:i w:val="0"/>
                <w:iCs w:val="0"/>
                <w:color w:val="000000"/>
                <w:sz w:val="18"/>
                <w:szCs w:val="18"/>
                <w:u w:val="none"/>
              </w:rPr>
            </w:pP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625089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建设生活污水土塘渗滤生态处理系统，修复现有污水管网。</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E23B30D">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本年度完成建设生活污水土塘渗滤生态处理系统，修复现有污水管网。</w:t>
            </w:r>
          </w:p>
        </w:tc>
      </w:tr>
      <w:tr w14:paraId="0941F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5DA080">
            <w:pPr>
              <w:keepNext/>
              <w:snapToGrid w:val="0"/>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390E7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3BFC413">
            <w:pPr>
              <w:keepNext/>
              <w:snapToGrid w:val="0"/>
              <w:rPr>
                <w:rFonts w:hint="eastAsia" w:ascii="宋体" w:hAnsi="宋体" w:eastAsia="宋体" w:cs="宋体"/>
                <w:i w:val="0"/>
                <w:iCs w:val="0"/>
                <w:color w:val="000000"/>
                <w:sz w:val="18"/>
                <w:szCs w:val="18"/>
                <w:u w:val="none"/>
              </w:rPr>
            </w:pPr>
          </w:p>
        </w:tc>
      </w:tr>
      <w:tr w14:paraId="703640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2CC62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FF1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76B87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B56B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5001EA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DFB7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7557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AD6C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2E9E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714ED0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BC03C0">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30F7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B9F9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B165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7.14</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19238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7.14</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1483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22A4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FF849">
            <w:pPr>
              <w:keepNext/>
              <w:snapToGrid w:val="0"/>
              <w:jc w:val="center"/>
              <w:rPr>
                <w:rFonts w:hint="eastAsia" w:ascii="宋体" w:hAnsi="宋体" w:eastAsia="宋体" w:cs="宋体"/>
                <w:i w:val="0"/>
                <w:iCs w:val="0"/>
                <w:color w:val="000000"/>
                <w:sz w:val="18"/>
                <w:szCs w:val="18"/>
                <w:u w:val="none"/>
              </w:rPr>
            </w:pP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5DD7CD">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709FD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09F99">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D442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42D3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9CBC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8E3A9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5E91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832D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21E2B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33F47B">
            <w:pPr>
              <w:keepNext/>
              <w:snapToGrid w:val="0"/>
              <w:rPr>
                <w:rFonts w:hint="eastAsia" w:ascii="黑体" w:hAnsi="黑体" w:eastAsia="黑体" w:cs="黑体"/>
                <w:i/>
                <w:iCs/>
                <w:color w:val="000000"/>
                <w:sz w:val="18"/>
                <w:szCs w:val="18"/>
                <w:u w:val="none"/>
              </w:rPr>
            </w:pPr>
          </w:p>
        </w:tc>
      </w:tr>
      <w:tr w14:paraId="239796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B177DD">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6833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91BC5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1BC8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2EEA8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C02B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9A6C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3AA7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477434">
            <w:pPr>
              <w:keepNext/>
              <w:snapToGrid w:val="0"/>
              <w:rPr>
                <w:rFonts w:hint="eastAsia" w:ascii="黑体" w:hAnsi="黑体" w:eastAsia="黑体" w:cs="黑体"/>
                <w:i/>
                <w:iCs/>
                <w:color w:val="000000"/>
                <w:sz w:val="18"/>
                <w:szCs w:val="18"/>
                <w:u w:val="none"/>
              </w:rPr>
            </w:pPr>
          </w:p>
        </w:tc>
      </w:tr>
      <w:tr w14:paraId="3AD250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F8C7B1">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79F3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476B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139E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7.14</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3151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7.14</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9733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3E89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7CA9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ABDB64">
            <w:pPr>
              <w:keepNext/>
              <w:snapToGrid w:val="0"/>
              <w:rPr>
                <w:rFonts w:hint="eastAsia" w:ascii="黑体" w:hAnsi="黑体" w:eastAsia="黑体" w:cs="黑体"/>
                <w:i/>
                <w:iCs/>
                <w:color w:val="000000"/>
                <w:sz w:val="18"/>
                <w:szCs w:val="18"/>
                <w:u w:val="none"/>
              </w:rPr>
            </w:pPr>
          </w:p>
        </w:tc>
      </w:tr>
      <w:tr w14:paraId="385E93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95118A">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8238A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477D3">
            <w:pPr>
              <w:keepNext/>
              <w:snapToGrid w:val="0"/>
              <w:jc w:val="center"/>
              <w:rPr>
                <w:rFonts w:hint="eastAsia" w:ascii="微软雅黑" w:hAnsi="微软雅黑" w:eastAsia="微软雅黑" w:cs="微软雅黑"/>
                <w:i/>
                <w:iCs/>
                <w:color w:val="000000"/>
                <w:sz w:val="16"/>
                <w:szCs w:val="16"/>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85C74">
            <w:pPr>
              <w:keepNext/>
              <w:snapToGrid w:val="0"/>
              <w:jc w:val="center"/>
              <w:rPr>
                <w:rFonts w:hint="eastAsia" w:ascii="微软雅黑" w:hAnsi="微软雅黑" w:eastAsia="微软雅黑" w:cs="微软雅黑"/>
                <w:i/>
                <w:iCs/>
                <w:color w:val="000000"/>
                <w:sz w:val="16"/>
                <w:szCs w:val="16"/>
                <w:u w:val="none"/>
              </w:rPr>
            </w:pP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E83C75">
            <w:pPr>
              <w:keepNext/>
              <w:snapToGrid w:val="0"/>
              <w:jc w:val="center"/>
              <w:rPr>
                <w:rFonts w:hint="eastAsia" w:ascii="微软雅黑" w:hAnsi="微软雅黑" w:eastAsia="微软雅黑" w:cs="微软雅黑"/>
                <w:i/>
                <w:iCs/>
                <w:color w:val="000000"/>
                <w:sz w:val="16"/>
                <w:szCs w:val="16"/>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A40A1">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E2DA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A7F6D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B040B">
            <w:pPr>
              <w:keepNext/>
              <w:snapToGrid w:val="0"/>
              <w:rPr>
                <w:rFonts w:hint="eastAsia" w:ascii="黑体" w:hAnsi="黑体" w:eastAsia="黑体" w:cs="黑体"/>
                <w:i/>
                <w:iCs/>
                <w:color w:val="000000"/>
                <w:sz w:val="18"/>
                <w:szCs w:val="18"/>
                <w:u w:val="none"/>
              </w:rPr>
            </w:pPr>
          </w:p>
        </w:tc>
      </w:tr>
      <w:tr w14:paraId="6EA11A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87B47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2DF6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B829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87C67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823B9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F814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7B7C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E46B3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3DEA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5FCF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EC562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FD23C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7C2098">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DB63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1529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C5EAB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377A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CFDB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34CA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434D3">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D5297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3B2987">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9A6FC9">
            <w:pPr>
              <w:keepNext/>
              <w:snapToGrid w:val="0"/>
              <w:jc w:val="center"/>
              <w:rPr>
                <w:rFonts w:hint="eastAsia" w:ascii="微软雅黑" w:hAnsi="微软雅黑" w:eastAsia="微软雅黑" w:cs="微软雅黑"/>
                <w:i/>
                <w:iCs/>
                <w:color w:val="000000"/>
                <w:sz w:val="16"/>
                <w:szCs w:val="16"/>
                <w:u w:val="none"/>
              </w:rPr>
            </w:pPr>
          </w:p>
        </w:tc>
      </w:tr>
      <w:tr w14:paraId="6C0C7F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8EE286">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CB31C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A6022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4040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64C5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55D9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9F79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660097">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0385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3EBF4">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010F4">
            <w:pPr>
              <w:keepNext/>
              <w:snapToGrid w:val="0"/>
              <w:jc w:val="center"/>
              <w:rPr>
                <w:rFonts w:hint="eastAsia" w:ascii="微软雅黑" w:hAnsi="微软雅黑" w:eastAsia="微软雅黑" w:cs="微软雅黑"/>
                <w:i/>
                <w:iCs/>
                <w:color w:val="000000"/>
                <w:sz w:val="16"/>
                <w:szCs w:val="16"/>
                <w:u w:val="none"/>
              </w:rPr>
            </w:pPr>
          </w:p>
        </w:tc>
      </w:tr>
      <w:tr w14:paraId="2ADD74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87145">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23E18">
            <w:pPr>
              <w:keepNext/>
              <w:snapToGrid w:val="0"/>
              <w:jc w:val="center"/>
              <w:rPr>
                <w:rFonts w:hint="eastAsia" w:ascii="宋体" w:hAnsi="宋体" w:eastAsia="宋体" w:cs="宋体"/>
                <w:i w:val="0"/>
                <w:iCs w:val="0"/>
                <w:color w:val="000000"/>
                <w:sz w:val="18"/>
                <w:szCs w:val="18"/>
                <w:u w:val="none"/>
              </w:rPr>
            </w:pPr>
          </w:p>
        </w:tc>
        <w:tc>
          <w:tcPr>
            <w:tcW w:w="4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E27E12">
            <w:pPr>
              <w:keepNext/>
              <w:snapToGrid w:val="0"/>
              <w:jc w:val="center"/>
              <w:rPr>
                <w:rFonts w:hint="eastAsia" w:ascii="宋体" w:hAnsi="宋体" w:eastAsia="宋体" w:cs="宋体"/>
                <w:i w:val="0"/>
                <w:iCs w:val="0"/>
                <w:color w:val="000000"/>
                <w:sz w:val="18"/>
                <w:szCs w:val="18"/>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8800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4064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F67D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5BD4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18344">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22B3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FB335">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17BA1">
            <w:pPr>
              <w:keepNext/>
              <w:snapToGrid w:val="0"/>
              <w:jc w:val="center"/>
              <w:rPr>
                <w:rFonts w:hint="eastAsia" w:ascii="微软雅黑" w:hAnsi="微软雅黑" w:eastAsia="微软雅黑" w:cs="微软雅黑"/>
                <w:i/>
                <w:iCs/>
                <w:color w:val="000000"/>
                <w:sz w:val="16"/>
                <w:szCs w:val="16"/>
                <w:u w:val="none"/>
              </w:rPr>
            </w:pPr>
          </w:p>
        </w:tc>
      </w:tr>
      <w:tr w14:paraId="200DE27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6782DE">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AEA6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BDA3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帮扶对象满意度指标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613D4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C4B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91E0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A8F4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33627">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7942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F01C0">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7F291">
            <w:pPr>
              <w:keepNext/>
              <w:snapToGrid w:val="0"/>
              <w:jc w:val="center"/>
              <w:rPr>
                <w:rFonts w:hint="eastAsia" w:ascii="微软雅黑" w:hAnsi="微软雅黑" w:eastAsia="微软雅黑" w:cs="微软雅黑"/>
                <w:i/>
                <w:iCs/>
                <w:color w:val="000000"/>
                <w:sz w:val="16"/>
                <w:szCs w:val="16"/>
                <w:u w:val="none"/>
              </w:rPr>
            </w:pPr>
          </w:p>
        </w:tc>
      </w:tr>
      <w:tr w14:paraId="360117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0DD1C6">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D87C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716A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社会成本指标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0C0B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DB4A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DC77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99</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27B7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A4E14">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DB87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43C62">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EC951">
            <w:pPr>
              <w:keepNext/>
              <w:snapToGrid w:val="0"/>
              <w:jc w:val="center"/>
              <w:rPr>
                <w:rFonts w:hint="eastAsia" w:ascii="微软雅黑" w:hAnsi="微软雅黑" w:eastAsia="微软雅黑" w:cs="微软雅黑"/>
                <w:i/>
                <w:iCs/>
                <w:color w:val="000000"/>
                <w:sz w:val="16"/>
                <w:szCs w:val="16"/>
                <w:u w:val="none"/>
              </w:rPr>
            </w:pPr>
          </w:p>
        </w:tc>
      </w:tr>
      <w:tr w14:paraId="7E243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2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4E309F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1368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5EFFD">
            <w:pPr>
              <w:keepNext/>
              <w:snapToGrid w:val="0"/>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23914">
            <w:pPr>
              <w:keepNext/>
              <w:snapToGrid w:val="0"/>
              <w:rPr>
                <w:rFonts w:hint="eastAsia" w:ascii="宋体" w:hAnsi="宋体" w:eastAsia="宋体" w:cs="宋体"/>
                <w:i w:val="0"/>
                <w:iCs w:val="0"/>
                <w:color w:val="000000"/>
                <w:sz w:val="18"/>
                <w:szCs w:val="18"/>
                <w:u w:val="none"/>
              </w:rPr>
            </w:pPr>
          </w:p>
        </w:tc>
      </w:tr>
      <w:tr w14:paraId="09204D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BC4F5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97D087E">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始终严格执行相关政策，已完成保障相关资金支出的年度目标，自评得分100分。</w:t>
            </w:r>
          </w:p>
        </w:tc>
      </w:tr>
      <w:tr w14:paraId="2CDCC7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83CE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743EAB0">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B497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4374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E304616">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149916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3EF4E6D">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项目负责人：王文</w:t>
            </w:r>
          </w:p>
        </w:tc>
        <w:tc>
          <w:tcPr>
            <w:tcW w:w="267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0F32E2">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财务负责人：张世康</w:t>
            </w:r>
          </w:p>
        </w:tc>
      </w:tr>
      <w:tr w14:paraId="616B9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4B557F44">
            <w:pPr>
              <w:keepNext/>
              <w:snapToGrid w:val="0"/>
              <w:rPr>
                <w:rFonts w:hint="eastAsia" w:ascii="宋体" w:hAnsi="宋体" w:eastAsia="宋体" w:cs="宋体"/>
                <w:i w:val="0"/>
                <w:iCs w:val="0"/>
                <w:color w:val="000000"/>
                <w:sz w:val="18"/>
                <w:szCs w:val="18"/>
                <w:u w:val="none"/>
              </w:rPr>
            </w:pPr>
          </w:p>
        </w:tc>
        <w:tc>
          <w:tcPr>
            <w:tcW w:w="360" w:type="pct"/>
            <w:tcBorders>
              <w:top w:val="nil"/>
              <w:left w:val="nil"/>
              <w:bottom w:val="nil"/>
              <w:right w:val="nil"/>
            </w:tcBorders>
            <w:shd w:val="clear" w:color="auto" w:fill="auto"/>
            <w:vAlign w:val="center"/>
          </w:tcPr>
          <w:p w14:paraId="52B92EB6">
            <w:pPr>
              <w:keepNext/>
              <w:snapToGrid w:val="0"/>
              <w:rPr>
                <w:rFonts w:hint="eastAsia" w:ascii="宋体" w:hAnsi="宋体" w:eastAsia="宋体" w:cs="宋体"/>
                <w:i w:val="0"/>
                <w:iCs w:val="0"/>
                <w:color w:val="000000"/>
                <w:sz w:val="18"/>
                <w:szCs w:val="18"/>
                <w:u w:val="none"/>
              </w:rPr>
            </w:pPr>
          </w:p>
        </w:tc>
        <w:tc>
          <w:tcPr>
            <w:tcW w:w="485" w:type="pct"/>
            <w:tcBorders>
              <w:top w:val="nil"/>
              <w:left w:val="nil"/>
              <w:bottom w:val="nil"/>
              <w:right w:val="nil"/>
            </w:tcBorders>
            <w:shd w:val="clear" w:color="auto" w:fill="auto"/>
            <w:vAlign w:val="center"/>
          </w:tcPr>
          <w:p w14:paraId="6FA50CB0">
            <w:pPr>
              <w:keepNext/>
              <w:snapToGrid w:val="0"/>
              <w:rPr>
                <w:rFonts w:hint="eastAsia" w:ascii="宋体" w:hAnsi="宋体" w:eastAsia="宋体" w:cs="宋体"/>
                <w:i w:val="0"/>
                <w:iCs w:val="0"/>
                <w:color w:val="000000"/>
                <w:sz w:val="18"/>
                <w:szCs w:val="18"/>
                <w:u w:val="none"/>
              </w:rPr>
            </w:pPr>
          </w:p>
        </w:tc>
        <w:tc>
          <w:tcPr>
            <w:tcW w:w="867" w:type="pct"/>
            <w:tcBorders>
              <w:top w:val="nil"/>
              <w:left w:val="nil"/>
              <w:bottom w:val="nil"/>
              <w:right w:val="nil"/>
            </w:tcBorders>
            <w:shd w:val="clear" w:color="auto" w:fill="auto"/>
            <w:vAlign w:val="center"/>
          </w:tcPr>
          <w:p w14:paraId="6AF59758">
            <w:pPr>
              <w:keepNext/>
              <w:snapToGrid w:val="0"/>
              <w:rPr>
                <w:rFonts w:hint="eastAsia" w:ascii="宋体" w:hAnsi="宋体" w:eastAsia="宋体" w:cs="宋体"/>
                <w:i w:val="0"/>
                <w:iCs w:val="0"/>
                <w:color w:val="000000"/>
                <w:sz w:val="18"/>
                <w:szCs w:val="18"/>
                <w:u w:val="none"/>
              </w:rPr>
            </w:pPr>
          </w:p>
        </w:tc>
        <w:tc>
          <w:tcPr>
            <w:tcW w:w="255" w:type="pct"/>
            <w:tcBorders>
              <w:top w:val="nil"/>
              <w:left w:val="nil"/>
              <w:bottom w:val="nil"/>
              <w:right w:val="nil"/>
            </w:tcBorders>
            <w:shd w:val="clear" w:color="auto" w:fill="auto"/>
            <w:vAlign w:val="center"/>
          </w:tcPr>
          <w:p w14:paraId="3337EF42">
            <w:pPr>
              <w:keepNext/>
              <w:snapToGrid w:val="0"/>
              <w:rPr>
                <w:rFonts w:hint="eastAsia" w:ascii="宋体" w:hAnsi="宋体" w:eastAsia="宋体" w:cs="宋体"/>
                <w:i w:val="0"/>
                <w:iCs w:val="0"/>
                <w:color w:val="000000"/>
                <w:sz w:val="18"/>
                <w:szCs w:val="18"/>
                <w:u w:val="none"/>
              </w:rPr>
            </w:pPr>
          </w:p>
        </w:tc>
        <w:tc>
          <w:tcPr>
            <w:tcW w:w="552" w:type="pct"/>
            <w:tcBorders>
              <w:top w:val="nil"/>
              <w:left w:val="nil"/>
              <w:bottom w:val="nil"/>
              <w:right w:val="nil"/>
            </w:tcBorders>
            <w:shd w:val="clear" w:color="auto" w:fill="auto"/>
            <w:vAlign w:val="center"/>
          </w:tcPr>
          <w:p w14:paraId="0A4F96E2">
            <w:pPr>
              <w:keepNext/>
              <w:snapToGrid w:val="0"/>
              <w:rPr>
                <w:rFonts w:hint="eastAsia" w:ascii="宋体" w:hAnsi="宋体" w:eastAsia="宋体" w:cs="宋体"/>
                <w:i w:val="0"/>
                <w:iCs w:val="0"/>
                <w:color w:val="000000"/>
                <w:sz w:val="18"/>
                <w:szCs w:val="18"/>
                <w:u w:val="none"/>
              </w:rPr>
            </w:pPr>
          </w:p>
        </w:tc>
        <w:tc>
          <w:tcPr>
            <w:tcW w:w="465" w:type="pct"/>
            <w:tcBorders>
              <w:top w:val="nil"/>
              <w:left w:val="nil"/>
              <w:bottom w:val="nil"/>
              <w:right w:val="nil"/>
            </w:tcBorders>
            <w:shd w:val="clear" w:color="auto" w:fill="auto"/>
            <w:vAlign w:val="center"/>
          </w:tcPr>
          <w:p w14:paraId="6EEE74E8">
            <w:pPr>
              <w:keepNext/>
              <w:snapToGrid w:val="0"/>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02E7A1E1">
            <w:pPr>
              <w:keepNext/>
              <w:snapToGrid w:val="0"/>
              <w:rPr>
                <w:rFonts w:hint="eastAsia" w:ascii="宋体" w:hAnsi="宋体" w:eastAsia="宋体" w:cs="宋体"/>
                <w:i w:val="0"/>
                <w:iCs w:val="0"/>
                <w:color w:val="000000"/>
                <w:sz w:val="18"/>
                <w:szCs w:val="18"/>
                <w:u w:val="none"/>
              </w:rPr>
            </w:pPr>
          </w:p>
        </w:tc>
        <w:tc>
          <w:tcPr>
            <w:tcW w:w="312" w:type="pct"/>
            <w:tcBorders>
              <w:top w:val="nil"/>
              <w:left w:val="nil"/>
              <w:bottom w:val="nil"/>
              <w:right w:val="nil"/>
            </w:tcBorders>
            <w:shd w:val="clear" w:color="auto" w:fill="auto"/>
            <w:vAlign w:val="center"/>
          </w:tcPr>
          <w:p w14:paraId="33E8F24E">
            <w:pPr>
              <w:keepNext/>
              <w:snapToGrid w:val="0"/>
              <w:rPr>
                <w:rFonts w:hint="eastAsia" w:ascii="宋体" w:hAnsi="宋体" w:eastAsia="宋体" w:cs="宋体"/>
                <w:i w:val="0"/>
                <w:iCs w:val="0"/>
                <w:color w:val="000000"/>
                <w:sz w:val="18"/>
                <w:szCs w:val="18"/>
                <w:u w:val="none"/>
              </w:rPr>
            </w:pPr>
          </w:p>
        </w:tc>
        <w:tc>
          <w:tcPr>
            <w:tcW w:w="258" w:type="pct"/>
            <w:tcBorders>
              <w:top w:val="nil"/>
              <w:left w:val="nil"/>
              <w:bottom w:val="nil"/>
              <w:right w:val="nil"/>
            </w:tcBorders>
            <w:shd w:val="clear" w:color="auto" w:fill="auto"/>
            <w:vAlign w:val="center"/>
          </w:tcPr>
          <w:p w14:paraId="0F25EBC3">
            <w:pPr>
              <w:keepNext/>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14:paraId="284A897D">
            <w:pPr>
              <w:keepNext/>
              <w:snapToGrid w:val="0"/>
              <w:rPr>
                <w:rFonts w:hint="eastAsia" w:ascii="宋体" w:hAnsi="宋体" w:eastAsia="宋体" w:cs="宋体"/>
                <w:i w:val="0"/>
                <w:iCs w:val="0"/>
                <w:color w:val="000000"/>
                <w:sz w:val="18"/>
                <w:szCs w:val="18"/>
                <w:u w:val="none"/>
              </w:rPr>
            </w:pPr>
          </w:p>
        </w:tc>
      </w:tr>
      <w:tr w14:paraId="13B08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39154F6">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39080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9ADA6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9E3A47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51320023Y000009917272-日常公用经费</w:t>
            </w:r>
          </w:p>
        </w:tc>
      </w:tr>
      <w:tr w14:paraId="0FC73F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ACC859">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D53A67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583" w:type="pct"/>
            <w:tcBorders>
              <w:top w:val="nil"/>
              <w:left w:val="nil"/>
              <w:bottom w:val="nil"/>
              <w:right w:val="nil"/>
            </w:tcBorders>
            <w:shd w:val="clear" w:color="auto" w:fill="auto"/>
            <w:vAlign w:val="center"/>
          </w:tcPr>
          <w:p w14:paraId="3DF3CCB5">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7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6C91A2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阿坝县生态环境局</w:t>
            </w:r>
          </w:p>
        </w:tc>
      </w:tr>
      <w:tr w14:paraId="64B768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010AAD">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7DC81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D4717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B0204C2">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FA28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DF6FC">
            <w:pPr>
              <w:keepNext/>
              <w:snapToGrid w:val="0"/>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92811D">
            <w:pPr>
              <w:keepNext/>
              <w:snapToGrid w:val="0"/>
              <w:rPr>
                <w:rFonts w:hint="eastAsia" w:ascii="宋体" w:hAnsi="宋体" w:eastAsia="宋体" w:cs="宋体"/>
                <w:i w:val="0"/>
                <w:iCs w:val="0"/>
                <w:color w:val="000000"/>
                <w:sz w:val="18"/>
                <w:szCs w:val="18"/>
                <w:u w:val="none"/>
              </w:rPr>
            </w:pP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1565B2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9916EC3">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已完成保障单位日常运转的年度目标</w:t>
            </w:r>
          </w:p>
        </w:tc>
      </w:tr>
      <w:tr w14:paraId="1EA0A6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100A2">
            <w:pPr>
              <w:keepNext/>
              <w:snapToGrid w:val="0"/>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5BD3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A2FC176">
            <w:pPr>
              <w:keepNext/>
              <w:snapToGrid w:val="0"/>
              <w:rPr>
                <w:rFonts w:hint="eastAsia" w:ascii="宋体" w:hAnsi="宋体" w:eastAsia="宋体" w:cs="宋体"/>
                <w:i w:val="0"/>
                <w:iCs w:val="0"/>
                <w:color w:val="000000"/>
                <w:sz w:val="18"/>
                <w:szCs w:val="18"/>
                <w:u w:val="none"/>
              </w:rPr>
            </w:pPr>
          </w:p>
        </w:tc>
      </w:tr>
      <w:tr w14:paraId="6A0837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1C038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E9F6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4E73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D9AB3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C41EB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9EDE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790C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86E0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D394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73779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3B3956">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F8F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194E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24.17</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6767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23.49</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C2C7AA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23.49</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87E3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F798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D671F">
            <w:pPr>
              <w:keepNext/>
              <w:snapToGrid w:val="0"/>
              <w:jc w:val="center"/>
              <w:rPr>
                <w:rFonts w:hint="eastAsia" w:ascii="宋体" w:hAnsi="宋体" w:eastAsia="宋体" w:cs="宋体"/>
                <w:i w:val="0"/>
                <w:iCs w:val="0"/>
                <w:color w:val="000000"/>
                <w:sz w:val="18"/>
                <w:szCs w:val="18"/>
                <w:u w:val="none"/>
              </w:rPr>
            </w:pP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134906">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 xml:space="preserve">1.预算执行率已达100%; </w:t>
            </w:r>
          </w:p>
        </w:tc>
      </w:tr>
      <w:tr w14:paraId="43CD99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39342">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C6F5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3AC0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24.17</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AAE9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23.49</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945EE7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23.49</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5198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CA16B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023A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D95D0">
            <w:pPr>
              <w:keepNext/>
              <w:snapToGrid w:val="0"/>
              <w:rPr>
                <w:rFonts w:hint="eastAsia" w:ascii="黑体" w:hAnsi="黑体" w:eastAsia="黑体" w:cs="黑体"/>
                <w:i/>
                <w:iCs/>
                <w:color w:val="000000"/>
                <w:sz w:val="18"/>
                <w:szCs w:val="18"/>
                <w:u w:val="none"/>
              </w:rPr>
            </w:pPr>
          </w:p>
        </w:tc>
      </w:tr>
      <w:tr w14:paraId="77FF6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01DFA8">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48D7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937A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7FB3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20200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7CB2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2FE6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1954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BE91C8">
            <w:pPr>
              <w:keepNext/>
              <w:snapToGrid w:val="0"/>
              <w:rPr>
                <w:rFonts w:hint="eastAsia" w:ascii="黑体" w:hAnsi="黑体" w:eastAsia="黑体" w:cs="黑体"/>
                <w:i/>
                <w:iCs/>
                <w:color w:val="000000"/>
                <w:sz w:val="18"/>
                <w:szCs w:val="18"/>
                <w:u w:val="none"/>
              </w:rPr>
            </w:pPr>
          </w:p>
        </w:tc>
      </w:tr>
      <w:tr w14:paraId="31830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4FACA4">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CDED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B5B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2C4B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BD7595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6092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BB00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E66D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A1BF9E">
            <w:pPr>
              <w:keepNext/>
              <w:snapToGrid w:val="0"/>
              <w:rPr>
                <w:rFonts w:hint="eastAsia" w:ascii="黑体" w:hAnsi="黑体" w:eastAsia="黑体" w:cs="黑体"/>
                <w:i/>
                <w:iCs/>
                <w:color w:val="000000"/>
                <w:sz w:val="18"/>
                <w:szCs w:val="18"/>
                <w:u w:val="none"/>
              </w:rPr>
            </w:pPr>
          </w:p>
        </w:tc>
      </w:tr>
      <w:tr w14:paraId="744DC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AB0EB">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2274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DC17A8">
            <w:pPr>
              <w:keepNext/>
              <w:snapToGrid w:val="0"/>
              <w:jc w:val="center"/>
              <w:rPr>
                <w:rFonts w:hint="eastAsia" w:ascii="微软雅黑" w:hAnsi="微软雅黑" w:eastAsia="微软雅黑" w:cs="微软雅黑"/>
                <w:i/>
                <w:iCs/>
                <w:color w:val="000000"/>
                <w:sz w:val="16"/>
                <w:szCs w:val="16"/>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5DA14">
            <w:pPr>
              <w:keepNext/>
              <w:snapToGrid w:val="0"/>
              <w:jc w:val="center"/>
              <w:rPr>
                <w:rFonts w:hint="eastAsia" w:ascii="微软雅黑" w:hAnsi="微软雅黑" w:eastAsia="微软雅黑" w:cs="微软雅黑"/>
                <w:i/>
                <w:iCs/>
                <w:color w:val="000000"/>
                <w:sz w:val="16"/>
                <w:szCs w:val="16"/>
                <w:u w:val="none"/>
              </w:rPr>
            </w:pP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CCCC33">
            <w:pPr>
              <w:keepNext/>
              <w:snapToGrid w:val="0"/>
              <w:jc w:val="center"/>
              <w:rPr>
                <w:rFonts w:hint="eastAsia" w:ascii="微软雅黑" w:hAnsi="微软雅黑" w:eastAsia="微软雅黑" w:cs="微软雅黑"/>
                <w:i/>
                <w:iCs/>
                <w:color w:val="000000"/>
                <w:sz w:val="16"/>
                <w:szCs w:val="16"/>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04C09">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4FA9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D451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EF0748">
            <w:pPr>
              <w:keepNext/>
              <w:snapToGrid w:val="0"/>
              <w:rPr>
                <w:rFonts w:hint="eastAsia" w:ascii="黑体" w:hAnsi="黑体" w:eastAsia="黑体" w:cs="黑体"/>
                <w:i/>
                <w:iCs/>
                <w:color w:val="000000"/>
                <w:sz w:val="18"/>
                <w:szCs w:val="18"/>
                <w:u w:val="none"/>
              </w:rPr>
            </w:pPr>
          </w:p>
        </w:tc>
      </w:tr>
      <w:tr w14:paraId="4B9C4A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808BC3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F8DC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FBBB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B1ED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488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F48D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2EF39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3EE5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0DB7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41C0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ED72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BB1E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0A74E9">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F4DEA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162E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3F33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8CAF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22C3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9395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11724">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FDF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D6AED">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CA0ED">
            <w:pPr>
              <w:keepNext/>
              <w:snapToGrid w:val="0"/>
              <w:jc w:val="center"/>
              <w:rPr>
                <w:rFonts w:hint="eastAsia" w:ascii="微软雅黑" w:hAnsi="微软雅黑" w:eastAsia="微软雅黑" w:cs="微软雅黑"/>
                <w:i/>
                <w:iCs/>
                <w:color w:val="000000"/>
                <w:sz w:val="16"/>
                <w:szCs w:val="16"/>
                <w:u w:val="none"/>
              </w:rPr>
            </w:pPr>
          </w:p>
        </w:tc>
      </w:tr>
      <w:tr w14:paraId="12A955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1C3E5E">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B99011">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CCDF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29B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4476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B1F0C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6F078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7A6AF">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160E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AD323">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5B48EE">
            <w:pPr>
              <w:keepNext/>
              <w:snapToGrid w:val="0"/>
              <w:jc w:val="center"/>
              <w:rPr>
                <w:rFonts w:hint="eastAsia" w:ascii="微软雅黑" w:hAnsi="微软雅黑" w:eastAsia="微软雅黑" w:cs="微软雅黑"/>
                <w:i/>
                <w:iCs/>
                <w:color w:val="000000"/>
                <w:sz w:val="16"/>
                <w:szCs w:val="16"/>
                <w:u w:val="none"/>
              </w:rPr>
            </w:pPr>
          </w:p>
        </w:tc>
      </w:tr>
      <w:tr w14:paraId="2BB10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4FE02E">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65F74C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6436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942F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FD70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C6F3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B552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1992CC">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84EEC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C416C">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E0CEC">
            <w:pPr>
              <w:keepNext/>
              <w:snapToGrid w:val="0"/>
              <w:jc w:val="center"/>
              <w:rPr>
                <w:rFonts w:hint="eastAsia" w:ascii="微软雅黑" w:hAnsi="微软雅黑" w:eastAsia="微软雅黑" w:cs="微软雅黑"/>
                <w:i/>
                <w:iCs/>
                <w:color w:val="000000"/>
                <w:sz w:val="16"/>
                <w:szCs w:val="16"/>
                <w:u w:val="none"/>
              </w:rPr>
            </w:pPr>
          </w:p>
        </w:tc>
      </w:tr>
      <w:tr w14:paraId="61206D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04D6D5">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13F71B">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DD30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0825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706F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2C9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D705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756C7">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8612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BF71B">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72A3C">
            <w:pPr>
              <w:keepNext/>
              <w:snapToGrid w:val="0"/>
              <w:jc w:val="center"/>
              <w:rPr>
                <w:rFonts w:hint="eastAsia" w:ascii="微软雅黑" w:hAnsi="微软雅黑" w:eastAsia="微软雅黑" w:cs="微软雅黑"/>
                <w:i/>
                <w:iCs/>
                <w:color w:val="000000"/>
                <w:sz w:val="16"/>
                <w:szCs w:val="16"/>
                <w:u w:val="none"/>
              </w:rPr>
            </w:pPr>
          </w:p>
        </w:tc>
      </w:tr>
      <w:tr w14:paraId="2E42693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2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9078BC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61CD9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47D74">
            <w:pPr>
              <w:keepNext/>
              <w:snapToGrid w:val="0"/>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0489A">
            <w:pPr>
              <w:keepNext/>
              <w:snapToGrid w:val="0"/>
              <w:rPr>
                <w:rFonts w:hint="eastAsia" w:ascii="宋体" w:hAnsi="宋体" w:eastAsia="宋体" w:cs="宋体"/>
                <w:i w:val="0"/>
                <w:iCs w:val="0"/>
                <w:color w:val="000000"/>
                <w:sz w:val="18"/>
                <w:szCs w:val="18"/>
                <w:u w:val="none"/>
              </w:rPr>
            </w:pPr>
          </w:p>
        </w:tc>
      </w:tr>
      <w:tr w14:paraId="6D3863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C42A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4EA8520">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已完成保障单位日常运转的年度目标，自评得分100分、</w:t>
            </w:r>
          </w:p>
        </w:tc>
      </w:tr>
      <w:tr w14:paraId="39D614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0C89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64AF54D">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8558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05EA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7EB973B">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2E5F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3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E9EC57">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项目负责人：王文</w:t>
            </w:r>
          </w:p>
        </w:tc>
        <w:tc>
          <w:tcPr>
            <w:tcW w:w="267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1D06964">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财务负责人：张世康</w:t>
            </w:r>
          </w:p>
        </w:tc>
      </w:tr>
      <w:tr w14:paraId="17868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465DB5A1">
            <w:pPr>
              <w:keepNext/>
              <w:snapToGrid w:val="0"/>
              <w:rPr>
                <w:rFonts w:hint="eastAsia" w:ascii="宋体" w:hAnsi="宋体" w:eastAsia="宋体" w:cs="宋体"/>
                <w:i w:val="0"/>
                <w:iCs w:val="0"/>
                <w:color w:val="000000"/>
                <w:sz w:val="18"/>
                <w:szCs w:val="18"/>
                <w:u w:val="none"/>
              </w:rPr>
            </w:pPr>
          </w:p>
        </w:tc>
        <w:tc>
          <w:tcPr>
            <w:tcW w:w="360" w:type="pct"/>
            <w:tcBorders>
              <w:top w:val="nil"/>
              <w:left w:val="nil"/>
              <w:bottom w:val="nil"/>
              <w:right w:val="nil"/>
            </w:tcBorders>
            <w:shd w:val="clear" w:color="auto" w:fill="auto"/>
            <w:vAlign w:val="center"/>
          </w:tcPr>
          <w:p w14:paraId="500B30B7">
            <w:pPr>
              <w:keepNext/>
              <w:snapToGrid w:val="0"/>
              <w:rPr>
                <w:rFonts w:hint="eastAsia" w:ascii="宋体" w:hAnsi="宋体" w:eastAsia="宋体" w:cs="宋体"/>
                <w:i w:val="0"/>
                <w:iCs w:val="0"/>
                <w:color w:val="000000"/>
                <w:sz w:val="18"/>
                <w:szCs w:val="18"/>
                <w:u w:val="none"/>
              </w:rPr>
            </w:pPr>
          </w:p>
        </w:tc>
        <w:tc>
          <w:tcPr>
            <w:tcW w:w="485" w:type="pct"/>
            <w:tcBorders>
              <w:top w:val="nil"/>
              <w:left w:val="nil"/>
              <w:bottom w:val="nil"/>
              <w:right w:val="nil"/>
            </w:tcBorders>
            <w:shd w:val="clear" w:color="auto" w:fill="auto"/>
            <w:vAlign w:val="center"/>
          </w:tcPr>
          <w:p w14:paraId="205A7123">
            <w:pPr>
              <w:keepNext/>
              <w:snapToGrid w:val="0"/>
              <w:rPr>
                <w:rFonts w:hint="eastAsia" w:ascii="宋体" w:hAnsi="宋体" w:eastAsia="宋体" w:cs="宋体"/>
                <w:i w:val="0"/>
                <w:iCs w:val="0"/>
                <w:color w:val="000000"/>
                <w:sz w:val="18"/>
                <w:szCs w:val="18"/>
                <w:u w:val="none"/>
              </w:rPr>
            </w:pPr>
          </w:p>
        </w:tc>
        <w:tc>
          <w:tcPr>
            <w:tcW w:w="867" w:type="pct"/>
            <w:tcBorders>
              <w:top w:val="nil"/>
              <w:left w:val="nil"/>
              <w:bottom w:val="nil"/>
              <w:right w:val="nil"/>
            </w:tcBorders>
            <w:shd w:val="clear" w:color="auto" w:fill="auto"/>
            <w:vAlign w:val="center"/>
          </w:tcPr>
          <w:p w14:paraId="01F4B850">
            <w:pPr>
              <w:keepNext/>
              <w:snapToGrid w:val="0"/>
              <w:rPr>
                <w:rFonts w:hint="eastAsia" w:ascii="宋体" w:hAnsi="宋体" w:eastAsia="宋体" w:cs="宋体"/>
                <w:i w:val="0"/>
                <w:iCs w:val="0"/>
                <w:color w:val="000000"/>
                <w:sz w:val="18"/>
                <w:szCs w:val="18"/>
                <w:u w:val="none"/>
              </w:rPr>
            </w:pPr>
          </w:p>
        </w:tc>
        <w:tc>
          <w:tcPr>
            <w:tcW w:w="255" w:type="pct"/>
            <w:tcBorders>
              <w:top w:val="nil"/>
              <w:left w:val="nil"/>
              <w:bottom w:val="nil"/>
              <w:right w:val="nil"/>
            </w:tcBorders>
            <w:shd w:val="clear" w:color="auto" w:fill="auto"/>
            <w:vAlign w:val="center"/>
          </w:tcPr>
          <w:p w14:paraId="323931D9">
            <w:pPr>
              <w:keepNext/>
              <w:snapToGrid w:val="0"/>
              <w:rPr>
                <w:rFonts w:hint="eastAsia" w:ascii="宋体" w:hAnsi="宋体" w:eastAsia="宋体" w:cs="宋体"/>
                <w:i w:val="0"/>
                <w:iCs w:val="0"/>
                <w:color w:val="000000"/>
                <w:sz w:val="18"/>
                <w:szCs w:val="18"/>
                <w:u w:val="none"/>
              </w:rPr>
            </w:pPr>
          </w:p>
        </w:tc>
        <w:tc>
          <w:tcPr>
            <w:tcW w:w="552" w:type="pct"/>
            <w:tcBorders>
              <w:top w:val="nil"/>
              <w:left w:val="nil"/>
              <w:bottom w:val="nil"/>
              <w:right w:val="nil"/>
            </w:tcBorders>
            <w:shd w:val="clear" w:color="auto" w:fill="auto"/>
            <w:vAlign w:val="center"/>
          </w:tcPr>
          <w:p w14:paraId="7B63B00D">
            <w:pPr>
              <w:keepNext/>
              <w:snapToGrid w:val="0"/>
              <w:rPr>
                <w:rFonts w:hint="eastAsia" w:ascii="宋体" w:hAnsi="宋体" w:eastAsia="宋体" w:cs="宋体"/>
                <w:i w:val="0"/>
                <w:iCs w:val="0"/>
                <w:color w:val="000000"/>
                <w:sz w:val="18"/>
                <w:szCs w:val="18"/>
                <w:u w:val="none"/>
              </w:rPr>
            </w:pPr>
          </w:p>
        </w:tc>
        <w:tc>
          <w:tcPr>
            <w:tcW w:w="465" w:type="pct"/>
            <w:tcBorders>
              <w:top w:val="nil"/>
              <w:left w:val="nil"/>
              <w:bottom w:val="nil"/>
              <w:right w:val="nil"/>
            </w:tcBorders>
            <w:shd w:val="clear" w:color="auto" w:fill="auto"/>
            <w:vAlign w:val="center"/>
          </w:tcPr>
          <w:p w14:paraId="7EF65E3E">
            <w:pPr>
              <w:keepNext/>
              <w:snapToGrid w:val="0"/>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62CC8B1B">
            <w:pPr>
              <w:keepNext/>
              <w:snapToGrid w:val="0"/>
              <w:rPr>
                <w:rFonts w:hint="eastAsia" w:ascii="宋体" w:hAnsi="宋体" w:eastAsia="宋体" w:cs="宋体"/>
                <w:i w:val="0"/>
                <w:iCs w:val="0"/>
                <w:color w:val="000000"/>
                <w:sz w:val="18"/>
                <w:szCs w:val="18"/>
                <w:u w:val="none"/>
              </w:rPr>
            </w:pPr>
          </w:p>
        </w:tc>
        <w:tc>
          <w:tcPr>
            <w:tcW w:w="312" w:type="pct"/>
            <w:tcBorders>
              <w:top w:val="nil"/>
              <w:left w:val="nil"/>
              <w:bottom w:val="nil"/>
              <w:right w:val="nil"/>
            </w:tcBorders>
            <w:shd w:val="clear" w:color="auto" w:fill="auto"/>
            <w:vAlign w:val="center"/>
          </w:tcPr>
          <w:p w14:paraId="5AA47EBF">
            <w:pPr>
              <w:keepNext/>
              <w:snapToGrid w:val="0"/>
              <w:rPr>
                <w:rFonts w:hint="eastAsia" w:ascii="宋体" w:hAnsi="宋体" w:eastAsia="宋体" w:cs="宋体"/>
                <w:i w:val="0"/>
                <w:iCs w:val="0"/>
                <w:color w:val="000000"/>
                <w:sz w:val="18"/>
                <w:szCs w:val="18"/>
                <w:u w:val="none"/>
              </w:rPr>
            </w:pPr>
          </w:p>
        </w:tc>
        <w:tc>
          <w:tcPr>
            <w:tcW w:w="258" w:type="pct"/>
            <w:tcBorders>
              <w:top w:val="nil"/>
              <w:left w:val="nil"/>
              <w:bottom w:val="nil"/>
              <w:right w:val="nil"/>
            </w:tcBorders>
            <w:shd w:val="clear" w:color="auto" w:fill="auto"/>
            <w:vAlign w:val="center"/>
          </w:tcPr>
          <w:p w14:paraId="3E4A6C5D">
            <w:pPr>
              <w:keepNext/>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14:paraId="336350C4">
            <w:pPr>
              <w:keepNext/>
              <w:snapToGrid w:val="0"/>
              <w:rPr>
                <w:rFonts w:hint="eastAsia" w:ascii="宋体" w:hAnsi="宋体" w:eastAsia="宋体" w:cs="宋体"/>
                <w:i w:val="0"/>
                <w:iCs w:val="0"/>
                <w:color w:val="000000"/>
                <w:sz w:val="18"/>
                <w:szCs w:val="18"/>
                <w:u w:val="none"/>
              </w:rPr>
            </w:pPr>
          </w:p>
        </w:tc>
      </w:tr>
      <w:tr w14:paraId="1CB9A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3CEABC0">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B99F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0D1064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669AA4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51320024T000011721515-阿坝县县域生态环境质量监测服务采购项目</w:t>
            </w:r>
          </w:p>
        </w:tc>
      </w:tr>
      <w:tr w14:paraId="706034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6FB601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9B51F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583" w:type="pct"/>
            <w:tcBorders>
              <w:top w:val="nil"/>
              <w:left w:val="nil"/>
              <w:bottom w:val="nil"/>
              <w:right w:val="nil"/>
            </w:tcBorders>
            <w:shd w:val="clear" w:color="auto" w:fill="auto"/>
            <w:vAlign w:val="center"/>
          </w:tcPr>
          <w:p w14:paraId="6694730A">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7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1DBA7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阿坝县生态环境局</w:t>
            </w:r>
          </w:p>
        </w:tc>
      </w:tr>
      <w:tr w14:paraId="1DEC8D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ADD86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27E34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60D16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53C44E0">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F66BF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013020">
            <w:pPr>
              <w:keepNext/>
              <w:snapToGrid w:val="0"/>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A40556">
            <w:pPr>
              <w:keepNext/>
              <w:snapToGrid w:val="0"/>
              <w:rPr>
                <w:rFonts w:hint="eastAsia" w:ascii="宋体" w:hAnsi="宋体" w:eastAsia="宋体" w:cs="宋体"/>
                <w:i w:val="0"/>
                <w:iCs w:val="0"/>
                <w:color w:val="000000"/>
                <w:sz w:val="18"/>
                <w:szCs w:val="18"/>
                <w:u w:val="none"/>
              </w:rPr>
            </w:pP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44CEB4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生态功能区断面监测：安斗乡派克桥、垮沙乡麻尔曲河两个断面；2.饮用水源地监测：县城一个饮用水源地（阿坝镇5村）和5个乡镇饮用水源地水质监测；3.1个黄河流域地表水水质监测：贾柯牧场；4.两个科研趋势断面监测：阿柯河河口、尼柯河河口；5.一个污水处理厂水质监测；6：声环境质量监测：城市区域声环境点位4个、城市道路交通环境监测点位2个、城市功能区点位3个；7.全省农村环境质量试点监测：县域2个农村空气、2个村庄饮用水源，2个地表水断面，2个村庄土壤；</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A01B473">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我县集中式饮用水源地水质达标率100%;县域内国（省）控河流考核断面共2个，水质达标率为100%，国控考核断面水质全面达到Ⅱ类及以上，省控考核断面水质全面达到Ⅲ类及以上，县域内省控趋势科研断面共2个，水质达标率为100%，水质均达到Ⅲ类及以上；城区交通干线噪声、区域环境噪声、城市功能区噪声均达标。</w:t>
            </w:r>
          </w:p>
        </w:tc>
      </w:tr>
      <w:tr w14:paraId="23FF1B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892A95">
            <w:pPr>
              <w:keepNext/>
              <w:snapToGrid w:val="0"/>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FB79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1DF4BB7">
            <w:pPr>
              <w:keepNext/>
              <w:snapToGrid w:val="0"/>
              <w:rPr>
                <w:rFonts w:hint="eastAsia" w:ascii="宋体" w:hAnsi="宋体" w:eastAsia="宋体" w:cs="宋体"/>
                <w:i w:val="0"/>
                <w:iCs w:val="0"/>
                <w:color w:val="000000"/>
                <w:sz w:val="18"/>
                <w:szCs w:val="18"/>
                <w:u w:val="none"/>
              </w:rPr>
            </w:pPr>
          </w:p>
        </w:tc>
      </w:tr>
      <w:tr w14:paraId="3EAA851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FBB55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9CCBE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AD29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2486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FFFC1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0008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AF854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651BE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5492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65FA5CE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45D6D0A">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ACB8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6598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50F1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97A42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DECA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C84A7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D3646">
            <w:pPr>
              <w:keepNext/>
              <w:snapToGrid w:val="0"/>
              <w:jc w:val="center"/>
              <w:rPr>
                <w:rFonts w:hint="eastAsia" w:ascii="宋体" w:hAnsi="宋体" w:eastAsia="宋体" w:cs="宋体"/>
                <w:i w:val="0"/>
                <w:iCs w:val="0"/>
                <w:color w:val="000000"/>
                <w:sz w:val="18"/>
                <w:szCs w:val="18"/>
                <w:u w:val="none"/>
              </w:rPr>
            </w:pP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C19E89">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7112D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A39431">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D077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1110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F04D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98746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D33A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AF2B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80E48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2FE1D">
            <w:pPr>
              <w:keepNext/>
              <w:snapToGrid w:val="0"/>
              <w:rPr>
                <w:rFonts w:hint="eastAsia" w:ascii="黑体" w:hAnsi="黑体" w:eastAsia="黑体" w:cs="黑体"/>
                <w:i/>
                <w:iCs/>
                <w:color w:val="000000"/>
                <w:sz w:val="18"/>
                <w:szCs w:val="18"/>
                <w:u w:val="none"/>
              </w:rPr>
            </w:pPr>
          </w:p>
        </w:tc>
      </w:tr>
      <w:tr w14:paraId="620FDF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39E45B">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D3F2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789A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1DE4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358FC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BD70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F9FA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6BA8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AE64FC">
            <w:pPr>
              <w:keepNext/>
              <w:snapToGrid w:val="0"/>
              <w:rPr>
                <w:rFonts w:hint="eastAsia" w:ascii="黑体" w:hAnsi="黑体" w:eastAsia="黑体" w:cs="黑体"/>
                <w:i/>
                <w:iCs/>
                <w:color w:val="000000"/>
                <w:sz w:val="18"/>
                <w:szCs w:val="18"/>
                <w:u w:val="none"/>
              </w:rPr>
            </w:pPr>
          </w:p>
        </w:tc>
      </w:tr>
      <w:tr w14:paraId="180CE5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6FAA4D7">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C73A9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BAE5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F316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F72AF1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82.00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7F60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8049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FCD4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5F0418">
            <w:pPr>
              <w:keepNext/>
              <w:snapToGrid w:val="0"/>
              <w:rPr>
                <w:rFonts w:hint="eastAsia" w:ascii="黑体" w:hAnsi="黑体" w:eastAsia="黑体" w:cs="黑体"/>
                <w:i/>
                <w:iCs/>
                <w:color w:val="000000"/>
                <w:sz w:val="18"/>
                <w:szCs w:val="18"/>
                <w:u w:val="none"/>
              </w:rPr>
            </w:pPr>
          </w:p>
        </w:tc>
      </w:tr>
      <w:tr w14:paraId="62ED43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DB4F55">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44F4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8ED1B">
            <w:pPr>
              <w:keepNext/>
              <w:snapToGrid w:val="0"/>
              <w:jc w:val="center"/>
              <w:rPr>
                <w:rFonts w:hint="eastAsia" w:ascii="微软雅黑" w:hAnsi="微软雅黑" w:eastAsia="微软雅黑" w:cs="微软雅黑"/>
                <w:i/>
                <w:iCs/>
                <w:color w:val="000000"/>
                <w:sz w:val="16"/>
                <w:szCs w:val="16"/>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8E911">
            <w:pPr>
              <w:keepNext/>
              <w:snapToGrid w:val="0"/>
              <w:jc w:val="center"/>
              <w:rPr>
                <w:rFonts w:hint="eastAsia" w:ascii="微软雅黑" w:hAnsi="微软雅黑" w:eastAsia="微软雅黑" w:cs="微软雅黑"/>
                <w:i/>
                <w:iCs/>
                <w:color w:val="000000"/>
                <w:sz w:val="16"/>
                <w:szCs w:val="16"/>
                <w:u w:val="none"/>
              </w:rPr>
            </w:pP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7148F0">
            <w:pPr>
              <w:keepNext/>
              <w:snapToGrid w:val="0"/>
              <w:jc w:val="center"/>
              <w:rPr>
                <w:rFonts w:hint="eastAsia" w:ascii="微软雅黑" w:hAnsi="微软雅黑" w:eastAsia="微软雅黑" w:cs="微软雅黑"/>
                <w:i/>
                <w:iCs/>
                <w:color w:val="000000"/>
                <w:sz w:val="16"/>
                <w:szCs w:val="16"/>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BCC91">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2278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EB01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E1EE2F">
            <w:pPr>
              <w:keepNext/>
              <w:snapToGrid w:val="0"/>
              <w:rPr>
                <w:rFonts w:hint="eastAsia" w:ascii="黑体" w:hAnsi="黑体" w:eastAsia="黑体" w:cs="黑体"/>
                <w:i/>
                <w:iCs/>
                <w:color w:val="000000"/>
                <w:sz w:val="18"/>
                <w:szCs w:val="18"/>
                <w:u w:val="none"/>
              </w:rPr>
            </w:pPr>
          </w:p>
        </w:tc>
      </w:tr>
      <w:tr w14:paraId="1A9A21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59D8E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85D0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33CE1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1B2D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EB7C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30A5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43B1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32CDD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8BD9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1358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7D9D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74225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8B36FB">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FF52D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E7C96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11A2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监测完成率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CD41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1196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6699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F1588">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1C3FD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981C6">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2FF62">
            <w:pPr>
              <w:keepNext/>
              <w:snapToGrid w:val="0"/>
              <w:jc w:val="center"/>
              <w:rPr>
                <w:rFonts w:hint="eastAsia" w:ascii="微软雅黑" w:hAnsi="微软雅黑" w:eastAsia="微软雅黑" w:cs="微软雅黑"/>
                <w:i/>
                <w:iCs/>
                <w:color w:val="000000"/>
                <w:sz w:val="16"/>
                <w:szCs w:val="16"/>
                <w:u w:val="none"/>
              </w:rPr>
            </w:pPr>
          </w:p>
        </w:tc>
      </w:tr>
      <w:tr w14:paraId="479B80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04C1F3">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656A3D">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6E76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F03F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监测准确率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1725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C30BA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9BA5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3952FA">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AA0D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965DA">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09048">
            <w:pPr>
              <w:keepNext/>
              <w:snapToGrid w:val="0"/>
              <w:jc w:val="center"/>
              <w:rPr>
                <w:rFonts w:hint="eastAsia" w:ascii="微软雅黑" w:hAnsi="微软雅黑" w:eastAsia="微软雅黑" w:cs="微软雅黑"/>
                <w:i/>
                <w:iCs/>
                <w:color w:val="000000"/>
                <w:sz w:val="16"/>
                <w:szCs w:val="16"/>
                <w:u w:val="none"/>
              </w:rPr>
            </w:pPr>
          </w:p>
        </w:tc>
      </w:tr>
      <w:tr w14:paraId="3FFFDC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B6FD3A">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EEDD34">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BFC2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4CBD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7021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0FB8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按计划完成</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2F95C">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2D557">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C527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C9AC14">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F29F1">
            <w:pPr>
              <w:keepNext/>
              <w:snapToGrid w:val="0"/>
              <w:jc w:val="center"/>
              <w:rPr>
                <w:rFonts w:hint="eastAsia" w:ascii="微软雅黑" w:hAnsi="微软雅黑" w:eastAsia="微软雅黑" w:cs="微软雅黑"/>
                <w:i/>
                <w:iCs/>
                <w:color w:val="000000"/>
                <w:sz w:val="16"/>
                <w:szCs w:val="16"/>
                <w:u w:val="none"/>
              </w:rPr>
            </w:pPr>
          </w:p>
        </w:tc>
      </w:tr>
      <w:tr w14:paraId="5BDF5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3D75C">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3E980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91D0D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422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环境管理水平提升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614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64E5A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E4E21">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BC6D9">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78D2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637A7">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18A3D">
            <w:pPr>
              <w:keepNext/>
              <w:snapToGrid w:val="0"/>
              <w:jc w:val="center"/>
              <w:rPr>
                <w:rFonts w:hint="eastAsia" w:ascii="微软雅黑" w:hAnsi="微软雅黑" w:eastAsia="微软雅黑" w:cs="微软雅黑"/>
                <w:i/>
                <w:iCs/>
                <w:color w:val="000000"/>
                <w:sz w:val="16"/>
                <w:szCs w:val="16"/>
                <w:u w:val="none"/>
              </w:rPr>
            </w:pPr>
          </w:p>
        </w:tc>
      </w:tr>
      <w:tr w14:paraId="76230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DF4CB8">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B17396">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FFC3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FF67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当地水环境质量改善</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7F37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49D2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持续</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634E9">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78450">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F2759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6FF95">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5B4B0">
            <w:pPr>
              <w:keepNext/>
              <w:snapToGrid w:val="0"/>
              <w:jc w:val="center"/>
              <w:rPr>
                <w:rFonts w:hint="eastAsia" w:ascii="微软雅黑" w:hAnsi="微软雅黑" w:eastAsia="微软雅黑" w:cs="微软雅黑"/>
                <w:i/>
                <w:iCs/>
                <w:color w:val="000000"/>
                <w:sz w:val="16"/>
                <w:szCs w:val="16"/>
                <w:u w:val="none"/>
              </w:rPr>
            </w:pPr>
          </w:p>
        </w:tc>
      </w:tr>
      <w:tr w14:paraId="30E44E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0C156">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90578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86E2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328A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A1C14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63FD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CEEB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D54CD">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8D3B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C807F">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2D13B">
            <w:pPr>
              <w:keepNext/>
              <w:snapToGrid w:val="0"/>
              <w:jc w:val="center"/>
              <w:rPr>
                <w:rFonts w:hint="eastAsia" w:ascii="微软雅黑" w:hAnsi="微软雅黑" w:eastAsia="微软雅黑" w:cs="微软雅黑"/>
                <w:i/>
                <w:iCs/>
                <w:color w:val="000000"/>
                <w:sz w:val="16"/>
                <w:szCs w:val="16"/>
                <w:u w:val="none"/>
              </w:rPr>
            </w:pPr>
          </w:p>
        </w:tc>
      </w:tr>
      <w:tr w14:paraId="5AB8D6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0A7C37">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7045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DD67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生态环境成本指标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AF52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生态环境水质影响</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D270A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1C9F4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一般</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E6F67">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B8C162">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4CA9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3CD92A">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3E6DE2">
            <w:pPr>
              <w:keepNext/>
              <w:snapToGrid w:val="0"/>
              <w:jc w:val="center"/>
              <w:rPr>
                <w:rFonts w:hint="eastAsia" w:ascii="微软雅黑" w:hAnsi="微软雅黑" w:eastAsia="微软雅黑" w:cs="微软雅黑"/>
                <w:i/>
                <w:iCs/>
                <w:color w:val="000000"/>
                <w:sz w:val="16"/>
                <w:szCs w:val="16"/>
                <w:u w:val="none"/>
              </w:rPr>
            </w:pPr>
          </w:p>
        </w:tc>
      </w:tr>
      <w:tr w14:paraId="042DBC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2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060647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149E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B5813">
            <w:pPr>
              <w:keepNext/>
              <w:snapToGrid w:val="0"/>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34C344">
            <w:pPr>
              <w:keepNext/>
              <w:snapToGrid w:val="0"/>
              <w:rPr>
                <w:rFonts w:hint="eastAsia" w:ascii="宋体" w:hAnsi="宋体" w:eastAsia="宋体" w:cs="宋体"/>
                <w:i w:val="0"/>
                <w:iCs w:val="0"/>
                <w:color w:val="000000"/>
                <w:sz w:val="18"/>
                <w:szCs w:val="18"/>
                <w:u w:val="none"/>
              </w:rPr>
            </w:pPr>
          </w:p>
        </w:tc>
      </w:tr>
      <w:tr w14:paraId="5CFF6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1318F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E8FD047">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我县集中式饮用水源地水质达标率100%;县域内国（省）控河流考核断面共2个，水质达标率为100%，国控考核断面水质全面达到Ⅱ类及以上，省控考核断面水质全面达到Ⅲ类及以上，县域内省控趋势科研断面共2个，水质达标率为100%，水质均达到Ⅲ类及以上；城区交通干线噪声、区域环境噪声、城市功能区噪声均达标。</w:t>
            </w:r>
          </w:p>
        </w:tc>
      </w:tr>
      <w:tr w14:paraId="359FF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B4007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15C7317">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5144E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3579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09E723E">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2FB18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C9B78C5">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项目负责人：王文</w:t>
            </w:r>
          </w:p>
        </w:tc>
        <w:tc>
          <w:tcPr>
            <w:tcW w:w="267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B00977B">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财务负责人：张世康</w:t>
            </w:r>
          </w:p>
        </w:tc>
      </w:tr>
      <w:tr w14:paraId="2A76E0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6057C5F0">
            <w:pPr>
              <w:keepNext/>
              <w:snapToGrid w:val="0"/>
              <w:rPr>
                <w:rFonts w:hint="eastAsia" w:ascii="宋体" w:hAnsi="宋体" w:eastAsia="宋体" w:cs="宋体"/>
                <w:i w:val="0"/>
                <w:iCs w:val="0"/>
                <w:color w:val="000000"/>
                <w:sz w:val="18"/>
                <w:szCs w:val="18"/>
                <w:u w:val="none"/>
              </w:rPr>
            </w:pPr>
          </w:p>
        </w:tc>
        <w:tc>
          <w:tcPr>
            <w:tcW w:w="360" w:type="pct"/>
            <w:tcBorders>
              <w:top w:val="nil"/>
              <w:left w:val="nil"/>
              <w:bottom w:val="nil"/>
              <w:right w:val="nil"/>
            </w:tcBorders>
            <w:shd w:val="clear" w:color="auto" w:fill="auto"/>
            <w:vAlign w:val="center"/>
          </w:tcPr>
          <w:p w14:paraId="02615A85">
            <w:pPr>
              <w:keepNext/>
              <w:snapToGrid w:val="0"/>
              <w:rPr>
                <w:rFonts w:hint="eastAsia" w:ascii="宋体" w:hAnsi="宋体" w:eastAsia="宋体" w:cs="宋体"/>
                <w:i w:val="0"/>
                <w:iCs w:val="0"/>
                <w:color w:val="000000"/>
                <w:sz w:val="18"/>
                <w:szCs w:val="18"/>
                <w:u w:val="none"/>
              </w:rPr>
            </w:pPr>
          </w:p>
        </w:tc>
        <w:tc>
          <w:tcPr>
            <w:tcW w:w="485" w:type="pct"/>
            <w:tcBorders>
              <w:top w:val="nil"/>
              <w:left w:val="nil"/>
              <w:bottom w:val="nil"/>
              <w:right w:val="nil"/>
            </w:tcBorders>
            <w:shd w:val="clear" w:color="auto" w:fill="auto"/>
            <w:vAlign w:val="center"/>
          </w:tcPr>
          <w:p w14:paraId="405E137D">
            <w:pPr>
              <w:keepNext/>
              <w:snapToGrid w:val="0"/>
              <w:rPr>
                <w:rFonts w:hint="eastAsia" w:ascii="宋体" w:hAnsi="宋体" w:eastAsia="宋体" w:cs="宋体"/>
                <w:i w:val="0"/>
                <w:iCs w:val="0"/>
                <w:color w:val="000000"/>
                <w:sz w:val="18"/>
                <w:szCs w:val="18"/>
                <w:u w:val="none"/>
              </w:rPr>
            </w:pPr>
          </w:p>
        </w:tc>
        <w:tc>
          <w:tcPr>
            <w:tcW w:w="867" w:type="pct"/>
            <w:tcBorders>
              <w:top w:val="nil"/>
              <w:left w:val="nil"/>
              <w:bottom w:val="nil"/>
              <w:right w:val="nil"/>
            </w:tcBorders>
            <w:shd w:val="clear" w:color="auto" w:fill="auto"/>
            <w:vAlign w:val="center"/>
          </w:tcPr>
          <w:p w14:paraId="0C0DF225">
            <w:pPr>
              <w:keepNext/>
              <w:snapToGrid w:val="0"/>
              <w:rPr>
                <w:rFonts w:hint="eastAsia" w:ascii="宋体" w:hAnsi="宋体" w:eastAsia="宋体" w:cs="宋体"/>
                <w:i w:val="0"/>
                <w:iCs w:val="0"/>
                <w:color w:val="000000"/>
                <w:sz w:val="18"/>
                <w:szCs w:val="18"/>
                <w:u w:val="none"/>
              </w:rPr>
            </w:pPr>
          </w:p>
        </w:tc>
        <w:tc>
          <w:tcPr>
            <w:tcW w:w="255" w:type="pct"/>
            <w:tcBorders>
              <w:top w:val="nil"/>
              <w:left w:val="nil"/>
              <w:bottom w:val="nil"/>
              <w:right w:val="nil"/>
            </w:tcBorders>
            <w:shd w:val="clear" w:color="auto" w:fill="auto"/>
            <w:vAlign w:val="center"/>
          </w:tcPr>
          <w:p w14:paraId="055F6EF8">
            <w:pPr>
              <w:keepNext/>
              <w:snapToGrid w:val="0"/>
              <w:rPr>
                <w:rFonts w:hint="eastAsia" w:ascii="宋体" w:hAnsi="宋体" w:eastAsia="宋体" w:cs="宋体"/>
                <w:i w:val="0"/>
                <w:iCs w:val="0"/>
                <w:color w:val="000000"/>
                <w:sz w:val="18"/>
                <w:szCs w:val="18"/>
                <w:u w:val="none"/>
              </w:rPr>
            </w:pPr>
          </w:p>
        </w:tc>
        <w:tc>
          <w:tcPr>
            <w:tcW w:w="552" w:type="pct"/>
            <w:tcBorders>
              <w:top w:val="nil"/>
              <w:left w:val="nil"/>
              <w:bottom w:val="nil"/>
              <w:right w:val="nil"/>
            </w:tcBorders>
            <w:shd w:val="clear" w:color="auto" w:fill="auto"/>
            <w:vAlign w:val="center"/>
          </w:tcPr>
          <w:p w14:paraId="335FAFB7">
            <w:pPr>
              <w:keepNext/>
              <w:snapToGrid w:val="0"/>
              <w:rPr>
                <w:rFonts w:hint="eastAsia" w:ascii="宋体" w:hAnsi="宋体" w:eastAsia="宋体" w:cs="宋体"/>
                <w:i w:val="0"/>
                <w:iCs w:val="0"/>
                <w:color w:val="000000"/>
                <w:sz w:val="18"/>
                <w:szCs w:val="18"/>
                <w:u w:val="none"/>
              </w:rPr>
            </w:pPr>
          </w:p>
        </w:tc>
        <w:tc>
          <w:tcPr>
            <w:tcW w:w="465" w:type="pct"/>
            <w:tcBorders>
              <w:top w:val="nil"/>
              <w:left w:val="nil"/>
              <w:bottom w:val="nil"/>
              <w:right w:val="nil"/>
            </w:tcBorders>
            <w:shd w:val="clear" w:color="auto" w:fill="auto"/>
            <w:vAlign w:val="center"/>
          </w:tcPr>
          <w:p w14:paraId="715BE2C9">
            <w:pPr>
              <w:keepNext/>
              <w:snapToGrid w:val="0"/>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33C1A185">
            <w:pPr>
              <w:keepNext/>
              <w:snapToGrid w:val="0"/>
              <w:rPr>
                <w:rFonts w:hint="eastAsia" w:ascii="宋体" w:hAnsi="宋体" w:eastAsia="宋体" w:cs="宋体"/>
                <w:i w:val="0"/>
                <w:iCs w:val="0"/>
                <w:color w:val="000000"/>
                <w:sz w:val="18"/>
                <w:szCs w:val="18"/>
                <w:u w:val="none"/>
              </w:rPr>
            </w:pPr>
          </w:p>
        </w:tc>
        <w:tc>
          <w:tcPr>
            <w:tcW w:w="312" w:type="pct"/>
            <w:tcBorders>
              <w:top w:val="nil"/>
              <w:left w:val="nil"/>
              <w:bottom w:val="nil"/>
              <w:right w:val="nil"/>
            </w:tcBorders>
            <w:shd w:val="clear" w:color="auto" w:fill="auto"/>
            <w:vAlign w:val="center"/>
          </w:tcPr>
          <w:p w14:paraId="226C7827">
            <w:pPr>
              <w:keepNext/>
              <w:snapToGrid w:val="0"/>
              <w:rPr>
                <w:rFonts w:hint="eastAsia" w:ascii="宋体" w:hAnsi="宋体" w:eastAsia="宋体" w:cs="宋体"/>
                <w:i w:val="0"/>
                <w:iCs w:val="0"/>
                <w:color w:val="000000"/>
                <w:sz w:val="18"/>
                <w:szCs w:val="18"/>
                <w:u w:val="none"/>
              </w:rPr>
            </w:pPr>
          </w:p>
        </w:tc>
        <w:tc>
          <w:tcPr>
            <w:tcW w:w="258" w:type="pct"/>
            <w:tcBorders>
              <w:top w:val="nil"/>
              <w:left w:val="nil"/>
              <w:bottom w:val="nil"/>
              <w:right w:val="nil"/>
            </w:tcBorders>
            <w:shd w:val="clear" w:color="auto" w:fill="auto"/>
            <w:vAlign w:val="center"/>
          </w:tcPr>
          <w:p w14:paraId="628C4E17">
            <w:pPr>
              <w:keepNext/>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14:paraId="5D51B2BF">
            <w:pPr>
              <w:keepNext/>
              <w:snapToGrid w:val="0"/>
              <w:rPr>
                <w:rFonts w:hint="eastAsia" w:ascii="宋体" w:hAnsi="宋体" w:eastAsia="宋体" w:cs="宋体"/>
                <w:i w:val="0"/>
                <w:iCs w:val="0"/>
                <w:color w:val="000000"/>
                <w:sz w:val="18"/>
                <w:szCs w:val="18"/>
                <w:u w:val="none"/>
              </w:rPr>
            </w:pPr>
          </w:p>
        </w:tc>
      </w:tr>
      <w:tr w14:paraId="70990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5A76302F">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30BD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09FF6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D270EC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51320025R000012338995-追加人员工资性支出</w:t>
            </w:r>
          </w:p>
        </w:tc>
      </w:tr>
      <w:tr w14:paraId="7A690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877FF07">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5DD786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583" w:type="pct"/>
            <w:tcBorders>
              <w:top w:val="nil"/>
              <w:left w:val="nil"/>
              <w:bottom w:val="nil"/>
              <w:right w:val="nil"/>
            </w:tcBorders>
            <w:shd w:val="clear" w:color="auto" w:fill="auto"/>
            <w:vAlign w:val="center"/>
          </w:tcPr>
          <w:p w14:paraId="339532AD">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7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2B9164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阿坝县生态环境局</w:t>
            </w:r>
          </w:p>
        </w:tc>
      </w:tr>
      <w:tr w14:paraId="2F875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495CEE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3F7F8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B0A144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E943A71">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450BE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A34836">
            <w:pPr>
              <w:keepNext/>
              <w:snapToGrid w:val="0"/>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D75A22">
            <w:pPr>
              <w:keepNext/>
              <w:snapToGrid w:val="0"/>
              <w:rPr>
                <w:rFonts w:hint="eastAsia" w:ascii="宋体" w:hAnsi="宋体" w:eastAsia="宋体" w:cs="宋体"/>
                <w:i w:val="0"/>
                <w:iCs w:val="0"/>
                <w:color w:val="000000"/>
                <w:sz w:val="18"/>
                <w:szCs w:val="18"/>
                <w:u w:val="none"/>
              </w:rPr>
            </w:pP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7874E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严格执行相关政策，保障工资及时、足额发放或社保及时、足额缴纳，预算编制科学合理，减少结余资金</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C719D6">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始终严格执行相关政策，完成保障工资及时、足额发放的年度目标，预算编制科学合理，没有结余资金。</w:t>
            </w:r>
          </w:p>
        </w:tc>
      </w:tr>
      <w:tr w14:paraId="48B200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D245D2">
            <w:pPr>
              <w:keepNext/>
              <w:snapToGrid w:val="0"/>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F0DB8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714841A">
            <w:pPr>
              <w:keepNext/>
              <w:snapToGrid w:val="0"/>
              <w:rPr>
                <w:rFonts w:hint="eastAsia" w:ascii="宋体" w:hAnsi="宋体" w:eastAsia="宋体" w:cs="宋体"/>
                <w:i w:val="0"/>
                <w:iCs w:val="0"/>
                <w:color w:val="000000"/>
                <w:sz w:val="18"/>
                <w:szCs w:val="18"/>
                <w:u w:val="none"/>
              </w:rPr>
            </w:pPr>
          </w:p>
        </w:tc>
      </w:tr>
      <w:tr w14:paraId="48F76A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FFBC7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C0AE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7EE8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F683F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3A00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4780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F24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232A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4CD5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7F6C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A3DA91">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4E54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85CB4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5BDD0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6.88</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E2352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6.88</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D3D7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5CD15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632BF3">
            <w:pPr>
              <w:keepNext/>
              <w:snapToGrid w:val="0"/>
              <w:jc w:val="center"/>
              <w:rPr>
                <w:rFonts w:hint="eastAsia" w:ascii="宋体" w:hAnsi="宋体" w:eastAsia="宋体" w:cs="宋体"/>
                <w:i w:val="0"/>
                <w:iCs w:val="0"/>
                <w:color w:val="000000"/>
                <w:sz w:val="18"/>
                <w:szCs w:val="18"/>
                <w:u w:val="none"/>
              </w:rPr>
            </w:pP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2B854A">
            <w:pPr>
              <w:keepNext/>
              <w:keepLines w:val="0"/>
              <w:widowControl/>
              <w:suppressLineNumbers w:val="0"/>
              <w:snapToGrid w:val="0"/>
              <w:jc w:val="left"/>
              <w:textAlignment w:val="center"/>
              <w:rPr>
                <w:rFonts w:hint="eastAsia" w:ascii="黑体" w:hAnsi="黑体" w:eastAsia="黑体" w:cs="黑体"/>
                <w:b/>
                <w:bCs/>
                <w:i/>
                <w:iCs/>
                <w:color w:val="000000"/>
                <w:sz w:val="18"/>
                <w:szCs w:val="18"/>
                <w:u w:val="none"/>
              </w:rPr>
            </w:pPr>
            <w:r>
              <w:rPr>
                <w:rFonts w:hint="eastAsia" w:ascii="黑体" w:hAnsi="黑体" w:eastAsia="黑体" w:cs="黑体"/>
                <w:b/>
                <w:bCs/>
                <w:i/>
                <w:iCs/>
                <w:color w:val="000000"/>
                <w:kern w:val="0"/>
                <w:sz w:val="18"/>
                <w:szCs w:val="18"/>
                <w:u w:val="none"/>
                <w:lang w:val="en-US" w:eastAsia="zh-CN" w:bidi="ar"/>
              </w:rPr>
              <w:t>1.预算执行率已达100%.</w:t>
            </w:r>
          </w:p>
        </w:tc>
      </w:tr>
      <w:tr w14:paraId="538222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6107E">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30C6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89C6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E83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6.88</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6E7A93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6.88</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BBA3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DDF9E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AA3E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D711FE">
            <w:pPr>
              <w:keepNext/>
              <w:snapToGrid w:val="0"/>
              <w:rPr>
                <w:rFonts w:hint="eastAsia" w:ascii="黑体" w:hAnsi="黑体" w:eastAsia="黑体" w:cs="黑体"/>
                <w:b/>
                <w:bCs/>
                <w:i/>
                <w:iCs/>
                <w:color w:val="000000"/>
                <w:sz w:val="18"/>
                <w:szCs w:val="18"/>
                <w:u w:val="none"/>
              </w:rPr>
            </w:pPr>
          </w:p>
        </w:tc>
      </w:tr>
      <w:tr w14:paraId="4C0015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D17A71">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7201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73D4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A0903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2C2D90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61BA3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BA10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7C5E0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B9DCE1">
            <w:pPr>
              <w:keepNext/>
              <w:snapToGrid w:val="0"/>
              <w:rPr>
                <w:rFonts w:hint="eastAsia" w:ascii="黑体" w:hAnsi="黑体" w:eastAsia="黑体" w:cs="黑体"/>
                <w:b/>
                <w:bCs/>
                <w:i/>
                <w:iCs/>
                <w:color w:val="000000"/>
                <w:sz w:val="18"/>
                <w:szCs w:val="18"/>
                <w:u w:val="none"/>
              </w:rPr>
            </w:pPr>
          </w:p>
        </w:tc>
      </w:tr>
      <w:tr w14:paraId="7D94A4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333866">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3395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B0517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5059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538416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AD51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8828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8D034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B18767">
            <w:pPr>
              <w:keepNext/>
              <w:snapToGrid w:val="0"/>
              <w:rPr>
                <w:rFonts w:hint="eastAsia" w:ascii="黑体" w:hAnsi="黑体" w:eastAsia="黑体" w:cs="黑体"/>
                <w:b/>
                <w:bCs/>
                <w:i/>
                <w:iCs/>
                <w:color w:val="000000"/>
                <w:sz w:val="18"/>
                <w:szCs w:val="18"/>
                <w:u w:val="none"/>
              </w:rPr>
            </w:pPr>
          </w:p>
        </w:tc>
      </w:tr>
      <w:tr w14:paraId="07368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24FD63">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6FF9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87608">
            <w:pPr>
              <w:keepNext/>
              <w:snapToGrid w:val="0"/>
              <w:jc w:val="center"/>
              <w:rPr>
                <w:rFonts w:hint="eastAsia" w:ascii="微软雅黑" w:hAnsi="微软雅黑" w:eastAsia="微软雅黑" w:cs="微软雅黑"/>
                <w:i/>
                <w:iCs/>
                <w:color w:val="000000"/>
                <w:sz w:val="16"/>
                <w:szCs w:val="16"/>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8B5F2">
            <w:pPr>
              <w:keepNext/>
              <w:snapToGrid w:val="0"/>
              <w:jc w:val="center"/>
              <w:rPr>
                <w:rFonts w:hint="eastAsia" w:ascii="微软雅黑" w:hAnsi="微软雅黑" w:eastAsia="微软雅黑" w:cs="微软雅黑"/>
                <w:i/>
                <w:iCs/>
                <w:color w:val="000000"/>
                <w:sz w:val="16"/>
                <w:szCs w:val="16"/>
                <w:u w:val="none"/>
              </w:rPr>
            </w:pP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0A19EA">
            <w:pPr>
              <w:keepNext/>
              <w:snapToGrid w:val="0"/>
              <w:jc w:val="center"/>
              <w:rPr>
                <w:rFonts w:hint="eastAsia" w:ascii="微软雅黑" w:hAnsi="微软雅黑" w:eastAsia="微软雅黑" w:cs="微软雅黑"/>
                <w:i/>
                <w:iCs/>
                <w:color w:val="000000"/>
                <w:sz w:val="16"/>
                <w:szCs w:val="16"/>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33342A">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715A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04AE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D4521C">
            <w:pPr>
              <w:keepNext/>
              <w:snapToGrid w:val="0"/>
              <w:rPr>
                <w:rFonts w:hint="eastAsia" w:ascii="黑体" w:hAnsi="黑体" w:eastAsia="黑体" w:cs="黑体"/>
                <w:b/>
                <w:bCs/>
                <w:i/>
                <w:iCs/>
                <w:color w:val="000000"/>
                <w:sz w:val="18"/>
                <w:szCs w:val="18"/>
                <w:u w:val="none"/>
              </w:rPr>
            </w:pPr>
          </w:p>
        </w:tc>
      </w:tr>
      <w:tr w14:paraId="0F0C65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40BFA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12D4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6698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F092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60DC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D302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5E29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19E8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1538F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C1114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057A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689DA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0EBF17">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AF4D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0F45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5D65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发放（缴纳）覆盖率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BFFE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495C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A594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F229E">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036B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DCEF3">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6B552">
            <w:pPr>
              <w:keepNext/>
              <w:snapToGrid w:val="0"/>
              <w:jc w:val="center"/>
              <w:rPr>
                <w:rFonts w:hint="eastAsia" w:ascii="微软雅黑" w:hAnsi="微软雅黑" w:eastAsia="微软雅黑" w:cs="微软雅黑"/>
                <w:i/>
                <w:iCs/>
                <w:color w:val="000000"/>
                <w:sz w:val="16"/>
                <w:szCs w:val="16"/>
                <w:u w:val="none"/>
              </w:rPr>
            </w:pPr>
          </w:p>
        </w:tc>
      </w:tr>
      <w:tr w14:paraId="6DC776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593575">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4C3E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81A09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BA75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足额保障率（参保率）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0EE2A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CABFE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95F6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CB658">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7F520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3C3ED">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2EBD8">
            <w:pPr>
              <w:keepNext/>
              <w:snapToGrid w:val="0"/>
              <w:jc w:val="center"/>
              <w:rPr>
                <w:rFonts w:hint="eastAsia" w:ascii="微软雅黑" w:hAnsi="微软雅黑" w:eastAsia="微软雅黑" w:cs="微软雅黑"/>
                <w:i/>
                <w:iCs/>
                <w:color w:val="000000"/>
                <w:sz w:val="16"/>
                <w:szCs w:val="16"/>
                <w:u w:val="none"/>
              </w:rPr>
            </w:pPr>
          </w:p>
        </w:tc>
      </w:tr>
      <w:tr w14:paraId="4CAAE2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2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08BA2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EC0C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200625">
            <w:pPr>
              <w:keepNext/>
              <w:snapToGrid w:val="0"/>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BAA83">
            <w:pPr>
              <w:keepNext/>
              <w:snapToGrid w:val="0"/>
              <w:rPr>
                <w:rFonts w:hint="eastAsia" w:ascii="宋体" w:hAnsi="宋体" w:eastAsia="宋体" w:cs="宋体"/>
                <w:i w:val="0"/>
                <w:iCs w:val="0"/>
                <w:color w:val="000000"/>
                <w:sz w:val="18"/>
                <w:szCs w:val="18"/>
                <w:u w:val="none"/>
              </w:rPr>
            </w:pPr>
          </w:p>
        </w:tc>
      </w:tr>
      <w:tr w14:paraId="329BD9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2C7B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7DAEBD7">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始终严格执行相关政策，完成保障工资及时、足额发放的年度目标，预算编制科学合理，没有结余资金。自评结果100分，为优。</w:t>
            </w:r>
          </w:p>
        </w:tc>
      </w:tr>
      <w:tr w14:paraId="2138CC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D39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6EBB92F">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52685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E14FE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9EB6EE">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5CA3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3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44BEAF">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项目负责人：王文</w:t>
            </w:r>
          </w:p>
        </w:tc>
        <w:tc>
          <w:tcPr>
            <w:tcW w:w="267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2521389A">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财务负责人：张世康</w:t>
            </w:r>
          </w:p>
        </w:tc>
      </w:tr>
      <w:tr w14:paraId="500112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30B020FC">
            <w:pPr>
              <w:keepNext/>
              <w:snapToGrid w:val="0"/>
              <w:rPr>
                <w:rFonts w:hint="eastAsia" w:ascii="宋体" w:hAnsi="宋体" w:eastAsia="宋体" w:cs="宋体"/>
                <w:i w:val="0"/>
                <w:iCs w:val="0"/>
                <w:color w:val="000000"/>
                <w:sz w:val="18"/>
                <w:szCs w:val="18"/>
                <w:u w:val="none"/>
              </w:rPr>
            </w:pPr>
          </w:p>
        </w:tc>
        <w:tc>
          <w:tcPr>
            <w:tcW w:w="360" w:type="pct"/>
            <w:tcBorders>
              <w:top w:val="nil"/>
              <w:left w:val="nil"/>
              <w:bottom w:val="nil"/>
              <w:right w:val="nil"/>
            </w:tcBorders>
            <w:shd w:val="clear" w:color="auto" w:fill="auto"/>
            <w:vAlign w:val="center"/>
          </w:tcPr>
          <w:p w14:paraId="5138ADF6">
            <w:pPr>
              <w:keepNext/>
              <w:snapToGrid w:val="0"/>
              <w:rPr>
                <w:rFonts w:hint="eastAsia" w:ascii="宋体" w:hAnsi="宋体" w:eastAsia="宋体" w:cs="宋体"/>
                <w:i w:val="0"/>
                <w:iCs w:val="0"/>
                <w:color w:val="000000"/>
                <w:sz w:val="18"/>
                <w:szCs w:val="18"/>
                <w:u w:val="none"/>
              </w:rPr>
            </w:pPr>
          </w:p>
        </w:tc>
        <w:tc>
          <w:tcPr>
            <w:tcW w:w="485" w:type="pct"/>
            <w:tcBorders>
              <w:top w:val="nil"/>
              <w:left w:val="nil"/>
              <w:bottom w:val="nil"/>
              <w:right w:val="nil"/>
            </w:tcBorders>
            <w:shd w:val="clear" w:color="auto" w:fill="auto"/>
            <w:vAlign w:val="center"/>
          </w:tcPr>
          <w:p w14:paraId="67CB0EAA">
            <w:pPr>
              <w:keepNext/>
              <w:snapToGrid w:val="0"/>
              <w:rPr>
                <w:rFonts w:hint="eastAsia" w:ascii="宋体" w:hAnsi="宋体" w:eastAsia="宋体" w:cs="宋体"/>
                <w:i w:val="0"/>
                <w:iCs w:val="0"/>
                <w:color w:val="000000"/>
                <w:sz w:val="18"/>
                <w:szCs w:val="18"/>
                <w:u w:val="none"/>
              </w:rPr>
            </w:pPr>
          </w:p>
        </w:tc>
        <w:tc>
          <w:tcPr>
            <w:tcW w:w="867" w:type="pct"/>
            <w:tcBorders>
              <w:top w:val="nil"/>
              <w:left w:val="nil"/>
              <w:bottom w:val="nil"/>
              <w:right w:val="nil"/>
            </w:tcBorders>
            <w:shd w:val="clear" w:color="auto" w:fill="auto"/>
            <w:vAlign w:val="center"/>
          </w:tcPr>
          <w:p w14:paraId="230E23DD">
            <w:pPr>
              <w:keepNext/>
              <w:snapToGrid w:val="0"/>
              <w:rPr>
                <w:rFonts w:hint="eastAsia" w:ascii="宋体" w:hAnsi="宋体" w:eastAsia="宋体" w:cs="宋体"/>
                <w:i w:val="0"/>
                <w:iCs w:val="0"/>
                <w:color w:val="000000"/>
                <w:sz w:val="18"/>
                <w:szCs w:val="18"/>
                <w:u w:val="none"/>
              </w:rPr>
            </w:pPr>
          </w:p>
        </w:tc>
        <w:tc>
          <w:tcPr>
            <w:tcW w:w="255" w:type="pct"/>
            <w:tcBorders>
              <w:top w:val="nil"/>
              <w:left w:val="nil"/>
              <w:bottom w:val="nil"/>
              <w:right w:val="nil"/>
            </w:tcBorders>
            <w:shd w:val="clear" w:color="auto" w:fill="auto"/>
            <w:vAlign w:val="center"/>
          </w:tcPr>
          <w:p w14:paraId="52461185">
            <w:pPr>
              <w:keepNext/>
              <w:snapToGrid w:val="0"/>
              <w:rPr>
                <w:rFonts w:hint="eastAsia" w:ascii="宋体" w:hAnsi="宋体" w:eastAsia="宋体" w:cs="宋体"/>
                <w:i w:val="0"/>
                <w:iCs w:val="0"/>
                <w:color w:val="000000"/>
                <w:sz w:val="18"/>
                <w:szCs w:val="18"/>
                <w:u w:val="none"/>
              </w:rPr>
            </w:pPr>
          </w:p>
        </w:tc>
        <w:tc>
          <w:tcPr>
            <w:tcW w:w="552" w:type="pct"/>
            <w:tcBorders>
              <w:top w:val="nil"/>
              <w:left w:val="nil"/>
              <w:bottom w:val="nil"/>
              <w:right w:val="nil"/>
            </w:tcBorders>
            <w:shd w:val="clear" w:color="auto" w:fill="auto"/>
            <w:vAlign w:val="center"/>
          </w:tcPr>
          <w:p w14:paraId="5CC7740B">
            <w:pPr>
              <w:keepNext/>
              <w:snapToGrid w:val="0"/>
              <w:rPr>
                <w:rFonts w:hint="eastAsia" w:ascii="宋体" w:hAnsi="宋体" w:eastAsia="宋体" w:cs="宋体"/>
                <w:i w:val="0"/>
                <w:iCs w:val="0"/>
                <w:color w:val="000000"/>
                <w:sz w:val="18"/>
                <w:szCs w:val="18"/>
                <w:u w:val="none"/>
              </w:rPr>
            </w:pPr>
          </w:p>
        </w:tc>
        <w:tc>
          <w:tcPr>
            <w:tcW w:w="465" w:type="pct"/>
            <w:tcBorders>
              <w:top w:val="nil"/>
              <w:left w:val="nil"/>
              <w:bottom w:val="nil"/>
              <w:right w:val="nil"/>
            </w:tcBorders>
            <w:shd w:val="clear" w:color="auto" w:fill="auto"/>
            <w:vAlign w:val="center"/>
          </w:tcPr>
          <w:p w14:paraId="52ACA7B2">
            <w:pPr>
              <w:keepNext/>
              <w:snapToGrid w:val="0"/>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6A240BE9">
            <w:pPr>
              <w:keepNext/>
              <w:snapToGrid w:val="0"/>
              <w:rPr>
                <w:rFonts w:hint="eastAsia" w:ascii="宋体" w:hAnsi="宋体" w:eastAsia="宋体" w:cs="宋体"/>
                <w:i w:val="0"/>
                <w:iCs w:val="0"/>
                <w:color w:val="000000"/>
                <w:sz w:val="18"/>
                <w:szCs w:val="18"/>
                <w:u w:val="none"/>
              </w:rPr>
            </w:pPr>
          </w:p>
        </w:tc>
        <w:tc>
          <w:tcPr>
            <w:tcW w:w="312" w:type="pct"/>
            <w:tcBorders>
              <w:top w:val="nil"/>
              <w:left w:val="nil"/>
              <w:bottom w:val="nil"/>
              <w:right w:val="nil"/>
            </w:tcBorders>
            <w:shd w:val="clear" w:color="auto" w:fill="auto"/>
            <w:vAlign w:val="center"/>
          </w:tcPr>
          <w:p w14:paraId="4A43B053">
            <w:pPr>
              <w:keepNext/>
              <w:snapToGrid w:val="0"/>
              <w:rPr>
                <w:rFonts w:hint="eastAsia" w:ascii="宋体" w:hAnsi="宋体" w:eastAsia="宋体" w:cs="宋体"/>
                <w:i w:val="0"/>
                <w:iCs w:val="0"/>
                <w:color w:val="000000"/>
                <w:sz w:val="18"/>
                <w:szCs w:val="18"/>
                <w:u w:val="none"/>
              </w:rPr>
            </w:pPr>
          </w:p>
        </w:tc>
        <w:tc>
          <w:tcPr>
            <w:tcW w:w="258" w:type="pct"/>
            <w:tcBorders>
              <w:top w:val="nil"/>
              <w:left w:val="nil"/>
              <w:bottom w:val="nil"/>
              <w:right w:val="nil"/>
            </w:tcBorders>
            <w:shd w:val="clear" w:color="auto" w:fill="auto"/>
            <w:vAlign w:val="center"/>
          </w:tcPr>
          <w:p w14:paraId="47DF5F4F">
            <w:pPr>
              <w:keepNext/>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14:paraId="5338745E">
            <w:pPr>
              <w:keepNext/>
              <w:snapToGrid w:val="0"/>
              <w:rPr>
                <w:rFonts w:hint="eastAsia" w:ascii="宋体" w:hAnsi="宋体" w:eastAsia="宋体" w:cs="宋体"/>
                <w:i w:val="0"/>
                <w:iCs w:val="0"/>
                <w:color w:val="000000"/>
                <w:sz w:val="18"/>
                <w:szCs w:val="18"/>
                <w:u w:val="none"/>
              </w:rPr>
            </w:pPr>
          </w:p>
        </w:tc>
      </w:tr>
      <w:tr w14:paraId="4BDCF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845B1E4">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3E13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330DE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FA8CD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51320025T000012990625-阿坝县环境应急监测重点污染源监督性监测及监测运维经费</w:t>
            </w:r>
          </w:p>
        </w:tc>
      </w:tr>
      <w:tr w14:paraId="2D7AE5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1E49B99">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3B8D6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583" w:type="pct"/>
            <w:tcBorders>
              <w:top w:val="nil"/>
              <w:left w:val="nil"/>
              <w:bottom w:val="nil"/>
              <w:right w:val="nil"/>
            </w:tcBorders>
            <w:shd w:val="clear" w:color="auto" w:fill="auto"/>
            <w:vAlign w:val="center"/>
          </w:tcPr>
          <w:p w14:paraId="5C889213">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7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0ABDD9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阿坝县生态环境局</w:t>
            </w:r>
          </w:p>
        </w:tc>
      </w:tr>
      <w:tr w14:paraId="3CD53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AAE06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EBCB3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35D2C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07B162">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1964FB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89467F">
            <w:pPr>
              <w:keepNext/>
              <w:snapToGrid w:val="0"/>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D93090">
            <w:pPr>
              <w:keepNext/>
              <w:snapToGrid w:val="0"/>
              <w:rPr>
                <w:rFonts w:hint="eastAsia" w:ascii="宋体" w:hAnsi="宋体" w:eastAsia="宋体" w:cs="宋体"/>
                <w:i w:val="0"/>
                <w:iCs w:val="0"/>
                <w:color w:val="000000"/>
                <w:sz w:val="18"/>
                <w:szCs w:val="18"/>
                <w:u w:val="none"/>
              </w:rPr>
            </w:pP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9C1AB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顺利完成我局环境执法应急监测重点污染源监督性监测以及监测运行，用于完成年度环境应急监测，监测站运行维护，重点污染源常规监测，通过环境监测工作，促进自然环境持续改善。</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69A26E">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顺利完成2025年空气自动站运行，保障运行维护经费</w:t>
            </w:r>
          </w:p>
        </w:tc>
      </w:tr>
      <w:tr w14:paraId="41C547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69477">
            <w:pPr>
              <w:keepNext/>
              <w:snapToGrid w:val="0"/>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A601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5F6C32">
            <w:pPr>
              <w:keepNext/>
              <w:snapToGrid w:val="0"/>
              <w:rPr>
                <w:rFonts w:hint="eastAsia" w:ascii="宋体" w:hAnsi="宋体" w:eastAsia="宋体" w:cs="宋体"/>
                <w:i w:val="0"/>
                <w:iCs w:val="0"/>
                <w:color w:val="000000"/>
                <w:sz w:val="18"/>
                <w:szCs w:val="18"/>
                <w:u w:val="none"/>
              </w:rPr>
            </w:pPr>
          </w:p>
        </w:tc>
      </w:tr>
      <w:tr w14:paraId="2C6AC0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D2196A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D6D8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195D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43A9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3F3E7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8565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90F52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6066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B705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3BB98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A26A23">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3124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92C2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1610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3B4D4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DFC8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7C573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A3A98">
            <w:pPr>
              <w:keepNext/>
              <w:snapToGrid w:val="0"/>
              <w:jc w:val="center"/>
              <w:rPr>
                <w:rFonts w:hint="eastAsia" w:ascii="宋体" w:hAnsi="宋体" w:eastAsia="宋体" w:cs="宋体"/>
                <w:i w:val="0"/>
                <w:iCs w:val="0"/>
                <w:color w:val="000000"/>
                <w:sz w:val="18"/>
                <w:szCs w:val="18"/>
                <w:u w:val="none"/>
              </w:rPr>
            </w:pP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E33DB2">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5AC08D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F1AE5">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A36F7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16FBD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7264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082E10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B2A4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CD0B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B67D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48D6AE">
            <w:pPr>
              <w:keepNext/>
              <w:snapToGrid w:val="0"/>
              <w:rPr>
                <w:rFonts w:hint="eastAsia" w:ascii="黑体" w:hAnsi="黑体" w:eastAsia="黑体" w:cs="黑体"/>
                <w:i/>
                <w:iCs/>
                <w:color w:val="000000"/>
                <w:sz w:val="18"/>
                <w:szCs w:val="18"/>
                <w:u w:val="none"/>
              </w:rPr>
            </w:pPr>
          </w:p>
        </w:tc>
      </w:tr>
      <w:tr w14:paraId="367740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4CC5FB">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A91F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6C9D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2E8F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4530C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7F0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5600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BCEE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778554">
            <w:pPr>
              <w:keepNext/>
              <w:snapToGrid w:val="0"/>
              <w:rPr>
                <w:rFonts w:hint="eastAsia" w:ascii="黑体" w:hAnsi="黑体" w:eastAsia="黑体" w:cs="黑体"/>
                <w:i/>
                <w:iCs/>
                <w:color w:val="000000"/>
                <w:sz w:val="18"/>
                <w:szCs w:val="18"/>
                <w:u w:val="none"/>
              </w:rPr>
            </w:pPr>
          </w:p>
        </w:tc>
      </w:tr>
      <w:tr w14:paraId="724E0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B356D5">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D44B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535C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F844F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DFC258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E246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C8AA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5D8F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E38EA3">
            <w:pPr>
              <w:keepNext/>
              <w:snapToGrid w:val="0"/>
              <w:rPr>
                <w:rFonts w:hint="eastAsia" w:ascii="黑体" w:hAnsi="黑体" w:eastAsia="黑体" w:cs="黑体"/>
                <w:i/>
                <w:iCs/>
                <w:color w:val="000000"/>
                <w:sz w:val="18"/>
                <w:szCs w:val="18"/>
                <w:u w:val="none"/>
              </w:rPr>
            </w:pPr>
          </w:p>
        </w:tc>
      </w:tr>
      <w:tr w14:paraId="05FA8C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ABEEEF">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8D8C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CFF57">
            <w:pPr>
              <w:keepNext/>
              <w:snapToGrid w:val="0"/>
              <w:jc w:val="center"/>
              <w:rPr>
                <w:rFonts w:hint="eastAsia" w:ascii="微软雅黑" w:hAnsi="微软雅黑" w:eastAsia="微软雅黑" w:cs="微软雅黑"/>
                <w:i/>
                <w:iCs/>
                <w:color w:val="000000"/>
                <w:sz w:val="16"/>
                <w:szCs w:val="16"/>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78701">
            <w:pPr>
              <w:keepNext/>
              <w:snapToGrid w:val="0"/>
              <w:jc w:val="center"/>
              <w:rPr>
                <w:rFonts w:hint="eastAsia" w:ascii="微软雅黑" w:hAnsi="微软雅黑" w:eastAsia="微软雅黑" w:cs="微软雅黑"/>
                <w:i/>
                <w:iCs/>
                <w:color w:val="000000"/>
                <w:sz w:val="16"/>
                <w:szCs w:val="16"/>
                <w:u w:val="none"/>
              </w:rPr>
            </w:pP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97B922">
            <w:pPr>
              <w:keepNext/>
              <w:snapToGrid w:val="0"/>
              <w:jc w:val="center"/>
              <w:rPr>
                <w:rFonts w:hint="eastAsia" w:ascii="微软雅黑" w:hAnsi="微软雅黑" w:eastAsia="微软雅黑" w:cs="微软雅黑"/>
                <w:i/>
                <w:iCs/>
                <w:color w:val="000000"/>
                <w:sz w:val="16"/>
                <w:szCs w:val="16"/>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189E94">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35A9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671E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01A12">
            <w:pPr>
              <w:keepNext/>
              <w:snapToGrid w:val="0"/>
              <w:rPr>
                <w:rFonts w:hint="eastAsia" w:ascii="黑体" w:hAnsi="黑体" w:eastAsia="黑体" w:cs="黑体"/>
                <w:i/>
                <w:iCs/>
                <w:color w:val="000000"/>
                <w:sz w:val="18"/>
                <w:szCs w:val="18"/>
                <w:u w:val="none"/>
              </w:rPr>
            </w:pPr>
          </w:p>
        </w:tc>
      </w:tr>
      <w:tr w14:paraId="34F2A5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02EF3E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F0DC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5EA3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2B84E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077C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D022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E0D9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9F836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66B8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31E8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88AEA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861A2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11F888">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1715F3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7ADA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2CC6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监测完成率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DEB0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A775A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4973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DB214">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F2D2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9B8A6">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8DBC2F">
            <w:pPr>
              <w:keepNext/>
              <w:snapToGrid w:val="0"/>
              <w:jc w:val="center"/>
              <w:rPr>
                <w:rFonts w:hint="eastAsia" w:ascii="微软雅黑" w:hAnsi="微软雅黑" w:eastAsia="微软雅黑" w:cs="微软雅黑"/>
                <w:i/>
                <w:iCs/>
                <w:color w:val="000000"/>
                <w:sz w:val="16"/>
                <w:szCs w:val="16"/>
                <w:u w:val="none"/>
              </w:rPr>
            </w:pPr>
          </w:p>
        </w:tc>
      </w:tr>
      <w:tr w14:paraId="65E9E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29A330">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EA4A5C">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EDED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72A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监测准确率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FC41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702E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4E49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6E037">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C2DE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74E3F">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EE0D1">
            <w:pPr>
              <w:keepNext/>
              <w:snapToGrid w:val="0"/>
              <w:jc w:val="center"/>
              <w:rPr>
                <w:rFonts w:hint="eastAsia" w:ascii="微软雅黑" w:hAnsi="微软雅黑" w:eastAsia="微软雅黑" w:cs="微软雅黑"/>
                <w:i/>
                <w:iCs/>
                <w:color w:val="000000"/>
                <w:sz w:val="16"/>
                <w:szCs w:val="16"/>
                <w:u w:val="none"/>
              </w:rPr>
            </w:pPr>
          </w:p>
        </w:tc>
      </w:tr>
      <w:tr w14:paraId="08FBA1F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83CFF8">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AAA7F5">
            <w:pPr>
              <w:keepNext/>
              <w:snapToGrid w:val="0"/>
              <w:jc w:val="center"/>
              <w:rPr>
                <w:rFonts w:hint="eastAsia" w:ascii="宋体" w:hAnsi="宋体" w:eastAsia="宋体" w:cs="宋体"/>
                <w:i w:val="0"/>
                <w:iCs w:val="0"/>
                <w:color w:val="000000"/>
                <w:sz w:val="18"/>
                <w:szCs w:val="18"/>
                <w:u w:val="none"/>
              </w:rPr>
            </w:pPr>
          </w:p>
        </w:tc>
        <w:tc>
          <w:tcPr>
            <w:tcW w:w="4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1D4EE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420B2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项目按计划时间完成情况</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85BA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F8B30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项目按计划时间完成情况好</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109F1">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E2F21F">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4BC7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ECB63">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07E29">
            <w:pPr>
              <w:keepNext/>
              <w:snapToGrid w:val="0"/>
              <w:jc w:val="center"/>
              <w:rPr>
                <w:rFonts w:hint="eastAsia" w:ascii="微软雅黑" w:hAnsi="微软雅黑" w:eastAsia="微软雅黑" w:cs="微软雅黑"/>
                <w:i/>
                <w:iCs/>
                <w:color w:val="000000"/>
                <w:sz w:val="16"/>
                <w:szCs w:val="16"/>
                <w:u w:val="none"/>
              </w:rPr>
            </w:pPr>
          </w:p>
        </w:tc>
      </w:tr>
      <w:tr w14:paraId="48E324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0A35AF">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FF5468">
            <w:pPr>
              <w:keepNext/>
              <w:snapToGrid w:val="0"/>
              <w:jc w:val="center"/>
              <w:rPr>
                <w:rFonts w:hint="eastAsia" w:ascii="宋体" w:hAnsi="宋体" w:eastAsia="宋体" w:cs="宋体"/>
                <w:i w:val="0"/>
                <w:iCs w:val="0"/>
                <w:color w:val="000000"/>
                <w:sz w:val="18"/>
                <w:szCs w:val="18"/>
                <w:u w:val="none"/>
              </w:rPr>
            </w:pPr>
          </w:p>
        </w:tc>
        <w:tc>
          <w:tcPr>
            <w:tcW w:w="4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3CAA37">
            <w:pPr>
              <w:keepNext/>
              <w:snapToGrid w:val="0"/>
              <w:jc w:val="center"/>
              <w:rPr>
                <w:rFonts w:hint="eastAsia" w:ascii="宋体" w:hAnsi="宋体" w:eastAsia="宋体" w:cs="宋体"/>
                <w:i w:val="0"/>
                <w:iCs w:val="0"/>
                <w:color w:val="000000"/>
                <w:sz w:val="18"/>
                <w:szCs w:val="18"/>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B2ED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应急出勤时间</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BA86A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2038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高效</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FFE26">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EB1A2">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12F81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AEDBD">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54FB3">
            <w:pPr>
              <w:keepNext/>
              <w:snapToGrid w:val="0"/>
              <w:jc w:val="center"/>
              <w:rPr>
                <w:rFonts w:hint="eastAsia" w:ascii="微软雅黑" w:hAnsi="微软雅黑" w:eastAsia="微软雅黑" w:cs="微软雅黑"/>
                <w:i/>
                <w:iCs/>
                <w:color w:val="000000"/>
                <w:sz w:val="16"/>
                <w:szCs w:val="16"/>
                <w:u w:val="none"/>
              </w:rPr>
            </w:pPr>
          </w:p>
        </w:tc>
      </w:tr>
      <w:tr w14:paraId="24C81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8D3A84">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7FF52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D7B3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542F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环境监测信息公开率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A2EC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81BB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3056C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40E85">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5966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BC223">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42DAC">
            <w:pPr>
              <w:keepNext/>
              <w:snapToGrid w:val="0"/>
              <w:jc w:val="center"/>
              <w:rPr>
                <w:rFonts w:hint="eastAsia" w:ascii="微软雅黑" w:hAnsi="微软雅黑" w:eastAsia="微软雅黑" w:cs="微软雅黑"/>
                <w:i/>
                <w:iCs/>
                <w:color w:val="000000"/>
                <w:sz w:val="16"/>
                <w:szCs w:val="16"/>
                <w:u w:val="none"/>
              </w:rPr>
            </w:pPr>
          </w:p>
        </w:tc>
      </w:tr>
      <w:tr w14:paraId="69FE1C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CC5514">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8CE41">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1369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6EC9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自然环境持续发展</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BAB2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5EDC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自然环境发展情况良好</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2A7D2E">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6320E">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5EFA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90E11">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8EDB1">
            <w:pPr>
              <w:keepNext/>
              <w:snapToGrid w:val="0"/>
              <w:jc w:val="center"/>
              <w:rPr>
                <w:rFonts w:hint="eastAsia" w:ascii="微软雅黑" w:hAnsi="微软雅黑" w:eastAsia="微软雅黑" w:cs="微软雅黑"/>
                <w:i/>
                <w:iCs/>
                <w:color w:val="000000"/>
                <w:sz w:val="16"/>
                <w:szCs w:val="16"/>
                <w:u w:val="none"/>
              </w:rPr>
            </w:pPr>
          </w:p>
        </w:tc>
      </w:tr>
      <w:tr w14:paraId="22695E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C488AF">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0241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C903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CD0B7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BF61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9638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618D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5AB65">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7EFB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9242CC">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B9C265">
            <w:pPr>
              <w:keepNext/>
              <w:snapToGrid w:val="0"/>
              <w:jc w:val="center"/>
              <w:rPr>
                <w:rFonts w:hint="eastAsia" w:ascii="微软雅黑" w:hAnsi="微软雅黑" w:eastAsia="微软雅黑" w:cs="微软雅黑"/>
                <w:i/>
                <w:iCs/>
                <w:color w:val="000000"/>
                <w:sz w:val="16"/>
                <w:szCs w:val="16"/>
                <w:u w:val="none"/>
              </w:rPr>
            </w:pPr>
          </w:p>
        </w:tc>
      </w:tr>
      <w:tr w14:paraId="20BFB9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8B58FC">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424EB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650C4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0F2A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项目预算控制率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61712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3FBA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30ED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BA136">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82F7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EA9B0">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303A3">
            <w:pPr>
              <w:keepNext/>
              <w:snapToGrid w:val="0"/>
              <w:jc w:val="center"/>
              <w:rPr>
                <w:rFonts w:hint="eastAsia" w:ascii="微软雅黑" w:hAnsi="微软雅黑" w:eastAsia="微软雅黑" w:cs="微软雅黑"/>
                <w:i/>
                <w:iCs/>
                <w:color w:val="000000"/>
                <w:sz w:val="16"/>
                <w:szCs w:val="16"/>
                <w:u w:val="none"/>
              </w:rPr>
            </w:pPr>
          </w:p>
        </w:tc>
      </w:tr>
      <w:tr w14:paraId="3781FB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2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11D5601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E350B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F44457">
            <w:pPr>
              <w:keepNext/>
              <w:snapToGrid w:val="0"/>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7AAC8">
            <w:pPr>
              <w:keepNext/>
              <w:snapToGrid w:val="0"/>
              <w:rPr>
                <w:rFonts w:hint="eastAsia" w:ascii="宋体" w:hAnsi="宋体" w:eastAsia="宋体" w:cs="宋体"/>
                <w:i w:val="0"/>
                <w:iCs w:val="0"/>
                <w:color w:val="000000"/>
                <w:sz w:val="18"/>
                <w:szCs w:val="18"/>
                <w:u w:val="none"/>
              </w:rPr>
            </w:pPr>
          </w:p>
        </w:tc>
      </w:tr>
      <w:tr w14:paraId="7BAF3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A40C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41A314C">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一是顺利完成2025年空气自动站运行，保障运行维护经费，二是顺利开展环境执法应急监测工作，及时地了解和掌握空气及环境突发情况。</w:t>
            </w:r>
          </w:p>
        </w:tc>
      </w:tr>
      <w:tr w14:paraId="53C72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B765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0ECAD65">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2F0C6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4B6F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80F12E8">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85B61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3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918F265">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项目负责人：王文</w:t>
            </w:r>
          </w:p>
        </w:tc>
        <w:tc>
          <w:tcPr>
            <w:tcW w:w="267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B204F1C">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财务负责人：张世康</w:t>
            </w:r>
          </w:p>
        </w:tc>
      </w:tr>
      <w:tr w14:paraId="16C1F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08438696">
            <w:pPr>
              <w:keepNext/>
              <w:snapToGrid w:val="0"/>
              <w:rPr>
                <w:rFonts w:hint="eastAsia" w:ascii="宋体" w:hAnsi="宋体" w:eastAsia="宋体" w:cs="宋体"/>
                <w:i w:val="0"/>
                <w:iCs w:val="0"/>
                <w:color w:val="000000"/>
                <w:sz w:val="18"/>
                <w:szCs w:val="18"/>
                <w:u w:val="none"/>
              </w:rPr>
            </w:pPr>
          </w:p>
        </w:tc>
        <w:tc>
          <w:tcPr>
            <w:tcW w:w="360" w:type="pct"/>
            <w:tcBorders>
              <w:top w:val="nil"/>
              <w:left w:val="nil"/>
              <w:bottom w:val="nil"/>
              <w:right w:val="nil"/>
            </w:tcBorders>
            <w:shd w:val="clear" w:color="auto" w:fill="auto"/>
            <w:vAlign w:val="center"/>
          </w:tcPr>
          <w:p w14:paraId="17A80508">
            <w:pPr>
              <w:keepNext/>
              <w:snapToGrid w:val="0"/>
              <w:rPr>
                <w:rFonts w:hint="eastAsia" w:ascii="宋体" w:hAnsi="宋体" w:eastAsia="宋体" w:cs="宋体"/>
                <w:i w:val="0"/>
                <w:iCs w:val="0"/>
                <w:color w:val="000000"/>
                <w:sz w:val="18"/>
                <w:szCs w:val="18"/>
                <w:u w:val="none"/>
              </w:rPr>
            </w:pPr>
          </w:p>
        </w:tc>
        <w:tc>
          <w:tcPr>
            <w:tcW w:w="485" w:type="pct"/>
            <w:tcBorders>
              <w:top w:val="nil"/>
              <w:left w:val="nil"/>
              <w:bottom w:val="nil"/>
              <w:right w:val="nil"/>
            </w:tcBorders>
            <w:shd w:val="clear" w:color="auto" w:fill="auto"/>
            <w:vAlign w:val="center"/>
          </w:tcPr>
          <w:p w14:paraId="743AC679">
            <w:pPr>
              <w:keepNext/>
              <w:snapToGrid w:val="0"/>
              <w:rPr>
                <w:rFonts w:hint="eastAsia" w:ascii="宋体" w:hAnsi="宋体" w:eastAsia="宋体" w:cs="宋体"/>
                <w:i w:val="0"/>
                <w:iCs w:val="0"/>
                <w:color w:val="000000"/>
                <w:sz w:val="18"/>
                <w:szCs w:val="18"/>
                <w:u w:val="none"/>
              </w:rPr>
            </w:pPr>
          </w:p>
        </w:tc>
        <w:tc>
          <w:tcPr>
            <w:tcW w:w="867" w:type="pct"/>
            <w:tcBorders>
              <w:top w:val="nil"/>
              <w:left w:val="nil"/>
              <w:bottom w:val="nil"/>
              <w:right w:val="nil"/>
            </w:tcBorders>
            <w:shd w:val="clear" w:color="auto" w:fill="auto"/>
            <w:vAlign w:val="center"/>
          </w:tcPr>
          <w:p w14:paraId="637EE688">
            <w:pPr>
              <w:keepNext/>
              <w:snapToGrid w:val="0"/>
              <w:rPr>
                <w:rFonts w:hint="eastAsia" w:ascii="宋体" w:hAnsi="宋体" w:eastAsia="宋体" w:cs="宋体"/>
                <w:i w:val="0"/>
                <w:iCs w:val="0"/>
                <w:color w:val="000000"/>
                <w:sz w:val="18"/>
                <w:szCs w:val="18"/>
                <w:u w:val="none"/>
              </w:rPr>
            </w:pPr>
          </w:p>
        </w:tc>
        <w:tc>
          <w:tcPr>
            <w:tcW w:w="255" w:type="pct"/>
            <w:tcBorders>
              <w:top w:val="nil"/>
              <w:left w:val="nil"/>
              <w:bottom w:val="nil"/>
              <w:right w:val="nil"/>
            </w:tcBorders>
            <w:shd w:val="clear" w:color="auto" w:fill="auto"/>
            <w:vAlign w:val="center"/>
          </w:tcPr>
          <w:p w14:paraId="4BCE7DA0">
            <w:pPr>
              <w:keepNext/>
              <w:snapToGrid w:val="0"/>
              <w:rPr>
                <w:rFonts w:hint="eastAsia" w:ascii="宋体" w:hAnsi="宋体" w:eastAsia="宋体" w:cs="宋体"/>
                <w:i w:val="0"/>
                <w:iCs w:val="0"/>
                <w:color w:val="000000"/>
                <w:sz w:val="18"/>
                <w:szCs w:val="18"/>
                <w:u w:val="none"/>
              </w:rPr>
            </w:pPr>
          </w:p>
        </w:tc>
        <w:tc>
          <w:tcPr>
            <w:tcW w:w="552" w:type="pct"/>
            <w:tcBorders>
              <w:top w:val="nil"/>
              <w:left w:val="nil"/>
              <w:bottom w:val="nil"/>
              <w:right w:val="nil"/>
            </w:tcBorders>
            <w:shd w:val="clear" w:color="auto" w:fill="auto"/>
            <w:vAlign w:val="center"/>
          </w:tcPr>
          <w:p w14:paraId="5819DA27">
            <w:pPr>
              <w:keepNext/>
              <w:snapToGrid w:val="0"/>
              <w:rPr>
                <w:rFonts w:hint="eastAsia" w:ascii="宋体" w:hAnsi="宋体" w:eastAsia="宋体" w:cs="宋体"/>
                <w:i w:val="0"/>
                <w:iCs w:val="0"/>
                <w:color w:val="000000"/>
                <w:sz w:val="18"/>
                <w:szCs w:val="18"/>
                <w:u w:val="none"/>
              </w:rPr>
            </w:pPr>
          </w:p>
        </w:tc>
        <w:tc>
          <w:tcPr>
            <w:tcW w:w="465" w:type="pct"/>
            <w:tcBorders>
              <w:top w:val="nil"/>
              <w:left w:val="nil"/>
              <w:bottom w:val="nil"/>
              <w:right w:val="nil"/>
            </w:tcBorders>
            <w:shd w:val="clear" w:color="auto" w:fill="auto"/>
            <w:vAlign w:val="center"/>
          </w:tcPr>
          <w:p w14:paraId="7DF08219">
            <w:pPr>
              <w:keepNext/>
              <w:snapToGrid w:val="0"/>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78FD5286">
            <w:pPr>
              <w:keepNext/>
              <w:snapToGrid w:val="0"/>
              <w:rPr>
                <w:rFonts w:hint="eastAsia" w:ascii="宋体" w:hAnsi="宋体" w:eastAsia="宋体" w:cs="宋体"/>
                <w:i w:val="0"/>
                <w:iCs w:val="0"/>
                <w:color w:val="000000"/>
                <w:sz w:val="18"/>
                <w:szCs w:val="18"/>
                <w:u w:val="none"/>
              </w:rPr>
            </w:pPr>
          </w:p>
        </w:tc>
        <w:tc>
          <w:tcPr>
            <w:tcW w:w="312" w:type="pct"/>
            <w:tcBorders>
              <w:top w:val="nil"/>
              <w:left w:val="nil"/>
              <w:bottom w:val="nil"/>
              <w:right w:val="nil"/>
            </w:tcBorders>
            <w:shd w:val="clear" w:color="auto" w:fill="auto"/>
            <w:vAlign w:val="center"/>
          </w:tcPr>
          <w:p w14:paraId="2A5DB28A">
            <w:pPr>
              <w:keepNext/>
              <w:snapToGrid w:val="0"/>
              <w:rPr>
                <w:rFonts w:hint="eastAsia" w:ascii="宋体" w:hAnsi="宋体" w:eastAsia="宋体" w:cs="宋体"/>
                <w:i w:val="0"/>
                <w:iCs w:val="0"/>
                <w:color w:val="000000"/>
                <w:sz w:val="18"/>
                <w:szCs w:val="18"/>
                <w:u w:val="none"/>
              </w:rPr>
            </w:pPr>
          </w:p>
        </w:tc>
        <w:tc>
          <w:tcPr>
            <w:tcW w:w="258" w:type="pct"/>
            <w:tcBorders>
              <w:top w:val="nil"/>
              <w:left w:val="nil"/>
              <w:bottom w:val="nil"/>
              <w:right w:val="nil"/>
            </w:tcBorders>
            <w:shd w:val="clear" w:color="auto" w:fill="auto"/>
            <w:vAlign w:val="center"/>
          </w:tcPr>
          <w:p w14:paraId="2ABB1FAF">
            <w:pPr>
              <w:keepNext/>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14:paraId="76EA201E">
            <w:pPr>
              <w:keepNext/>
              <w:snapToGrid w:val="0"/>
              <w:rPr>
                <w:rFonts w:hint="eastAsia" w:ascii="宋体" w:hAnsi="宋体" w:eastAsia="宋体" w:cs="宋体"/>
                <w:i w:val="0"/>
                <w:iCs w:val="0"/>
                <w:color w:val="000000"/>
                <w:sz w:val="18"/>
                <w:szCs w:val="18"/>
                <w:u w:val="none"/>
              </w:rPr>
            </w:pPr>
          </w:p>
        </w:tc>
      </w:tr>
      <w:tr w14:paraId="73703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11D8DC0">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6FB745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FF4AA5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9CFF5D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51320025T000012990885-阿坝县生态环境宣传教育经费</w:t>
            </w:r>
          </w:p>
        </w:tc>
      </w:tr>
      <w:tr w14:paraId="4CEFE9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9634E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1E5641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583" w:type="pct"/>
            <w:tcBorders>
              <w:top w:val="nil"/>
              <w:left w:val="nil"/>
              <w:bottom w:val="nil"/>
              <w:right w:val="nil"/>
            </w:tcBorders>
            <w:shd w:val="clear" w:color="auto" w:fill="auto"/>
            <w:vAlign w:val="center"/>
          </w:tcPr>
          <w:p w14:paraId="356B00F6">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7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6D03D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阿坝县生态环境局</w:t>
            </w:r>
          </w:p>
        </w:tc>
      </w:tr>
      <w:tr w14:paraId="2EF2A6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E3324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46ACF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2D002E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E496CF9">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7A68C0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F1CBFE">
            <w:pPr>
              <w:keepNext/>
              <w:snapToGrid w:val="0"/>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B45E7F">
            <w:pPr>
              <w:keepNext/>
              <w:snapToGrid w:val="0"/>
              <w:rPr>
                <w:rFonts w:hint="eastAsia" w:ascii="宋体" w:hAnsi="宋体" w:eastAsia="宋体" w:cs="宋体"/>
                <w:i w:val="0"/>
                <w:iCs w:val="0"/>
                <w:color w:val="000000"/>
                <w:sz w:val="18"/>
                <w:szCs w:val="18"/>
                <w:u w:val="none"/>
              </w:rPr>
            </w:pP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B0E46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为顺利完成我局生态环境宣传工作，及时让广大群众了解环境保护情况，加大广大群众对环境保护的认知。加强环保工作，文明施工，共同维护生态环境，提升环境质量，完成年度宣传教育工作。</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032B000">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严格落实年度宣传目标任务，2025年我县环保宣传工作圆满完成。</w:t>
            </w:r>
          </w:p>
        </w:tc>
      </w:tr>
      <w:tr w14:paraId="09FEE2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296378">
            <w:pPr>
              <w:keepNext/>
              <w:snapToGrid w:val="0"/>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9130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F93CF34">
            <w:pPr>
              <w:keepNext/>
              <w:snapToGrid w:val="0"/>
              <w:rPr>
                <w:rFonts w:hint="eastAsia" w:ascii="宋体" w:hAnsi="宋体" w:eastAsia="宋体" w:cs="宋体"/>
                <w:i w:val="0"/>
                <w:iCs w:val="0"/>
                <w:color w:val="000000"/>
                <w:sz w:val="18"/>
                <w:szCs w:val="18"/>
                <w:u w:val="none"/>
              </w:rPr>
            </w:pPr>
          </w:p>
        </w:tc>
      </w:tr>
      <w:tr w14:paraId="5582A8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D9073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8B94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DAE4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204A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3F883C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71458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ABC2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1DFE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E48F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4E2048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A7B4A">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56C1D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2585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2061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E1E89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0FFCC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5BAE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EE8D6">
            <w:pPr>
              <w:keepNext/>
              <w:snapToGrid w:val="0"/>
              <w:jc w:val="center"/>
              <w:rPr>
                <w:rFonts w:hint="eastAsia" w:ascii="宋体" w:hAnsi="宋体" w:eastAsia="宋体" w:cs="宋体"/>
                <w:i w:val="0"/>
                <w:iCs w:val="0"/>
                <w:color w:val="000000"/>
                <w:sz w:val="18"/>
                <w:szCs w:val="18"/>
                <w:u w:val="none"/>
              </w:rPr>
            </w:pP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3D9284">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4B4F01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9877AC">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B079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140F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3B07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DD79FB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3.80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3FDB2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CBE9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A8A1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F07684">
            <w:pPr>
              <w:keepNext/>
              <w:snapToGrid w:val="0"/>
              <w:rPr>
                <w:rFonts w:hint="eastAsia" w:ascii="黑体" w:hAnsi="黑体" w:eastAsia="黑体" w:cs="黑体"/>
                <w:i/>
                <w:iCs/>
                <w:color w:val="000000"/>
                <w:sz w:val="18"/>
                <w:szCs w:val="18"/>
                <w:u w:val="none"/>
              </w:rPr>
            </w:pPr>
          </w:p>
        </w:tc>
      </w:tr>
      <w:tr w14:paraId="2E257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812E6">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12982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08C8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C695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04B2E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358B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92B8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EA5A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DDECF">
            <w:pPr>
              <w:keepNext/>
              <w:snapToGrid w:val="0"/>
              <w:rPr>
                <w:rFonts w:hint="eastAsia" w:ascii="黑体" w:hAnsi="黑体" w:eastAsia="黑体" w:cs="黑体"/>
                <w:i/>
                <w:iCs/>
                <w:color w:val="000000"/>
                <w:sz w:val="18"/>
                <w:szCs w:val="18"/>
                <w:u w:val="none"/>
              </w:rPr>
            </w:pPr>
          </w:p>
        </w:tc>
      </w:tr>
      <w:tr w14:paraId="65E7F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CF21E6">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DEA8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F971E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3925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37D10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2F59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FF4C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20855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248740">
            <w:pPr>
              <w:keepNext/>
              <w:snapToGrid w:val="0"/>
              <w:rPr>
                <w:rFonts w:hint="eastAsia" w:ascii="黑体" w:hAnsi="黑体" w:eastAsia="黑体" w:cs="黑体"/>
                <w:i/>
                <w:iCs/>
                <w:color w:val="000000"/>
                <w:sz w:val="18"/>
                <w:szCs w:val="18"/>
                <w:u w:val="none"/>
              </w:rPr>
            </w:pPr>
          </w:p>
        </w:tc>
      </w:tr>
      <w:tr w14:paraId="7B4B7D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5227D">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ED6D1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5C498">
            <w:pPr>
              <w:keepNext/>
              <w:snapToGrid w:val="0"/>
              <w:jc w:val="center"/>
              <w:rPr>
                <w:rFonts w:hint="eastAsia" w:ascii="微软雅黑" w:hAnsi="微软雅黑" w:eastAsia="微软雅黑" w:cs="微软雅黑"/>
                <w:i/>
                <w:iCs/>
                <w:color w:val="000000"/>
                <w:sz w:val="16"/>
                <w:szCs w:val="16"/>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78E33">
            <w:pPr>
              <w:keepNext/>
              <w:snapToGrid w:val="0"/>
              <w:jc w:val="center"/>
              <w:rPr>
                <w:rFonts w:hint="eastAsia" w:ascii="微软雅黑" w:hAnsi="微软雅黑" w:eastAsia="微软雅黑" w:cs="微软雅黑"/>
                <w:i/>
                <w:iCs/>
                <w:color w:val="000000"/>
                <w:sz w:val="16"/>
                <w:szCs w:val="16"/>
                <w:u w:val="none"/>
              </w:rPr>
            </w:pP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D8C4C8">
            <w:pPr>
              <w:keepNext/>
              <w:snapToGrid w:val="0"/>
              <w:jc w:val="center"/>
              <w:rPr>
                <w:rFonts w:hint="eastAsia" w:ascii="微软雅黑" w:hAnsi="微软雅黑" w:eastAsia="微软雅黑" w:cs="微软雅黑"/>
                <w:i/>
                <w:iCs/>
                <w:color w:val="000000"/>
                <w:sz w:val="16"/>
                <w:szCs w:val="16"/>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2066D">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35E9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7F20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27149">
            <w:pPr>
              <w:keepNext/>
              <w:snapToGrid w:val="0"/>
              <w:rPr>
                <w:rFonts w:hint="eastAsia" w:ascii="黑体" w:hAnsi="黑体" w:eastAsia="黑体" w:cs="黑体"/>
                <w:i/>
                <w:iCs/>
                <w:color w:val="000000"/>
                <w:sz w:val="18"/>
                <w:szCs w:val="18"/>
                <w:u w:val="none"/>
              </w:rPr>
            </w:pPr>
          </w:p>
        </w:tc>
      </w:tr>
      <w:tr w14:paraId="73ECD6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AF032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7C9F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2A60F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E0B3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8561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E1E20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56C07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E74F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3CD6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D1EC9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7269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10AB4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8F2BE">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CBADB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2298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6B7C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宣传次数</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3DBF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E706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9908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ABB28">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C1D6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F1659">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EDEE9">
            <w:pPr>
              <w:keepNext/>
              <w:snapToGrid w:val="0"/>
              <w:jc w:val="center"/>
              <w:rPr>
                <w:rFonts w:hint="eastAsia" w:ascii="微软雅黑" w:hAnsi="微软雅黑" w:eastAsia="微软雅黑" w:cs="微软雅黑"/>
                <w:i/>
                <w:iCs/>
                <w:color w:val="000000"/>
                <w:sz w:val="16"/>
                <w:szCs w:val="16"/>
                <w:u w:val="none"/>
              </w:rPr>
            </w:pPr>
          </w:p>
        </w:tc>
      </w:tr>
      <w:tr w14:paraId="01F97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D281DB">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035D12">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490D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1FBF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宣传效果达标率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629F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E1D2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90423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88D14">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BC86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47A03">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7F6EA">
            <w:pPr>
              <w:keepNext/>
              <w:snapToGrid w:val="0"/>
              <w:jc w:val="center"/>
              <w:rPr>
                <w:rFonts w:hint="eastAsia" w:ascii="微软雅黑" w:hAnsi="微软雅黑" w:eastAsia="微软雅黑" w:cs="微软雅黑"/>
                <w:i/>
                <w:iCs/>
                <w:color w:val="000000"/>
                <w:sz w:val="16"/>
                <w:szCs w:val="16"/>
                <w:u w:val="none"/>
              </w:rPr>
            </w:pPr>
          </w:p>
        </w:tc>
      </w:tr>
      <w:tr w14:paraId="17AF9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CAC83E">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5B0A87">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61CA2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AEAB9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季度宣传工作完成时间</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B00D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C70D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每季度时间节点前5日完成</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FA4B6">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CEEA3">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C954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BF338">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79761">
            <w:pPr>
              <w:keepNext/>
              <w:snapToGrid w:val="0"/>
              <w:jc w:val="center"/>
              <w:rPr>
                <w:rFonts w:hint="eastAsia" w:ascii="微软雅黑" w:hAnsi="微软雅黑" w:eastAsia="微软雅黑" w:cs="微软雅黑"/>
                <w:i/>
                <w:iCs/>
                <w:color w:val="000000"/>
                <w:sz w:val="16"/>
                <w:szCs w:val="16"/>
                <w:u w:val="none"/>
              </w:rPr>
            </w:pPr>
          </w:p>
        </w:tc>
      </w:tr>
      <w:tr w14:paraId="111607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E22E83">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440B5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F070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1228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群众环保意识提升程度</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9CE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CF22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自然环境发展情况良好</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8F9EE">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37940C">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B4EA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D7EF2">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E7E40">
            <w:pPr>
              <w:keepNext/>
              <w:snapToGrid w:val="0"/>
              <w:jc w:val="center"/>
              <w:rPr>
                <w:rFonts w:hint="eastAsia" w:ascii="微软雅黑" w:hAnsi="微软雅黑" w:eastAsia="微软雅黑" w:cs="微软雅黑"/>
                <w:i/>
                <w:iCs/>
                <w:color w:val="000000"/>
                <w:sz w:val="16"/>
                <w:szCs w:val="16"/>
                <w:u w:val="none"/>
              </w:rPr>
            </w:pPr>
          </w:p>
        </w:tc>
      </w:tr>
      <w:tr w14:paraId="17014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F44E35">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E4455E">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BCA59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FC5D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环境质量改善程度</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8E00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90B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显著改善</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C57C5">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F2BA65">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AEEE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0E33E">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0F01F">
            <w:pPr>
              <w:keepNext/>
              <w:snapToGrid w:val="0"/>
              <w:jc w:val="center"/>
              <w:rPr>
                <w:rFonts w:hint="eastAsia" w:ascii="微软雅黑" w:hAnsi="微软雅黑" w:eastAsia="微软雅黑" w:cs="微软雅黑"/>
                <w:i/>
                <w:iCs/>
                <w:color w:val="000000"/>
                <w:sz w:val="16"/>
                <w:szCs w:val="16"/>
                <w:u w:val="none"/>
              </w:rPr>
            </w:pPr>
          </w:p>
        </w:tc>
      </w:tr>
      <w:tr w14:paraId="146A832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1700E1">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6998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F615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EDCAE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宣传对象满意度</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2547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F8AD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2315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94EDF5">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96EB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D11432">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096404">
            <w:pPr>
              <w:keepNext/>
              <w:snapToGrid w:val="0"/>
              <w:jc w:val="center"/>
              <w:rPr>
                <w:rFonts w:hint="eastAsia" w:ascii="微软雅黑" w:hAnsi="微软雅黑" w:eastAsia="微软雅黑" w:cs="微软雅黑"/>
                <w:i/>
                <w:iCs/>
                <w:color w:val="000000"/>
                <w:sz w:val="16"/>
                <w:szCs w:val="16"/>
                <w:u w:val="none"/>
              </w:rPr>
            </w:pPr>
          </w:p>
        </w:tc>
      </w:tr>
      <w:tr w14:paraId="0A8930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C475C2">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5657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0BFC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D35AA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宣传成本控制率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81D7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E164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577C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AA776">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99BB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9B92A">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E9F77">
            <w:pPr>
              <w:keepNext/>
              <w:snapToGrid w:val="0"/>
              <w:jc w:val="center"/>
              <w:rPr>
                <w:rFonts w:hint="eastAsia" w:ascii="微软雅黑" w:hAnsi="微软雅黑" w:eastAsia="微软雅黑" w:cs="微软雅黑"/>
                <w:i/>
                <w:iCs/>
                <w:color w:val="000000"/>
                <w:sz w:val="16"/>
                <w:szCs w:val="16"/>
                <w:u w:val="none"/>
              </w:rPr>
            </w:pPr>
          </w:p>
        </w:tc>
      </w:tr>
      <w:tr w14:paraId="41E575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2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0B8446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5F9C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809D1">
            <w:pPr>
              <w:keepNext/>
              <w:snapToGrid w:val="0"/>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A3371">
            <w:pPr>
              <w:keepNext/>
              <w:snapToGrid w:val="0"/>
              <w:rPr>
                <w:rFonts w:hint="eastAsia" w:ascii="宋体" w:hAnsi="宋体" w:eastAsia="宋体" w:cs="宋体"/>
                <w:i w:val="0"/>
                <w:iCs w:val="0"/>
                <w:color w:val="000000"/>
                <w:sz w:val="18"/>
                <w:szCs w:val="18"/>
                <w:u w:val="none"/>
              </w:rPr>
            </w:pPr>
          </w:p>
        </w:tc>
      </w:tr>
      <w:tr w14:paraId="6EF78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7E5E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D5FCCF4">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阿坝县宣传经费项目自评总分100分</w:t>
            </w:r>
          </w:p>
        </w:tc>
      </w:tr>
      <w:tr w14:paraId="0E6546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1996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33F1124">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410DD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5F7C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987FDF7">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E3A9F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3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28F659">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项目负责人：王文</w:t>
            </w:r>
          </w:p>
        </w:tc>
        <w:tc>
          <w:tcPr>
            <w:tcW w:w="267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F7B89C2">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财务负责人：张世康</w:t>
            </w:r>
          </w:p>
        </w:tc>
      </w:tr>
      <w:tr w14:paraId="3FFDEA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72A504A1">
            <w:pPr>
              <w:keepNext/>
              <w:snapToGrid w:val="0"/>
              <w:rPr>
                <w:rFonts w:hint="eastAsia" w:ascii="宋体" w:hAnsi="宋体" w:eastAsia="宋体" w:cs="宋体"/>
                <w:i w:val="0"/>
                <w:iCs w:val="0"/>
                <w:color w:val="000000"/>
                <w:sz w:val="18"/>
                <w:szCs w:val="18"/>
                <w:u w:val="none"/>
              </w:rPr>
            </w:pPr>
          </w:p>
        </w:tc>
        <w:tc>
          <w:tcPr>
            <w:tcW w:w="360" w:type="pct"/>
            <w:tcBorders>
              <w:top w:val="nil"/>
              <w:left w:val="nil"/>
              <w:bottom w:val="nil"/>
              <w:right w:val="nil"/>
            </w:tcBorders>
            <w:shd w:val="clear" w:color="auto" w:fill="auto"/>
            <w:vAlign w:val="center"/>
          </w:tcPr>
          <w:p w14:paraId="7DF9EACB">
            <w:pPr>
              <w:keepNext/>
              <w:snapToGrid w:val="0"/>
              <w:rPr>
                <w:rFonts w:hint="eastAsia" w:ascii="宋体" w:hAnsi="宋体" w:eastAsia="宋体" w:cs="宋体"/>
                <w:i w:val="0"/>
                <w:iCs w:val="0"/>
                <w:color w:val="000000"/>
                <w:sz w:val="18"/>
                <w:szCs w:val="18"/>
                <w:u w:val="none"/>
              </w:rPr>
            </w:pPr>
          </w:p>
        </w:tc>
        <w:tc>
          <w:tcPr>
            <w:tcW w:w="485" w:type="pct"/>
            <w:tcBorders>
              <w:top w:val="nil"/>
              <w:left w:val="nil"/>
              <w:bottom w:val="nil"/>
              <w:right w:val="nil"/>
            </w:tcBorders>
            <w:shd w:val="clear" w:color="auto" w:fill="auto"/>
            <w:vAlign w:val="center"/>
          </w:tcPr>
          <w:p w14:paraId="153CBEEB">
            <w:pPr>
              <w:keepNext/>
              <w:snapToGrid w:val="0"/>
              <w:rPr>
                <w:rFonts w:hint="eastAsia" w:ascii="宋体" w:hAnsi="宋体" w:eastAsia="宋体" w:cs="宋体"/>
                <w:i w:val="0"/>
                <w:iCs w:val="0"/>
                <w:color w:val="000000"/>
                <w:sz w:val="18"/>
                <w:szCs w:val="18"/>
                <w:u w:val="none"/>
              </w:rPr>
            </w:pPr>
          </w:p>
        </w:tc>
        <w:tc>
          <w:tcPr>
            <w:tcW w:w="867" w:type="pct"/>
            <w:tcBorders>
              <w:top w:val="nil"/>
              <w:left w:val="nil"/>
              <w:bottom w:val="nil"/>
              <w:right w:val="nil"/>
            </w:tcBorders>
            <w:shd w:val="clear" w:color="auto" w:fill="auto"/>
            <w:vAlign w:val="center"/>
          </w:tcPr>
          <w:p w14:paraId="6D130FF9">
            <w:pPr>
              <w:keepNext/>
              <w:snapToGrid w:val="0"/>
              <w:rPr>
                <w:rFonts w:hint="eastAsia" w:ascii="宋体" w:hAnsi="宋体" w:eastAsia="宋体" w:cs="宋体"/>
                <w:i w:val="0"/>
                <w:iCs w:val="0"/>
                <w:color w:val="000000"/>
                <w:sz w:val="18"/>
                <w:szCs w:val="18"/>
                <w:u w:val="none"/>
              </w:rPr>
            </w:pPr>
          </w:p>
        </w:tc>
        <w:tc>
          <w:tcPr>
            <w:tcW w:w="255" w:type="pct"/>
            <w:tcBorders>
              <w:top w:val="nil"/>
              <w:left w:val="nil"/>
              <w:bottom w:val="nil"/>
              <w:right w:val="nil"/>
            </w:tcBorders>
            <w:shd w:val="clear" w:color="auto" w:fill="auto"/>
            <w:vAlign w:val="center"/>
          </w:tcPr>
          <w:p w14:paraId="1CE8EAAC">
            <w:pPr>
              <w:keepNext/>
              <w:snapToGrid w:val="0"/>
              <w:rPr>
                <w:rFonts w:hint="eastAsia" w:ascii="宋体" w:hAnsi="宋体" w:eastAsia="宋体" w:cs="宋体"/>
                <w:i w:val="0"/>
                <w:iCs w:val="0"/>
                <w:color w:val="000000"/>
                <w:sz w:val="18"/>
                <w:szCs w:val="18"/>
                <w:u w:val="none"/>
              </w:rPr>
            </w:pPr>
          </w:p>
        </w:tc>
        <w:tc>
          <w:tcPr>
            <w:tcW w:w="552" w:type="pct"/>
            <w:tcBorders>
              <w:top w:val="nil"/>
              <w:left w:val="nil"/>
              <w:bottom w:val="nil"/>
              <w:right w:val="nil"/>
            </w:tcBorders>
            <w:shd w:val="clear" w:color="auto" w:fill="auto"/>
            <w:vAlign w:val="center"/>
          </w:tcPr>
          <w:p w14:paraId="53ACF145">
            <w:pPr>
              <w:keepNext/>
              <w:snapToGrid w:val="0"/>
              <w:rPr>
                <w:rFonts w:hint="eastAsia" w:ascii="宋体" w:hAnsi="宋体" w:eastAsia="宋体" w:cs="宋体"/>
                <w:i w:val="0"/>
                <w:iCs w:val="0"/>
                <w:color w:val="000000"/>
                <w:sz w:val="18"/>
                <w:szCs w:val="18"/>
                <w:u w:val="none"/>
              </w:rPr>
            </w:pPr>
          </w:p>
        </w:tc>
        <w:tc>
          <w:tcPr>
            <w:tcW w:w="465" w:type="pct"/>
            <w:tcBorders>
              <w:top w:val="nil"/>
              <w:left w:val="nil"/>
              <w:bottom w:val="nil"/>
              <w:right w:val="nil"/>
            </w:tcBorders>
            <w:shd w:val="clear" w:color="auto" w:fill="auto"/>
            <w:vAlign w:val="center"/>
          </w:tcPr>
          <w:p w14:paraId="1C4E837A">
            <w:pPr>
              <w:keepNext/>
              <w:snapToGrid w:val="0"/>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544C8DD4">
            <w:pPr>
              <w:keepNext/>
              <w:snapToGrid w:val="0"/>
              <w:rPr>
                <w:rFonts w:hint="eastAsia" w:ascii="宋体" w:hAnsi="宋体" w:eastAsia="宋体" w:cs="宋体"/>
                <w:i w:val="0"/>
                <w:iCs w:val="0"/>
                <w:color w:val="000000"/>
                <w:sz w:val="18"/>
                <w:szCs w:val="18"/>
                <w:u w:val="none"/>
              </w:rPr>
            </w:pPr>
          </w:p>
        </w:tc>
        <w:tc>
          <w:tcPr>
            <w:tcW w:w="312" w:type="pct"/>
            <w:tcBorders>
              <w:top w:val="nil"/>
              <w:left w:val="nil"/>
              <w:bottom w:val="nil"/>
              <w:right w:val="nil"/>
            </w:tcBorders>
            <w:shd w:val="clear" w:color="auto" w:fill="auto"/>
            <w:vAlign w:val="center"/>
          </w:tcPr>
          <w:p w14:paraId="57DAF45D">
            <w:pPr>
              <w:keepNext/>
              <w:snapToGrid w:val="0"/>
              <w:rPr>
                <w:rFonts w:hint="eastAsia" w:ascii="宋体" w:hAnsi="宋体" w:eastAsia="宋体" w:cs="宋体"/>
                <w:i w:val="0"/>
                <w:iCs w:val="0"/>
                <w:color w:val="000000"/>
                <w:sz w:val="18"/>
                <w:szCs w:val="18"/>
                <w:u w:val="none"/>
              </w:rPr>
            </w:pPr>
          </w:p>
        </w:tc>
        <w:tc>
          <w:tcPr>
            <w:tcW w:w="258" w:type="pct"/>
            <w:tcBorders>
              <w:top w:val="nil"/>
              <w:left w:val="nil"/>
              <w:bottom w:val="nil"/>
              <w:right w:val="nil"/>
            </w:tcBorders>
            <w:shd w:val="clear" w:color="auto" w:fill="auto"/>
            <w:vAlign w:val="center"/>
          </w:tcPr>
          <w:p w14:paraId="554A6403">
            <w:pPr>
              <w:keepNext/>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14:paraId="3F3331D8">
            <w:pPr>
              <w:keepNext/>
              <w:snapToGrid w:val="0"/>
              <w:rPr>
                <w:rFonts w:hint="eastAsia" w:ascii="宋体" w:hAnsi="宋体" w:eastAsia="宋体" w:cs="宋体"/>
                <w:i w:val="0"/>
                <w:iCs w:val="0"/>
                <w:color w:val="000000"/>
                <w:sz w:val="18"/>
                <w:szCs w:val="18"/>
                <w:u w:val="none"/>
              </w:rPr>
            </w:pPr>
          </w:p>
        </w:tc>
      </w:tr>
      <w:tr w14:paraId="3173C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22316AF0">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553866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6CFDD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C87B37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51320025T000012990915-阿坝县生态环境执法工作经费</w:t>
            </w:r>
          </w:p>
        </w:tc>
      </w:tr>
      <w:tr w14:paraId="4C7BA3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5AC6E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19F00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583" w:type="pct"/>
            <w:tcBorders>
              <w:top w:val="nil"/>
              <w:left w:val="nil"/>
              <w:bottom w:val="nil"/>
              <w:right w:val="nil"/>
            </w:tcBorders>
            <w:shd w:val="clear" w:color="auto" w:fill="auto"/>
            <w:vAlign w:val="center"/>
          </w:tcPr>
          <w:p w14:paraId="540B8A32">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7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3FF571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阿坝县生态环境局</w:t>
            </w:r>
          </w:p>
        </w:tc>
      </w:tr>
      <w:tr w14:paraId="19342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C3F9FE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6D5D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52562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17542EC">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2F6262D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4BB94B">
            <w:pPr>
              <w:keepNext/>
              <w:snapToGrid w:val="0"/>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1D76CF">
            <w:pPr>
              <w:keepNext/>
              <w:snapToGrid w:val="0"/>
              <w:rPr>
                <w:rFonts w:hint="eastAsia" w:ascii="宋体" w:hAnsi="宋体" w:eastAsia="宋体" w:cs="宋体"/>
                <w:i w:val="0"/>
                <w:iCs w:val="0"/>
                <w:color w:val="000000"/>
                <w:sz w:val="18"/>
                <w:szCs w:val="18"/>
                <w:u w:val="none"/>
              </w:rPr>
            </w:pP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9D9C60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为顺利完成我县环境监察执法工作，生态环境执法部门是通过部门引入移动信息化手段明确和规范执法主体、执法依据、执法程序等，可以立案登记执行，通过现场执法行政处罚下达等工作，并完成年度行政执法至少≥20次工作任务，通过环境执法工作维护生态环境质量。</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4FD80A6">
            <w:pPr>
              <w:keepNext/>
              <w:keepLines w:val="0"/>
              <w:widowControl/>
              <w:suppressLineNumbers w:val="0"/>
              <w:snapToGrid w:val="0"/>
              <w:jc w:val="left"/>
              <w:textAlignment w:val="center"/>
              <w:rPr>
                <w:rFonts w:hint="eastAsia" w:ascii="黑体" w:hAnsi="黑体" w:eastAsia="黑体" w:cs="黑体"/>
                <w:b/>
                <w:bCs/>
                <w:i w:val="0"/>
                <w:iCs w:val="0"/>
                <w:color w:val="000000"/>
                <w:sz w:val="18"/>
                <w:szCs w:val="18"/>
                <w:u w:val="none"/>
              </w:rPr>
            </w:pPr>
            <w:r>
              <w:rPr>
                <w:rFonts w:hint="eastAsia" w:ascii="黑体" w:hAnsi="黑体" w:eastAsia="黑体" w:cs="黑体"/>
                <w:b/>
                <w:bCs/>
                <w:i w:val="0"/>
                <w:iCs w:val="0"/>
                <w:color w:val="000000"/>
                <w:kern w:val="0"/>
                <w:sz w:val="18"/>
                <w:szCs w:val="18"/>
                <w:u w:val="none"/>
                <w:lang w:val="en-US" w:eastAsia="zh-CN" w:bidi="ar"/>
              </w:rPr>
              <w:t>该项目严格落实预算管理要求和专款专用原则，按时完成环境监察执法工作任务</w:t>
            </w:r>
          </w:p>
        </w:tc>
      </w:tr>
      <w:tr w14:paraId="01225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B38430">
            <w:pPr>
              <w:keepNext/>
              <w:snapToGrid w:val="0"/>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C62B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BD5EFD4">
            <w:pPr>
              <w:keepNext/>
              <w:snapToGrid w:val="0"/>
              <w:rPr>
                <w:rFonts w:hint="eastAsia" w:ascii="宋体" w:hAnsi="宋体" w:eastAsia="宋体" w:cs="宋体"/>
                <w:i w:val="0"/>
                <w:iCs w:val="0"/>
                <w:color w:val="000000"/>
                <w:sz w:val="18"/>
                <w:szCs w:val="18"/>
                <w:u w:val="none"/>
              </w:rPr>
            </w:pPr>
          </w:p>
        </w:tc>
      </w:tr>
      <w:tr w14:paraId="60B978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57628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AD84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08B5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7463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55BD48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36EB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6AF99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1CBF7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77F7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29CD7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D177FF">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9357A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89F5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A36E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EE5167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99F7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278A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59355">
            <w:pPr>
              <w:keepNext/>
              <w:snapToGrid w:val="0"/>
              <w:jc w:val="center"/>
              <w:rPr>
                <w:rFonts w:hint="eastAsia" w:ascii="宋体" w:hAnsi="宋体" w:eastAsia="宋体" w:cs="宋体"/>
                <w:i w:val="0"/>
                <w:iCs w:val="0"/>
                <w:color w:val="000000"/>
                <w:sz w:val="18"/>
                <w:szCs w:val="18"/>
                <w:u w:val="none"/>
              </w:rPr>
            </w:pP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E0492A">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1B0D39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A7469D">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14F6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DDFD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67F0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93082B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6.00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D669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6309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7563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24CFBA">
            <w:pPr>
              <w:keepNext/>
              <w:snapToGrid w:val="0"/>
              <w:rPr>
                <w:rFonts w:hint="eastAsia" w:ascii="黑体" w:hAnsi="黑体" w:eastAsia="黑体" w:cs="黑体"/>
                <w:i/>
                <w:iCs/>
                <w:color w:val="000000"/>
                <w:sz w:val="18"/>
                <w:szCs w:val="18"/>
                <w:u w:val="none"/>
              </w:rPr>
            </w:pPr>
          </w:p>
        </w:tc>
      </w:tr>
      <w:tr w14:paraId="155218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20052">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B93D1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77C9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B6CC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674BCC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8731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8A0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D04B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F76374">
            <w:pPr>
              <w:keepNext/>
              <w:snapToGrid w:val="0"/>
              <w:rPr>
                <w:rFonts w:hint="eastAsia" w:ascii="黑体" w:hAnsi="黑体" w:eastAsia="黑体" w:cs="黑体"/>
                <w:i/>
                <w:iCs/>
                <w:color w:val="000000"/>
                <w:sz w:val="18"/>
                <w:szCs w:val="18"/>
                <w:u w:val="none"/>
              </w:rPr>
            </w:pPr>
          </w:p>
        </w:tc>
      </w:tr>
      <w:tr w14:paraId="522577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C0126B">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FC367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F706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A230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29A97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A5C7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BDC5C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BA09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5942D7">
            <w:pPr>
              <w:keepNext/>
              <w:snapToGrid w:val="0"/>
              <w:rPr>
                <w:rFonts w:hint="eastAsia" w:ascii="黑体" w:hAnsi="黑体" w:eastAsia="黑体" w:cs="黑体"/>
                <w:i/>
                <w:iCs/>
                <w:color w:val="000000"/>
                <w:sz w:val="18"/>
                <w:szCs w:val="18"/>
                <w:u w:val="none"/>
              </w:rPr>
            </w:pPr>
          </w:p>
        </w:tc>
      </w:tr>
      <w:tr w14:paraId="277411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86E3E6">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B05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08907">
            <w:pPr>
              <w:keepNext/>
              <w:snapToGrid w:val="0"/>
              <w:jc w:val="center"/>
              <w:rPr>
                <w:rFonts w:hint="eastAsia" w:ascii="微软雅黑" w:hAnsi="微软雅黑" w:eastAsia="微软雅黑" w:cs="微软雅黑"/>
                <w:i/>
                <w:iCs/>
                <w:color w:val="000000"/>
                <w:sz w:val="16"/>
                <w:szCs w:val="16"/>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CF60A">
            <w:pPr>
              <w:keepNext/>
              <w:snapToGrid w:val="0"/>
              <w:jc w:val="center"/>
              <w:rPr>
                <w:rFonts w:hint="eastAsia" w:ascii="微软雅黑" w:hAnsi="微软雅黑" w:eastAsia="微软雅黑" w:cs="微软雅黑"/>
                <w:i/>
                <w:iCs/>
                <w:color w:val="000000"/>
                <w:sz w:val="16"/>
                <w:szCs w:val="16"/>
                <w:u w:val="none"/>
              </w:rPr>
            </w:pP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3A95253">
            <w:pPr>
              <w:keepNext/>
              <w:snapToGrid w:val="0"/>
              <w:jc w:val="center"/>
              <w:rPr>
                <w:rFonts w:hint="eastAsia" w:ascii="微软雅黑" w:hAnsi="微软雅黑" w:eastAsia="微软雅黑" w:cs="微软雅黑"/>
                <w:i/>
                <w:iCs/>
                <w:color w:val="000000"/>
                <w:sz w:val="16"/>
                <w:szCs w:val="16"/>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DF06A">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237C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DF15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D2B81D">
            <w:pPr>
              <w:keepNext/>
              <w:snapToGrid w:val="0"/>
              <w:rPr>
                <w:rFonts w:hint="eastAsia" w:ascii="黑体" w:hAnsi="黑体" w:eastAsia="黑体" w:cs="黑体"/>
                <w:i/>
                <w:iCs/>
                <w:color w:val="000000"/>
                <w:sz w:val="18"/>
                <w:szCs w:val="18"/>
                <w:u w:val="none"/>
              </w:rPr>
            </w:pPr>
          </w:p>
        </w:tc>
      </w:tr>
      <w:tr w14:paraId="3603B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B1FB3D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E6F3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20CD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75EB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5B7C0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9ED0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C0019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7A08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9334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3BCD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780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51D57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B76DE6">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E389DD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9B7B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9425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年度执法次数</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19711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1FC9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30B46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D87F7">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8558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B73AE">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1A705">
            <w:pPr>
              <w:keepNext/>
              <w:snapToGrid w:val="0"/>
              <w:jc w:val="center"/>
              <w:rPr>
                <w:rFonts w:hint="eastAsia" w:ascii="微软雅黑" w:hAnsi="微软雅黑" w:eastAsia="微软雅黑" w:cs="微软雅黑"/>
                <w:i/>
                <w:iCs/>
                <w:color w:val="000000"/>
                <w:sz w:val="16"/>
                <w:szCs w:val="16"/>
                <w:u w:val="none"/>
              </w:rPr>
            </w:pPr>
          </w:p>
        </w:tc>
      </w:tr>
      <w:tr w14:paraId="7D2FB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414958">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396F4C">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9009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39A8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执法任务完成率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D138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7947B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84C96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D315D7">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A7D7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1C9546">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26B55">
            <w:pPr>
              <w:keepNext/>
              <w:snapToGrid w:val="0"/>
              <w:jc w:val="center"/>
              <w:rPr>
                <w:rFonts w:hint="eastAsia" w:ascii="微软雅黑" w:hAnsi="微软雅黑" w:eastAsia="微软雅黑" w:cs="微软雅黑"/>
                <w:i/>
                <w:iCs/>
                <w:color w:val="000000"/>
                <w:sz w:val="16"/>
                <w:szCs w:val="16"/>
                <w:u w:val="none"/>
              </w:rPr>
            </w:pPr>
          </w:p>
        </w:tc>
      </w:tr>
      <w:tr w14:paraId="59F8F2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EE6193">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8CEA14">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1EF1D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BBE9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每月执法工作在月底前完成</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F2D8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06CA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9D83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EAD56">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011FF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A7ED6">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F3A67">
            <w:pPr>
              <w:keepNext/>
              <w:snapToGrid w:val="0"/>
              <w:jc w:val="center"/>
              <w:rPr>
                <w:rFonts w:hint="eastAsia" w:ascii="微软雅黑" w:hAnsi="微软雅黑" w:eastAsia="微软雅黑" w:cs="微软雅黑"/>
                <w:i/>
                <w:iCs/>
                <w:color w:val="000000"/>
                <w:sz w:val="16"/>
                <w:szCs w:val="16"/>
                <w:u w:val="none"/>
              </w:rPr>
            </w:pPr>
          </w:p>
        </w:tc>
      </w:tr>
      <w:tr w14:paraId="57A784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B1F1DC">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29069C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E284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5A28C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执法水平明显提高</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034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72FA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执法水平好</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4809F">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7E5BC">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D48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4B70CE">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7A0B99">
            <w:pPr>
              <w:keepNext/>
              <w:snapToGrid w:val="0"/>
              <w:jc w:val="center"/>
              <w:rPr>
                <w:rFonts w:hint="eastAsia" w:ascii="微软雅黑" w:hAnsi="微软雅黑" w:eastAsia="微软雅黑" w:cs="微软雅黑"/>
                <w:i/>
                <w:iCs/>
                <w:color w:val="000000"/>
                <w:sz w:val="16"/>
                <w:szCs w:val="16"/>
                <w:u w:val="none"/>
              </w:rPr>
            </w:pPr>
          </w:p>
        </w:tc>
      </w:tr>
      <w:tr w14:paraId="0E7FB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7E3BAB">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7BC7B5">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3FCE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F84B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生态质量改善程度</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8FFE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AABC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改善</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5B887">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A40B1">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D317A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D4EF5">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35B19">
            <w:pPr>
              <w:keepNext/>
              <w:snapToGrid w:val="0"/>
              <w:jc w:val="center"/>
              <w:rPr>
                <w:rFonts w:hint="eastAsia" w:ascii="微软雅黑" w:hAnsi="微软雅黑" w:eastAsia="微软雅黑" w:cs="微软雅黑"/>
                <w:i/>
                <w:iCs/>
                <w:color w:val="000000"/>
                <w:sz w:val="16"/>
                <w:szCs w:val="16"/>
                <w:u w:val="none"/>
              </w:rPr>
            </w:pPr>
          </w:p>
        </w:tc>
      </w:tr>
      <w:tr w14:paraId="5A958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4F2017">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7D9B3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A984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D3FB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8094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2C48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991C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D51F4">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5EF0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01CDE">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2919D">
            <w:pPr>
              <w:keepNext/>
              <w:snapToGrid w:val="0"/>
              <w:jc w:val="center"/>
              <w:rPr>
                <w:rFonts w:hint="eastAsia" w:ascii="微软雅黑" w:hAnsi="微软雅黑" w:eastAsia="微软雅黑" w:cs="微软雅黑"/>
                <w:i/>
                <w:iCs/>
                <w:color w:val="000000"/>
                <w:sz w:val="16"/>
                <w:szCs w:val="16"/>
                <w:u w:val="none"/>
              </w:rPr>
            </w:pPr>
          </w:p>
        </w:tc>
      </w:tr>
      <w:tr w14:paraId="1DFEF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1DDCA0">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7B2D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DA94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70A01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项目预算控制率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92AD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181C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96</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D3FD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940B2">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E2DB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76CB5">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941F21">
            <w:pPr>
              <w:keepNext/>
              <w:snapToGrid w:val="0"/>
              <w:jc w:val="center"/>
              <w:rPr>
                <w:rFonts w:hint="eastAsia" w:ascii="微软雅黑" w:hAnsi="微软雅黑" w:eastAsia="微软雅黑" w:cs="微软雅黑"/>
                <w:i/>
                <w:iCs/>
                <w:color w:val="000000"/>
                <w:sz w:val="16"/>
                <w:szCs w:val="16"/>
                <w:u w:val="none"/>
              </w:rPr>
            </w:pPr>
          </w:p>
        </w:tc>
      </w:tr>
      <w:tr w14:paraId="3B139B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2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2C9B70F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DADC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333538">
            <w:pPr>
              <w:keepNext/>
              <w:snapToGrid w:val="0"/>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3001D">
            <w:pPr>
              <w:keepNext/>
              <w:snapToGrid w:val="0"/>
              <w:rPr>
                <w:rFonts w:hint="eastAsia" w:ascii="宋体" w:hAnsi="宋体" w:eastAsia="宋体" w:cs="宋体"/>
                <w:i w:val="0"/>
                <w:iCs w:val="0"/>
                <w:color w:val="000000"/>
                <w:sz w:val="18"/>
                <w:szCs w:val="18"/>
                <w:u w:val="none"/>
              </w:rPr>
            </w:pPr>
          </w:p>
        </w:tc>
      </w:tr>
      <w:tr w14:paraId="07B29D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1D92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45EC6B2">
            <w:pPr>
              <w:keepNext/>
              <w:keepLines w:val="0"/>
              <w:widowControl/>
              <w:suppressLineNumbers w:val="0"/>
              <w:snapToGrid w:val="0"/>
              <w:jc w:val="left"/>
              <w:textAlignment w:val="center"/>
              <w:rPr>
                <w:rFonts w:hint="eastAsia" w:ascii="微软雅黑" w:hAnsi="微软雅黑" w:eastAsia="微软雅黑" w:cs="微软雅黑"/>
                <w:b/>
                <w:bCs/>
                <w:i/>
                <w:iCs/>
                <w:color w:val="000000"/>
                <w:sz w:val="16"/>
                <w:szCs w:val="16"/>
                <w:u w:val="none"/>
              </w:rPr>
            </w:pPr>
            <w:r>
              <w:rPr>
                <w:rFonts w:hint="eastAsia" w:ascii="微软雅黑" w:hAnsi="微软雅黑" w:eastAsia="微软雅黑" w:cs="微软雅黑"/>
                <w:b/>
                <w:bCs/>
                <w:i/>
                <w:iCs/>
                <w:color w:val="000000"/>
                <w:kern w:val="0"/>
                <w:sz w:val="16"/>
                <w:szCs w:val="16"/>
                <w:u w:val="none"/>
                <w:lang w:val="en-US" w:eastAsia="zh-CN" w:bidi="ar"/>
              </w:rPr>
              <w:t>及时掌握、了解我县重点建设项目、环保基础设施建设及各企业在落实环保措施方面的力度，更好的为县域生态环境质量发展提供有力保障</w:t>
            </w:r>
          </w:p>
        </w:tc>
      </w:tr>
      <w:tr w14:paraId="5F6A5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3C7E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48DCD0FB">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3AA814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180B0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B9008F2">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99D88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23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018FE3">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项目负责人：王文</w:t>
            </w:r>
          </w:p>
        </w:tc>
        <w:tc>
          <w:tcPr>
            <w:tcW w:w="267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BACA645">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财务负责人：张世康</w:t>
            </w:r>
          </w:p>
        </w:tc>
      </w:tr>
      <w:tr w14:paraId="12F68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6F511E6F">
            <w:pPr>
              <w:keepNext/>
              <w:snapToGrid w:val="0"/>
              <w:rPr>
                <w:rFonts w:hint="eastAsia" w:ascii="宋体" w:hAnsi="宋体" w:eastAsia="宋体" w:cs="宋体"/>
                <w:i w:val="0"/>
                <w:iCs w:val="0"/>
                <w:color w:val="000000"/>
                <w:sz w:val="18"/>
                <w:szCs w:val="18"/>
                <w:u w:val="none"/>
              </w:rPr>
            </w:pPr>
          </w:p>
        </w:tc>
        <w:tc>
          <w:tcPr>
            <w:tcW w:w="360" w:type="pct"/>
            <w:tcBorders>
              <w:top w:val="nil"/>
              <w:left w:val="nil"/>
              <w:bottom w:val="nil"/>
              <w:right w:val="nil"/>
            </w:tcBorders>
            <w:shd w:val="clear" w:color="auto" w:fill="auto"/>
            <w:vAlign w:val="center"/>
          </w:tcPr>
          <w:p w14:paraId="0EF89915">
            <w:pPr>
              <w:keepNext/>
              <w:snapToGrid w:val="0"/>
              <w:rPr>
                <w:rFonts w:hint="eastAsia" w:ascii="宋体" w:hAnsi="宋体" w:eastAsia="宋体" w:cs="宋体"/>
                <w:i w:val="0"/>
                <w:iCs w:val="0"/>
                <w:color w:val="000000"/>
                <w:sz w:val="18"/>
                <w:szCs w:val="18"/>
                <w:u w:val="none"/>
              </w:rPr>
            </w:pPr>
          </w:p>
        </w:tc>
        <w:tc>
          <w:tcPr>
            <w:tcW w:w="485" w:type="pct"/>
            <w:tcBorders>
              <w:top w:val="nil"/>
              <w:left w:val="nil"/>
              <w:bottom w:val="nil"/>
              <w:right w:val="nil"/>
            </w:tcBorders>
            <w:shd w:val="clear" w:color="auto" w:fill="auto"/>
            <w:vAlign w:val="center"/>
          </w:tcPr>
          <w:p w14:paraId="01CB9446">
            <w:pPr>
              <w:keepNext/>
              <w:snapToGrid w:val="0"/>
              <w:rPr>
                <w:rFonts w:hint="eastAsia" w:ascii="宋体" w:hAnsi="宋体" w:eastAsia="宋体" w:cs="宋体"/>
                <w:i w:val="0"/>
                <w:iCs w:val="0"/>
                <w:color w:val="000000"/>
                <w:sz w:val="18"/>
                <w:szCs w:val="18"/>
                <w:u w:val="none"/>
              </w:rPr>
            </w:pPr>
          </w:p>
        </w:tc>
        <w:tc>
          <w:tcPr>
            <w:tcW w:w="867" w:type="pct"/>
            <w:tcBorders>
              <w:top w:val="nil"/>
              <w:left w:val="nil"/>
              <w:bottom w:val="nil"/>
              <w:right w:val="nil"/>
            </w:tcBorders>
            <w:shd w:val="clear" w:color="auto" w:fill="auto"/>
            <w:vAlign w:val="center"/>
          </w:tcPr>
          <w:p w14:paraId="25C963A5">
            <w:pPr>
              <w:keepNext/>
              <w:snapToGrid w:val="0"/>
              <w:rPr>
                <w:rFonts w:hint="eastAsia" w:ascii="宋体" w:hAnsi="宋体" w:eastAsia="宋体" w:cs="宋体"/>
                <w:i w:val="0"/>
                <w:iCs w:val="0"/>
                <w:color w:val="000000"/>
                <w:sz w:val="18"/>
                <w:szCs w:val="18"/>
                <w:u w:val="none"/>
              </w:rPr>
            </w:pPr>
          </w:p>
        </w:tc>
        <w:tc>
          <w:tcPr>
            <w:tcW w:w="255" w:type="pct"/>
            <w:tcBorders>
              <w:top w:val="nil"/>
              <w:left w:val="nil"/>
              <w:bottom w:val="nil"/>
              <w:right w:val="nil"/>
            </w:tcBorders>
            <w:shd w:val="clear" w:color="auto" w:fill="auto"/>
            <w:vAlign w:val="center"/>
          </w:tcPr>
          <w:p w14:paraId="6EA54016">
            <w:pPr>
              <w:keepNext/>
              <w:snapToGrid w:val="0"/>
              <w:rPr>
                <w:rFonts w:hint="eastAsia" w:ascii="宋体" w:hAnsi="宋体" w:eastAsia="宋体" w:cs="宋体"/>
                <w:i w:val="0"/>
                <w:iCs w:val="0"/>
                <w:color w:val="000000"/>
                <w:sz w:val="18"/>
                <w:szCs w:val="18"/>
                <w:u w:val="none"/>
              </w:rPr>
            </w:pPr>
          </w:p>
        </w:tc>
        <w:tc>
          <w:tcPr>
            <w:tcW w:w="552" w:type="pct"/>
            <w:tcBorders>
              <w:top w:val="nil"/>
              <w:left w:val="nil"/>
              <w:bottom w:val="nil"/>
              <w:right w:val="nil"/>
            </w:tcBorders>
            <w:shd w:val="clear" w:color="auto" w:fill="auto"/>
            <w:vAlign w:val="center"/>
          </w:tcPr>
          <w:p w14:paraId="084E34D4">
            <w:pPr>
              <w:keepNext/>
              <w:snapToGrid w:val="0"/>
              <w:rPr>
                <w:rFonts w:hint="eastAsia" w:ascii="宋体" w:hAnsi="宋体" w:eastAsia="宋体" w:cs="宋体"/>
                <w:i w:val="0"/>
                <w:iCs w:val="0"/>
                <w:color w:val="000000"/>
                <w:sz w:val="18"/>
                <w:szCs w:val="18"/>
                <w:u w:val="none"/>
              </w:rPr>
            </w:pPr>
          </w:p>
        </w:tc>
        <w:tc>
          <w:tcPr>
            <w:tcW w:w="465" w:type="pct"/>
            <w:tcBorders>
              <w:top w:val="nil"/>
              <w:left w:val="nil"/>
              <w:bottom w:val="nil"/>
              <w:right w:val="nil"/>
            </w:tcBorders>
            <w:shd w:val="clear" w:color="auto" w:fill="auto"/>
            <w:vAlign w:val="center"/>
          </w:tcPr>
          <w:p w14:paraId="54FAB781">
            <w:pPr>
              <w:keepNext/>
              <w:snapToGrid w:val="0"/>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20E45ECD">
            <w:pPr>
              <w:keepNext/>
              <w:snapToGrid w:val="0"/>
              <w:rPr>
                <w:rFonts w:hint="eastAsia" w:ascii="宋体" w:hAnsi="宋体" w:eastAsia="宋体" w:cs="宋体"/>
                <w:i w:val="0"/>
                <w:iCs w:val="0"/>
                <w:color w:val="000000"/>
                <w:sz w:val="18"/>
                <w:szCs w:val="18"/>
                <w:u w:val="none"/>
              </w:rPr>
            </w:pPr>
          </w:p>
        </w:tc>
        <w:tc>
          <w:tcPr>
            <w:tcW w:w="312" w:type="pct"/>
            <w:tcBorders>
              <w:top w:val="nil"/>
              <w:left w:val="nil"/>
              <w:bottom w:val="nil"/>
              <w:right w:val="nil"/>
            </w:tcBorders>
            <w:shd w:val="clear" w:color="auto" w:fill="auto"/>
            <w:vAlign w:val="center"/>
          </w:tcPr>
          <w:p w14:paraId="1274D991">
            <w:pPr>
              <w:keepNext/>
              <w:snapToGrid w:val="0"/>
              <w:rPr>
                <w:rFonts w:hint="eastAsia" w:ascii="宋体" w:hAnsi="宋体" w:eastAsia="宋体" w:cs="宋体"/>
                <w:i w:val="0"/>
                <w:iCs w:val="0"/>
                <w:color w:val="000000"/>
                <w:sz w:val="18"/>
                <w:szCs w:val="18"/>
                <w:u w:val="none"/>
              </w:rPr>
            </w:pPr>
          </w:p>
        </w:tc>
        <w:tc>
          <w:tcPr>
            <w:tcW w:w="258" w:type="pct"/>
            <w:tcBorders>
              <w:top w:val="nil"/>
              <w:left w:val="nil"/>
              <w:bottom w:val="nil"/>
              <w:right w:val="nil"/>
            </w:tcBorders>
            <w:shd w:val="clear" w:color="auto" w:fill="auto"/>
            <w:vAlign w:val="center"/>
          </w:tcPr>
          <w:p w14:paraId="73C9C51C">
            <w:pPr>
              <w:keepNext/>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14:paraId="342CA587">
            <w:pPr>
              <w:keepNext/>
              <w:snapToGrid w:val="0"/>
              <w:rPr>
                <w:rFonts w:hint="eastAsia" w:ascii="宋体" w:hAnsi="宋体" w:eastAsia="宋体" w:cs="宋体"/>
                <w:i w:val="0"/>
                <w:iCs w:val="0"/>
                <w:color w:val="000000"/>
                <w:sz w:val="18"/>
                <w:szCs w:val="18"/>
                <w:u w:val="none"/>
              </w:rPr>
            </w:pPr>
          </w:p>
        </w:tc>
      </w:tr>
      <w:tr w14:paraId="4CFC6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3C0478E">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40DD2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B1A336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7B9E649">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51320025T000012990930-阿坝县县域监测工作经费</w:t>
            </w:r>
          </w:p>
        </w:tc>
      </w:tr>
      <w:tr w14:paraId="6A2B6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87E41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34802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583" w:type="pct"/>
            <w:tcBorders>
              <w:top w:val="nil"/>
              <w:left w:val="nil"/>
              <w:bottom w:val="nil"/>
              <w:right w:val="nil"/>
            </w:tcBorders>
            <w:shd w:val="clear" w:color="auto" w:fill="auto"/>
            <w:vAlign w:val="center"/>
          </w:tcPr>
          <w:p w14:paraId="202D8D32">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7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45DD2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阿坝县生态环境局</w:t>
            </w:r>
          </w:p>
        </w:tc>
      </w:tr>
      <w:tr w14:paraId="65C32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D1F5C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7F4A86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92DA2D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CFEA0CF">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620A0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1068A">
            <w:pPr>
              <w:keepNext/>
              <w:snapToGrid w:val="0"/>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8BAA031">
            <w:pPr>
              <w:keepNext/>
              <w:snapToGrid w:val="0"/>
              <w:rPr>
                <w:rFonts w:hint="eastAsia" w:ascii="宋体" w:hAnsi="宋体" w:eastAsia="宋体" w:cs="宋体"/>
                <w:i w:val="0"/>
                <w:iCs w:val="0"/>
                <w:color w:val="000000"/>
                <w:sz w:val="18"/>
                <w:szCs w:val="18"/>
                <w:u w:val="none"/>
              </w:rPr>
            </w:pP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DB910B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对县域展开省控趋势科研断面监测、国省控考核断面采样、农村环境监测、声环境质量监测、集中式饮用水源地等采样及数据分析相关工作保障经费，完成年度水环境质量指数改善率≥95%。</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D7C917E">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顺利完成2025年空气自动站运行，保障运行维护经费</w:t>
            </w:r>
          </w:p>
        </w:tc>
      </w:tr>
      <w:tr w14:paraId="2BB9B5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CD865E">
            <w:pPr>
              <w:keepNext/>
              <w:snapToGrid w:val="0"/>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F87FD">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227B3BD8">
            <w:pPr>
              <w:keepNext/>
              <w:snapToGrid w:val="0"/>
              <w:rPr>
                <w:rFonts w:hint="eastAsia" w:ascii="宋体" w:hAnsi="宋体" w:eastAsia="宋体" w:cs="宋体"/>
                <w:i w:val="0"/>
                <w:iCs w:val="0"/>
                <w:color w:val="000000"/>
                <w:sz w:val="18"/>
                <w:szCs w:val="18"/>
                <w:u w:val="none"/>
              </w:rPr>
            </w:pPr>
          </w:p>
        </w:tc>
      </w:tr>
      <w:tr w14:paraId="6F09F1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D094EE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D9F2E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BBBC0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740F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51D9C3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E29B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3D63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C8B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2EF4A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1EF4BE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0F7B82">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16C98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15D4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DBAC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4.13</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5F2DC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4.13</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100E9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CF3A3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9E5873">
            <w:pPr>
              <w:keepNext/>
              <w:snapToGrid w:val="0"/>
              <w:jc w:val="center"/>
              <w:rPr>
                <w:rFonts w:hint="eastAsia" w:ascii="宋体" w:hAnsi="宋体" w:eastAsia="宋体" w:cs="宋体"/>
                <w:i w:val="0"/>
                <w:iCs w:val="0"/>
                <w:color w:val="000000"/>
                <w:sz w:val="18"/>
                <w:szCs w:val="18"/>
                <w:u w:val="none"/>
              </w:rPr>
            </w:pP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3C7583">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7D89CC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FA495D">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4FB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CE51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4.20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70C3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4.13</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4FAE4F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4.13</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D35E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E0087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F690B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D5AC9F">
            <w:pPr>
              <w:keepNext/>
              <w:snapToGrid w:val="0"/>
              <w:rPr>
                <w:rFonts w:hint="eastAsia" w:ascii="黑体" w:hAnsi="黑体" w:eastAsia="黑体" w:cs="黑体"/>
                <w:i/>
                <w:iCs/>
                <w:color w:val="000000"/>
                <w:sz w:val="18"/>
                <w:szCs w:val="18"/>
                <w:u w:val="none"/>
              </w:rPr>
            </w:pPr>
          </w:p>
        </w:tc>
      </w:tr>
      <w:tr w14:paraId="798075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DB9B2">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BA003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9D70D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3BD33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D8C3E6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75FE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B8A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8A36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C548B9">
            <w:pPr>
              <w:keepNext/>
              <w:snapToGrid w:val="0"/>
              <w:rPr>
                <w:rFonts w:hint="eastAsia" w:ascii="黑体" w:hAnsi="黑体" w:eastAsia="黑体" w:cs="黑体"/>
                <w:i/>
                <w:iCs/>
                <w:color w:val="000000"/>
                <w:sz w:val="18"/>
                <w:szCs w:val="18"/>
                <w:u w:val="none"/>
              </w:rPr>
            </w:pPr>
          </w:p>
        </w:tc>
      </w:tr>
      <w:tr w14:paraId="33854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B9CC7F">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3AE2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7938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9D1F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4B4C2C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61672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D345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9245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C62F88">
            <w:pPr>
              <w:keepNext/>
              <w:snapToGrid w:val="0"/>
              <w:rPr>
                <w:rFonts w:hint="eastAsia" w:ascii="黑体" w:hAnsi="黑体" w:eastAsia="黑体" w:cs="黑体"/>
                <w:i/>
                <w:iCs/>
                <w:color w:val="000000"/>
                <w:sz w:val="18"/>
                <w:szCs w:val="18"/>
                <w:u w:val="none"/>
              </w:rPr>
            </w:pPr>
          </w:p>
        </w:tc>
      </w:tr>
      <w:tr w14:paraId="5B125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835E4">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910B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2D773">
            <w:pPr>
              <w:keepNext/>
              <w:snapToGrid w:val="0"/>
              <w:jc w:val="center"/>
              <w:rPr>
                <w:rFonts w:hint="eastAsia" w:ascii="微软雅黑" w:hAnsi="微软雅黑" w:eastAsia="微软雅黑" w:cs="微软雅黑"/>
                <w:i/>
                <w:iCs/>
                <w:color w:val="000000"/>
                <w:sz w:val="16"/>
                <w:szCs w:val="16"/>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276A8">
            <w:pPr>
              <w:keepNext/>
              <w:snapToGrid w:val="0"/>
              <w:jc w:val="center"/>
              <w:rPr>
                <w:rFonts w:hint="eastAsia" w:ascii="微软雅黑" w:hAnsi="微软雅黑" w:eastAsia="微软雅黑" w:cs="微软雅黑"/>
                <w:i/>
                <w:iCs/>
                <w:color w:val="000000"/>
                <w:sz w:val="16"/>
                <w:szCs w:val="16"/>
                <w:u w:val="none"/>
              </w:rPr>
            </w:pP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F80D00">
            <w:pPr>
              <w:keepNext/>
              <w:snapToGrid w:val="0"/>
              <w:jc w:val="center"/>
              <w:rPr>
                <w:rFonts w:hint="eastAsia" w:ascii="微软雅黑" w:hAnsi="微软雅黑" w:eastAsia="微软雅黑" w:cs="微软雅黑"/>
                <w:i/>
                <w:iCs/>
                <w:color w:val="000000"/>
                <w:sz w:val="16"/>
                <w:szCs w:val="16"/>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A190D">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418E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C8C6A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2475B1">
            <w:pPr>
              <w:keepNext/>
              <w:snapToGrid w:val="0"/>
              <w:rPr>
                <w:rFonts w:hint="eastAsia" w:ascii="黑体" w:hAnsi="黑体" w:eastAsia="黑体" w:cs="黑体"/>
                <w:i/>
                <w:iCs/>
                <w:color w:val="000000"/>
                <w:sz w:val="18"/>
                <w:szCs w:val="18"/>
                <w:u w:val="none"/>
              </w:rPr>
            </w:pPr>
          </w:p>
        </w:tc>
      </w:tr>
      <w:tr w14:paraId="37B4D3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2032F2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2CC2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285EA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2EFA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2F70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1166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CD8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BF79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C803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81F2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2190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5E2E9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E35467">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4B1CF4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1211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83EBF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监测完成率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E553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492F7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1C55E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E80AE4">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035D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CCA9E">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A23D68">
            <w:pPr>
              <w:keepNext/>
              <w:snapToGrid w:val="0"/>
              <w:jc w:val="center"/>
              <w:rPr>
                <w:rFonts w:hint="eastAsia" w:ascii="微软雅黑" w:hAnsi="微软雅黑" w:eastAsia="微软雅黑" w:cs="微软雅黑"/>
                <w:i/>
                <w:iCs/>
                <w:color w:val="000000"/>
                <w:sz w:val="16"/>
                <w:szCs w:val="16"/>
                <w:u w:val="none"/>
              </w:rPr>
            </w:pPr>
          </w:p>
        </w:tc>
      </w:tr>
      <w:tr w14:paraId="293451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14ACBF">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6FBF95">
            <w:pPr>
              <w:keepNext/>
              <w:snapToGrid w:val="0"/>
              <w:jc w:val="center"/>
              <w:rPr>
                <w:rFonts w:hint="eastAsia" w:ascii="宋体" w:hAnsi="宋体" w:eastAsia="宋体" w:cs="宋体"/>
                <w:i w:val="0"/>
                <w:iCs w:val="0"/>
                <w:color w:val="000000"/>
                <w:sz w:val="18"/>
                <w:szCs w:val="18"/>
                <w:u w:val="none"/>
              </w:rPr>
            </w:pPr>
          </w:p>
        </w:tc>
        <w:tc>
          <w:tcPr>
            <w:tcW w:w="4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8B933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4F487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监测准确率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CA8B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689DB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B34C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493C4">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1FE88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A9D85">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91F49">
            <w:pPr>
              <w:keepNext/>
              <w:snapToGrid w:val="0"/>
              <w:jc w:val="center"/>
              <w:rPr>
                <w:rFonts w:hint="eastAsia" w:ascii="微软雅黑" w:hAnsi="微软雅黑" w:eastAsia="微软雅黑" w:cs="微软雅黑"/>
                <w:i/>
                <w:iCs/>
                <w:color w:val="000000"/>
                <w:sz w:val="16"/>
                <w:szCs w:val="16"/>
                <w:u w:val="none"/>
              </w:rPr>
            </w:pPr>
          </w:p>
        </w:tc>
      </w:tr>
      <w:tr w14:paraId="7EF340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F4B1A">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08CD36">
            <w:pPr>
              <w:keepNext/>
              <w:snapToGrid w:val="0"/>
              <w:jc w:val="center"/>
              <w:rPr>
                <w:rFonts w:hint="eastAsia" w:ascii="宋体" w:hAnsi="宋体" w:eastAsia="宋体" w:cs="宋体"/>
                <w:i w:val="0"/>
                <w:iCs w:val="0"/>
                <w:color w:val="000000"/>
                <w:sz w:val="18"/>
                <w:szCs w:val="18"/>
                <w:u w:val="none"/>
              </w:rPr>
            </w:pPr>
          </w:p>
        </w:tc>
        <w:tc>
          <w:tcPr>
            <w:tcW w:w="4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206C0">
            <w:pPr>
              <w:keepNext/>
              <w:snapToGrid w:val="0"/>
              <w:jc w:val="center"/>
              <w:rPr>
                <w:rFonts w:hint="eastAsia" w:ascii="宋体" w:hAnsi="宋体" w:eastAsia="宋体" w:cs="宋体"/>
                <w:i w:val="0"/>
                <w:iCs w:val="0"/>
                <w:color w:val="000000"/>
                <w:sz w:val="18"/>
                <w:szCs w:val="18"/>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6338E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应急响应率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259D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305F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DC654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E701D">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54F5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59B355">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8292D">
            <w:pPr>
              <w:keepNext/>
              <w:snapToGrid w:val="0"/>
              <w:jc w:val="center"/>
              <w:rPr>
                <w:rFonts w:hint="eastAsia" w:ascii="微软雅黑" w:hAnsi="微软雅黑" w:eastAsia="微软雅黑" w:cs="微软雅黑"/>
                <w:i/>
                <w:iCs/>
                <w:color w:val="000000"/>
                <w:sz w:val="16"/>
                <w:szCs w:val="16"/>
                <w:u w:val="none"/>
              </w:rPr>
            </w:pPr>
          </w:p>
        </w:tc>
      </w:tr>
      <w:tr w14:paraId="0AA036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8310DA">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5F9776">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1CCA9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D23F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8244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9AE2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当年12月底前</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55AF5">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004DC">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5AE5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28101D">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E56E9">
            <w:pPr>
              <w:keepNext/>
              <w:snapToGrid w:val="0"/>
              <w:jc w:val="center"/>
              <w:rPr>
                <w:rFonts w:hint="eastAsia" w:ascii="微软雅黑" w:hAnsi="微软雅黑" w:eastAsia="微软雅黑" w:cs="微软雅黑"/>
                <w:i/>
                <w:iCs/>
                <w:color w:val="000000"/>
                <w:sz w:val="16"/>
                <w:szCs w:val="16"/>
                <w:u w:val="none"/>
              </w:rPr>
            </w:pPr>
          </w:p>
        </w:tc>
      </w:tr>
      <w:tr w14:paraId="35EA0C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939F1B">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0045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850E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D39E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水环境质量指数改善率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7540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AF08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48D7D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4EF159">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A18E8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EABC9">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75F44">
            <w:pPr>
              <w:keepNext/>
              <w:snapToGrid w:val="0"/>
              <w:jc w:val="center"/>
              <w:rPr>
                <w:rFonts w:hint="eastAsia" w:ascii="微软雅黑" w:hAnsi="微软雅黑" w:eastAsia="微软雅黑" w:cs="微软雅黑"/>
                <w:i/>
                <w:iCs/>
                <w:color w:val="000000"/>
                <w:sz w:val="16"/>
                <w:szCs w:val="16"/>
                <w:u w:val="none"/>
              </w:rPr>
            </w:pPr>
          </w:p>
        </w:tc>
      </w:tr>
      <w:tr w14:paraId="7076B8B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25EB86">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9847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53C8A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539CD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48C1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F4EC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9B0B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24FF8">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05D7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BBFD5">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792FF">
            <w:pPr>
              <w:keepNext/>
              <w:snapToGrid w:val="0"/>
              <w:jc w:val="center"/>
              <w:rPr>
                <w:rFonts w:hint="eastAsia" w:ascii="微软雅黑" w:hAnsi="微软雅黑" w:eastAsia="微软雅黑" w:cs="微软雅黑"/>
                <w:i/>
                <w:iCs/>
                <w:color w:val="000000"/>
                <w:sz w:val="16"/>
                <w:szCs w:val="16"/>
                <w:u w:val="none"/>
              </w:rPr>
            </w:pPr>
          </w:p>
        </w:tc>
      </w:tr>
      <w:tr w14:paraId="0F4386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AB7A8F">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47F1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成本指标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2FCA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经济成本指标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E829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监测成本控制率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2D68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5A8BD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2B23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F506A">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81D76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1608B">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29A91">
            <w:pPr>
              <w:keepNext/>
              <w:snapToGrid w:val="0"/>
              <w:jc w:val="center"/>
              <w:rPr>
                <w:rFonts w:hint="eastAsia" w:ascii="微软雅黑" w:hAnsi="微软雅黑" w:eastAsia="微软雅黑" w:cs="微软雅黑"/>
                <w:i/>
                <w:iCs/>
                <w:color w:val="000000"/>
                <w:sz w:val="16"/>
                <w:szCs w:val="16"/>
                <w:u w:val="none"/>
              </w:rPr>
            </w:pPr>
          </w:p>
        </w:tc>
      </w:tr>
      <w:tr w14:paraId="7C84F8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2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46B52C4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5106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FFC66">
            <w:pPr>
              <w:keepNext/>
              <w:snapToGrid w:val="0"/>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E1225">
            <w:pPr>
              <w:keepNext/>
              <w:snapToGrid w:val="0"/>
              <w:rPr>
                <w:rFonts w:hint="eastAsia" w:ascii="宋体" w:hAnsi="宋体" w:eastAsia="宋体" w:cs="宋体"/>
                <w:i w:val="0"/>
                <w:iCs w:val="0"/>
                <w:color w:val="000000"/>
                <w:sz w:val="18"/>
                <w:szCs w:val="18"/>
                <w:u w:val="none"/>
              </w:rPr>
            </w:pPr>
          </w:p>
        </w:tc>
      </w:tr>
      <w:tr w14:paraId="7A5FFD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62489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24A7FC8">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一是顺利完成2025年空气自动站运行，保障运行维护经费，二是顺利开展环境执法应急监测工作，及时地了解和掌握空气及环境突发情况。</w:t>
            </w:r>
          </w:p>
        </w:tc>
      </w:tr>
      <w:tr w14:paraId="032D86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51DF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B0BA42B">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496CE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11D6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EC012E2">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880EE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3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E5E505">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项目负责人：王文</w:t>
            </w:r>
          </w:p>
        </w:tc>
        <w:tc>
          <w:tcPr>
            <w:tcW w:w="267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D5F8A0">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财务负责人：张世康</w:t>
            </w:r>
          </w:p>
        </w:tc>
      </w:tr>
      <w:tr w14:paraId="561D9F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2383C077">
            <w:pPr>
              <w:keepNext/>
              <w:snapToGrid w:val="0"/>
              <w:rPr>
                <w:rFonts w:hint="eastAsia" w:ascii="宋体" w:hAnsi="宋体" w:eastAsia="宋体" w:cs="宋体"/>
                <w:i w:val="0"/>
                <w:iCs w:val="0"/>
                <w:color w:val="000000"/>
                <w:sz w:val="18"/>
                <w:szCs w:val="18"/>
                <w:u w:val="none"/>
              </w:rPr>
            </w:pPr>
          </w:p>
        </w:tc>
        <w:tc>
          <w:tcPr>
            <w:tcW w:w="360" w:type="pct"/>
            <w:tcBorders>
              <w:top w:val="nil"/>
              <w:left w:val="nil"/>
              <w:bottom w:val="nil"/>
              <w:right w:val="nil"/>
            </w:tcBorders>
            <w:shd w:val="clear" w:color="auto" w:fill="auto"/>
            <w:vAlign w:val="center"/>
          </w:tcPr>
          <w:p w14:paraId="27E91A38">
            <w:pPr>
              <w:keepNext/>
              <w:snapToGrid w:val="0"/>
              <w:rPr>
                <w:rFonts w:hint="eastAsia" w:ascii="宋体" w:hAnsi="宋体" w:eastAsia="宋体" w:cs="宋体"/>
                <w:i w:val="0"/>
                <w:iCs w:val="0"/>
                <w:color w:val="000000"/>
                <w:sz w:val="18"/>
                <w:szCs w:val="18"/>
                <w:u w:val="none"/>
              </w:rPr>
            </w:pPr>
          </w:p>
        </w:tc>
        <w:tc>
          <w:tcPr>
            <w:tcW w:w="485" w:type="pct"/>
            <w:tcBorders>
              <w:top w:val="nil"/>
              <w:left w:val="nil"/>
              <w:bottom w:val="nil"/>
              <w:right w:val="nil"/>
            </w:tcBorders>
            <w:shd w:val="clear" w:color="auto" w:fill="auto"/>
            <w:vAlign w:val="center"/>
          </w:tcPr>
          <w:p w14:paraId="6692E2E4">
            <w:pPr>
              <w:keepNext/>
              <w:snapToGrid w:val="0"/>
              <w:rPr>
                <w:rFonts w:hint="eastAsia" w:ascii="宋体" w:hAnsi="宋体" w:eastAsia="宋体" w:cs="宋体"/>
                <w:i w:val="0"/>
                <w:iCs w:val="0"/>
                <w:color w:val="000000"/>
                <w:sz w:val="18"/>
                <w:szCs w:val="18"/>
                <w:u w:val="none"/>
              </w:rPr>
            </w:pPr>
          </w:p>
        </w:tc>
        <w:tc>
          <w:tcPr>
            <w:tcW w:w="867" w:type="pct"/>
            <w:tcBorders>
              <w:top w:val="nil"/>
              <w:left w:val="nil"/>
              <w:bottom w:val="nil"/>
              <w:right w:val="nil"/>
            </w:tcBorders>
            <w:shd w:val="clear" w:color="auto" w:fill="auto"/>
            <w:vAlign w:val="center"/>
          </w:tcPr>
          <w:p w14:paraId="7F685242">
            <w:pPr>
              <w:keepNext/>
              <w:snapToGrid w:val="0"/>
              <w:rPr>
                <w:rFonts w:hint="eastAsia" w:ascii="宋体" w:hAnsi="宋体" w:eastAsia="宋体" w:cs="宋体"/>
                <w:i w:val="0"/>
                <w:iCs w:val="0"/>
                <w:color w:val="000000"/>
                <w:sz w:val="18"/>
                <w:szCs w:val="18"/>
                <w:u w:val="none"/>
              </w:rPr>
            </w:pPr>
          </w:p>
        </w:tc>
        <w:tc>
          <w:tcPr>
            <w:tcW w:w="255" w:type="pct"/>
            <w:tcBorders>
              <w:top w:val="nil"/>
              <w:left w:val="nil"/>
              <w:bottom w:val="nil"/>
              <w:right w:val="nil"/>
            </w:tcBorders>
            <w:shd w:val="clear" w:color="auto" w:fill="auto"/>
            <w:vAlign w:val="center"/>
          </w:tcPr>
          <w:p w14:paraId="1AD2FA8A">
            <w:pPr>
              <w:keepNext/>
              <w:snapToGrid w:val="0"/>
              <w:rPr>
                <w:rFonts w:hint="eastAsia" w:ascii="宋体" w:hAnsi="宋体" w:eastAsia="宋体" w:cs="宋体"/>
                <w:i w:val="0"/>
                <w:iCs w:val="0"/>
                <w:color w:val="000000"/>
                <w:sz w:val="18"/>
                <w:szCs w:val="18"/>
                <w:u w:val="none"/>
              </w:rPr>
            </w:pPr>
          </w:p>
        </w:tc>
        <w:tc>
          <w:tcPr>
            <w:tcW w:w="552" w:type="pct"/>
            <w:tcBorders>
              <w:top w:val="nil"/>
              <w:left w:val="nil"/>
              <w:bottom w:val="nil"/>
              <w:right w:val="nil"/>
            </w:tcBorders>
            <w:shd w:val="clear" w:color="auto" w:fill="auto"/>
            <w:vAlign w:val="center"/>
          </w:tcPr>
          <w:p w14:paraId="52CF2236">
            <w:pPr>
              <w:keepNext/>
              <w:snapToGrid w:val="0"/>
              <w:rPr>
                <w:rFonts w:hint="eastAsia" w:ascii="宋体" w:hAnsi="宋体" w:eastAsia="宋体" w:cs="宋体"/>
                <w:i w:val="0"/>
                <w:iCs w:val="0"/>
                <w:color w:val="000000"/>
                <w:sz w:val="18"/>
                <w:szCs w:val="18"/>
                <w:u w:val="none"/>
              </w:rPr>
            </w:pPr>
          </w:p>
        </w:tc>
        <w:tc>
          <w:tcPr>
            <w:tcW w:w="465" w:type="pct"/>
            <w:tcBorders>
              <w:top w:val="nil"/>
              <w:left w:val="nil"/>
              <w:bottom w:val="nil"/>
              <w:right w:val="nil"/>
            </w:tcBorders>
            <w:shd w:val="clear" w:color="auto" w:fill="auto"/>
            <w:vAlign w:val="center"/>
          </w:tcPr>
          <w:p w14:paraId="6A5BB31B">
            <w:pPr>
              <w:keepNext/>
              <w:snapToGrid w:val="0"/>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736003F0">
            <w:pPr>
              <w:keepNext/>
              <w:snapToGrid w:val="0"/>
              <w:rPr>
                <w:rFonts w:hint="eastAsia" w:ascii="宋体" w:hAnsi="宋体" w:eastAsia="宋体" w:cs="宋体"/>
                <w:i w:val="0"/>
                <w:iCs w:val="0"/>
                <w:color w:val="000000"/>
                <w:sz w:val="18"/>
                <w:szCs w:val="18"/>
                <w:u w:val="none"/>
              </w:rPr>
            </w:pPr>
          </w:p>
        </w:tc>
        <w:tc>
          <w:tcPr>
            <w:tcW w:w="312" w:type="pct"/>
            <w:tcBorders>
              <w:top w:val="nil"/>
              <w:left w:val="nil"/>
              <w:bottom w:val="nil"/>
              <w:right w:val="nil"/>
            </w:tcBorders>
            <w:shd w:val="clear" w:color="auto" w:fill="auto"/>
            <w:vAlign w:val="center"/>
          </w:tcPr>
          <w:p w14:paraId="13170406">
            <w:pPr>
              <w:keepNext/>
              <w:snapToGrid w:val="0"/>
              <w:rPr>
                <w:rFonts w:hint="eastAsia" w:ascii="宋体" w:hAnsi="宋体" w:eastAsia="宋体" w:cs="宋体"/>
                <w:i w:val="0"/>
                <w:iCs w:val="0"/>
                <w:color w:val="000000"/>
                <w:sz w:val="18"/>
                <w:szCs w:val="18"/>
                <w:u w:val="none"/>
              </w:rPr>
            </w:pPr>
          </w:p>
        </w:tc>
        <w:tc>
          <w:tcPr>
            <w:tcW w:w="258" w:type="pct"/>
            <w:tcBorders>
              <w:top w:val="nil"/>
              <w:left w:val="nil"/>
              <w:bottom w:val="nil"/>
              <w:right w:val="nil"/>
            </w:tcBorders>
            <w:shd w:val="clear" w:color="auto" w:fill="auto"/>
            <w:vAlign w:val="center"/>
          </w:tcPr>
          <w:p w14:paraId="4F2F5602">
            <w:pPr>
              <w:keepNext/>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14:paraId="4113287E">
            <w:pPr>
              <w:keepNext/>
              <w:snapToGrid w:val="0"/>
              <w:rPr>
                <w:rFonts w:hint="eastAsia" w:ascii="宋体" w:hAnsi="宋体" w:eastAsia="宋体" w:cs="宋体"/>
                <w:i w:val="0"/>
                <w:iCs w:val="0"/>
                <w:color w:val="000000"/>
                <w:sz w:val="18"/>
                <w:szCs w:val="18"/>
                <w:u w:val="none"/>
              </w:rPr>
            </w:pPr>
          </w:p>
        </w:tc>
      </w:tr>
      <w:tr w14:paraId="0C9F7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4A03F7EF">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12B71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8C00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AB9F9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51320025T000013663851-阿坝县大气环境管理能力提升建设项目</w:t>
            </w:r>
          </w:p>
        </w:tc>
      </w:tr>
      <w:tr w14:paraId="27755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9CF939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77E58B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583" w:type="pct"/>
            <w:tcBorders>
              <w:top w:val="nil"/>
              <w:left w:val="nil"/>
              <w:bottom w:val="nil"/>
              <w:right w:val="nil"/>
            </w:tcBorders>
            <w:shd w:val="clear" w:color="auto" w:fill="auto"/>
            <w:vAlign w:val="center"/>
          </w:tcPr>
          <w:p w14:paraId="1F6F6949">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7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854647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阿坝县生态环境局</w:t>
            </w:r>
          </w:p>
        </w:tc>
      </w:tr>
      <w:tr w14:paraId="2FAFA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5B5AD7">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6ABBB0">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039DD9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168CCA5">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66740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3595CE">
            <w:pPr>
              <w:keepNext/>
              <w:snapToGrid w:val="0"/>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F8FB01">
            <w:pPr>
              <w:keepNext/>
              <w:snapToGrid w:val="0"/>
              <w:rPr>
                <w:rFonts w:hint="eastAsia" w:ascii="宋体" w:hAnsi="宋体" w:eastAsia="宋体" w:cs="宋体"/>
                <w:i w:val="0"/>
                <w:iCs w:val="0"/>
                <w:color w:val="000000"/>
                <w:sz w:val="18"/>
                <w:szCs w:val="18"/>
                <w:u w:val="none"/>
              </w:rPr>
            </w:pP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1C1A91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经费保障充分考虑了现有的技术、人员、资金等条件，确保大气相关项目的顺利实施。该资金具有长期效益，通过提升大气环境管理能力，可以持续改善空气环境质量。</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62F3236">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本年度通过提升大气环境管理能力，可以持续改善空气环境质量。</w:t>
            </w:r>
          </w:p>
        </w:tc>
      </w:tr>
      <w:tr w14:paraId="67F85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F3D1BA">
            <w:pPr>
              <w:keepNext/>
              <w:snapToGrid w:val="0"/>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80AD7">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4A65EDD">
            <w:pPr>
              <w:keepNext/>
              <w:snapToGrid w:val="0"/>
              <w:rPr>
                <w:rFonts w:hint="eastAsia" w:ascii="宋体" w:hAnsi="宋体" w:eastAsia="宋体" w:cs="宋体"/>
                <w:i w:val="0"/>
                <w:iCs w:val="0"/>
                <w:color w:val="000000"/>
                <w:sz w:val="18"/>
                <w:szCs w:val="18"/>
                <w:u w:val="none"/>
              </w:rPr>
            </w:pPr>
          </w:p>
        </w:tc>
      </w:tr>
      <w:tr w14:paraId="14F9F1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49A22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B2FE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A0D1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6E9E9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8BF52C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1196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B2AB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BA41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69100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DBA8D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047B9">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A008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8777D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169EE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97AFA2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0B66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0D320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2A8054">
            <w:pPr>
              <w:keepNext/>
              <w:snapToGrid w:val="0"/>
              <w:jc w:val="center"/>
              <w:rPr>
                <w:rFonts w:hint="eastAsia" w:ascii="宋体" w:hAnsi="宋体" w:eastAsia="宋体" w:cs="宋体"/>
                <w:i w:val="0"/>
                <w:iCs w:val="0"/>
                <w:color w:val="000000"/>
                <w:sz w:val="18"/>
                <w:szCs w:val="18"/>
                <w:u w:val="none"/>
              </w:rPr>
            </w:pP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0672ED">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5BC73D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88B492">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623A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078A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B840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E7D32F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6C62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7A6F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635F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399047C">
            <w:pPr>
              <w:keepNext/>
              <w:snapToGrid w:val="0"/>
              <w:rPr>
                <w:rFonts w:hint="eastAsia" w:ascii="黑体" w:hAnsi="黑体" w:eastAsia="黑体" w:cs="黑体"/>
                <w:i/>
                <w:iCs/>
                <w:color w:val="000000"/>
                <w:sz w:val="18"/>
                <w:szCs w:val="18"/>
                <w:u w:val="none"/>
              </w:rPr>
            </w:pPr>
          </w:p>
        </w:tc>
      </w:tr>
      <w:tr w14:paraId="1EB390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EF9FC3">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E2C3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8F17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65F5D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09C94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BF5C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CB62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6DD2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DA88A2">
            <w:pPr>
              <w:keepNext/>
              <w:snapToGrid w:val="0"/>
              <w:rPr>
                <w:rFonts w:hint="eastAsia" w:ascii="黑体" w:hAnsi="黑体" w:eastAsia="黑体" w:cs="黑体"/>
                <w:i/>
                <w:iCs/>
                <w:color w:val="000000"/>
                <w:sz w:val="18"/>
                <w:szCs w:val="18"/>
                <w:u w:val="none"/>
              </w:rPr>
            </w:pPr>
          </w:p>
        </w:tc>
      </w:tr>
      <w:tr w14:paraId="0DE68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7AF9C3">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4A7D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20A2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0CEE4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90D4F9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45C65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399B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0EA1C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33102">
            <w:pPr>
              <w:keepNext/>
              <w:snapToGrid w:val="0"/>
              <w:rPr>
                <w:rFonts w:hint="eastAsia" w:ascii="黑体" w:hAnsi="黑体" w:eastAsia="黑体" w:cs="黑体"/>
                <w:i/>
                <w:iCs/>
                <w:color w:val="000000"/>
                <w:sz w:val="18"/>
                <w:szCs w:val="18"/>
                <w:u w:val="none"/>
              </w:rPr>
            </w:pPr>
          </w:p>
        </w:tc>
      </w:tr>
      <w:tr w14:paraId="2D022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E2E3DE">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E7F8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E22E6">
            <w:pPr>
              <w:keepNext/>
              <w:snapToGrid w:val="0"/>
              <w:jc w:val="center"/>
              <w:rPr>
                <w:rFonts w:hint="eastAsia" w:ascii="微软雅黑" w:hAnsi="微软雅黑" w:eastAsia="微软雅黑" w:cs="微软雅黑"/>
                <w:i/>
                <w:iCs/>
                <w:color w:val="000000"/>
                <w:sz w:val="16"/>
                <w:szCs w:val="16"/>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993BB">
            <w:pPr>
              <w:keepNext/>
              <w:snapToGrid w:val="0"/>
              <w:jc w:val="center"/>
              <w:rPr>
                <w:rFonts w:hint="eastAsia" w:ascii="微软雅黑" w:hAnsi="微软雅黑" w:eastAsia="微软雅黑" w:cs="微软雅黑"/>
                <w:i/>
                <w:iCs/>
                <w:color w:val="000000"/>
                <w:sz w:val="16"/>
                <w:szCs w:val="16"/>
                <w:u w:val="none"/>
              </w:rPr>
            </w:pP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A33A0DA">
            <w:pPr>
              <w:keepNext/>
              <w:snapToGrid w:val="0"/>
              <w:jc w:val="center"/>
              <w:rPr>
                <w:rFonts w:hint="eastAsia" w:ascii="微软雅黑" w:hAnsi="微软雅黑" w:eastAsia="微软雅黑" w:cs="微软雅黑"/>
                <w:i/>
                <w:iCs/>
                <w:color w:val="000000"/>
                <w:sz w:val="16"/>
                <w:szCs w:val="16"/>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2ED25">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6847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1226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4BAE6C">
            <w:pPr>
              <w:keepNext/>
              <w:snapToGrid w:val="0"/>
              <w:rPr>
                <w:rFonts w:hint="eastAsia" w:ascii="黑体" w:hAnsi="黑体" w:eastAsia="黑体" w:cs="黑体"/>
                <w:i/>
                <w:iCs/>
                <w:color w:val="000000"/>
                <w:sz w:val="18"/>
                <w:szCs w:val="18"/>
                <w:u w:val="none"/>
              </w:rPr>
            </w:pPr>
          </w:p>
        </w:tc>
      </w:tr>
      <w:tr w14:paraId="3B0861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A7644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6C07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F18A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38091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00BF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B1EA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7AB4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0BA7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68431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1A48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5E488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D46F2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B66C5F">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2C6E1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C137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66C02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支持项目个数</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F60D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933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E335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7E3E6">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354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B00A6">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C35C9">
            <w:pPr>
              <w:keepNext/>
              <w:snapToGrid w:val="0"/>
              <w:jc w:val="center"/>
              <w:rPr>
                <w:rFonts w:hint="eastAsia" w:ascii="微软雅黑" w:hAnsi="微软雅黑" w:eastAsia="微软雅黑" w:cs="微软雅黑"/>
                <w:i/>
                <w:iCs/>
                <w:color w:val="000000"/>
                <w:sz w:val="16"/>
                <w:szCs w:val="16"/>
                <w:u w:val="none"/>
              </w:rPr>
            </w:pPr>
          </w:p>
        </w:tc>
      </w:tr>
      <w:tr w14:paraId="49BFE4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5CFB19">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2C45880">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E727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476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实施完成项目验收合格率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66C1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7C8AD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E0D8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144B3">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1689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FAE7A">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70FB7">
            <w:pPr>
              <w:keepNext/>
              <w:snapToGrid w:val="0"/>
              <w:jc w:val="center"/>
              <w:rPr>
                <w:rFonts w:hint="eastAsia" w:ascii="微软雅黑" w:hAnsi="微软雅黑" w:eastAsia="微软雅黑" w:cs="微软雅黑"/>
                <w:i/>
                <w:iCs/>
                <w:color w:val="000000"/>
                <w:sz w:val="16"/>
                <w:szCs w:val="16"/>
                <w:u w:val="none"/>
              </w:rPr>
            </w:pPr>
          </w:p>
        </w:tc>
      </w:tr>
      <w:tr w14:paraId="7E8FE9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0A72D4">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6B1129">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4F902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4AC96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完成时间</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22858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CB70E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3DF7B">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97E2A">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9C7D3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60C086">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487FC">
            <w:pPr>
              <w:keepNext/>
              <w:snapToGrid w:val="0"/>
              <w:jc w:val="center"/>
              <w:rPr>
                <w:rFonts w:hint="eastAsia" w:ascii="微软雅黑" w:hAnsi="微软雅黑" w:eastAsia="微软雅黑" w:cs="微软雅黑"/>
                <w:i/>
                <w:iCs/>
                <w:color w:val="000000"/>
                <w:sz w:val="16"/>
                <w:szCs w:val="16"/>
                <w:u w:val="none"/>
              </w:rPr>
            </w:pPr>
          </w:p>
        </w:tc>
      </w:tr>
      <w:tr w14:paraId="237C97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44E7AD0">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02DAB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35EE6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A6C2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环境管理水平提升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D8DD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787A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提升</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EE6ADA">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A3C8B">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23E9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A4A18B">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EFEF2">
            <w:pPr>
              <w:keepNext/>
              <w:snapToGrid w:val="0"/>
              <w:jc w:val="center"/>
              <w:rPr>
                <w:rFonts w:hint="eastAsia" w:ascii="微软雅黑" w:hAnsi="微软雅黑" w:eastAsia="微软雅黑" w:cs="微软雅黑"/>
                <w:i/>
                <w:iCs/>
                <w:color w:val="000000"/>
                <w:sz w:val="16"/>
                <w:szCs w:val="16"/>
                <w:u w:val="none"/>
              </w:rPr>
            </w:pPr>
          </w:p>
        </w:tc>
      </w:tr>
      <w:tr w14:paraId="20394B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55D05A">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69E3EC">
            <w:pPr>
              <w:keepNext/>
              <w:snapToGrid w:val="0"/>
              <w:jc w:val="center"/>
              <w:rPr>
                <w:rFonts w:hint="eastAsia" w:ascii="宋体" w:hAnsi="宋体" w:eastAsia="宋体" w:cs="宋体"/>
                <w:i w:val="0"/>
                <w:iCs w:val="0"/>
                <w:color w:val="000000"/>
                <w:sz w:val="18"/>
                <w:szCs w:val="18"/>
                <w:u w:val="none"/>
              </w:rPr>
            </w:pPr>
          </w:p>
        </w:tc>
        <w:tc>
          <w:tcPr>
            <w:tcW w:w="48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09E3C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01E5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优良天数</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E268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B7C6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达到省下达目标要求</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9898FF">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9E566">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2479F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1D441">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0D41D">
            <w:pPr>
              <w:keepNext/>
              <w:snapToGrid w:val="0"/>
              <w:jc w:val="center"/>
              <w:rPr>
                <w:rFonts w:hint="eastAsia" w:ascii="微软雅黑" w:hAnsi="微软雅黑" w:eastAsia="微软雅黑" w:cs="微软雅黑"/>
                <w:i/>
                <w:iCs/>
                <w:color w:val="000000"/>
                <w:sz w:val="16"/>
                <w:szCs w:val="16"/>
                <w:u w:val="none"/>
              </w:rPr>
            </w:pPr>
          </w:p>
        </w:tc>
      </w:tr>
      <w:tr w14:paraId="30714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70A4836">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C0D250">
            <w:pPr>
              <w:keepNext/>
              <w:snapToGrid w:val="0"/>
              <w:jc w:val="center"/>
              <w:rPr>
                <w:rFonts w:hint="eastAsia" w:ascii="宋体" w:hAnsi="宋体" w:eastAsia="宋体" w:cs="宋体"/>
                <w:i w:val="0"/>
                <w:iCs w:val="0"/>
                <w:color w:val="000000"/>
                <w:sz w:val="18"/>
                <w:szCs w:val="18"/>
                <w:u w:val="none"/>
              </w:rPr>
            </w:pPr>
          </w:p>
        </w:tc>
        <w:tc>
          <w:tcPr>
            <w:tcW w:w="48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58150">
            <w:pPr>
              <w:keepNext/>
              <w:snapToGrid w:val="0"/>
              <w:jc w:val="center"/>
              <w:rPr>
                <w:rFonts w:hint="eastAsia" w:ascii="宋体" w:hAnsi="宋体" w:eastAsia="宋体" w:cs="宋体"/>
                <w:i w:val="0"/>
                <w:iCs w:val="0"/>
                <w:color w:val="000000"/>
                <w:sz w:val="18"/>
                <w:szCs w:val="18"/>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E3FE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PM2.5年度浓度</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686B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DF9C1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达到省下达目标要求</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38DCD">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95E1C">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E21F2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B5511">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57F0C">
            <w:pPr>
              <w:keepNext/>
              <w:snapToGrid w:val="0"/>
              <w:jc w:val="center"/>
              <w:rPr>
                <w:rFonts w:hint="eastAsia" w:ascii="微软雅黑" w:hAnsi="微软雅黑" w:eastAsia="微软雅黑" w:cs="微软雅黑"/>
                <w:i/>
                <w:iCs/>
                <w:color w:val="000000"/>
                <w:sz w:val="16"/>
                <w:szCs w:val="16"/>
                <w:u w:val="none"/>
              </w:rPr>
            </w:pPr>
          </w:p>
        </w:tc>
      </w:tr>
      <w:tr w14:paraId="294BD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DA5441">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9A97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33E5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9E3C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F525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435D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80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93EE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A3C2EF">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D81F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80BFF">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17243">
            <w:pPr>
              <w:keepNext/>
              <w:snapToGrid w:val="0"/>
              <w:jc w:val="center"/>
              <w:rPr>
                <w:rFonts w:hint="eastAsia" w:ascii="微软雅黑" w:hAnsi="微软雅黑" w:eastAsia="微软雅黑" w:cs="微软雅黑"/>
                <w:i/>
                <w:iCs/>
                <w:color w:val="000000"/>
                <w:sz w:val="16"/>
                <w:szCs w:val="16"/>
                <w:u w:val="none"/>
              </w:rPr>
            </w:pPr>
          </w:p>
        </w:tc>
      </w:tr>
      <w:tr w14:paraId="60EE35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2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78B8BAD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5E33F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1117B">
            <w:pPr>
              <w:keepNext/>
              <w:snapToGrid w:val="0"/>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CC0A8">
            <w:pPr>
              <w:keepNext/>
              <w:snapToGrid w:val="0"/>
              <w:rPr>
                <w:rFonts w:hint="eastAsia" w:ascii="宋体" w:hAnsi="宋体" w:eastAsia="宋体" w:cs="宋体"/>
                <w:i w:val="0"/>
                <w:iCs w:val="0"/>
                <w:color w:val="000000"/>
                <w:sz w:val="18"/>
                <w:szCs w:val="18"/>
                <w:u w:val="none"/>
              </w:rPr>
            </w:pPr>
          </w:p>
        </w:tc>
      </w:tr>
      <w:tr w14:paraId="3E735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CC1B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9C46EC6">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本年度通过提升大气环境管理能力，可以持续改善空气环境质量。</w:t>
            </w:r>
          </w:p>
        </w:tc>
      </w:tr>
      <w:tr w14:paraId="1D2AB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4A4A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86527F">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7372F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2F906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D5C818B">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86318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3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537554">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项目负责人：王文</w:t>
            </w:r>
          </w:p>
        </w:tc>
        <w:tc>
          <w:tcPr>
            <w:tcW w:w="267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2198D04">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财务负责人：张世康</w:t>
            </w:r>
          </w:p>
        </w:tc>
      </w:tr>
      <w:tr w14:paraId="7AB1B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6FD6387A">
            <w:pPr>
              <w:keepNext/>
              <w:snapToGrid w:val="0"/>
              <w:rPr>
                <w:rFonts w:hint="eastAsia" w:ascii="宋体" w:hAnsi="宋体" w:eastAsia="宋体" w:cs="宋体"/>
                <w:i w:val="0"/>
                <w:iCs w:val="0"/>
                <w:color w:val="000000"/>
                <w:sz w:val="18"/>
                <w:szCs w:val="18"/>
                <w:u w:val="none"/>
              </w:rPr>
            </w:pPr>
          </w:p>
        </w:tc>
        <w:tc>
          <w:tcPr>
            <w:tcW w:w="360" w:type="pct"/>
            <w:tcBorders>
              <w:top w:val="nil"/>
              <w:left w:val="nil"/>
              <w:bottom w:val="nil"/>
              <w:right w:val="nil"/>
            </w:tcBorders>
            <w:shd w:val="clear" w:color="auto" w:fill="auto"/>
            <w:vAlign w:val="center"/>
          </w:tcPr>
          <w:p w14:paraId="6C14A531">
            <w:pPr>
              <w:keepNext/>
              <w:snapToGrid w:val="0"/>
              <w:rPr>
                <w:rFonts w:hint="eastAsia" w:ascii="宋体" w:hAnsi="宋体" w:eastAsia="宋体" w:cs="宋体"/>
                <w:i w:val="0"/>
                <w:iCs w:val="0"/>
                <w:color w:val="000000"/>
                <w:sz w:val="18"/>
                <w:szCs w:val="18"/>
                <w:u w:val="none"/>
              </w:rPr>
            </w:pPr>
          </w:p>
        </w:tc>
        <w:tc>
          <w:tcPr>
            <w:tcW w:w="485" w:type="pct"/>
            <w:tcBorders>
              <w:top w:val="nil"/>
              <w:left w:val="nil"/>
              <w:bottom w:val="nil"/>
              <w:right w:val="nil"/>
            </w:tcBorders>
            <w:shd w:val="clear" w:color="auto" w:fill="auto"/>
            <w:vAlign w:val="center"/>
          </w:tcPr>
          <w:p w14:paraId="2DC6AE46">
            <w:pPr>
              <w:keepNext/>
              <w:snapToGrid w:val="0"/>
              <w:rPr>
                <w:rFonts w:hint="eastAsia" w:ascii="宋体" w:hAnsi="宋体" w:eastAsia="宋体" w:cs="宋体"/>
                <w:i w:val="0"/>
                <w:iCs w:val="0"/>
                <w:color w:val="000000"/>
                <w:sz w:val="18"/>
                <w:szCs w:val="18"/>
                <w:u w:val="none"/>
              </w:rPr>
            </w:pPr>
          </w:p>
        </w:tc>
        <w:tc>
          <w:tcPr>
            <w:tcW w:w="867" w:type="pct"/>
            <w:tcBorders>
              <w:top w:val="nil"/>
              <w:left w:val="nil"/>
              <w:bottom w:val="nil"/>
              <w:right w:val="nil"/>
            </w:tcBorders>
            <w:shd w:val="clear" w:color="auto" w:fill="auto"/>
            <w:vAlign w:val="center"/>
          </w:tcPr>
          <w:p w14:paraId="000AD67F">
            <w:pPr>
              <w:keepNext/>
              <w:snapToGrid w:val="0"/>
              <w:rPr>
                <w:rFonts w:hint="eastAsia" w:ascii="宋体" w:hAnsi="宋体" w:eastAsia="宋体" w:cs="宋体"/>
                <w:i w:val="0"/>
                <w:iCs w:val="0"/>
                <w:color w:val="000000"/>
                <w:sz w:val="18"/>
                <w:szCs w:val="18"/>
                <w:u w:val="none"/>
              </w:rPr>
            </w:pPr>
          </w:p>
        </w:tc>
        <w:tc>
          <w:tcPr>
            <w:tcW w:w="255" w:type="pct"/>
            <w:tcBorders>
              <w:top w:val="nil"/>
              <w:left w:val="nil"/>
              <w:bottom w:val="nil"/>
              <w:right w:val="nil"/>
            </w:tcBorders>
            <w:shd w:val="clear" w:color="auto" w:fill="auto"/>
            <w:vAlign w:val="center"/>
          </w:tcPr>
          <w:p w14:paraId="2E5A6B69">
            <w:pPr>
              <w:keepNext/>
              <w:snapToGrid w:val="0"/>
              <w:rPr>
                <w:rFonts w:hint="eastAsia" w:ascii="宋体" w:hAnsi="宋体" w:eastAsia="宋体" w:cs="宋体"/>
                <w:i w:val="0"/>
                <w:iCs w:val="0"/>
                <w:color w:val="000000"/>
                <w:sz w:val="18"/>
                <w:szCs w:val="18"/>
                <w:u w:val="none"/>
              </w:rPr>
            </w:pPr>
          </w:p>
        </w:tc>
        <w:tc>
          <w:tcPr>
            <w:tcW w:w="552" w:type="pct"/>
            <w:tcBorders>
              <w:top w:val="nil"/>
              <w:left w:val="nil"/>
              <w:bottom w:val="nil"/>
              <w:right w:val="nil"/>
            </w:tcBorders>
            <w:shd w:val="clear" w:color="auto" w:fill="auto"/>
            <w:vAlign w:val="center"/>
          </w:tcPr>
          <w:p w14:paraId="13C2DD6E">
            <w:pPr>
              <w:keepNext/>
              <w:snapToGrid w:val="0"/>
              <w:rPr>
                <w:rFonts w:hint="eastAsia" w:ascii="宋体" w:hAnsi="宋体" w:eastAsia="宋体" w:cs="宋体"/>
                <w:i w:val="0"/>
                <w:iCs w:val="0"/>
                <w:color w:val="000000"/>
                <w:sz w:val="18"/>
                <w:szCs w:val="18"/>
                <w:u w:val="none"/>
              </w:rPr>
            </w:pPr>
          </w:p>
        </w:tc>
        <w:tc>
          <w:tcPr>
            <w:tcW w:w="465" w:type="pct"/>
            <w:tcBorders>
              <w:top w:val="nil"/>
              <w:left w:val="nil"/>
              <w:bottom w:val="nil"/>
              <w:right w:val="nil"/>
            </w:tcBorders>
            <w:shd w:val="clear" w:color="auto" w:fill="auto"/>
            <w:vAlign w:val="center"/>
          </w:tcPr>
          <w:p w14:paraId="53F90774">
            <w:pPr>
              <w:keepNext/>
              <w:snapToGrid w:val="0"/>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74432D41">
            <w:pPr>
              <w:keepNext/>
              <w:snapToGrid w:val="0"/>
              <w:rPr>
                <w:rFonts w:hint="eastAsia" w:ascii="宋体" w:hAnsi="宋体" w:eastAsia="宋体" w:cs="宋体"/>
                <w:i w:val="0"/>
                <w:iCs w:val="0"/>
                <w:color w:val="000000"/>
                <w:sz w:val="18"/>
                <w:szCs w:val="18"/>
                <w:u w:val="none"/>
              </w:rPr>
            </w:pPr>
          </w:p>
        </w:tc>
        <w:tc>
          <w:tcPr>
            <w:tcW w:w="312" w:type="pct"/>
            <w:tcBorders>
              <w:top w:val="nil"/>
              <w:left w:val="nil"/>
              <w:bottom w:val="nil"/>
              <w:right w:val="nil"/>
            </w:tcBorders>
            <w:shd w:val="clear" w:color="auto" w:fill="auto"/>
            <w:vAlign w:val="center"/>
          </w:tcPr>
          <w:p w14:paraId="0F86B9D1">
            <w:pPr>
              <w:keepNext/>
              <w:snapToGrid w:val="0"/>
              <w:rPr>
                <w:rFonts w:hint="eastAsia" w:ascii="宋体" w:hAnsi="宋体" w:eastAsia="宋体" w:cs="宋体"/>
                <w:i w:val="0"/>
                <w:iCs w:val="0"/>
                <w:color w:val="000000"/>
                <w:sz w:val="18"/>
                <w:szCs w:val="18"/>
                <w:u w:val="none"/>
              </w:rPr>
            </w:pPr>
          </w:p>
        </w:tc>
        <w:tc>
          <w:tcPr>
            <w:tcW w:w="258" w:type="pct"/>
            <w:tcBorders>
              <w:top w:val="nil"/>
              <w:left w:val="nil"/>
              <w:bottom w:val="nil"/>
              <w:right w:val="nil"/>
            </w:tcBorders>
            <w:shd w:val="clear" w:color="auto" w:fill="auto"/>
            <w:vAlign w:val="center"/>
          </w:tcPr>
          <w:p w14:paraId="73EA0C8F">
            <w:pPr>
              <w:keepNext/>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14:paraId="7EAB8863">
            <w:pPr>
              <w:keepNext/>
              <w:snapToGrid w:val="0"/>
              <w:rPr>
                <w:rFonts w:hint="eastAsia" w:ascii="宋体" w:hAnsi="宋体" w:eastAsia="宋体" w:cs="宋体"/>
                <w:i w:val="0"/>
                <w:iCs w:val="0"/>
                <w:color w:val="000000"/>
                <w:sz w:val="18"/>
                <w:szCs w:val="18"/>
                <w:u w:val="none"/>
              </w:rPr>
            </w:pPr>
          </w:p>
        </w:tc>
      </w:tr>
      <w:tr w14:paraId="044B19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7605E7D">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27216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3B936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11D81A0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51320025T000013754247-2025年阿坝县农村生活污水治理“千村示范工程”</w:t>
            </w:r>
          </w:p>
        </w:tc>
      </w:tr>
      <w:tr w14:paraId="11C37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F1310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14C00C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583" w:type="pct"/>
            <w:tcBorders>
              <w:top w:val="nil"/>
              <w:left w:val="nil"/>
              <w:bottom w:val="nil"/>
              <w:right w:val="nil"/>
            </w:tcBorders>
            <w:shd w:val="clear" w:color="auto" w:fill="auto"/>
            <w:vAlign w:val="center"/>
          </w:tcPr>
          <w:p w14:paraId="4222B9B5">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7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DA9A3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阿坝县生态环境局</w:t>
            </w:r>
          </w:p>
        </w:tc>
      </w:tr>
      <w:tr w14:paraId="1472B1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E8CCDC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A5A6E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E8F16F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53787C1D">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59ECC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53ACE">
            <w:pPr>
              <w:keepNext/>
              <w:snapToGrid w:val="0"/>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0D84D4">
            <w:pPr>
              <w:keepNext/>
              <w:snapToGrid w:val="0"/>
              <w:rPr>
                <w:rFonts w:hint="eastAsia" w:ascii="宋体" w:hAnsi="宋体" w:eastAsia="宋体" w:cs="宋体"/>
                <w:i w:val="0"/>
                <w:iCs w:val="0"/>
                <w:color w:val="000000"/>
                <w:sz w:val="18"/>
                <w:szCs w:val="18"/>
                <w:u w:val="none"/>
              </w:rPr>
            </w:pP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AA2FF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实施2025年阿坝县农村生活污水治理“千村示范工程”项目，到2025年12月底，阿坝县措德洛村、拿昌玛村、甲尔多村、若柯河村共4个村农村生活污水治理将达到三基本要求（包括农村生活污水处理设施建设和资源化利用相结合的有效管控）。</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B2209B9">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通过实施2025年阿坝县农村生活污水治理“千村示范工程”项目，到2025年12月底，阿坝县措德洛村、拿昌玛村、甲尔多村、若柯河村共4个村农村生活污水治理将达到三基本要求（包括农村生活污水处理设施建设和资源化利用相结合的有效管控）。</w:t>
            </w:r>
          </w:p>
        </w:tc>
      </w:tr>
      <w:tr w14:paraId="129EEF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BA150E">
            <w:pPr>
              <w:keepNext/>
              <w:snapToGrid w:val="0"/>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B30E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31D93038">
            <w:pPr>
              <w:keepNext/>
              <w:snapToGrid w:val="0"/>
              <w:rPr>
                <w:rFonts w:hint="eastAsia" w:ascii="宋体" w:hAnsi="宋体" w:eastAsia="宋体" w:cs="宋体"/>
                <w:i w:val="0"/>
                <w:iCs w:val="0"/>
                <w:color w:val="000000"/>
                <w:sz w:val="18"/>
                <w:szCs w:val="18"/>
                <w:u w:val="none"/>
              </w:rPr>
            </w:pPr>
          </w:p>
        </w:tc>
      </w:tr>
      <w:tr w14:paraId="293BFA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B1EB7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690A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FEA61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C2741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2CE958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8C6D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237C2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A86A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00271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1A52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838C2A">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C01B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AA8C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D40C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253.32</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8169AD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249.18</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7CC0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98.37%</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D7F4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0A385">
            <w:pPr>
              <w:keepNext/>
              <w:snapToGrid w:val="0"/>
              <w:jc w:val="center"/>
              <w:rPr>
                <w:rFonts w:hint="eastAsia" w:ascii="宋体" w:hAnsi="宋体" w:eastAsia="宋体" w:cs="宋体"/>
                <w:i w:val="0"/>
                <w:iCs w:val="0"/>
                <w:color w:val="000000"/>
                <w:sz w:val="18"/>
                <w:szCs w:val="18"/>
                <w:u w:val="none"/>
              </w:rPr>
            </w:pP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D8D231E">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1824C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6DDE05">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79A2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4B24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156B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253.32</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CAC4FF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249.18</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2180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98.37%</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D7FF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011B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D7F650">
            <w:pPr>
              <w:keepNext/>
              <w:snapToGrid w:val="0"/>
              <w:rPr>
                <w:rFonts w:hint="eastAsia" w:ascii="黑体" w:hAnsi="黑体" w:eastAsia="黑体" w:cs="黑体"/>
                <w:i/>
                <w:iCs/>
                <w:color w:val="000000"/>
                <w:sz w:val="18"/>
                <w:szCs w:val="18"/>
                <w:u w:val="none"/>
              </w:rPr>
            </w:pPr>
          </w:p>
        </w:tc>
      </w:tr>
      <w:tr w14:paraId="1799E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4537F5">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533D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82B84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C57D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68B4FC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DF8C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64D4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48B2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DD4C92">
            <w:pPr>
              <w:keepNext/>
              <w:snapToGrid w:val="0"/>
              <w:rPr>
                <w:rFonts w:hint="eastAsia" w:ascii="黑体" w:hAnsi="黑体" w:eastAsia="黑体" w:cs="黑体"/>
                <w:i/>
                <w:iCs/>
                <w:color w:val="000000"/>
                <w:sz w:val="18"/>
                <w:szCs w:val="18"/>
                <w:u w:val="none"/>
              </w:rPr>
            </w:pPr>
          </w:p>
        </w:tc>
      </w:tr>
      <w:tr w14:paraId="39357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2318E6">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54F7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2B16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ED74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F705A7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BE82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8795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A0EB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027B36">
            <w:pPr>
              <w:keepNext/>
              <w:snapToGrid w:val="0"/>
              <w:rPr>
                <w:rFonts w:hint="eastAsia" w:ascii="黑体" w:hAnsi="黑体" w:eastAsia="黑体" w:cs="黑体"/>
                <w:i/>
                <w:iCs/>
                <w:color w:val="000000"/>
                <w:sz w:val="18"/>
                <w:szCs w:val="18"/>
                <w:u w:val="none"/>
              </w:rPr>
            </w:pPr>
          </w:p>
        </w:tc>
      </w:tr>
      <w:tr w14:paraId="2A563D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91868A">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9C36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87919">
            <w:pPr>
              <w:keepNext/>
              <w:snapToGrid w:val="0"/>
              <w:jc w:val="center"/>
              <w:rPr>
                <w:rFonts w:hint="eastAsia" w:ascii="微软雅黑" w:hAnsi="微软雅黑" w:eastAsia="微软雅黑" w:cs="微软雅黑"/>
                <w:i/>
                <w:iCs/>
                <w:color w:val="000000"/>
                <w:sz w:val="16"/>
                <w:szCs w:val="16"/>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23BF35">
            <w:pPr>
              <w:keepNext/>
              <w:snapToGrid w:val="0"/>
              <w:jc w:val="center"/>
              <w:rPr>
                <w:rFonts w:hint="eastAsia" w:ascii="微软雅黑" w:hAnsi="微软雅黑" w:eastAsia="微软雅黑" w:cs="微软雅黑"/>
                <w:i/>
                <w:iCs/>
                <w:color w:val="000000"/>
                <w:sz w:val="16"/>
                <w:szCs w:val="16"/>
                <w:u w:val="none"/>
              </w:rPr>
            </w:pP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FB5D01E">
            <w:pPr>
              <w:keepNext/>
              <w:snapToGrid w:val="0"/>
              <w:jc w:val="center"/>
              <w:rPr>
                <w:rFonts w:hint="eastAsia" w:ascii="微软雅黑" w:hAnsi="微软雅黑" w:eastAsia="微软雅黑" w:cs="微软雅黑"/>
                <w:i/>
                <w:iCs/>
                <w:color w:val="000000"/>
                <w:sz w:val="16"/>
                <w:szCs w:val="16"/>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F5DBF">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6AED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2FF72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28B2CB">
            <w:pPr>
              <w:keepNext/>
              <w:snapToGrid w:val="0"/>
              <w:rPr>
                <w:rFonts w:hint="eastAsia" w:ascii="黑体" w:hAnsi="黑体" w:eastAsia="黑体" w:cs="黑体"/>
                <w:i/>
                <w:iCs/>
                <w:color w:val="000000"/>
                <w:sz w:val="18"/>
                <w:szCs w:val="18"/>
                <w:u w:val="none"/>
              </w:rPr>
            </w:pPr>
          </w:p>
        </w:tc>
      </w:tr>
      <w:tr w14:paraId="783C47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632615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95351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C4288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10D4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F938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3666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6D7E5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B57F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D3E1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8162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6D77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74A5B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9AE455">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0E178E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6841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862CE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按要求开展千村示范工程的行政村数量</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17C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7CAD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6EAC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9029F">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5FC4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8E5DE">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4D0B0">
            <w:pPr>
              <w:keepNext/>
              <w:snapToGrid w:val="0"/>
              <w:jc w:val="center"/>
              <w:rPr>
                <w:rFonts w:hint="eastAsia" w:ascii="微软雅黑" w:hAnsi="微软雅黑" w:eastAsia="微软雅黑" w:cs="微软雅黑"/>
                <w:i/>
                <w:iCs/>
                <w:color w:val="000000"/>
                <w:sz w:val="16"/>
                <w:szCs w:val="16"/>
                <w:u w:val="none"/>
              </w:rPr>
            </w:pPr>
          </w:p>
        </w:tc>
      </w:tr>
      <w:tr w14:paraId="0CF276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E269F">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502863">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04C5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0B640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项目完成质量</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580F1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FD92C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D83C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6E5843">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FC409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5AC85F">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E39C32">
            <w:pPr>
              <w:keepNext/>
              <w:snapToGrid w:val="0"/>
              <w:jc w:val="center"/>
              <w:rPr>
                <w:rFonts w:hint="eastAsia" w:ascii="微软雅黑" w:hAnsi="微软雅黑" w:eastAsia="微软雅黑" w:cs="微软雅黑"/>
                <w:i/>
                <w:iCs/>
                <w:color w:val="000000"/>
                <w:sz w:val="16"/>
                <w:szCs w:val="16"/>
                <w:u w:val="none"/>
              </w:rPr>
            </w:pPr>
          </w:p>
        </w:tc>
      </w:tr>
      <w:tr w14:paraId="202E6AB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4311AB">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395845">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94B3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B9C2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完成实施方案设立目标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AC85E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970D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2025年12月</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875045">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B76DF">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82C7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9A23E">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14CC9">
            <w:pPr>
              <w:keepNext/>
              <w:snapToGrid w:val="0"/>
              <w:jc w:val="center"/>
              <w:rPr>
                <w:rFonts w:hint="eastAsia" w:ascii="微软雅黑" w:hAnsi="微软雅黑" w:eastAsia="微软雅黑" w:cs="微软雅黑"/>
                <w:i/>
                <w:iCs/>
                <w:color w:val="000000"/>
                <w:sz w:val="16"/>
                <w:szCs w:val="16"/>
                <w:u w:val="none"/>
              </w:rPr>
            </w:pPr>
          </w:p>
        </w:tc>
      </w:tr>
      <w:tr w14:paraId="1F1B4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26ADA2">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B2046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70CB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1416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减少环境经济损失</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8531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7339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明显减少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0D8AA">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70EC8">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98252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8C9B6">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5A759F">
            <w:pPr>
              <w:keepNext/>
              <w:snapToGrid w:val="0"/>
              <w:jc w:val="center"/>
              <w:rPr>
                <w:rFonts w:hint="eastAsia" w:ascii="微软雅黑" w:hAnsi="微软雅黑" w:eastAsia="微软雅黑" w:cs="微软雅黑"/>
                <w:i/>
                <w:iCs/>
                <w:color w:val="000000"/>
                <w:sz w:val="16"/>
                <w:szCs w:val="16"/>
                <w:u w:val="none"/>
              </w:rPr>
            </w:pPr>
          </w:p>
        </w:tc>
      </w:tr>
      <w:tr w14:paraId="5140BD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1F756B">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3FCB75">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E752D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180FD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受益户数</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31F0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F17E9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416</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1072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户</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B280A">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073C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A0139">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E9635">
            <w:pPr>
              <w:keepNext/>
              <w:snapToGrid w:val="0"/>
              <w:jc w:val="center"/>
              <w:rPr>
                <w:rFonts w:hint="eastAsia" w:ascii="微软雅黑" w:hAnsi="微软雅黑" w:eastAsia="微软雅黑" w:cs="微软雅黑"/>
                <w:i/>
                <w:iCs/>
                <w:color w:val="000000"/>
                <w:sz w:val="16"/>
                <w:szCs w:val="16"/>
                <w:u w:val="none"/>
              </w:rPr>
            </w:pPr>
          </w:p>
        </w:tc>
      </w:tr>
      <w:tr w14:paraId="3CADB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373A5D">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FB2B4E">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3EE3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258A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CODcr削减+资源化利用</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E361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F8FC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3.01t/a</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21CAC">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60AE9">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7E2E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D0E281">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5533B5">
            <w:pPr>
              <w:keepNext/>
              <w:snapToGrid w:val="0"/>
              <w:jc w:val="center"/>
              <w:rPr>
                <w:rFonts w:hint="eastAsia" w:ascii="微软雅黑" w:hAnsi="微软雅黑" w:eastAsia="微软雅黑" w:cs="微软雅黑"/>
                <w:i/>
                <w:iCs/>
                <w:color w:val="000000"/>
                <w:sz w:val="16"/>
                <w:szCs w:val="16"/>
                <w:u w:val="none"/>
              </w:rPr>
            </w:pPr>
          </w:p>
        </w:tc>
      </w:tr>
      <w:tr w14:paraId="7204B0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F9D3C6">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07B989">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77605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可持续影响指标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C9F8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项目运行服务年限</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764B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E3E7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CA087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654BC5">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756C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6170F">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0096B">
            <w:pPr>
              <w:keepNext/>
              <w:snapToGrid w:val="0"/>
              <w:jc w:val="center"/>
              <w:rPr>
                <w:rFonts w:hint="eastAsia" w:ascii="微软雅黑" w:hAnsi="微软雅黑" w:eastAsia="微软雅黑" w:cs="微软雅黑"/>
                <w:i/>
                <w:iCs/>
                <w:color w:val="000000"/>
                <w:sz w:val="16"/>
                <w:szCs w:val="16"/>
                <w:u w:val="none"/>
              </w:rPr>
            </w:pPr>
          </w:p>
        </w:tc>
      </w:tr>
      <w:tr w14:paraId="742284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DD907C">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7E6C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58F7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64C9A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2798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21A0B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D895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B99CC">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6E43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BC12A">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5849A">
            <w:pPr>
              <w:keepNext/>
              <w:snapToGrid w:val="0"/>
              <w:jc w:val="center"/>
              <w:rPr>
                <w:rFonts w:hint="eastAsia" w:ascii="微软雅黑" w:hAnsi="微软雅黑" w:eastAsia="微软雅黑" w:cs="微软雅黑"/>
                <w:i/>
                <w:iCs/>
                <w:color w:val="000000"/>
                <w:sz w:val="16"/>
                <w:szCs w:val="16"/>
                <w:u w:val="none"/>
              </w:rPr>
            </w:pPr>
          </w:p>
        </w:tc>
      </w:tr>
      <w:tr w14:paraId="4AC66D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92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8D7939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2485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AE3AD">
            <w:pPr>
              <w:keepNext/>
              <w:snapToGrid w:val="0"/>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A862C">
            <w:pPr>
              <w:keepNext/>
              <w:snapToGrid w:val="0"/>
              <w:rPr>
                <w:rFonts w:hint="eastAsia" w:ascii="宋体" w:hAnsi="宋体" w:eastAsia="宋体" w:cs="宋体"/>
                <w:i w:val="0"/>
                <w:iCs w:val="0"/>
                <w:color w:val="000000"/>
                <w:sz w:val="18"/>
                <w:szCs w:val="18"/>
                <w:u w:val="none"/>
              </w:rPr>
            </w:pPr>
          </w:p>
        </w:tc>
      </w:tr>
      <w:tr w14:paraId="643E02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23802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7ACB2576">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根据上级部门下达的目标任务，我局已在2025年底完成了4个行政村的治理任务</w:t>
            </w:r>
          </w:p>
        </w:tc>
      </w:tr>
      <w:tr w14:paraId="28E9E2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E5218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8D32881">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4011F8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B54A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2C13856">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349F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3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8187B10">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项目负责人：王文</w:t>
            </w:r>
          </w:p>
        </w:tc>
        <w:tc>
          <w:tcPr>
            <w:tcW w:w="267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6496F39F">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财务负责人：张世康</w:t>
            </w:r>
          </w:p>
        </w:tc>
      </w:tr>
      <w:tr w14:paraId="33678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321EE25D">
            <w:pPr>
              <w:keepNext/>
              <w:snapToGrid w:val="0"/>
              <w:rPr>
                <w:rFonts w:hint="eastAsia" w:ascii="宋体" w:hAnsi="宋体" w:eastAsia="宋体" w:cs="宋体"/>
                <w:i w:val="0"/>
                <w:iCs w:val="0"/>
                <w:color w:val="000000"/>
                <w:sz w:val="18"/>
                <w:szCs w:val="18"/>
                <w:u w:val="none"/>
              </w:rPr>
            </w:pPr>
          </w:p>
        </w:tc>
        <w:tc>
          <w:tcPr>
            <w:tcW w:w="360" w:type="pct"/>
            <w:tcBorders>
              <w:top w:val="nil"/>
              <w:left w:val="nil"/>
              <w:bottom w:val="nil"/>
              <w:right w:val="nil"/>
            </w:tcBorders>
            <w:shd w:val="clear" w:color="auto" w:fill="auto"/>
            <w:vAlign w:val="center"/>
          </w:tcPr>
          <w:p w14:paraId="2FAC23D8">
            <w:pPr>
              <w:keepNext/>
              <w:snapToGrid w:val="0"/>
              <w:rPr>
                <w:rFonts w:hint="eastAsia" w:ascii="宋体" w:hAnsi="宋体" w:eastAsia="宋体" w:cs="宋体"/>
                <w:i w:val="0"/>
                <w:iCs w:val="0"/>
                <w:color w:val="000000"/>
                <w:sz w:val="18"/>
                <w:szCs w:val="18"/>
                <w:u w:val="none"/>
              </w:rPr>
            </w:pPr>
          </w:p>
        </w:tc>
        <w:tc>
          <w:tcPr>
            <w:tcW w:w="485" w:type="pct"/>
            <w:tcBorders>
              <w:top w:val="nil"/>
              <w:left w:val="nil"/>
              <w:bottom w:val="nil"/>
              <w:right w:val="nil"/>
            </w:tcBorders>
            <w:shd w:val="clear" w:color="auto" w:fill="auto"/>
            <w:vAlign w:val="center"/>
          </w:tcPr>
          <w:p w14:paraId="6EE3CC27">
            <w:pPr>
              <w:keepNext/>
              <w:snapToGrid w:val="0"/>
              <w:rPr>
                <w:rFonts w:hint="eastAsia" w:ascii="宋体" w:hAnsi="宋体" w:eastAsia="宋体" w:cs="宋体"/>
                <w:i w:val="0"/>
                <w:iCs w:val="0"/>
                <w:color w:val="000000"/>
                <w:sz w:val="18"/>
                <w:szCs w:val="18"/>
                <w:u w:val="none"/>
              </w:rPr>
            </w:pPr>
          </w:p>
        </w:tc>
        <w:tc>
          <w:tcPr>
            <w:tcW w:w="867" w:type="pct"/>
            <w:tcBorders>
              <w:top w:val="nil"/>
              <w:left w:val="nil"/>
              <w:bottom w:val="nil"/>
              <w:right w:val="nil"/>
            </w:tcBorders>
            <w:shd w:val="clear" w:color="auto" w:fill="auto"/>
            <w:vAlign w:val="center"/>
          </w:tcPr>
          <w:p w14:paraId="2A240F7A">
            <w:pPr>
              <w:keepNext/>
              <w:snapToGrid w:val="0"/>
              <w:rPr>
                <w:rFonts w:hint="eastAsia" w:ascii="宋体" w:hAnsi="宋体" w:eastAsia="宋体" w:cs="宋体"/>
                <w:i w:val="0"/>
                <w:iCs w:val="0"/>
                <w:color w:val="000000"/>
                <w:sz w:val="18"/>
                <w:szCs w:val="18"/>
                <w:u w:val="none"/>
              </w:rPr>
            </w:pPr>
          </w:p>
        </w:tc>
        <w:tc>
          <w:tcPr>
            <w:tcW w:w="255" w:type="pct"/>
            <w:tcBorders>
              <w:top w:val="nil"/>
              <w:left w:val="nil"/>
              <w:bottom w:val="nil"/>
              <w:right w:val="nil"/>
            </w:tcBorders>
            <w:shd w:val="clear" w:color="auto" w:fill="auto"/>
            <w:vAlign w:val="center"/>
          </w:tcPr>
          <w:p w14:paraId="3DF72641">
            <w:pPr>
              <w:keepNext/>
              <w:snapToGrid w:val="0"/>
              <w:rPr>
                <w:rFonts w:hint="eastAsia" w:ascii="宋体" w:hAnsi="宋体" w:eastAsia="宋体" w:cs="宋体"/>
                <w:i w:val="0"/>
                <w:iCs w:val="0"/>
                <w:color w:val="000000"/>
                <w:sz w:val="18"/>
                <w:szCs w:val="18"/>
                <w:u w:val="none"/>
              </w:rPr>
            </w:pPr>
          </w:p>
        </w:tc>
        <w:tc>
          <w:tcPr>
            <w:tcW w:w="552" w:type="pct"/>
            <w:tcBorders>
              <w:top w:val="nil"/>
              <w:left w:val="nil"/>
              <w:bottom w:val="nil"/>
              <w:right w:val="nil"/>
            </w:tcBorders>
            <w:shd w:val="clear" w:color="auto" w:fill="auto"/>
            <w:vAlign w:val="center"/>
          </w:tcPr>
          <w:p w14:paraId="78B98E23">
            <w:pPr>
              <w:keepNext/>
              <w:snapToGrid w:val="0"/>
              <w:rPr>
                <w:rFonts w:hint="eastAsia" w:ascii="宋体" w:hAnsi="宋体" w:eastAsia="宋体" w:cs="宋体"/>
                <w:i w:val="0"/>
                <w:iCs w:val="0"/>
                <w:color w:val="000000"/>
                <w:sz w:val="18"/>
                <w:szCs w:val="18"/>
                <w:u w:val="none"/>
              </w:rPr>
            </w:pPr>
          </w:p>
        </w:tc>
        <w:tc>
          <w:tcPr>
            <w:tcW w:w="465" w:type="pct"/>
            <w:tcBorders>
              <w:top w:val="nil"/>
              <w:left w:val="nil"/>
              <w:bottom w:val="nil"/>
              <w:right w:val="nil"/>
            </w:tcBorders>
            <w:shd w:val="clear" w:color="auto" w:fill="auto"/>
            <w:vAlign w:val="center"/>
          </w:tcPr>
          <w:p w14:paraId="3657FD38">
            <w:pPr>
              <w:keepNext/>
              <w:snapToGrid w:val="0"/>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0FDF081C">
            <w:pPr>
              <w:keepNext/>
              <w:snapToGrid w:val="0"/>
              <w:rPr>
                <w:rFonts w:hint="eastAsia" w:ascii="宋体" w:hAnsi="宋体" w:eastAsia="宋体" w:cs="宋体"/>
                <w:i w:val="0"/>
                <w:iCs w:val="0"/>
                <w:color w:val="000000"/>
                <w:sz w:val="18"/>
                <w:szCs w:val="18"/>
                <w:u w:val="none"/>
              </w:rPr>
            </w:pPr>
          </w:p>
        </w:tc>
        <w:tc>
          <w:tcPr>
            <w:tcW w:w="312" w:type="pct"/>
            <w:tcBorders>
              <w:top w:val="nil"/>
              <w:left w:val="nil"/>
              <w:bottom w:val="nil"/>
              <w:right w:val="nil"/>
            </w:tcBorders>
            <w:shd w:val="clear" w:color="auto" w:fill="auto"/>
            <w:vAlign w:val="center"/>
          </w:tcPr>
          <w:p w14:paraId="45D5D228">
            <w:pPr>
              <w:keepNext/>
              <w:snapToGrid w:val="0"/>
              <w:rPr>
                <w:rFonts w:hint="eastAsia" w:ascii="宋体" w:hAnsi="宋体" w:eastAsia="宋体" w:cs="宋体"/>
                <w:i w:val="0"/>
                <w:iCs w:val="0"/>
                <w:color w:val="000000"/>
                <w:sz w:val="18"/>
                <w:szCs w:val="18"/>
                <w:u w:val="none"/>
              </w:rPr>
            </w:pPr>
          </w:p>
        </w:tc>
        <w:tc>
          <w:tcPr>
            <w:tcW w:w="258" w:type="pct"/>
            <w:tcBorders>
              <w:top w:val="nil"/>
              <w:left w:val="nil"/>
              <w:bottom w:val="nil"/>
              <w:right w:val="nil"/>
            </w:tcBorders>
            <w:shd w:val="clear" w:color="auto" w:fill="auto"/>
            <w:vAlign w:val="center"/>
          </w:tcPr>
          <w:p w14:paraId="09DF4049">
            <w:pPr>
              <w:keepNext/>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14:paraId="67CC108F">
            <w:pPr>
              <w:keepNext/>
              <w:snapToGrid w:val="0"/>
              <w:rPr>
                <w:rFonts w:hint="eastAsia" w:ascii="宋体" w:hAnsi="宋体" w:eastAsia="宋体" w:cs="宋体"/>
                <w:i w:val="0"/>
                <w:iCs w:val="0"/>
                <w:color w:val="000000"/>
                <w:sz w:val="18"/>
                <w:szCs w:val="18"/>
                <w:u w:val="none"/>
              </w:rPr>
            </w:pPr>
          </w:p>
        </w:tc>
      </w:tr>
      <w:tr w14:paraId="1C5B98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9EDC121">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0ADA53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59C5AB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4119F0D9">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51320025T000013755290-阿坝县阿曲河阿坝镇五村集中式饮用水水源地规范化建设项目</w:t>
            </w:r>
          </w:p>
        </w:tc>
      </w:tr>
      <w:tr w14:paraId="09388D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77216">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0D634D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583" w:type="pct"/>
            <w:tcBorders>
              <w:top w:val="nil"/>
              <w:left w:val="nil"/>
              <w:bottom w:val="nil"/>
              <w:right w:val="nil"/>
            </w:tcBorders>
            <w:shd w:val="clear" w:color="auto" w:fill="auto"/>
            <w:vAlign w:val="center"/>
          </w:tcPr>
          <w:p w14:paraId="608788F0">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7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2F2385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阿坝县生态环境局</w:t>
            </w:r>
          </w:p>
        </w:tc>
      </w:tr>
      <w:tr w14:paraId="12497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7018D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4484CC">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7E4F0B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1739BA8">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1CFB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765D3D">
            <w:pPr>
              <w:keepNext/>
              <w:snapToGrid w:val="0"/>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182B86">
            <w:pPr>
              <w:keepNext/>
              <w:snapToGrid w:val="0"/>
              <w:rPr>
                <w:rFonts w:hint="eastAsia" w:ascii="宋体" w:hAnsi="宋体" w:eastAsia="宋体" w:cs="宋体"/>
                <w:i w:val="0"/>
                <w:iCs w:val="0"/>
                <w:color w:val="000000"/>
                <w:sz w:val="18"/>
                <w:szCs w:val="18"/>
                <w:u w:val="none"/>
              </w:rPr>
            </w:pP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68767C9">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通过对阿坝县阿曲河阿坝镇五村集中式饮用水水源地保护区规范化建设，实现饮用水水源保护区的规范化管理，有效降低水源地的环境风险，保障水源地水质稳定达标。</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441A67">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完成阿坝县阿曲河阿坝镇五村集中式饮用水水源地保护区规范化建设，实现饮用水水源保护区的规范化管理，有效降低水源地的环境风险，保障水源地水质稳定达标</w:t>
            </w:r>
          </w:p>
        </w:tc>
      </w:tr>
      <w:tr w14:paraId="37F133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F9F5FE">
            <w:pPr>
              <w:keepNext/>
              <w:snapToGrid w:val="0"/>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E2DF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BCB04E6">
            <w:pPr>
              <w:keepNext/>
              <w:snapToGrid w:val="0"/>
              <w:rPr>
                <w:rFonts w:hint="eastAsia" w:ascii="宋体" w:hAnsi="宋体" w:eastAsia="宋体" w:cs="宋体"/>
                <w:i w:val="0"/>
                <w:iCs w:val="0"/>
                <w:color w:val="000000"/>
                <w:sz w:val="18"/>
                <w:szCs w:val="18"/>
                <w:u w:val="none"/>
              </w:rPr>
            </w:pPr>
          </w:p>
        </w:tc>
      </w:tr>
      <w:tr w14:paraId="3B4245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06B36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A619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FB5A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1C57E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2C9BDF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2189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E0C5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9E76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C3318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E6C3A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F7D7A1">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54EB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59302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D7A4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197.86</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FC215A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197.86</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38D63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DA63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16916">
            <w:pPr>
              <w:keepNext/>
              <w:snapToGrid w:val="0"/>
              <w:jc w:val="center"/>
              <w:rPr>
                <w:rFonts w:hint="eastAsia" w:ascii="宋体" w:hAnsi="宋体" w:eastAsia="宋体" w:cs="宋体"/>
                <w:i w:val="0"/>
                <w:iCs w:val="0"/>
                <w:color w:val="000000"/>
                <w:sz w:val="18"/>
                <w:szCs w:val="18"/>
                <w:u w:val="none"/>
              </w:rPr>
            </w:pP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79E2EF">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无</w:t>
            </w:r>
          </w:p>
        </w:tc>
      </w:tr>
      <w:tr w14:paraId="50B5E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5F83B">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DF70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49746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BFFBD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197.86</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782A3B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197.86</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F0C1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AF4B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7ADF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5B060F">
            <w:pPr>
              <w:keepNext/>
              <w:snapToGrid w:val="0"/>
              <w:rPr>
                <w:rFonts w:hint="eastAsia" w:ascii="黑体" w:hAnsi="黑体" w:eastAsia="黑体" w:cs="黑体"/>
                <w:i/>
                <w:iCs/>
                <w:color w:val="000000"/>
                <w:sz w:val="18"/>
                <w:szCs w:val="18"/>
                <w:u w:val="none"/>
              </w:rPr>
            </w:pPr>
          </w:p>
        </w:tc>
      </w:tr>
      <w:tr w14:paraId="4DB23A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43960D">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FB22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CC8B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A7A5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D7CE6A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6AAD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39D92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1300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1A705">
            <w:pPr>
              <w:keepNext/>
              <w:snapToGrid w:val="0"/>
              <w:rPr>
                <w:rFonts w:hint="eastAsia" w:ascii="黑体" w:hAnsi="黑体" w:eastAsia="黑体" w:cs="黑体"/>
                <w:i/>
                <w:iCs/>
                <w:color w:val="000000"/>
                <w:sz w:val="18"/>
                <w:szCs w:val="18"/>
                <w:u w:val="none"/>
              </w:rPr>
            </w:pPr>
          </w:p>
        </w:tc>
      </w:tr>
      <w:tr w14:paraId="589C1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169D76">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6899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35BDF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689C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584537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6A7B5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B3BCB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D575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968EFD">
            <w:pPr>
              <w:keepNext/>
              <w:snapToGrid w:val="0"/>
              <w:rPr>
                <w:rFonts w:hint="eastAsia" w:ascii="黑体" w:hAnsi="黑体" w:eastAsia="黑体" w:cs="黑体"/>
                <w:i/>
                <w:iCs/>
                <w:color w:val="000000"/>
                <w:sz w:val="18"/>
                <w:szCs w:val="18"/>
                <w:u w:val="none"/>
              </w:rPr>
            </w:pPr>
          </w:p>
        </w:tc>
      </w:tr>
      <w:tr w14:paraId="66EE93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5DF6A1">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0C27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E732B">
            <w:pPr>
              <w:keepNext/>
              <w:snapToGrid w:val="0"/>
              <w:jc w:val="center"/>
              <w:rPr>
                <w:rFonts w:hint="eastAsia" w:ascii="微软雅黑" w:hAnsi="微软雅黑" w:eastAsia="微软雅黑" w:cs="微软雅黑"/>
                <w:i/>
                <w:iCs/>
                <w:color w:val="000000"/>
                <w:sz w:val="16"/>
                <w:szCs w:val="16"/>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88DCF">
            <w:pPr>
              <w:keepNext/>
              <w:snapToGrid w:val="0"/>
              <w:jc w:val="center"/>
              <w:rPr>
                <w:rFonts w:hint="eastAsia" w:ascii="微软雅黑" w:hAnsi="微软雅黑" w:eastAsia="微软雅黑" w:cs="微软雅黑"/>
                <w:i/>
                <w:iCs/>
                <w:color w:val="000000"/>
                <w:sz w:val="16"/>
                <w:szCs w:val="16"/>
                <w:u w:val="none"/>
              </w:rPr>
            </w:pP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61110AC6">
            <w:pPr>
              <w:keepNext/>
              <w:snapToGrid w:val="0"/>
              <w:jc w:val="center"/>
              <w:rPr>
                <w:rFonts w:hint="eastAsia" w:ascii="微软雅黑" w:hAnsi="微软雅黑" w:eastAsia="微软雅黑" w:cs="微软雅黑"/>
                <w:i/>
                <w:iCs/>
                <w:color w:val="000000"/>
                <w:sz w:val="16"/>
                <w:szCs w:val="16"/>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66F96">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B8F6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C0DA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A9CB92">
            <w:pPr>
              <w:keepNext/>
              <w:snapToGrid w:val="0"/>
              <w:rPr>
                <w:rFonts w:hint="eastAsia" w:ascii="黑体" w:hAnsi="黑体" w:eastAsia="黑体" w:cs="黑体"/>
                <w:i/>
                <w:iCs/>
                <w:color w:val="000000"/>
                <w:sz w:val="18"/>
                <w:szCs w:val="18"/>
                <w:u w:val="none"/>
              </w:rPr>
            </w:pPr>
          </w:p>
        </w:tc>
      </w:tr>
      <w:tr w14:paraId="08813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3AE344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796A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3231D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1F2B4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498B7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443B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91050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B98D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0599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0DEA4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3CDD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15DD13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87B774">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530DAC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44A4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AC7F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水源地规范化建设设施设备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E24F7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4E60B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E5D6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个（套）</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0D68B2">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35473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CCC89">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9601F">
            <w:pPr>
              <w:keepNext/>
              <w:snapToGrid w:val="0"/>
              <w:jc w:val="center"/>
              <w:rPr>
                <w:rFonts w:hint="eastAsia" w:ascii="微软雅黑" w:hAnsi="微软雅黑" w:eastAsia="微软雅黑" w:cs="微软雅黑"/>
                <w:i/>
                <w:iCs/>
                <w:color w:val="000000"/>
                <w:sz w:val="16"/>
                <w:szCs w:val="16"/>
                <w:u w:val="none"/>
              </w:rPr>
            </w:pPr>
          </w:p>
        </w:tc>
      </w:tr>
      <w:tr w14:paraId="43423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394FF33">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E45EB">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E4AD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F0B4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项目质量达标率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4DDA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EBB1D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5A09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B4923A">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2F54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EC1DD">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59F6A">
            <w:pPr>
              <w:keepNext/>
              <w:snapToGrid w:val="0"/>
              <w:jc w:val="center"/>
              <w:rPr>
                <w:rFonts w:hint="eastAsia" w:ascii="微软雅黑" w:hAnsi="微软雅黑" w:eastAsia="微软雅黑" w:cs="微软雅黑"/>
                <w:i/>
                <w:iCs/>
                <w:color w:val="000000"/>
                <w:sz w:val="16"/>
                <w:szCs w:val="16"/>
                <w:u w:val="none"/>
              </w:rPr>
            </w:pPr>
          </w:p>
        </w:tc>
      </w:tr>
      <w:tr w14:paraId="25FDFF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15BBE7">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0A197F">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E7C1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时效指标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CF8C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项目建设周期</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E2DF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0B5F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2025年底前</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452B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98568C">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C820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B25624">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135463">
            <w:pPr>
              <w:keepNext/>
              <w:snapToGrid w:val="0"/>
              <w:jc w:val="center"/>
              <w:rPr>
                <w:rFonts w:hint="eastAsia" w:ascii="微软雅黑" w:hAnsi="微软雅黑" w:eastAsia="微软雅黑" w:cs="微软雅黑"/>
                <w:i/>
                <w:iCs/>
                <w:color w:val="000000"/>
                <w:sz w:val="16"/>
                <w:szCs w:val="16"/>
                <w:u w:val="none"/>
              </w:rPr>
            </w:pPr>
          </w:p>
        </w:tc>
      </w:tr>
      <w:tr w14:paraId="4F758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A8F809">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512FF2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DCD4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90988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减少环境经济损失</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512F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F5AD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明显减少</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AFE21">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63D1AB">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683F9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08389">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62E6C">
            <w:pPr>
              <w:keepNext/>
              <w:snapToGrid w:val="0"/>
              <w:jc w:val="center"/>
              <w:rPr>
                <w:rFonts w:hint="eastAsia" w:ascii="微软雅黑" w:hAnsi="微软雅黑" w:eastAsia="微软雅黑" w:cs="微软雅黑"/>
                <w:i/>
                <w:iCs/>
                <w:color w:val="000000"/>
                <w:sz w:val="16"/>
                <w:szCs w:val="16"/>
                <w:u w:val="none"/>
              </w:rPr>
            </w:pPr>
          </w:p>
        </w:tc>
      </w:tr>
      <w:tr w14:paraId="020095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431AD21">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433B34">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265F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E1F4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解决突出环保问题</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F0C0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ED0A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防止牲畜及人类破坏</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8BE65">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36E09">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DB83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9001F">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A20ED0">
            <w:pPr>
              <w:keepNext/>
              <w:snapToGrid w:val="0"/>
              <w:jc w:val="center"/>
              <w:rPr>
                <w:rFonts w:hint="eastAsia" w:ascii="微软雅黑" w:hAnsi="微软雅黑" w:eastAsia="微软雅黑" w:cs="微软雅黑"/>
                <w:i/>
                <w:iCs/>
                <w:color w:val="000000"/>
                <w:sz w:val="16"/>
                <w:szCs w:val="16"/>
                <w:u w:val="none"/>
              </w:rPr>
            </w:pPr>
          </w:p>
        </w:tc>
      </w:tr>
      <w:tr w14:paraId="14CEBC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85E719">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6CA4D1">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1059C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6986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水质改善情况</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9DBA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定性</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761C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水质保持至‖类</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D0725">
            <w:pPr>
              <w:keepNext/>
              <w:snapToGrid w:val="0"/>
              <w:jc w:val="center"/>
              <w:rPr>
                <w:rFonts w:hint="eastAsia" w:ascii="宋体" w:hAnsi="宋体" w:eastAsia="宋体" w:cs="宋体"/>
                <w:i w:val="0"/>
                <w:iCs w:val="0"/>
                <w:color w:val="000000"/>
                <w:sz w:val="18"/>
                <w:szCs w:val="18"/>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482DE">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0998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15</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CB7F4">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61E98">
            <w:pPr>
              <w:keepNext/>
              <w:snapToGrid w:val="0"/>
              <w:jc w:val="center"/>
              <w:rPr>
                <w:rFonts w:hint="eastAsia" w:ascii="微软雅黑" w:hAnsi="微软雅黑" w:eastAsia="微软雅黑" w:cs="微软雅黑"/>
                <w:i/>
                <w:iCs/>
                <w:color w:val="000000"/>
                <w:sz w:val="16"/>
                <w:szCs w:val="16"/>
                <w:u w:val="none"/>
              </w:rPr>
            </w:pPr>
          </w:p>
        </w:tc>
      </w:tr>
      <w:tr w14:paraId="0EC19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1C4783">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3063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6E09C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服务对象满意度指标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9509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群众满意度</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DF580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0B749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6898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27680">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9FBD8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9E0FD">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22E6D">
            <w:pPr>
              <w:keepNext/>
              <w:snapToGrid w:val="0"/>
              <w:jc w:val="center"/>
              <w:rPr>
                <w:rFonts w:hint="eastAsia" w:ascii="微软雅黑" w:hAnsi="微软雅黑" w:eastAsia="微软雅黑" w:cs="微软雅黑"/>
                <w:i/>
                <w:iCs/>
                <w:color w:val="000000"/>
                <w:sz w:val="16"/>
                <w:szCs w:val="16"/>
                <w:u w:val="none"/>
              </w:rPr>
            </w:pPr>
          </w:p>
        </w:tc>
      </w:tr>
      <w:tr w14:paraId="725DD7D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2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508C010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0E75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C1D2DB">
            <w:pPr>
              <w:keepNext/>
              <w:snapToGrid w:val="0"/>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EDF39">
            <w:pPr>
              <w:keepNext/>
              <w:snapToGrid w:val="0"/>
              <w:rPr>
                <w:rFonts w:hint="eastAsia" w:ascii="宋体" w:hAnsi="宋体" w:eastAsia="宋体" w:cs="宋体"/>
                <w:i w:val="0"/>
                <w:iCs w:val="0"/>
                <w:color w:val="000000"/>
                <w:sz w:val="18"/>
                <w:szCs w:val="18"/>
                <w:u w:val="none"/>
              </w:rPr>
            </w:pPr>
          </w:p>
        </w:tc>
      </w:tr>
      <w:tr w14:paraId="22BE1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34CCC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0BC6DEA">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完成阿坝县阿曲河阿坝镇五村集中式饮用水水源地保护区规范化建设，实现饮用水水源保护区的规范化管理，有效降低水源地的环境风险，保障水源地水质稳定达标</w:t>
            </w:r>
          </w:p>
        </w:tc>
      </w:tr>
      <w:tr w14:paraId="4DAE91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C517A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30BA585">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6138F3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9014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CA4DF17">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247EA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3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227DCB4">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项目负责人：王文</w:t>
            </w:r>
          </w:p>
        </w:tc>
        <w:tc>
          <w:tcPr>
            <w:tcW w:w="267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583E25B">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财务负责人：张世康</w:t>
            </w:r>
          </w:p>
        </w:tc>
      </w:tr>
      <w:tr w14:paraId="4BE90E7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5A662BFB">
            <w:pPr>
              <w:keepNext/>
              <w:snapToGrid w:val="0"/>
              <w:rPr>
                <w:rFonts w:hint="eastAsia" w:ascii="宋体" w:hAnsi="宋体" w:eastAsia="宋体" w:cs="宋体"/>
                <w:i w:val="0"/>
                <w:iCs w:val="0"/>
                <w:color w:val="000000"/>
                <w:sz w:val="18"/>
                <w:szCs w:val="18"/>
                <w:u w:val="none"/>
              </w:rPr>
            </w:pPr>
          </w:p>
        </w:tc>
        <w:tc>
          <w:tcPr>
            <w:tcW w:w="360" w:type="pct"/>
            <w:tcBorders>
              <w:top w:val="nil"/>
              <w:left w:val="nil"/>
              <w:bottom w:val="nil"/>
              <w:right w:val="nil"/>
            </w:tcBorders>
            <w:shd w:val="clear" w:color="auto" w:fill="auto"/>
            <w:vAlign w:val="center"/>
          </w:tcPr>
          <w:p w14:paraId="254D57AD">
            <w:pPr>
              <w:keepNext/>
              <w:snapToGrid w:val="0"/>
              <w:rPr>
                <w:rFonts w:hint="eastAsia" w:ascii="宋体" w:hAnsi="宋体" w:eastAsia="宋体" w:cs="宋体"/>
                <w:i w:val="0"/>
                <w:iCs w:val="0"/>
                <w:color w:val="000000"/>
                <w:sz w:val="18"/>
                <w:szCs w:val="18"/>
                <w:u w:val="none"/>
              </w:rPr>
            </w:pPr>
          </w:p>
        </w:tc>
        <w:tc>
          <w:tcPr>
            <w:tcW w:w="485" w:type="pct"/>
            <w:tcBorders>
              <w:top w:val="nil"/>
              <w:left w:val="nil"/>
              <w:bottom w:val="nil"/>
              <w:right w:val="nil"/>
            </w:tcBorders>
            <w:shd w:val="clear" w:color="auto" w:fill="auto"/>
            <w:vAlign w:val="center"/>
          </w:tcPr>
          <w:p w14:paraId="7B9B7908">
            <w:pPr>
              <w:keepNext/>
              <w:snapToGrid w:val="0"/>
              <w:rPr>
                <w:rFonts w:hint="eastAsia" w:ascii="宋体" w:hAnsi="宋体" w:eastAsia="宋体" w:cs="宋体"/>
                <w:i w:val="0"/>
                <w:iCs w:val="0"/>
                <w:color w:val="000000"/>
                <w:sz w:val="18"/>
                <w:szCs w:val="18"/>
                <w:u w:val="none"/>
              </w:rPr>
            </w:pPr>
          </w:p>
        </w:tc>
        <w:tc>
          <w:tcPr>
            <w:tcW w:w="867" w:type="pct"/>
            <w:tcBorders>
              <w:top w:val="nil"/>
              <w:left w:val="nil"/>
              <w:bottom w:val="nil"/>
              <w:right w:val="nil"/>
            </w:tcBorders>
            <w:shd w:val="clear" w:color="auto" w:fill="auto"/>
            <w:vAlign w:val="center"/>
          </w:tcPr>
          <w:p w14:paraId="325B2585">
            <w:pPr>
              <w:keepNext/>
              <w:snapToGrid w:val="0"/>
              <w:rPr>
                <w:rFonts w:hint="eastAsia" w:ascii="宋体" w:hAnsi="宋体" w:eastAsia="宋体" w:cs="宋体"/>
                <w:i w:val="0"/>
                <w:iCs w:val="0"/>
                <w:color w:val="000000"/>
                <w:sz w:val="18"/>
                <w:szCs w:val="18"/>
                <w:u w:val="none"/>
              </w:rPr>
            </w:pPr>
          </w:p>
        </w:tc>
        <w:tc>
          <w:tcPr>
            <w:tcW w:w="255" w:type="pct"/>
            <w:tcBorders>
              <w:top w:val="nil"/>
              <w:left w:val="nil"/>
              <w:bottom w:val="nil"/>
              <w:right w:val="nil"/>
            </w:tcBorders>
            <w:shd w:val="clear" w:color="auto" w:fill="auto"/>
            <w:vAlign w:val="center"/>
          </w:tcPr>
          <w:p w14:paraId="790724F7">
            <w:pPr>
              <w:keepNext/>
              <w:snapToGrid w:val="0"/>
              <w:rPr>
                <w:rFonts w:hint="eastAsia" w:ascii="宋体" w:hAnsi="宋体" w:eastAsia="宋体" w:cs="宋体"/>
                <w:i w:val="0"/>
                <w:iCs w:val="0"/>
                <w:color w:val="000000"/>
                <w:sz w:val="18"/>
                <w:szCs w:val="18"/>
                <w:u w:val="none"/>
              </w:rPr>
            </w:pPr>
          </w:p>
        </w:tc>
        <w:tc>
          <w:tcPr>
            <w:tcW w:w="552" w:type="pct"/>
            <w:tcBorders>
              <w:top w:val="nil"/>
              <w:left w:val="nil"/>
              <w:bottom w:val="nil"/>
              <w:right w:val="nil"/>
            </w:tcBorders>
            <w:shd w:val="clear" w:color="auto" w:fill="auto"/>
            <w:vAlign w:val="center"/>
          </w:tcPr>
          <w:p w14:paraId="12C5F9B7">
            <w:pPr>
              <w:keepNext/>
              <w:snapToGrid w:val="0"/>
              <w:rPr>
                <w:rFonts w:hint="eastAsia" w:ascii="宋体" w:hAnsi="宋体" w:eastAsia="宋体" w:cs="宋体"/>
                <w:i w:val="0"/>
                <w:iCs w:val="0"/>
                <w:color w:val="000000"/>
                <w:sz w:val="18"/>
                <w:szCs w:val="18"/>
                <w:u w:val="none"/>
              </w:rPr>
            </w:pPr>
          </w:p>
        </w:tc>
        <w:tc>
          <w:tcPr>
            <w:tcW w:w="465" w:type="pct"/>
            <w:tcBorders>
              <w:top w:val="nil"/>
              <w:left w:val="nil"/>
              <w:bottom w:val="nil"/>
              <w:right w:val="nil"/>
            </w:tcBorders>
            <w:shd w:val="clear" w:color="auto" w:fill="auto"/>
            <w:vAlign w:val="center"/>
          </w:tcPr>
          <w:p w14:paraId="622A93B6">
            <w:pPr>
              <w:keepNext/>
              <w:snapToGrid w:val="0"/>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5E0DAAE7">
            <w:pPr>
              <w:keepNext/>
              <w:snapToGrid w:val="0"/>
              <w:rPr>
                <w:rFonts w:hint="eastAsia" w:ascii="宋体" w:hAnsi="宋体" w:eastAsia="宋体" w:cs="宋体"/>
                <w:i w:val="0"/>
                <w:iCs w:val="0"/>
                <w:color w:val="000000"/>
                <w:sz w:val="18"/>
                <w:szCs w:val="18"/>
                <w:u w:val="none"/>
              </w:rPr>
            </w:pPr>
          </w:p>
        </w:tc>
        <w:tc>
          <w:tcPr>
            <w:tcW w:w="312" w:type="pct"/>
            <w:tcBorders>
              <w:top w:val="nil"/>
              <w:left w:val="nil"/>
              <w:bottom w:val="nil"/>
              <w:right w:val="nil"/>
            </w:tcBorders>
            <w:shd w:val="clear" w:color="auto" w:fill="auto"/>
            <w:vAlign w:val="center"/>
          </w:tcPr>
          <w:p w14:paraId="4741D3A6">
            <w:pPr>
              <w:keepNext/>
              <w:snapToGrid w:val="0"/>
              <w:rPr>
                <w:rFonts w:hint="eastAsia" w:ascii="宋体" w:hAnsi="宋体" w:eastAsia="宋体" w:cs="宋体"/>
                <w:i w:val="0"/>
                <w:iCs w:val="0"/>
                <w:color w:val="000000"/>
                <w:sz w:val="18"/>
                <w:szCs w:val="18"/>
                <w:u w:val="none"/>
              </w:rPr>
            </w:pPr>
          </w:p>
        </w:tc>
        <w:tc>
          <w:tcPr>
            <w:tcW w:w="258" w:type="pct"/>
            <w:tcBorders>
              <w:top w:val="nil"/>
              <w:left w:val="nil"/>
              <w:bottom w:val="nil"/>
              <w:right w:val="nil"/>
            </w:tcBorders>
            <w:shd w:val="clear" w:color="auto" w:fill="auto"/>
            <w:vAlign w:val="center"/>
          </w:tcPr>
          <w:p w14:paraId="5D742EE2">
            <w:pPr>
              <w:keepNext/>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14:paraId="3F134FE7">
            <w:pPr>
              <w:keepNext/>
              <w:snapToGrid w:val="0"/>
              <w:rPr>
                <w:rFonts w:hint="eastAsia" w:ascii="宋体" w:hAnsi="宋体" w:eastAsia="宋体" w:cs="宋体"/>
                <w:i w:val="0"/>
                <w:iCs w:val="0"/>
                <w:color w:val="000000"/>
                <w:sz w:val="18"/>
                <w:szCs w:val="18"/>
                <w:u w:val="none"/>
              </w:rPr>
            </w:pPr>
          </w:p>
        </w:tc>
      </w:tr>
      <w:tr w14:paraId="20E90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1D5D03DE">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39B94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9262CA">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72DDD5AE">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51320025Y000012974203-日常公用经费（其他运转类）</w:t>
            </w:r>
          </w:p>
        </w:tc>
      </w:tr>
      <w:tr w14:paraId="7A00B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A5BA04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7C73E6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583" w:type="pct"/>
            <w:tcBorders>
              <w:top w:val="nil"/>
              <w:left w:val="nil"/>
              <w:bottom w:val="nil"/>
              <w:right w:val="nil"/>
            </w:tcBorders>
            <w:shd w:val="clear" w:color="auto" w:fill="auto"/>
            <w:vAlign w:val="center"/>
          </w:tcPr>
          <w:p w14:paraId="283998B9">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7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95FA62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阿坝县生态环境局</w:t>
            </w:r>
          </w:p>
        </w:tc>
      </w:tr>
      <w:tr w14:paraId="70E97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AFA6C1">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D171499">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FBC9EF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7ABC49F">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3D9D17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00D4C1">
            <w:pPr>
              <w:keepNext/>
              <w:snapToGrid w:val="0"/>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6B8C6F0">
            <w:pPr>
              <w:keepNext/>
              <w:snapToGrid w:val="0"/>
              <w:rPr>
                <w:rFonts w:hint="eastAsia" w:ascii="宋体" w:hAnsi="宋体" w:eastAsia="宋体" w:cs="宋体"/>
                <w:i w:val="0"/>
                <w:iCs w:val="0"/>
                <w:color w:val="000000"/>
                <w:sz w:val="18"/>
                <w:szCs w:val="18"/>
                <w:u w:val="none"/>
              </w:rPr>
            </w:pP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BD523E8">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2A4C617">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已完成保障单位日常运转的年度目标</w:t>
            </w:r>
          </w:p>
        </w:tc>
      </w:tr>
      <w:tr w14:paraId="54D0E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A24B4A">
            <w:pPr>
              <w:keepNext/>
              <w:snapToGrid w:val="0"/>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BE312">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88F6997">
            <w:pPr>
              <w:keepNext/>
              <w:snapToGrid w:val="0"/>
              <w:rPr>
                <w:rFonts w:hint="eastAsia" w:ascii="宋体" w:hAnsi="宋体" w:eastAsia="宋体" w:cs="宋体"/>
                <w:i w:val="0"/>
                <w:iCs w:val="0"/>
                <w:color w:val="000000"/>
                <w:sz w:val="18"/>
                <w:szCs w:val="18"/>
                <w:u w:val="none"/>
              </w:rPr>
            </w:pPr>
          </w:p>
        </w:tc>
      </w:tr>
      <w:tr w14:paraId="3B59C5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6F35C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6887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A25A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07B04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7C4B74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3E87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4D034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D1AD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E263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0EC2DE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290E8A">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89DC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48F9B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17.90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9E69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17.81</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F647EF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17.81</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E580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CE25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214C4">
            <w:pPr>
              <w:keepNext/>
              <w:snapToGrid w:val="0"/>
              <w:jc w:val="center"/>
              <w:rPr>
                <w:rFonts w:hint="eastAsia" w:ascii="宋体" w:hAnsi="宋体" w:eastAsia="宋体" w:cs="宋体"/>
                <w:i w:val="0"/>
                <w:iCs w:val="0"/>
                <w:color w:val="000000"/>
                <w:sz w:val="18"/>
                <w:szCs w:val="18"/>
                <w:u w:val="none"/>
              </w:rPr>
            </w:pP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3221F86">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 xml:space="preserve">1.预算执行率已达100%; </w:t>
            </w:r>
          </w:p>
        </w:tc>
      </w:tr>
      <w:tr w14:paraId="2ACB2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397508">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2E141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B6F04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17.90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828F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17.81</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DC994E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17.81</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6C81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DC143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F493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9CF265">
            <w:pPr>
              <w:keepNext/>
              <w:snapToGrid w:val="0"/>
              <w:rPr>
                <w:rFonts w:hint="eastAsia" w:ascii="黑体" w:hAnsi="黑体" w:eastAsia="黑体" w:cs="黑体"/>
                <w:i/>
                <w:iCs/>
                <w:color w:val="000000"/>
                <w:sz w:val="18"/>
                <w:szCs w:val="18"/>
                <w:u w:val="none"/>
              </w:rPr>
            </w:pPr>
          </w:p>
        </w:tc>
      </w:tr>
      <w:tr w14:paraId="204C06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6C79CC">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DC73B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633F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DD5E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83327E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6BF9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0D4E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7853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961E2C">
            <w:pPr>
              <w:keepNext/>
              <w:snapToGrid w:val="0"/>
              <w:rPr>
                <w:rFonts w:hint="eastAsia" w:ascii="黑体" w:hAnsi="黑体" w:eastAsia="黑体" w:cs="黑体"/>
                <w:i/>
                <w:iCs/>
                <w:color w:val="000000"/>
                <w:sz w:val="18"/>
                <w:szCs w:val="18"/>
                <w:u w:val="none"/>
              </w:rPr>
            </w:pPr>
          </w:p>
        </w:tc>
      </w:tr>
      <w:tr w14:paraId="747D8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50A8E0">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407B4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542DE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CFD7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EA24CE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3B95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50F5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D8BC4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7AEE23">
            <w:pPr>
              <w:keepNext/>
              <w:snapToGrid w:val="0"/>
              <w:rPr>
                <w:rFonts w:hint="eastAsia" w:ascii="黑体" w:hAnsi="黑体" w:eastAsia="黑体" w:cs="黑体"/>
                <w:i/>
                <w:iCs/>
                <w:color w:val="000000"/>
                <w:sz w:val="18"/>
                <w:szCs w:val="18"/>
                <w:u w:val="none"/>
              </w:rPr>
            </w:pPr>
          </w:p>
        </w:tc>
      </w:tr>
      <w:tr w14:paraId="535099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9652A6">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A901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7FE19">
            <w:pPr>
              <w:keepNext/>
              <w:snapToGrid w:val="0"/>
              <w:jc w:val="center"/>
              <w:rPr>
                <w:rFonts w:hint="eastAsia" w:ascii="微软雅黑" w:hAnsi="微软雅黑" w:eastAsia="微软雅黑" w:cs="微软雅黑"/>
                <w:i/>
                <w:iCs/>
                <w:color w:val="000000"/>
                <w:sz w:val="16"/>
                <w:szCs w:val="16"/>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C6EB4">
            <w:pPr>
              <w:keepNext/>
              <w:snapToGrid w:val="0"/>
              <w:jc w:val="center"/>
              <w:rPr>
                <w:rFonts w:hint="eastAsia" w:ascii="微软雅黑" w:hAnsi="微软雅黑" w:eastAsia="微软雅黑" w:cs="微软雅黑"/>
                <w:i/>
                <w:iCs/>
                <w:color w:val="000000"/>
                <w:sz w:val="16"/>
                <w:szCs w:val="16"/>
                <w:u w:val="none"/>
              </w:rPr>
            </w:pP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4DF3673">
            <w:pPr>
              <w:keepNext/>
              <w:snapToGrid w:val="0"/>
              <w:jc w:val="center"/>
              <w:rPr>
                <w:rFonts w:hint="eastAsia" w:ascii="微软雅黑" w:hAnsi="微软雅黑" w:eastAsia="微软雅黑" w:cs="微软雅黑"/>
                <w:i/>
                <w:iCs/>
                <w:color w:val="000000"/>
                <w:sz w:val="16"/>
                <w:szCs w:val="16"/>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CDC5A">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CFAF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1AF3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184CE7">
            <w:pPr>
              <w:keepNext/>
              <w:snapToGrid w:val="0"/>
              <w:rPr>
                <w:rFonts w:hint="eastAsia" w:ascii="黑体" w:hAnsi="黑体" w:eastAsia="黑体" w:cs="黑体"/>
                <w:i/>
                <w:iCs/>
                <w:color w:val="000000"/>
                <w:sz w:val="18"/>
                <w:szCs w:val="18"/>
                <w:u w:val="none"/>
              </w:rPr>
            </w:pPr>
          </w:p>
        </w:tc>
      </w:tr>
      <w:tr w14:paraId="23483B5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83DB7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68A20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D646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6B609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1547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D71A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2A58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5D766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99A0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D047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1116D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269DD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3C1B253">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4649B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1192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8443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88FB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14BE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20E52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1BC47">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AD138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8A37F">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31EE23">
            <w:pPr>
              <w:keepNext/>
              <w:snapToGrid w:val="0"/>
              <w:jc w:val="center"/>
              <w:rPr>
                <w:rFonts w:hint="eastAsia" w:ascii="微软雅黑" w:hAnsi="微软雅黑" w:eastAsia="微软雅黑" w:cs="微软雅黑"/>
                <w:i/>
                <w:iCs/>
                <w:color w:val="000000"/>
                <w:sz w:val="16"/>
                <w:szCs w:val="16"/>
                <w:u w:val="none"/>
              </w:rPr>
            </w:pPr>
          </w:p>
        </w:tc>
      </w:tr>
      <w:tr w14:paraId="4F0059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A756C6">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C7E96C">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59DC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C3AA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D821A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241D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F719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53AA3">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A4F2C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06D187">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F422DC">
            <w:pPr>
              <w:keepNext/>
              <w:snapToGrid w:val="0"/>
              <w:jc w:val="center"/>
              <w:rPr>
                <w:rFonts w:hint="eastAsia" w:ascii="微软雅黑" w:hAnsi="微软雅黑" w:eastAsia="微软雅黑" w:cs="微软雅黑"/>
                <w:i/>
                <w:iCs/>
                <w:color w:val="000000"/>
                <w:sz w:val="16"/>
                <w:szCs w:val="16"/>
                <w:u w:val="none"/>
              </w:rPr>
            </w:pPr>
          </w:p>
        </w:tc>
      </w:tr>
      <w:tr w14:paraId="6F2B42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C04A89">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264745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4869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AD4C4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54B9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7B04E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AADE3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01C8D">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910C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D68AD">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22C78">
            <w:pPr>
              <w:keepNext/>
              <w:snapToGrid w:val="0"/>
              <w:jc w:val="center"/>
              <w:rPr>
                <w:rFonts w:hint="eastAsia" w:ascii="微软雅黑" w:hAnsi="微软雅黑" w:eastAsia="微软雅黑" w:cs="微软雅黑"/>
                <w:i/>
                <w:iCs/>
                <w:color w:val="000000"/>
                <w:sz w:val="16"/>
                <w:szCs w:val="16"/>
                <w:u w:val="none"/>
              </w:rPr>
            </w:pPr>
          </w:p>
        </w:tc>
      </w:tr>
      <w:tr w14:paraId="77BC9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E87082">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EA15DE">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B4DBF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65F2F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40F4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C4F5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0403F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E17B19">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DE5D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74F70">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DA09B6">
            <w:pPr>
              <w:keepNext/>
              <w:snapToGrid w:val="0"/>
              <w:jc w:val="center"/>
              <w:rPr>
                <w:rFonts w:hint="eastAsia" w:ascii="微软雅黑" w:hAnsi="微软雅黑" w:eastAsia="微软雅黑" w:cs="微软雅黑"/>
                <w:i/>
                <w:iCs/>
                <w:color w:val="000000"/>
                <w:sz w:val="16"/>
                <w:szCs w:val="16"/>
                <w:u w:val="none"/>
              </w:rPr>
            </w:pPr>
          </w:p>
        </w:tc>
      </w:tr>
      <w:tr w14:paraId="2B55C7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2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CE6ED2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0E4AA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50856">
            <w:pPr>
              <w:keepNext/>
              <w:snapToGrid w:val="0"/>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EEB541">
            <w:pPr>
              <w:keepNext/>
              <w:snapToGrid w:val="0"/>
              <w:rPr>
                <w:rFonts w:hint="eastAsia" w:ascii="宋体" w:hAnsi="宋体" w:eastAsia="宋体" w:cs="宋体"/>
                <w:i w:val="0"/>
                <w:iCs w:val="0"/>
                <w:color w:val="000000"/>
                <w:sz w:val="18"/>
                <w:szCs w:val="18"/>
                <w:u w:val="none"/>
              </w:rPr>
            </w:pPr>
          </w:p>
        </w:tc>
      </w:tr>
      <w:tr w14:paraId="4F57C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61079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62EBA8E8">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已完成保障单位日常运转的年度目标，自评得分100分、</w:t>
            </w:r>
          </w:p>
        </w:tc>
      </w:tr>
      <w:tr w14:paraId="1A138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5435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08B4AA1">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0234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297F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3E49CD07">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7A7D93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3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C48DB68">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项目负责人：王文</w:t>
            </w:r>
          </w:p>
        </w:tc>
        <w:tc>
          <w:tcPr>
            <w:tcW w:w="267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C8C2119">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财务负责人：张世康</w:t>
            </w:r>
          </w:p>
        </w:tc>
      </w:tr>
      <w:tr w14:paraId="387F39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nil"/>
              <w:left w:val="nil"/>
              <w:bottom w:val="nil"/>
              <w:right w:val="nil"/>
            </w:tcBorders>
            <w:shd w:val="clear" w:color="auto" w:fill="auto"/>
            <w:vAlign w:val="center"/>
          </w:tcPr>
          <w:p w14:paraId="1EC0077C">
            <w:pPr>
              <w:keepNext/>
              <w:snapToGrid w:val="0"/>
              <w:rPr>
                <w:rFonts w:hint="eastAsia" w:ascii="宋体" w:hAnsi="宋体" w:eastAsia="宋体" w:cs="宋体"/>
                <w:i w:val="0"/>
                <w:iCs w:val="0"/>
                <w:color w:val="000000"/>
                <w:sz w:val="18"/>
                <w:szCs w:val="18"/>
                <w:u w:val="none"/>
              </w:rPr>
            </w:pPr>
          </w:p>
        </w:tc>
        <w:tc>
          <w:tcPr>
            <w:tcW w:w="360" w:type="pct"/>
            <w:tcBorders>
              <w:top w:val="nil"/>
              <w:left w:val="nil"/>
              <w:bottom w:val="nil"/>
              <w:right w:val="nil"/>
            </w:tcBorders>
            <w:shd w:val="clear" w:color="auto" w:fill="auto"/>
            <w:vAlign w:val="center"/>
          </w:tcPr>
          <w:p w14:paraId="068ACE25">
            <w:pPr>
              <w:keepNext/>
              <w:snapToGrid w:val="0"/>
              <w:rPr>
                <w:rFonts w:hint="eastAsia" w:ascii="宋体" w:hAnsi="宋体" w:eastAsia="宋体" w:cs="宋体"/>
                <w:i w:val="0"/>
                <w:iCs w:val="0"/>
                <w:color w:val="000000"/>
                <w:sz w:val="18"/>
                <w:szCs w:val="18"/>
                <w:u w:val="none"/>
              </w:rPr>
            </w:pPr>
          </w:p>
        </w:tc>
        <w:tc>
          <w:tcPr>
            <w:tcW w:w="485" w:type="pct"/>
            <w:tcBorders>
              <w:top w:val="nil"/>
              <w:left w:val="nil"/>
              <w:bottom w:val="nil"/>
              <w:right w:val="nil"/>
            </w:tcBorders>
            <w:shd w:val="clear" w:color="auto" w:fill="auto"/>
            <w:vAlign w:val="center"/>
          </w:tcPr>
          <w:p w14:paraId="5AD6FF22">
            <w:pPr>
              <w:keepNext/>
              <w:snapToGrid w:val="0"/>
              <w:rPr>
                <w:rFonts w:hint="eastAsia" w:ascii="宋体" w:hAnsi="宋体" w:eastAsia="宋体" w:cs="宋体"/>
                <w:i w:val="0"/>
                <w:iCs w:val="0"/>
                <w:color w:val="000000"/>
                <w:sz w:val="18"/>
                <w:szCs w:val="18"/>
                <w:u w:val="none"/>
              </w:rPr>
            </w:pPr>
          </w:p>
        </w:tc>
        <w:tc>
          <w:tcPr>
            <w:tcW w:w="867" w:type="pct"/>
            <w:tcBorders>
              <w:top w:val="nil"/>
              <w:left w:val="nil"/>
              <w:bottom w:val="nil"/>
              <w:right w:val="nil"/>
            </w:tcBorders>
            <w:shd w:val="clear" w:color="auto" w:fill="auto"/>
            <w:vAlign w:val="center"/>
          </w:tcPr>
          <w:p w14:paraId="34F3F105">
            <w:pPr>
              <w:keepNext/>
              <w:snapToGrid w:val="0"/>
              <w:rPr>
                <w:rFonts w:hint="eastAsia" w:ascii="宋体" w:hAnsi="宋体" w:eastAsia="宋体" w:cs="宋体"/>
                <w:i w:val="0"/>
                <w:iCs w:val="0"/>
                <w:color w:val="000000"/>
                <w:sz w:val="18"/>
                <w:szCs w:val="18"/>
                <w:u w:val="none"/>
              </w:rPr>
            </w:pPr>
          </w:p>
        </w:tc>
        <w:tc>
          <w:tcPr>
            <w:tcW w:w="255" w:type="pct"/>
            <w:tcBorders>
              <w:top w:val="nil"/>
              <w:left w:val="nil"/>
              <w:bottom w:val="nil"/>
              <w:right w:val="nil"/>
            </w:tcBorders>
            <w:shd w:val="clear" w:color="auto" w:fill="auto"/>
            <w:vAlign w:val="center"/>
          </w:tcPr>
          <w:p w14:paraId="184BD36D">
            <w:pPr>
              <w:keepNext/>
              <w:snapToGrid w:val="0"/>
              <w:rPr>
                <w:rFonts w:hint="eastAsia" w:ascii="宋体" w:hAnsi="宋体" w:eastAsia="宋体" w:cs="宋体"/>
                <w:i w:val="0"/>
                <w:iCs w:val="0"/>
                <w:color w:val="000000"/>
                <w:sz w:val="18"/>
                <w:szCs w:val="18"/>
                <w:u w:val="none"/>
              </w:rPr>
            </w:pPr>
          </w:p>
        </w:tc>
        <w:tc>
          <w:tcPr>
            <w:tcW w:w="552" w:type="pct"/>
            <w:tcBorders>
              <w:top w:val="nil"/>
              <w:left w:val="nil"/>
              <w:bottom w:val="nil"/>
              <w:right w:val="nil"/>
            </w:tcBorders>
            <w:shd w:val="clear" w:color="auto" w:fill="auto"/>
            <w:vAlign w:val="center"/>
          </w:tcPr>
          <w:p w14:paraId="72FFC1DF">
            <w:pPr>
              <w:keepNext/>
              <w:snapToGrid w:val="0"/>
              <w:rPr>
                <w:rFonts w:hint="eastAsia" w:ascii="宋体" w:hAnsi="宋体" w:eastAsia="宋体" w:cs="宋体"/>
                <w:i w:val="0"/>
                <w:iCs w:val="0"/>
                <w:color w:val="000000"/>
                <w:sz w:val="18"/>
                <w:szCs w:val="18"/>
                <w:u w:val="none"/>
              </w:rPr>
            </w:pPr>
          </w:p>
        </w:tc>
        <w:tc>
          <w:tcPr>
            <w:tcW w:w="465" w:type="pct"/>
            <w:tcBorders>
              <w:top w:val="nil"/>
              <w:left w:val="nil"/>
              <w:bottom w:val="nil"/>
              <w:right w:val="nil"/>
            </w:tcBorders>
            <w:shd w:val="clear" w:color="auto" w:fill="auto"/>
            <w:vAlign w:val="center"/>
          </w:tcPr>
          <w:p w14:paraId="496DEFFC">
            <w:pPr>
              <w:keepNext/>
              <w:snapToGrid w:val="0"/>
              <w:rPr>
                <w:rFonts w:hint="eastAsia" w:ascii="宋体" w:hAnsi="宋体" w:eastAsia="宋体" w:cs="宋体"/>
                <w:i w:val="0"/>
                <w:iCs w:val="0"/>
                <w:color w:val="000000"/>
                <w:sz w:val="18"/>
                <w:szCs w:val="18"/>
                <w:u w:val="none"/>
              </w:rPr>
            </w:pPr>
          </w:p>
        </w:tc>
        <w:tc>
          <w:tcPr>
            <w:tcW w:w="583" w:type="pct"/>
            <w:tcBorders>
              <w:top w:val="nil"/>
              <w:left w:val="nil"/>
              <w:bottom w:val="nil"/>
              <w:right w:val="nil"/>
            </w:tcBorders>
            <w:shd w:val="clear" w:color="auto" w:fill="auto"/>
            <w:vAlign w:val="center"/>
          </w:tcPr>
          <w:p w14:paraId="65E6C391">
            <w:pPr>
              <w:keepNext/>
              <w:snapToGrid w:val="0"/>
              <w:rPr>
                <w:rFonts w:hint="eastAsia" w:ascii="宋体" w:hAnsi="宋体" w:eastAsia="宋体" w:cs="宋体"/>
                <w:i w:val="0"/>
                <w:iCs w:val="0"/>
                <w:color w:val="000000"/>
                <w:sz w:val="18"/>
                <w:szCs w:val="18"/>
                <w:u w:val="none"/>
              </w:rPr>
            </w:pPr>
          </w:p>
        </w:tc>
        <w:tc>
          <w:tcPr>
            <w:tcW w:w="312" w:type="pct"/>
            <w:tcBorders>
              <w:top w:val="nil"/>
              <w:left w:val="nil"/>
              <w:bottom w:val="nil"/>
              <w:right w:val="nil"/>
            </w:tcBorders>
            <w:shd w:val="clear" w:color="auto" w:fill="auto"/>
            <w:vAlign w:val="center"/>
          </w:tcPr>
          <w:p w14:paraId="2A87A1DE">
            <w:pPr>
              <w:keepNext/>
              <w:snapToGrid w:val="0"/>
              <w:rPr>
                <w:rFonts w:hint="eastAsia" w:ascii="宋体" w:hAnsi="宋体" w:eastAsia="宋体" w:cs="宋体"/>
                <w:i w:val="0"/>
                <w:iCs w:val="0"/>
                <w:color w:val="000000"/>
                <w:sz w:val="18"/>
                <w:szCs w:val="18"/>
                <w:u w:val="none"/>
              </w:rPr>
            </w:pPr>
          </w:p>
        </w:tc>
        <w:tc>
          <w:tcPr>
            <w:tcW w:w="258" w:type="pct"/>
            <w:tcBorders>
              <w:top w:val="nil"/>
              <w:left w:val="nil"/>
              <w:bottom w:val="nil"/>
              <w:right w:val="nil"/>
            </w:tcBorders>
            <w:shd w:val="clear" w:color="auto" w:fill="auto"/>
            <w:vAlign w:val="center"/>
          </w:tcPr>
          <w:p w14:paraId="4031730D">
            <w:pPr>
              <w:keepNext/>
              <w:snapToGrid w:val="0"/>
              <w:rPr>
                <w:rFonts w:hint="eastAsia" w:ascii="宋体" w:hAnsi="宋体" w:eastAsia="宋体" w:cs="宋体"/>
                <w:i w:val="0"/>
                <w:iCs w:val="0"/>
                <w:color w:val="000000"/>
                <w:sz w:val="18"/>
                <w:szCs w:val="18"/>
                <w:u w:val="none"/>
              </w:rPr>
            </w:pPr>
          </w:p>
        </w:tc>
        <w:tc>
          <w:tcPr>
            <w:tcW w:w="505" w:type="pct"/>
            <w:tcBorders>
              <w:top w:val="nil"/>
              <w:left w:val="nil"/>
              <w:bottom w:val="nil"/>
              <w:right w:val="nil"/>
            </w:tcBorders>
            <w:shd w:val="clear" w:color="auto" w:fill="auto"/>
            <w:vAlign w:val="center"/>
          </w:tcPr>
          <w:p w14:paraId="7FD2C4A4">
            <w:pPr>
              <w:keepNext/>
              <w:snapToGrid w:val="0"/>
              <w:rPr>
                <w:rFonts w:hint="eastAsia" w:ascii="宋体" w:hAnsi="宋体" w:eastAsia="宋体" w:cs="宋体"/>
                <w:i w:val="0"/>
                <w:iCs w:val="0"/>
                <w:color w:val="000000"/>
                <w:sz w:val="18"/>
                <w:szCs w:val="18"/>
                <w:u w:val="none"/>
              </w:rPr>
            </w:pPr>
          </w:p>
        </w:tc>
      </w:tr>
      <w:tr w14:paraId="71CCC8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000" w:type="pct"/>
            <w:gridSpan w:val="11"/>
            <w:tcBorders>
              <w:top w:val="single" w:color="000000" w:sz="4" w:space="0"/>
              <w:left w:val="single" w:color="000000" w:sz="4" w:space="0"/>
              <w:bottom w:val="single" w:color="000000" w:sz="4" w:space="0"/>
              <w:right w:val="single" w:color="000000" w:sz="4" w:space="0"/>
            </w:tcBorders>
            <w:shd w:val="clear" w:color="auto" w:fill="auto"/>
            <w:vAlign w:val="center"/>
          </w:tcPr>
          <w:p w14:paraId="75391042">
            <w:pPr>
              <w:keepNext/>
              <w:keepLines w:val="0"/>
              <w:widowControl/>
              <w:suppressLineNumbers w:val="0"/>
              <w:snapToGrid w:val="0"/>
              <w:jc w:val="center"/>
              <w:textAlignment w:val="center"/>
              <w:rPr>
                <w:rFonts w:hint="eastAsia" w:ascii="黑体" w:hAnsi="宋体" w:eastAsia="黑体" w:cs="黑体"/>
                <w:b/>
                <w:bCs/>
                <w:i w:val="0"/>
                <w:iCs w:val="0"/>
                <w:color w:val="000000"/>
                <w:sz w:val="30"/>
                <w:szCs w:val="30"/>
                <w:u w:val="none"/>
              </w:rPr>
            </w:pPr>
            <w:r>
              <w:rPr>
                <w:rFonts w:hint="eastAsia" w:ascii="黑体" w:hAnsi="宋体" w:eastAsia="黑体" w:cs="黑体"/>
                <w:b/>
                <w:bCs/>
                <w:i w:val="0"/>
                <w:iCs w:val="0"/>
                <w:color w:val="000000"/>
                <w:kern w:val="0"/>
                <w:sz w:val="30"/>
                <w:szCs w:val="30"/>
                <w:u w:val="none"/>
                <w:lang w:val="en-US" w:eastAsia="zh-CN" w:bidi="ar"/>
              </w:rPr>
              <w:t>部门预算项目支出绩效自评表（2025年度）</w:t>
            </w:r>
          </w:p>
        </w:tc>
      </w:tr>
      <w:tr w14:paraId="404146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4737A5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项目名称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98761C3">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51320025Y000013371712-财政代管资金</w:t>
            </w:r>
          </w:p>
        </w:tc>
      </w:tr>
      <w:tr w14:paraId="2AD2F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7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7AF3B4">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主管部门</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DEE1515">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州生态环境局部门</w:t>
            </w:r>
          </w:p>
        </w:tc>
        <w:tc>
          <w:tcPr>
            <w:tcW w:w="583" w:type="pct"/>
            <w:tcBorders>
              <w:top w:val="nil"/>
              <w:left w:val="nil"/>
              <w:bottom w:val="nil"/>
              <w:right w:val="nil"/>
            </w:tcBorders>
            <w:shd w:val="clear" w:color="auto" w:fill="auto"/>
            <w:vAlign w:val="center"/>
          </w:tcPr>
          <w:p w14:paraId="3B8BEE38">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实施单位 （盖章）</w:t>
            </w:r>
          </w:p>
        </w:tc>
        <w:tc>
          <w:tcPr>
            <w:tcW w:w="1076"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171B381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阿坝县生态环境局</w:t>
            </w:r>
          </w:p>
        </w:tc>
      </w:tr>
      <w:tr w14:paraId="447C411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3EA8AB">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项目基本情况</w:t>
            </w: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CFB647">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1.项目年度目标完成情况</w:t>
            </w: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21911D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项目年度目标</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7CE316B9">
            <w:pPr>
              <w:keepNext/>
              <w:keepLines w:val="0"/>
              <w:widowControl/>
              <w:suppressLineNumbers w:val="0"/>
              <w:snapToGrid w:val="0"/>
              <w:jc w:val="center"/>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年度目标完成情况</w:t>
            </w:r>
          </w:p>
        </w:tc>
      </w:tr>
      <w:tr w14:paraId="044B8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193DA">
            <w:pPr>
              <w:keepNext/>
              <w:snapToGrid w:val="0"/>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9B8A49">
            <w:pPr>
              <w:keepNext/>
              <w:snapToGrid w:val="0"/>
              <w:rPr>
                <w:rFonts w:hint="eastAsia" w:ascii="宋体" w:hAnsi="宋体" w:eastAsia="宋体" w:cs="宋体"/>
                <w:i w:val="0"/>
                <w:iCs w:val="0"/>
                <w:color w:val="000000"/>
                <w:sz w:val="18"/>
                <w:szCs w:val="18"/>
                <w:u w:val="none"/>
              </w:rPr>
            </w:pPr>
          </w:p>
        </w:tc>
        <w:tc>
          <w:tcPr>
            <w:tcW w:w="2625"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55F1A7">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提高预算编制质量，严格执行预算，保障单位日常运转</w:t>
            </w:r>
          </w:p>
        </w:tc>
        <w:tc>
          <w:tcPr>
            <w:tcW w:w="165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86AD88A">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已完成保障单位日常运转的年度目标</w:t>
            </w:r>
          </w:p>
        </w:tc>
      </w:tr>
      <w:tr w14:paraId="36A65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849496">
            <w:pPr>
              <w:keepNext/>
              <w:snapToGrid w:val="0"/>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5583F">
            <w:pPr>
              <w:keepNext/>
              <w:keepLines w:val="0"/>
              <w:widowControl/>
              <w:suppressLineNumbers w:val="0"/>
              <w:snapToGrid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2.项目实施内容及过程概述</w:t>
            </w:r>
          </w:p>
        </w:tc>
        <w:tc>
          <w:tcPr>
            <w:tcW w:w="4285"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6B9FDBF">
            <w:pPr>
              <w:keepNext/>
              <w:snapToGrid w:val="0"/>
              <w:rPr>
                <w:rFonts w:hint="eastAsia" w:ascii="宋体" w:hAnsi="宋体" w:eastAsia="宋体" w:cs="宋体"/>
                <w:i w:val="0"/>
                <w:iCs w:val="0"/>
                <w:color w:val="000000"/>
                <w:sz w:val="18"/>
                <w:szCs w:val="18"/>
                <w:u w:val="none"/>
              </w:rPr>
            </w:pPr>
          </w:p>
        </w:tc>
      </w:tr>
      <w:tr w14:paraId="321C9F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94036B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预算执行情况（10分）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13AD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年度预算数（万元）</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108A6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年初预算</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F845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调整后预算数</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AA018C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预算执行数</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2EC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预算执行率</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9588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241A4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9677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原因</w:t>
            </w:r>
          </w:p>
        </w:tc>
      </w:tr>
      <w:tr w14:paraId="361F7F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1EBCF6">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E914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总额</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73F62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D9BA8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117.17</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E55AA4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F11C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012F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971940">
            <w:pPr>
              <w:keepNext/>
              <w:snapToGrid w:val="0"/>
              <w:jc w:val="center"/>
              <w:rPr>
                <w:rFonts w:hint="eastAsia" w:ascii="宋体" w:hAnsi="宋体" w:eastAsia="宋体" w:cs="宋体"/>
                <w:i w:val="0"/>
                <w:iCs w:val="0"/>
                <w:color w:val="000000"/>
                <w:sz w:val="18"/>
                <w:szCs w:val="18"/>
                <w:u w:val="none"/>
              </w:rPr>
            </w:pPr>
          </w:p>
        </w:tc>
        <w:tc>
          <w:tcPr>
            <w:tcW w:w="505"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0A2A80D">
            <w:pPr>
              <w:keepNext/>
              <w:keepLines w:val="0"/>
              <w:widowControl/>
              <w:suppressLineNumbers w:val="0"/>
              <w:snapToGrid w:val="0"/>
              <w:jc w:val="left"/>
              <w:textAlignment w:val="center"/>
              <w:rPr>
                <w:rFonts w:hint="eastAsia" w:ascii="黑体" w:hAnsi="黑体" w:eastAsia="黑体" w:cs="黑体"/>
                <w:i/>
                <w:iCs/>
                <w:color w:val="000000"/>
                <w:sz w:val="18"/>
                <w:szCs w:val="18"/>
                <w:u w:val="none"/>
              </w:rPr>
            </w:pPr>
            <w:r>
              <w:rPr>
                <w:rFonts w:hint="eastAsia" w:ascii="黑体" w:hAnsi="黑体" w:eastAsia="黑体" w:cs="黑体"/>
                <w:i/>
                <w:iCs/>
                <w:color w:val="000000"/>
                <w:kern w:val="0"/>
                <w:sz w:val="18"/>
                <w:szCs w:val="18"/>
                <w:u w:val="none"/>
                <w:lang w:val="en-US" w:eastAsia="zh-CN" w:bidi="ar"/>
              </w:rPr>
              <w:t xml:space="preserve">1.预算执行率已达100%; </w:t>
            </w:r>
          </w:p>
        </w:tc>
      </w:tr>
      <w:tr w14:paraId="575B6E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655FE">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EBE5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其中：财政资金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B5B8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B2AAB">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3B9F16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FFE0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7596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AAE7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A12498F">
            <w:pPr>
              <w:keepNext/>
              <w:snapToGrid w:val="0"/>
              <w:rPr>
                <w:rFonts w:hint="eastAsia" w:ascii="黑体" w:hAnsi="黑体" w:eastAsia="黑体" w:cs="黑体"/>
                <w:i/>
                <w:iCs/>
                <w:color w:val="000000"/>
                <w:sz w:val="18"/>
                <w:szCs w:val="18"/>
                <w:u w:val="none"/>
              </w:rPr>
            </w:pPr>
          </w:p>
        </w:tc>
      </w:tr>
      <w:tr w14:paraId="0BBC7D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EEACD4">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E468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财政专户管理资金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EAC25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8118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0A3359A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7F84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740D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D6C9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B9CFFA7">
            <w:pPr>
              <w:keepNext/>
              <w:snapToGrid w:val="0"/>
              <w:rPr>
                <w:rFonts w:hint="eastAsia" w:ascii="黑体" w:hAnsi="黑体" w:eastAsia="黑体" w:cs="黑体"/>
                <w:i/>
                <w:iCs/>
                <w:color w:val="000000"/>
                <w:sz w:val="18"/>
                <w:szCs w:val="18"/>
                <w:u w:val="none"/>
              </w:rPr>
            </w:pPr>
          </w:p>
        </w:tc>
      </w:tr>
      <w:tr w14:paraId="4E9997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E24411">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7AEA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A5BE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A8C0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117.17</w:t>
            </w: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DF6D74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6FE8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0.00%</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BCEA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F71D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69D086">
            <w:pPr>
              <w:keepNext/>
              <w:snapToGrid w:val="0"/>
              <w:rPr>
                <w:rFonts w:hint="eastAsia" w:ascii="黑体" w:hAnsi="黑体" w:eastAsia="黑体" w:cs="黑体"/>
                <w:i/>
                <w:iCs/>
                <w:color w:val="000000"/>
                <w:sz w:val="18"/>
                <w:szCs w:val="18"/>
                <w:u w:val="none"/>
              </w:rPr>
            </w:pPr>
          </w:p>
        </w:tc>
      </w:tr>
      <w:tr w14:paraId="78186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48821">
            <w:pPr>
              <w:keepNext/>
              <w:snapToGrid w:val="0"/>
              <w:jc w:val="center"/>
              <w:rPr>
                <w:rFonts w:hint="eastAsia" w:ascii="宋体" w:hAnsi="宋体" w:eastAsia="宋体" w:cs="宋体"/>
                <w:i w:val="0"/>
                <w:iCs w:val="0"/>
                <w:color w:val="000000"/>
                <w:sz w:val="18"/>
                <w:szCs w:val="18"/>
                <w:u w:val="none"/>
              </w:rPr>
            </w:pP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BC2B6">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2D7FA">
            <w:pPr>
              <w:keepNext/>
              <w:snapToGrid w:val="0"/>
              <w:jc w:val="center"/>
              <w:rPr>
                <w:rFonts w:hint="eastAsia" w:ascii="微软雅黑" w:hAnsi="微软雅黑" w:eastAsia="微软雅黑" w:cs="微软雅黑"/>
                <w:i/>
                <w:iCs/>
                <w:color w:val="000000"/>
                <w:sz w:val="16"/>
                <w:szCs w:val="16"/>
                <w:u w:val="none"/>
              </w:rPr>
            </w:pP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1E4EE">
            <w:pPr>
              <w:keepNext/>
              <w:snapToGrid w:val="0"/>
              <w:jc w:val="center"/>
              <w:rPr>
                <w:rFonts w:hint="eastAsia" w:ascii="微软雅黑" w:hAnsi="微软雅黑" w:eastAsia="微软雅黑" w:cs="微软雅黑"/>
                <w:i/>
                <w:iCs/>
                <w:color w:val="000000"/>
                <w:sz w:val="16"/>
                <w:szCs w:val="16"/>
                <w:u w:val="none"/>
              </w:rPr>
            </w:pPr>
          </w:p>
        </w:tc>
        <w:tc>
          <w:tcPr>
            <w:tcW w:w="127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2BB2F57B">
            <w:pPr>
              <w:keepNext/>
              <w:snapToGrid w:val="0"/>
              <w:jc w:val="center"/>
              <w:rPr>
                <w:rFonts w:hint="eastAsia" w:ascii="微软雅黑" w:hAnsi="微软雅黑" w:eastAsia="微软雅黑" w:cs="微软雅黑"/>
                <w:i/>
                <w:iCs/>
                <w:color w:val="000000"/>
                <w:sz w:val="16"/>
                <w:szCs w:val="16"/>
                <w:u w:val="none"/>
              </w:rPr>
            </w:pP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643340">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EA0D5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7938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05"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A87C0">
            <w:pPr>
              <w:keepNext/>
              <w:snapToGrid w:val="0"/>
              <w:rPr>
                <w:rFonts w:hint="eastAsia" w:ascii="黑体" w:hAnsi="黑体" w:eastAsia="黑体" w:cs="黑体"/>
                <w:i/>
                <w:iCs/>
                <w:color w:val="000000"/>
                <w:sz w:val="18"/>
                <w:szCs w:val="18"/>
                <w:u w:val="none"/>
              </w:rPr>
            </w:pPr>
          </w:p>
        </w:tc>
      </w:tr>
      <w:tr w14:paraId="28086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5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0C137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绩效指标（90分）</w:t>
            </w:r>
          </w:p>
        </w:tc>
        <w:tc>
          <w:tcPr>
            <w:tcW w:w="36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1830B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8BB0E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6E3D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6C8D4">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指标性质</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37A5F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指标值</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0393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度量单位</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AAA9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完成值</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835D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65AD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得分</w:t>
            </w: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FC9FB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未完成原因分析</w:t>
            </w:r>
          </w:p>
        </w:tc>
      </w:tr>
      <w:tr w14:paraId="0255EE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903AA79">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9C1FCA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A452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72C7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科目调整次数</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B590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1D4F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B888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次</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29C44">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389A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A4E73">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122B0">
            <w:pPr>
              <w:keepNext/>
              <w:snapToGrid w:val="0"/>
              <w:jc w:val="center"/>
              <w:rPr>
                <w:rFonts w:hint="eastAsia" w:ascii="微软雅黑" w:hAnsi="微软雅黑" w:eastAsia="微软雅黑" w:cs="微软雅黑"/>
                <w:i/>
                <w:iCs/>
                <w:color w:val="000000"/>
                <w:sz w:val="16"/>
                <w:szCs w:val="16"/>
                <w:u w:val="none"/>
              </w:rPr>
            </w:pPr>
          </w:p>
        </w:tc>
      </w:tr>
      <w:tr w14:paraId="2148BB0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D0A8E76">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66E936">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A5225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质量指标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A1BE1">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预算编制准确率（计算方法为：∣（执行数-预算数）/预算数∣）</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F730E">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8C4279">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ED31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A67D0">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7BE5B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30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EA4EF">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AEEDA">
            <w:pPr>
              <w:keepNext/>
              <w:snapToGrid w:val="0"/>
              <w:jc w:val="center"/>
              <w:rPr>
                <w:rFonts w:hint="eastAsia" w:ascii="微软雅黑" w:hAnsi="微软雅黑" w:eastAsia="微软雅黑" w:cs="微软雅黑"/>
                <w:i/>
                <w:iCs/>
                <w:color w:val="000000"/>
                <w:sz w:val="16"/>
                <w:szCs w:val="16"/>
                <w:u w:val="none"/>
              </w:rPr>
            </w:pPr>
          </w:p>
        </w:tc>
      </w:tr>
      <w:tr w14:paraId="010AE54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78F7C3">
            <w:pPr>
              <w:keepNext/>
              <w:snapToGrid w:val="0"/>
              <w:jc w:val="center"/>
              <w:rPr>
                <w:rFonts w:hint="eastAsia" w:ascii="宋体" w:hAnsi="宋体" w:eastAsia="宋体" w:cs="宋体"/>
                <w:i w:val="0"/>
                <w:iCs w:val="0"/>
                <w:color w:val="000000"/>
                <w:sz w:val="18"/>
                <w:szCs w:val="18"/>
                <w:u w:val="none"/>
              </w:rPr>
            </w:pPr>
          </w:p>
        </w:tc>
        <w:tc>
          <w:tcPr>
            <w:tcW w:w="36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7BCE6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FDDB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经济效益指标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4580D2">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“三公经费”控制率[计算方法为：（三公经费实际支出数/预算安排数]×100%）</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A1E150">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CF40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B27B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59B067">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C103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F22FFF">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20A49">
            <w:pPr>
              <w:keepNext/>
              <w:snapToGrid w:val="0"/>
              <w:jc w:val="center"/>
              <w:rPr>
                <w:rFonts w:hint="eastAsia" w:ascii="微软雅黑" w:hAnsi="微软雅黑" w:eastAsia="微软雅黑" w:cs="微软雅黑"/>
                <w:i/>
                <w:iCs/>
                <w:color w:val="000000"/>
                <w:sz w:val="16"/>
                <w:szCs w:val="16"/>
                <w:u w:val="none"/>
              </w:rPr>
            </w:pPr>
          </w:p>
        </w:tc>
      </w:tr>
      <w:tr w14:paraId="664E71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002C40">
            <w:pPr>
              <w:keepNext/>
              <w:snapToGrid w:val="0"/>
              <w:jc w:val="center"/>
              <w:rPr>
                <w:rFonts w:hint="eastAsia" w:ascii="宋体" w:hAnsi="宋体" w:eastAsia="宋体" w:cs="宋体"/>
                <w:i w:val="0"/>
                <w:iCs w:val="0"/>
                <w:color w:val="000000"/>
                <w:sz w:val="18"/>
                <w:szCs w:val="18"/>
                <w:u w:val="none"/>
              </w:rPr>
            </w:pPr>
          </w:p>
        </w:tc>
        <w:tc>
          <w:tcPr>
            <w:tcW w:w="36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8CF97D">
            <w:pPr>
              <w:keepNext/>
              <w:snapToGrid w:val="0"/>
              <w:jc w:val="center"/>
              <w:rPr>
                <w:rFonts w:hint="eastAsia" w:ascii="宋体" w:hAnsi="宋体" w:eastAsia="宋体" w:cs="宋体"/>
                <w:i w:val="0"/>
                <w:iCs w:val="0"/>
                <w:color w:val="000000"/>
                <w:sz w:val="18"/>
                <w:szCs w:val="18"/>
                <w:u w:val="none"/>
              </w:rPr>
            </w:pPr>
          </w:p>
        </w:tc>
        <w:tc>
          <w:tcPr>
            <w:tcW w:w="4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7BB3A5">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社会效益指标</w:t>
            </w:r>
          </w:p>
        </w:tc>
        <w:tc>
          <w:tcPr>
            <w:tcW w:w="8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C8D0E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运转保障率</w:t>
            </w:r>
          </w:p>
        </w:tc>
        <w:tc>
          <w:tcPr>
            <w:tcW w:w="2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144ED">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5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C5E5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4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61687">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58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2146E">
            <w:pPr>
              <w:keepNext/>
              <w:snapToGrid w:val="0"/>
              <w:jc w:val="center"/>
              <w:rPr>
                <w:rFonts w:hint="eastAsia" w:ascii="微软雅黑" w:hAnsi="微软雅黑" w:eastAsia="微软雅黑" w:cs="微软雅黑"/>
                <w:i/>
                <w:iCs/>
                <w:color w:val="000000"/>
                <w:sz w:val="16"/>
                <w:szCs w:val="16"/>
                <w:u w:val="none"/>
              </w:rPr>
            </w:pP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15648">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700FB4">
            <w:pPr>
              <w:keepNext/>
              <w:snapToGrid w:val="0"/>
              <w:jc w:val="center"/>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759350">
            <w:pPr>
              <w:keepNext/>
              <w:snapToGrid w:val="0"/>
              <w:jc w:val="center"/>
              <w:rPr>
                <w:rFonts w:hint="eastAsia" w:ascii="微软雅黑" w:hAnsi="微软雅黑" w:eastAsia="微软雅黑" w:cs="微软雅黑"/>
                <w:i/>
                <w:iCs/>
                <w:color w:val="000000"/>
                <w:sz w:val="16"/>
                <w:szCs w:val="16"/>
                <w:u w:val="none"/>
              </w:rPr>
            </w:pPr>
          </w:p>
        </w:tc>
      </w:tr>
      <w:tr w14:paraId="59DF9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92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3D821F5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合计</w:t>
            </w:r>
          </w:p>
        </w:tc>
        <w:tc>
          <w:tcPr>
            <w:tcW w:w="31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E521C">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100</w:t>
            </w:r>
          </w:p>
        </w:tc>
        <w:tc>
          <w:tcPr>
            <w:tcW w:w="2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8497B">
            <w:pPr>
              <w:keepNext/>
              <w:snapToGrid w:val="0"/>
              <w:rPr>
                <w:rFonts w:hint="eastAsia" w:ascii="宋体" w:hAnsi="宋体" w:eastAsia="宋体" w:cs="宋体"/>
                <w:i w:val="0"/>
                <w:iCs w:val="0"/>
                <w:color w:val="000000"/>
                <w:sz w:val="18"/>
                <w:szCs w:val="18"/>
                <w:u w:val="none"/>
              </w:rPr>
            </w:pPr>
          </w:p>
        </w:tc>
        <w:tc>
          <w:tcPr>
            <w:tcW w:w="50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21C71A">
            <w:pPr>
              <w:keepNext/>
              <w:snapToGrid w:val="0"/>
              <w:rPr>
                <w:rFonts w:hint="eastAsia" w:ascii="宋体" w:hAnsi="宋体" w:eastAsia="宋体" w:cs="宋体"/>
                <w:i w:val="0"/>
                <w:iCs w:val="0"/>
                <w:color w:val="000000"/>
                <w:sz w:val="18"/>
                <w:szCs w:val="18"/>
                <w:u w:val="none"/>
              </w:rPr>
            </w:pPr>
          </w:p>
        </w:tc>
      </w:tr>
      <w:tr w14:paraId="362A0C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2DFEA">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评价结论</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89B983B">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已完成保障单位日常运转的年度目标，自评得分100分、</w:t>
            </w:r>
          </w:p>
        </w:tc>
      </w:tr>
      <w:tr w14:paraId="0741FF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C320F">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存在问题</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1834A0B9">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274A7A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35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49FA3">
            <w:pPr>
              <w:keepNext/>
              <w:keepLines w:val="0"/>
              <w:widowControl/>
              <w:suppressLineNumbers w:val="0"/>
              <w:snapToGrid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改进措施</w:t>
            </w:r>
          </w:p>
        </w:tc>
        <w:tc>
          <w:tcPr>
            <w:tcW w:w="4645"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4BA9AE3">
            <w:pPr>
              <w:keepNext/>
              <w:keepLines w:val="0"/>
              <w:widowControl/>
              <w:suppressLineNumbers w:val="0"/>
              <w:snapToGrid w:val="0"/>
              <w:jc w:val="left"/>
              <w:textAlignment w:val="center"/>
              <w:rPr>
                <w:rFonts w:hint="eastAsia" w:ascii="微软雅黑" w:hAnsi="微软雅黑" w:eastAsia="微软雅黑" w:cs="微软雅黑"/>
                <w:i/>
                <w:iCs/>
                <w:color w:val="000000"/>
                <w:sz w:val="16"/>
                <w:szCs w:val="16"/>
                <w:u w:val="none"/>
              </w:rPr>
            </w:pPr>
            <w:r>
              <w:rPr>
                <w:rFonts w:hint="eastAsia" w:ascii="微软雅黑" w:hAnsi="微软雅黑" w:eastAsia="微软雅黑" w:cs="微软雅黑"/>
                <w:i/>
                <w:iCs/>
                <w:color w:val="000000"/>
                <w:kern w:val="0"/>
                <w:sz w:val="16"/>
                <w:szCs w:val="16"/>
                <w:u w:val="none"/>
                <w:lang w:val="en-US" w:eastAsia="zh-CN" w:bidi="ar"/>
              </w:rPr>
              <w:t>无</w:t>
            </w:r>
          </w:p>
        </w:tc>
      </w:tr>
      <w:tr w14:paraId="071F8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2322"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A96A42F">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项目负责人：王文</w:t>
            </w:r>
          </w:p>
        </w:tc>
        <w:tc>
          <w:tcPr>
            <w:tcW w:w="2677"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22E83B2">
            <w:pPr>
              <w:keepNext/>
              <w:keepLines w:val="0"/>
              <w:widowControl/>
              <w:suppressLineNumbers w:val="0"/>
              <w:snapToGrid w:val="0"/>
              <w:jc w:val="left"/>
              <w:textAlignment w:val="center"/>
              <w:rPr>
                <w:rFonts w:hint="eastAsia" w:ascii="黑体" w:hAnsi="黑体" w:eastAsia="黑体" w:cs="黑体"/>
                <w:i w:val="0"/>
                <w:iCs w:val="0"/>
                <w:color w:val="000000"/>
                <w:sz w:val="18"/>
                <w:szCs w:val="18"/>
                <w:u w:val="none"/>
              </w:rPr>
            </w:pPr>
            <w:r>
              <w:rPr>
                <w:rFonts w:hint="eastAsia" w:ascii="黑体" w:hAnsi="黑体" w:eastAsia="黑体" w:cs="黑体"/>
                <w:i w:val="0"/>
                <w:iCs w:val="0"/>
                <w:color w:val="000000"/>
                <w:kern w:val="0"/>
                <w:sz w:val="18"/>
                <w:szCs w:val="18"/>
                <w:u w:val="none"/>
                <w:lang w:val="en-US" w:eastAsia="zh-CN" w:bidi="ar"/>
              </w:rPr>
              <w:t>财务负责人：张世康</w:t>
            </w:r>
          </w:p>
        </w:tc>
      </w:tr>
    </w:tbl>
    <w:p w14:paraId="6904517D">
      <w:pPr>
        <w:pStyle w:val="5"/>
        <w:spacing w:before="93"/>
        <w:rPr>
          <w:rFonts w:hint="eastAsia" w:ascii="Times New Roman" w:eastAsia="仿宋_GB2312"/>
          <w:sz w:val="32"/>
          <w:lang w:val="zh-CN"/>
        </w:rPr>
      </w:pPr>
    </w:p>
    <w:p w14:paraId="77085FC8">
      <w:pPr>
        <w:rPr>
          <w:rFonts w:eastAsia="黑体" w:cs="黑体"/>
          <w:kern w:val="0"/>
          <w:sz w:val="32"/>
          <w:szCs w:val="32"/>
          <w:shd w:val="clear" w:color="auto" w:fill="FFFFFF"/>
          <w:lang w:val="zh-CN"/>
        </w:rPr>
      </w:pPr>
      <w:r>
        <w:rPr>
          <w:rFonts w:hint="eastAsia" w:eastAsia="黑体" w:cs="黑体"/>
          <w:kern w:val="0"/>
          <w:sz w:val="32"/>
          <w:szCs w:val="32"/>
          <w:shd w:val="clear" w:color="auto" w:fill="FFFFFF"/>
          <w:lang w:val="zh-CN"/>
        </w:rPr>
        <w:br w:type="page"/>
      </w:r>
    </w:p>
    <w:p w14:paraId="7C5335E9">
      <w:pPr>
        <w:pStyle w:val="5"/>
        <w:spacing w:before="93"/>
        <w:rPr>
          <w:rFonts w:ascii="Times New Roman" w:eastAsia="黑体" w:cs="黑体"/>
          <w:sz w:val="32"/>
          <w:szCs w:val="32"/>
        </w:rPr>
      </w:pPr>
      <w:r>
        <w:rPr>
          <w:rFonts w:hint="eastAsia" w:ascii="Times New Roman" w:eastAsia="黑体" w:cs="黑体"/>
          <w:sz w:val="32"/>
          <w:szCs w:val="32"/>
          <w:shd w:val="clear" w:color="auto" w:fill="FFFFFF"/>
          <w:lang w:val="zh-CN"/>
        </w:rPr>
        <w:t>附件</w:t>
      </w:r>
      <w:r>
        <w:rPr>
          <w:rFonts w:hint="eastAsia" w:ascii="Times New Roman" w:eastAsia="黑体" w:cs="黑体"/>
          <w:sz w:val="32"/>
          <w:szCs w:val="32"/>
          <w:shd w:val="clear" w:color="auto" w:fill="FFFFFF"/>
        </w:rPr>
        <w:t>2</w:t>
      </w:r>
    </w:p>
    <w:p w14:paraId="79CDB202">
      <w:pPr>
        <w:pStyle w:val="34"/>
        <w:spacing w:line="578" w:lineRule="exact"/>
        <w:jc w:val="center"/>
        <w:rPr>
          <w:rFonts w:ascii="Times New Roman" w:hAnsi="Times New Roman" w:eastAsia="方正小标宋简体" w:cs="方正小标宋简体"/>
          <w:color w:val="auto"/>
          <w:kern w:val="2"/>
          <w:sz w:val="44"/>
          <w:szCs w:val="44"/>
          <w:lang w:val="en-US"/>
        </w:rPr>
      </w:pPr>
    </w:p>
    <w:p w14:paraId="4DD7E687">
      <w:pPr>
        <w:pStyle w:val="34"/>
        <w:spacing w:line="578" w:lineRule="exact"/>
        <w:jc w:val="center"/>
        <w:rPr>
          <w:rFonts w:ascii="Times New Roman" w:hAnsi="Times New Roman" w:eastAsia="方正小标宋简体" w:cs="方正小标宋简体"/>
          <w:color w:val="auto"/>
          <w:kern w:val="2"/>
          <w:sz w:val="44"/>
          <w:szCs w:val="44"/>
          <w:lang w:val="en-US"/>
        </w:rPr>
      </w:pPr>
      <w:r>
        <w:rPr>
          <w:rFonts w:hint="eastAsia" w:ascii="Times New Roman" w:hAnsi="Times New Roman" w:eastAsia="方正小标宋简体" w:cs="方正小标宋简体"/>
          <w:color w:val="auto"/>
          <w:kern w:val="2"/>
          <w:sz w:val="44"/>
          <w:szCs w:val="44"/>
          <w:lang w:val="en-US"/>
        </w:rPr>
        <w:t>专项预算项目绩效评价报告范本</w:t>
      </w:r>
    </w:p>
    <w:p w14:paraId="1F87321E">
      <w:pPr>
        <w:pStyle w:val="34"/>
        <w:spacing w:line="578" w:lineRule="exact"/>
        <w:ind w:firstLine="640"/>
        <w:jc w:val="center"/>
        <w:rPr>
          <w:rFonts w:ascii="Times New Roman" w:hAnsi="Times New Roman"/>
          <w:color w:val="auto"/>
          <w:kern w:val="2"/>
          <w:sz w:val="32"/>
          <w:szCs w:val="32"/>
        </w:rPr>
      </w:pPr>
    </w:p>
    <w:p w14:paraId="703E18C6">
      <w:pPr>
        <w:rPr>
          <w:rFonts w:hint="eastAsia"/>
          <w:b/>
          <w:bCs/>
          <w:sz w:val="28"/>
          <w:szCs w:val="28"/>
        </w:rPr>
      </w:pPr>
      <w:r>
        <w:rPr>
          <w:rFonts w:hint="eastAsia"/>
          <w:b/>
          <w:bCs/>
          <w:sz w:val="28"/>
          <w:szCs w:val="28"/>
        </w:rPr>
        <w:t>一、项目概况</w:t>
      </w:r>
    </w:p>
    <w:p w14:paraId="71CBE97E">
      <w:pPr>
        <w:rPr>
          <w:rFonts w:hint="eastAsia"/>
          <w:b/>
          <w:bCs/>
          <w:sz w:val="28"/>
          <w:szCs w:val="28"/>
        </w:rPr>
      </w:pPr>
      <w:r>
        <w:rPr>
          <w:rFonts w:hint="eastAsia"/>
          <w:b/>
          <w:bCs/>
          <w:sz w:val="28"/>
          <w:szCs w:val="28"/>
        </w:rPr>
        <w:t>（一）设立背景及基本情况</w:t>
      </w:r>
    </w:p>
    <w:p w14:paraId="4D054F1E">
      <w:pPr>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阿坝县位于川西北生态屏障核心区域，生态战略地位突出，辖区幅员辽阔、监管范围广、环境点位分散、高原野外作业条件艰苦。阿坝生态环境局依法承担辖区生态环境行政执法、县域生态环境质量监测、环境应急监测、重点污染源监督管控、建设项目环评技术审查、生态环境普法宣传、环境风险防控等核心职能，是守护区域生态环境安全、推进生态文明建设的主管部门。</w:t>
      </w:r>
    </w:p>
    <w:p w14:paraId="6A7F606E">
      <w:pPr>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随着区域生态环境保护监管标准持续提升、排污企业监管频次加密、环评审批服务提质、环境应急保障常态化、生态环境普法宣传全覆盖工作推进，原有基础工作经费难以满足年度重点业务履职需求。为保障全局重点专项工作常态化、规范化开展，补齐高原基层生态环境业务保障短板，依据《中华人民共和国预算法》《四川省财政专项资金绩效管理办法》《阿坝州部门预算绩效管理实施细则》及年度财政预算批复文件，设立本生态环境专项工作经费项目。</w:t>
      </w:r>
    </w:p>
    <w:p w14:paraId="6CDD18C1">
      <w:pPr>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本项目主要内容包含五大专项工作保障：一是生态环境执法工作保障；二是县域常态化生态环境监测工作保障；三是六五环境日生态环境保护宣传工作保障；四是环境应急监测、重点污染源监督性监测及监测设备运维保障；五是建设项目环境影响评价技术审查评估工作保障，全面支撑全局年度重点业务落地落实。</w:t>
      </w:r>
    </w:p>
    <w:p w14:paraId="0E759B23">
      <w:pPr>
        <w:rPr>
          <w:rFonts w:hint="eastAsia"/>
          <w:b/>
          <w:bCs/>
          <w:sz w:val="28"/>
          <w:szCs w:val="28"/>
        </w:rPr>
      </w:pPr>
      <w:r>
        <w:rPr>
          <w:rFonts w:hint="eastAsia"/>
          <w:b/>
          <w:bCs/>
          <w:sz w:val="28"/>
          <w:szCs w:val="28"/>
        </w:rPr>
        <w:t xml:space="preserve"> （二）实施目的及支持方向</w:t>
      </w:r>
    </w:p>
    <w:p w14:paraId="160527B6">
      <w:pPr>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本项目资金严格遵照《阿坝州财政专项资金使用管理办法》《阿坝生态环境局财务管理制度》《项目资金绩效管理实施细则》开展全过程管理，实行专款专用、专账核算、全程绩效监控。</w:t>
      </w:r>
    </w:p>
    <w:p w14:paraId="024411E9">
      <w:pPr>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项目实施目的：全面保障年度生态环境执法、环境监测、环保宣传、应急</w:t>
      </w:r>
      <w:r>
        <w:rPr>
          <w:rFonts w:hint="eastAsia"/>
          <w:sz w:val="28"/>
          <w:szCs w:val="28"/>
          <w:lang w:val="en-US" w:eastAsia="zh-CN"/>
        </w:rPr>
        <w:t>监测</w:t>
      </w:r>
      <w:r>
        <w:rPr>
          <w:rFonts w:hint="eastAsia"/>
          <w:sz w:val="28"/>
          <w:szCs w:val="28"/>
        </w:rPr>
        <w:t>、环评技术审查五大重点业务有序开展，夯实基层生态环境监管基础，规范企业排污行为，提升区域环境风险应急处置能力，优化建设项目环保准入服务，普及生态环保法治理念，持续改善县域生态环境质量，筑牢高原生态安全屏障。</w:t>
      </w:r>
    </w:p>
    <w:p w14:paraId="35B1AD8F">
      <w:pPr>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主要工作任务：常态化开展现场环境执法检查、排污核查、问题整改督办；完成县域例行监测、重点污染源监督性监测、突发环境事件应急监测及设备运维；开展六五环境日主题宣传、社会环保科普；严格落实建设项目环评技术审查、现场核查、评估把关工作。</w:t>
      </w:r>
    </w:p>
    <w:p w14:paraId="780D122B">
      <w:pPr>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项目支持方向：属于行政运转保障类专项经费，专项用于生态环境执法业务、环境监测运维、环保宣传活动、应急监测保障、环评技术审查等履职必需开支，严禁挤占、挪用、超范围使用。</w:t>
      </w:r>
    </w:p>
    <w:p w14:paraId="610AC61C">
      <w:pPr>
        <w:rPr>
          <w:rFonts w:hint="eastAsia"/>
          <w:sz w:val="28"/>
          <w:szCs w:val="28"/>
        </w:rPr>
      </w:pPr>
      <w:r>
        <w:rPr>
          <w:rFonts w:hint="eastAsia"/>
          <w:sz w:val="28"/>
          <w:szCs w:val="28"/>
        </w:rPr>
        <w:t xml:space="preserve"> </w:t>
      </w:r>
      <w:r>
        <w:rPr>
          <w:rFonts w:hint="eastAsia"/>
          <w:b/>
          <w:bCs/>
          <w:sz w:val="28"/>
          <w:szCs w:val="28"/>
        </w:rPr>
        <w:t>（三）预算安排及分配管理</w:t>
      </w:r>
    </w:p>
    <w:p w14:paraId="000613A5">
      <w:pPr>
        <w:ind w:firstLine="560" w:firstLineChars="200"/>
        <w:rPr>
          <w:rFonts w:hint="eastAsia"/>
          <w:sz w:val="28"/>
          <w:szCs w:val="28"/>
        </w:rPr>
      </w:pPr>
      <w:r>
        <w:rPr>
          <w:rFonts w:hint="eastAsia"/>
          <w:sz w:val="28"/>
          <w:szCs w:val="28"/>
        </w:rPr>
        <w:t>1. 预算安排情况：2025年度本项目财政专项预算总额20万元，全部为州级财政专项拨款，无自筹资金、无结转结余资金。具体分项预算：执法工作经费6万元、县域监测工作经费4.2万元、6.5环境日宣传经费3.8万元、环境应急及重点污染源监测运维经费2万元、建设项目环评技术审查评估专项经费4万元。</w:t>
      </w:r>
    </w:p>
    <w:p w14:paraId="2F8F78B7">
      <w:pPr>
        <w:ind w:firstLine="560" w:firstLineChars="200"/>
        <w:rPr>
          <w:rFonts w:hint="eastAsia"/>
          <w:sz w:val="28"/>
          <w:szCs w:val="28"/>
        </w:rPr>
      </w:pPr>
      <w:r>
        <w:rPr>
          <w:rFonts w:hint="eastAsia"/>
          <w:sz w:val="28"/>
          <w:szCs w:val="28"/>
        </w:rPr>
        <w:t>2. 资金分配原则：坚持“量入为出、专款专用、保障重点、绩效优先、高原倾斜”原则，结合阿坝县域监管半径大、野外作业成本高、专项业务任务重的实际，优先保障执法、监测、应急、环评、宣传等刚性重点工作。</w:t>
      </w:r>
    </w:p>
    <w:p w14:paraId="70DE3AB7">
      <w:pPr>
        <w:ind w:firstLine="560" w:firstLineChars="200"/>
        <w:rPr>
          <w:rFonts w:hint="eastAsia"/>
          <w:sz w:val="28"/>
          <w:szCs w:val="28"/>
        </w:rPr>
      </w:pPr>
      <w:r>
        <w:rPr>
          <w:rFonts w:hint="eastAsia"/>
          <w:sz w:val="28"/>
          <w:szCs w:val="28"/>
        </w:rPr>
        <w:t>3. 资金分配情况：严格按照业务工作权重、任务量、履职刚需科学分配，精准对应各专项业务用途，资金分配公开透明、依据充分、贴合年度工作重点，全程实行国库集中支付管理，审批流程规范、支出全程留痕。</w:t>
      </w:r>
    </w:p>
    <w:p w14:paraId="686A011E">
      <w:pPr>
        <w:rPr>
          <w:rFonts w:hint="eastAsia"/>
          <w:sz w:val="28"/>
          <w:szCs w:val="28"/>
        </w:rPr>
      </w:pPr>
      <w:r>
        <w:rPr>
          <w:rFonts w:hint="eastAsia"/>
          <w:sz w:val="28"/>
          <w:szCs w:val="28"/>
        </w:rPr>
        <w:t xml:space="preserve"> </w:t>
      </w:r>
      <w:r>
        <w:rPr>
          <w:rFonts w:hint="eastAsia"/>
          <w:b/>
          <w:bCs/>
          <w:sz w:val="28"/>
          <w:szCs w:val="28"/>
        </w:rPr>
        <w:t>（四）项目绩效目标设置</w:t>
      </w:r>
    </w:p>
    <w:p w14:paraId="01F7F173">
      <w:pPr>
        <w:ind w:firstLine="560" w:firstLineChars="200"/>
        <w:rPr>
          <w:rFonts w:hint="eastAsia"/>
          <w:sz w:val="28"/>
          <w:szCs w:val="28"/>
        </w:rPr>
      </w:pPr>
      <w:r>
        <w:rPr>
          <w:rFonts w:hint="eastAsia"/>
          <w:sz w:val="28"/>
          <w:szCs w:val="28"/>
        </w:rPr>
        <w:t>1. 整体绩效目标：足额保障年度生态环境重点专项工作全面落地，规范环境监管执法、常态化监测、环保宣传、应急运维、环评审查工作，全面提升县域生态环境治理能力，持续稳定区域生态环境质量。</w:t>
      </w:r>
    </w:p>
    <w:p w14:paraId="25A21684">
      <w:pPr>
        <w:ind w:firstLine="560" w:firstLineChars="200"/>
        <w:rPr>
          <w:rFonts w:hint="eastAsia"/>
          <w:sz w:val="28"/>
          <w:szCs w:val="28"/>
        </w:rPr>
      </w:pPr>
      <w:r>
        <w:rPr>
          <w:rFonts w:hint="eastAsia"/>
          <w:sz w:val="28"/>
          <w:szCs w:val="28"/>
        </w:rPr>
        <w:t>2. 区域绩效目标：实现辖区重点污染源监管全覆盖、环境监测无空档、环保宣传全覆盖、环评审查规范高效、环境应急保障到位，有效防范区域性、突发性环境风险。</w:t>
      </w:r>
    </w:p>
    <w:p w14:paraId="2C027822">
      <w:pPr>
        <w:ind w:firstLine="560" w:firstLineChars="200"/>
        <w:rPr>
          <w:rFonts w:hint="eastAsia"/>
          <w:sz w:val="28"/>
          <w:szCs w:val="28"/>
        </w:rPr>
      </w:pPr>
      <w:r>
        <w:rPr>
          <w:rFonts w:hint="eastAsia"/>
          <w:sz w:val="28"/>
          <w:szCs w:val="28"/>
        </w:rPr>
        <w:t>3. 具体绩效目标：全年完成执法检查、问题核查、整改督办任务达标；全面完成县域例行监测、重点源监督性监测及设备运维；顺利开展六五环境日系列宣传活动，群众环保知晓度显著提升；高质量完成年度建设项目环评技术审查评估工作；环境应急响应保障及时到位。</w:t>
      </w:r>
    </w:p>
    <w:p w14:paraId="565E581A">
      <w:pPr>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项目自评工作开展情况：收到绩效自评工作通知后，我局立即启动专项自评工作，成立评价工作组，全面梳理项目立项依据、预算文件、财务凭证、业务台账、活动资料、审查记录、运维台账，通过资料核查、现场踏勘、座谈问询、数据比对等方式，对照绩效指标逐项核验完成情况，客观开展自评打分、问题梳理及整改提升，规范完成本次绩效自评工作。</w:t>
      </w:r>
    </w:p>
    <w:p w14:paraId="4A72298D">
      <w:pPr>
        <w:rPr>
          <w:rFonts w:hint="eastAsia"/>
          <w:b/>
          <w:bCs/>
          <w:sz w:val="28"/>
          <w:szCs w:val="28"/>
        </w:rPr>
      </w:pPr>
      <w:r>
        <w:rPr>
          <w:rFonts w:hint="eastAsia"/>
          <w:sz w:val="28"/>
          <w:szCs w:val="28"/>
        </w:rPr>
        <w:t xml:space="preserve"> </w:t>
      </w:r>
      <w:r>
        <w:rPr>
          <w:rFonts w:hint="eastAsia"/>
          <w:b/>
          <w:bCs/>
          <w:sz w:val="28"/>
          <w:szCs w:val="28"/>
        </w:rPr>
        <w:t>二、评价实施</w:t>
      </w:r>
    </w:p>
    <w:p w14:paraId="26BD7D04">
      <w:pPr>
        <w:rPr>
          <w:rFonts w:hint="eastAsia"/>
          <w:b/>
          <w:bCs/>
          <w:sz w:val="28"/>
          <w:szCs w:val="28"/>
        </w:rPr>
      </w:pPr>
      <w:r>
        <w:rPr>
          <w:rFonts w:hint="eastAsia"/>
          <w:b/>
          <w:bCs/>
          <w:sz w:val="28"/>
          <w:szCs w:val="28"/>
        </w:rPr>
        <w:t xml:space="preserve"> （一）评价目的</w:t>
      </w:r>
    </w:p>
    <w:p w14:paraId="19D26252">
      <w:pPr>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通过本次专项绩效自评，全面核查2025年度20万元生态环境专项经费的立项、分配、拨付、使用、管理全过程，客观评价项目产出实绩、履职成效与资金使用效益；精准查摆预算管理、项目实施、绩效管控、台账管理中的薄弱环节；总结年度工作经验，健全长效管理机制，优化下年度预算编制与资金使用计划，严格落实“花钱必问效、无效必问责”绩效管理要求，持续提升财政专项资金使用效能。</w:t>
      </w:r>
    </w:p>
    <w:p w14:paraId="1D872F4E">
      <w:pPr>
        <w:rPr>
          <w:rFonts w:hint="eastAsia"/>
          <w:b/>
          <w:bCs/>
          <w:sz w:val="28"/>
          <w:szCs w:val="28"/>
        </w:rPr>
      </w:pPr>
      <w:r>
        <w:rPr>
          <w:rFonts w:hint="eastAsia"/>
          <w:b/>
          <w:bCs/>
          <w:sz w:val="28"/>
          <w:szCs w:val="28"/>
        </w:rPr>
        <w:t xml:space="preserve"> （二）预设问题及评价重点</w:t>
      </w:r>
    </w:p>
    <w:p w14:paraId="19B51CC9">
      <w:pPr>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严格对照专项预算项目绩效评价指标体系，围绕项目决策、项目管理、项目实施、项目结果全流程开展综合评价。重点核查：项目立项程序、规划论证、资金投向是否合规；专项资金管理制度、分配流程、绩效监管是否落实到位；预算执行进度、资金使用合规性、专款专用落实情况；执法、监测、宣传、应急运维、环评审查各项工作任务完成质量、完成时效；项目实施产生的生态效益、社会效益、履职保障成效及存在短板问题。</w:t>
      </w:r>
    </w:p>
    <w:p w14:paraId="13120AE7">
      <w:pPr>
        <w:rPr>
          <w:rFonts w:hint="eastAsia"/>
          <w:sz w:val="28"/>
          <w:szCs w:val="28"/>
        </w:rPr>
      </w:pPr>
      <w:r>
        <w:rPr>
          <w:rFonts w:hint="eastAsia"/>
          <w:sz w:val="28"/>
          <w:szCs w:val="28"/>
        </w:rPr>
        <w:t xml:space="preserve"> </w:t>
      </w:r>
      <w:r>
        <w:rPr>
          <w:rFonts w:hint="eastAsia"/>
          <w:b/>
          <w:bCs/>
          <w:sz w:val="28"/>
          <w:szCs w:val="28"/>
        </w:rPr>
        <w:t>（三）评价选点</w:t>
      </w:r>
    </w:p>
    <w:p w14:paraId="3E6D2AD9">
      <w:pPr>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本专项经费覆盖阿坝县全域生态环境监管、监测、项目准入区域。按照自评抽样要求，选取专项资金覆盖点位20%比例、不超20个上限开展实地踏勘，共选取16个抽样点位，包含重点排污企业监管点位6个、县域环境监测断面4个、乡镇环保宣传点位3个、建设项目核查点位3个，全面覆盖五大专项业务工作场景，踏勘点位清单全部纳入自评附表归档。</w:t>
      </w:r>
    </w:p>
    <w:p w14:paraId="7341688B">
      <w:pPr>
        <w:rPr>
          <w:rFonts w:hint="eastAsia"/>
          <w:b/>
          <w:bCs/>
          <w:sz w:val="28"/>
          <w:szCs w:val="28"/>
        </w:rPr>
      </w:pPr>
      <w:r>
        <w:rPr>
          <w:rFonts w:hint="eastAsia"/>
          <w:b/>
          <w:bCs/>
          <w:sz w:val="28"/>
          <w:szCs w:val="28"/>
        </w:rPr>
        <w:t xml:space="preserve"> （四）评价方法</w:t>
      </w:r>
    </w:p>
    <w:p w14:paraId="20E80B13">
      <w:pPr>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本次评价综合采用多维度评价方法，确保评价结果真实客观、全面精准：</w:t>
      </w:r>
    </w:p>
    <w:p w14:paraId="04C26319">
      <w:pPr>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1. 案卷研究法：查阅项目预算批复、立项资料、财务凭证、业务台账、宣传资料、监测运维记录、环评审查档案等全套资料；</w:t>
      </w:r>
    </w:p>
    <w:p w14:paraId="2954CDFC">
      <w:pPr>
        <w:ind w:firstLine="560" w:firstLineChars="200"/>
        <w:rPr>
          <w:rFonts w:hint="eastAsia"/>
          <w:sz w:val="28"/>
          <w:szCs w:val="28"/>
        </w:rPr>
      </w:pPr>
      <w:r>
        <w:rPr>
          <w:rFonts w:hint="eastAsia"/>
          <w:sz w:val="28"/>
          <w:szCs w:val="28"/>
        </w:rPr>
        <w:t>2. 单位自评法：对照通用、专用、个性绩效指标逐项核查、对标打分；</w:t>
      </w:r>
    </w:p>
    <w:p w14:paraId="2DCEF586">
      <w:pPr>
        <w:ind w:firstLine="560" w:firstLineChars="200"/>
        <w:rPr>
          <w:rFonts w:hint="eastAsia"/>
          <w:sz w:val="28"/>
          <w:szCs w:val="28"/>
        </w:rPr>
      </w:pPr>
      <w:r>
        <w:rPr>
          <w:rFonts w:hint="eastAsia"/>
          <w:sz w:val="28"/>
          <w:szCs w:val="28"/>
        </w:rPr>
        <w:t>3. 实地勘察法：对抽样监管点位、监测点位、项目现场开展实地核查；</w:t>
      </w:r>
    </w:p>
    <w:p w14:paraId="04E66D57">
      <w:pPr>
        <w:ind w:firstLine="560" w:firstLineChars="200"/>
        <w:rPr>
          <w:rFonts w:hint="eastAsia"/>
          <w:sz w:val="28"/>
          <w:szCs w:val="28"/>
        </w:rPr>
      </w:pPr>
      <w:r>
        <w:rPr>
          <w:rFonts w:hint="eastAsia"/>
          <w:sz w:val="28"/>
          <w:szCs w:val="28"/>
        </w:rPr>
        <w:t>4. 座谈调研法：组织财务、执法、监测、审批、宣传业务人员座谈，核实工作开展及经费使用情况；</w:t>
      </w:r>
    </w:p>
    <w:p w14:paraId="3A5A6097">
      <w:pPr>
        <w:ind w:firstLine="560" w:firstLineChars="200"/>
        <w:rPr>
          <w:rFonts w:hint="eastAsia"/>
          <w:sz w:val="28"/>
          <w:szCs w:val="28"/>
        </w:rPr>
      </w:pPr>
      <w:r>
        <w:rPr>
          <w:rFonts w:hint="eastAsia"/>
          <w:sz w:val="28"/>
          <w:szCs w:val="28"/>
        </w:rPr>
        <w:t>5. 问卷调查法：面向辖区群众、企业开展环保宣传知晓度、环保服务满意度调查；</w:t>
      </w:r>
    </w:p>
    <w:p w14:paraId="2977D903">
      <w:pPr>
        <w:ind w:firstLine="560" w:firstLineChars="200"/>
        <w:rPr>
          <w:rFonts w:hint="eastAsia"/>
          <w:sz w:val="28"/>
          <w:szCs w:val="28"/>
        </w:rPr>
      </w:pPr>
      <w:r>
        <w:rPr>
          <w:rFonts w:hint="eastAsia"/>
          <w:sz w:val="28"/>
          <w:szCs w:val="28"/>
        </w:rPr>
        <w:t>6. 成本效益分析法：对比资金投入成本与年度专项工作履职产出、生态社会效益；</w:t>
      </w:r>
    </w:p>
    <w:p w14:paraId="41D7F2CD">
      <w:pPr>
        <w:ind w:firstLine="560" w:firstLineChars="200"/>
        <w:rPr>
          <w:rFonts w:hint="eastAsia"/>
          <w:sz w:val="28"/>
          <w:szCs w:val="28"/>
        </w:rPr>
      </w:pPr>
      <w:r>
        <w:rPr>
          <w:rFonts w:hint="eastAsia"/>
          <w:sz w:val="28"/>
          <w:szCs w:val="28"/>
        </w:rPr>
        <w:t>7. 标杆管理法：对照全州生态环境系统同类专项经费管理标准、绩效水平对标评价。</w:t>
      </w:r>
    </w:p>
    <w:p w14:paraId="3727154F">
      <w:pPr>
        <w:rPr>
          <w:rFonts w:hint="eastAsia"/>
          <w:b/>
          <w:bCs/>
          <w:sz w:val="28"/>
          <w:szCs w:val="28"/>
        </w:rPr>
      </w:pPr>
      <w:r>
        <w:rPr>
          <w:rFonts w:hint="eastAsia"/>
          <w:b/>
          <w:bCs/>
          <w:sz w:val="28"/>
          <w:szCs w:val="28"/>
        </w:rPr>
        <w:t xml:space="preserve"> （五）评价组织</w:t>
      </w:r>
    </w:p>
    <w:p w14:paraId="54C027FB">
      <w:pPr>
        <w:rPr>
          <w:rFonts w:hint="eastAsia"/>
          <w:sz w:val="28"/>
          <w:szCs w:val="28"/>
        </w:rPr>
      </w:pPr>
      <w:r>
        <w:rPr>
          <w:rFonts w:hint="eastAsia"/>
          <w:sz w:val="28"/>
          <w:szCs w:val="28"/>
        </w:rPr>
        <w:t xml:space="preserve"> 我局专项成立2025年度生态环境专项经费绩效评价工作组：</w:t>
      </w:r>
    </w:p>
    <w:p w14:paraId="7A934D3B">
      <w:pPr>
        <w:ind w:firstLine="560" w:firstLineChars="200"/>
        <w:rPr>
          <w:rFonts w:hint="eastAsia"/>
          <w:sz w:val="28"/>
          <w:szCs w:val="28"/>
        </w:rPr>
      </w:pPr>
      <w:r>
        <w:rPr>
          <w:rFonts w:hint="eastAsia"/>
          <w:sz w:val="28"/>
          <w:szCs w:val="28"/>
        </w:rPr>
        <w:t>1. 组长：局分管领导</w:t>
      </w:r>
      <w:r>
        <w:rPr>
          <w:rFonts w:hint="eastAsia"/>
          <w:sz w:val="28"/>
          <w:szCs w:val="28"/>
          <w:lang w:eastAsia="zh-CN"/>
        </w:rPr>
        <w:t>（</w:t>
      </w:r>
      <w:r>
        <w:rPr>
          <w:rFonts w:hint="eastAsia"/>
          <w:sz w:val="28"/>
          <w:szCs w:val="28"/>
          <w:lang w:val="en-US" w:eastAsia="zh-CN"/>
        </w:rPr>
        <w:t>张世康</w:t>
      </w:r>
      <w:r>
        <w:rPr>
          <w:rFonts w:hint="eastAsia"/>
          <w:sz w:val="28"/>
          <w:szCs w:val="28"/>
          <w:lang w:eastAsia="zh-CN"/>
        </w:rPr>
        <w:t>）</w:t>
      </w:r>
      <w:r>
        <w:rPr>
          <w:rFonts w:hint="eastAsia"/>
          <w:sz w:val="28"/>
          <w:szCs w:val="28"/>
        </w:rPr>
        <w:t>，统筹自评整体工作，审定评价方案、自评报告及最终评价结论；</w:t>
      </w:r>
    </w:p>
    <w:p w14:paraId="0DD67EA3">
      <w:pPr>
        <w:ind w:firstLine="560" w:firstLineChars="200"/>
        <w:rPr>
          <w:rFonts w:hint="eastAsia"/>
          <w:sz w:val="28"/>
          <w:szCs w:val="28"/>
        </w:rPr>
      </w:pPr>
      <w:r>
        <w:rPr>
          <w:rFonts w:hint="eastAsia"/>
          <w:sz w:val="28"/>
          <w:szCs w:val="28"/>
        </w:rPr>
        <w:t>2. 副组长：业务股室负责人</w:t>
      </w:r>
      <w:r>
        <w:rPr>
          <w:rFonts w:hint="eastAsia"/>
          <w:sz w:val="28"/>
          <w:szCs w:val="28"/>
          <w:lang w:eastAsia="zh-CN"/>
        </w:rPr>
        <w:t>（</w:t>
      </w:r>
      <w:r>
        <w:rPr>
          <w:rFonts w:hint="eastAsia"/>
          <w:sz w:val="28"/>
          <w:szCs w:val="28"/>
          <w:lang w:val="en-US" w:eastAsia="zh-CN"/>
        </w:rPr>
        <w:t>东措、杨普强、王文</w:t>
      </w:r>
      <w:r>
        <w:rPr>
          <w:rFonts w:hint="eastAsia"/>
          <w:sz w:val="28"/>
          <w:szCs w:val="28"/>
          <w:lang w:eastAsia="zh-CN"/>
        </w:rPr>
        <w:t>）</w:t>
      </w:r>
      <w:r>
        <w:rPr>
          <w:rFonts w:hint="eastAsia"/>
          <w:sz w:val="28"/>
          <w:szCs w:val="28"/>
        </w:rPr>
        <w:t>，负责资料审核、现场踏勘组织、指标核查、问题汇总；</w:t>
      </w:r>
    </w:p>
    <w:p w14:paraId="1683EFD0">
      <w:pPr>
        <w:ind w:firstLine="560" w:firstLineChars="200"/>
        <w:rPr>
          <w:rFonts w:hint="eastAsia"/>
          <w:sz w:val="28"/>
          <w:szCs w:val="28"/>
        </w:rPr>
      </w:pPr>
      <w:r>
        <w:rPr>
          <w:rFonts w:hint="eastAsia"/>
          <w:sz w:val="28"/>
          <w:szCs w:val="28"/>
        </w:rPr>
        <w:t>3. 成员：</w:t>
      </w:r>
      <w:r>
        <w:rPr>
          <w:rFonts w:hint="eastAsia"/>
          <w:sz w:val="28"/>
          <w:szCs w:val="28"/>
          <w:lang w:val="en-US" w:eastAsia="zh-CN"/>
        </w:rPr>
        <w:t>易敏、李锁柱、王柯、唐晓娟</w:t>
      </w:r>
      <w:r>
        <w:rPr>
          <w:rFonts w:hint="eastAsia"/>
          <w:sz w:val="28"/>
          <w:szCs w:val="28"/>
        </w:rPr>
        <w:t>经办人员，负责资料收集、数据统计、问卷调研、报告撰写、台账整理归档。</w:t>
      </w:r>
    </w:p>
    <w:p w14:paraId="7399321C">
      <w:pPr>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工作组严格按照财政绩效评价规范流程开展工作，分工明确、责任到人，保障自评工作严谨规范、真实有效。</w:t>
      </w:r>
    </w:p>
    <w:p w14:paraId="15301A4A">
      <w:pPr>
        <w:rPr>
          <w:rFonts w:hint="eastAsia"/>
          <w:sz w:val="28"/>
          <w:szCs w:val="28"/>
        </w:rPr>
      </w:pPr>
      <w:r>
        <w:rPr>
          <w:rFonts w:hint="eastAsia"/>
          <w:sz w:val="28"/>
          <w:szCs w:val="28"/>
        </w:rPr>
        <w:t xml:space="preserve"> </w:t>
      </w:r>
      <w:r>
        <w:rPr>
          <w:rFonts w:hint="eastAsia"/>
          <w:b/>
          <w:bCs/>
          <w:sz w:val="28"/>
          <w:szCs w:val="28"/>
        </w:rPr>
        <w:t>三、绩效分析</w:t>
      </w:r>
    </w:p>
    <w:p w14:paraId="355E354C">
      <w:pPr>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本次绩效评价总分100分，其中通用指标40分、专用指标35分、个性指标25分，逐项开展绩效分析及评分。</w:t>
      </w:r>
    </w:p>
    <w:p w14:paraId="2BFB6907">
      <w:pPr>
        <w:rPr>
          <w:rFonts w:hint="eastAsia"/>
          <w:b/>
          <w:bCs/>
          <w:sz w:val="28"/>
          <w:szCs w:val="28"/>
        </w:rPr>
      </w:pPr>
      <w:r>
        <w:rPr>
          <w:rFonts w:hint="eastAsia"/>
          <w:b/>
          <w:bCs/>
          <w:sz w:val="28"/>
          <w:szCs w:val="28"/>
        </w:rPr>
        <w:t xml:space="preserve"> （一）通用指标绩效分析</w:t>
      </w:r>
    </w:p>
    <w:p w14:paraId="46E2F999">
      <w:pPr>
        <w:rPr>
          <w:rFonts w:hint="eastAsia"/>
          <w:sz w:val="28"/>
          <w:szCs w:val="28"/>
        </w:rPr>
      </w:pPr>
      <w:r>
        <w:rPr>
          <w:rFonts w:hint="eastAsia"/>
          <w:sz w:val="28"/>
          <w:szCs w:val="28"/>
        </w:rPr>
        <w:t xml:space="preserve"> 1.项目决策（10分，得分9分）</w:t>
      </w:r>
    </w:p>
    <w:p w14:paraId="09AA22E0">
      <w:pPr>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本项目立项依据充分、贴合法定职能与年度重点工作，项目规划论证充分，资金投向精准对应生态环境执法、监测、宣传、应急运维、环评审查核心业务，决策程序规范、资料齐全。存在不足：部分细分绩效目标量化精度不足，分项工作目标针对性有待细化，扣1分。</w:t>
      </w:r>
    </w:p>
    <w:p w14:paraId="27676527">
      <w:pPr>
        <w:rPr>
          <w:rFonts w:hint="eastAsia"/>
          <w:sz w:val="28"/>
          <w:szCs w:val="28"/>
        </w:rPr>
      </w:pPr>
      <w:r>
        <w:rPr>
          <w:rFonts w:hint="eastAsia"/>
          <w:sz w:val="28"/>
          <w:szCs w:val="28"/>
        </w:rPr>
        <w:t xml:space="preserve"> 2.项目管理（10分，得分9分）</w:t>
      </w:r>
    </w:p>
    <w:p w14:paraId="08261B16">
      <w:pPr>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单位财务、专项资金、绩效管理等制度健全，资金分配管理规范透明，全程落实绩效运行监控，台账资料整体完善。存在不足：绩效监控过程台账记录不够细化，部分业务与财务资料联动归档不够及时，扣1分。</w:t>
      </w:r>
    </w:p>
    <w:p w14:paraId="2FB42D1A">
      <w:pPr>
        <w:rPr>
          <w:rFonts w:hint="eastAsia"/>
          <w:sz w:val="28"/>
          <w:szCs w:val="28"/>
        </w:rPr>
      </w:pPr>
      <w:r>
        <w:rPr>
          <w:rFonts w:hint="eastAsia"/>
          <w:sz w:val="28"/>
          <w:szCs w:val="28"/>
        </w:rPr>
        <w:t xml:space="preserve"> 3.项目实施（10分，得分9分）</w:t>
      </w:r>
    </w:p>
    <w:p w14:paraId="2B3168A3">
      <w:pPr>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项目资金拨付及时、预算执行整体到位，资金使用合规，严格执行专款专用，无截留、挤占、挪用、超标开支等违规问题，财务审批、支付手续完整规范。存在不足：受高原季节工作节奏影响，个别专项经费支出时序略有不均衡，扣1分。</w:t>
      </w:r>
    </w:p>
    <w:p w14:paraId="4BF83154">
      <w:pPr>
        <w:rPr>
          <w:rFonts w:hint="eastAsia"/>
          <w:sz w:val="28"/>
          <w:szCs w:val="28"/>
        </w:rPr>
      </w:pPr>
      <w:r>
        <w:rPr>
          <w:rFonts w:hint="eastAsia"/>
          <w:sz w:val="28"/>
          <w:szCs w:val="28"/>
        </w:rPr>
        <w:t xml:space="preserve"> 4.项目结果（10分，得分10分）</w:t>
      </w:r>
    </w:p>
    <w:p w14:paraId="016D88E7">
      <w:pPr>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年度五大专项工作任务全部按期保质完成，执法监管全覆盖、监测运维常态化、环保宣传落地见效、环评审查规范高效、环境应急保障到位，全部达成预设工作目标，满分得分。</w:t>
      </w:r>
    </w:p>
    <w:p w14:paraId="204BA10C">
      <w:pPr>
        <w:rPr>
          <w:rFonts w:hint="eastAsia"/>
          <w:sz w:val="28"/>
          <w:szCs w:val="28"/>
        </w:rPr>
      </w:pPr>
      <w:r>
        <w:rPr>
          <w:rFonts w:hint="eastAsia"/>
          <w:sz w:val="28"/>
          <w:szCs w:val="28"/>
        </w:rPr>
        <w:t xml:space="preserve"> </w:t>
      </w:r>
      <w:r>
        <w:rPr>
          <w:rFonts w:hint="eastAsia"/>
          <w:b/>
          <w:bCs/>
          <w:sz w:val="28"/>
          <w:szCs w:val="28"/>
        </w:rPr>
        <w:t>（二）专用指标绩效分析</w:t>
      </w:r>
    </w:p>
    <w:p w14:paraId="041C8002">
      <w:pPr>
        <w:rPr>
          <w:rFonts w:hint="eastAsia"/>
          <w:sz w:val="28"/>
          <w:szCs w:val="28"/>
        </w:rPr>
      </w:pPr>
      <w:r>
        <w:rPr>
          <w:rFonts w:hint="eastAsia"/>
          <w:sz w:val="28"/>
          <w:szCs w:val="28"/>
        </w:rPr>
        <w:t xml:space="preserve"> 本项目属于行政运转保障类专项经费，围绕用途合规性、程序合规性、标准合规性开展绩效分析：</w:t>
      </w:r>
    </w:p>
    <w:p w14:paraId="63E42EFE">
      <w:pPr>
        <w:ind w:firstLine="560" w:firstLineChars="200"/>
        <w:rPr>
          <w:rFonts w:hint="eastAsia"/>
          <w:sz w:val="28"/>
          <w:szCs w:val="28"/>
        </w:rPr>
      </w:pPr>
      <w:r>
        <w:rPr>
          <w:rFonts w:hint="eastAsia"/>
          <w:sz w:val="28"/>
          <w:szCs w:val="28"/>
          <w:lang w:val="en-US" w:eastAsia="zh-CN"/>
        </w:rPr>
        <w:t xml:space="preserve"> </w:t>
      </w:r>
      <w:r>
        <w:rPr>
          <w:rFonts w:hint="eastAsia"/>
          <w:sz w:val="28"/>
          <w:szCs w:val="28"/>
        </w:rPr>
        <w:t>1. 用途合规性：6万元执法经费、4.2万元监测经费、3.8万元宣传经费、2万元应急运维经费、4万元环评审查经费，全部严格对应立项用途，无超范围使用，用途合规。</w:t>
      </w:r>
    </w:p>
    <w:p w14:paraId="26B3196F">
      <w:pPr>
        <w:ind w:firstLine="560" w:firstLineChars="200"/>
        <w:rPr>
          <w:rFonts w:hint="eastAsia"/>
          <w:sz w:val="28"/>
          <w:szCs w:val="28"/>
        </w:rPr>
      </w:pPr>
      <w:r>
        <w:rPr>
          <w:rFonts w:hint="eastAsia"/>
          <w:sz w:val="28"/>
          <w:szCs w:val="28"/>
        </w:rPr>
        <w:t>2. 程序合规性：所有资金支出严格执行事前审批、事中监管、事后归档流程，报销、支付、审批程序完整规范。</w:t>
      </w:r>
    </w:p>
    <w:p w14:paraId="0D4A0E51">
      <w:pPr>
        <w:ind w:firstLine="560" w:firstLineChars="200"/>
        <w:rPr>
          <w:rFonts w:hint="eastAsia"/>
          <w:sz w:val="28"/>
          <w:szCs w:val="28"/>
        </w:rPr>
      </w:pPr>
      <w:r>
        <w:rPr>
          <w:rFonts w:hint="eastAsia"/>
          <w:sz w:val="28"/>
          <w:szCs w:val="28"/>
        </w:rPr>
        <w:t>3. 标准合规性：各项开支严格遵守财政经费报销标准、公务开支标准，无超标支出、无违规开支情况。</w:t>
      </w:r>
    </w:p>
    <w:p w14:paraId="0B020368">
      <w:pPr>
        <w:rPr>
          <w:rFonts w:hint="eastAsia"/>
          <w:sz w:val="28"/>
          <w:szCs w:val="28"/>
        </w:rPr>
      </w:pPr>
      <w:r>
        <w:rPr>
          <w:rFonts w:hint="eastAsia"/>
          <w:sz w:val="28"/>
          <w:szCs w:val="28"/>
        </w:rPr>
        <w:t xml:space="preserve"> </w:t>
      </w:r>
    </w:p>
    <w:p w14:paraId="6AC405CB">
      <w:pPr>
        <w:rPr>
          <w:rFonts w:hint="eastAsia"/>
          <w:sz w:val="28"/>
          <w:szCs w:val="28"/>
        </w:rPr>
      </w:pPr>
      <w:r>
        <w:rPr>
          <w:rFonts w:hint="eastAsia"/>
          <w:sz w:val="28"/>
          <w:szCs w:val="28"/>
        </w:rPr>
        <w:t>扣分原因：少量零星业务佐证材料细化度不足，过程管理细节存在短板，扣2分。</w:t>
      </w:r>
    </w:p>
    <w:p w14:paraId="344CCEF6">
      <w:pPr>
        <w:rPr>
          <w:rFonts w:hint="eastAsia"/>
          <w:sz w:val="28"/>
          <w:szCs w:val="28"/>
        </w:rPr>
      </w:pPr>
      <w:r>
        <w:rPr>
          <w:rFonts w:hint="eastAsia"/>
          <w:sz w:val="28"/>
          <w:szCs w:val="28"/>
        </w:rPr>
        <w:t xml:space="preserve"> （三）</w:t>
      </w:r>
      <w:r>
        <w:rPr>
          <w:rFonts w:hint="eastAsia"/>
          <w:b/>
          <w:bCs/>
          <w:sz w:val="28"/>
          <w:szCs w:val="28"/>
        </w:rPr>
        <w:t>个性指标绩效分析</w:t>
      </w:r>
    </w:p>
    <w:p w14:paraId="6FB62B00">
      <w:pPr>
        <w:rPr>
          <w:rFonts w:hint="eastAsia"/>
          <w:sz w:val="28"/>
          <w:szCs w:val="28"/>
        </w:rPr>
      </w:pPr>
      <w:r>
        <w:rPr>
          <w:rFonts w:hint="eastAsia"/>
          <w:sz w:val="28"/>
          <w:szCs w:val="28"/>
        </w:rPr>
        <w:t xml:space="preserve"> 结合高原生态环境工作特点，设置专项个性绩效指标：</w:t>
      </w:r>
    </w:p>
    <w:p w14:paraId="7CD339BF">
      <w:pPr>
        <w:ind w:firstLine="560" w:firstLineChars="200"/>
        <w:rPr>
          <w:rFonts w:hint="eastAsia"/>
          <w:sz w:val="28"/>
          <w:szCs w:val="28"/>
        </w:rPr>
      </w:pPr>
      <w:r>
        <w:rPr>
          <w:rFonts w:hint="eastAsia"/>
          <w:sz w:val="28"/>
          <w:szCs w:val="28"/>
        </w:rPr>
        <w:t>1. 重点专项工作完成覆盖率（9分，得分9分）：年度执法、监测、宣传、应急运维、环评审查五大专项工作全覆盖、无遗漏，重点工作落地到位。</w:t>
      </w:r>
    </w:p>
    <w:p w14:paraId="5263CABC">
      <w:pPr>
        <w:ind w:firstLine="560" w:firstLineChars="200"/>
        <w:rPr>
          <w:rFonts w:hint="eastAsia"/>
          <w:sz w:val="28"/>
          <w:szCs w:val="28"/>
        </w:rPr>
      </w:pPr>
      <w:r>
        <w:rPr>
          <w:rFonts w:hint="eastAsia"/>
          <w:sz w:val="28"/>
          <w:szCs w:val="28"/>
        </w:rPr>
        <w:t>2. 生态环境服务保障成效（8分，得分8分）：企业监管、项目服务、环保科普、环境风险防控成效显著，区域环境秩序稳定向好。</w:t>
      </w:r>
    </w:p>
    <w:p w14:paraId="7BA4AD86">
      <w:pPr>
        <w:ind w:firstLine="560" w:firstLineChars="200"/>
        <w:rPr>
          <w:rFonts w:hint="eastAsia"/>
          <w:sz w:val="28"/>
          <w:szCs w:val="28"/>
        </w:rPr>
      </w:pPr>
      <w:r>
        <w:rPr>
          <w:rFonts w:hint="eastAsia"/>
          <w:sz w:val="28"/>
          <w:szCs w:val="28"/>
        </w:rPr>
        <w:t>3. 专项工作成果转化成效（8分，得分7分）：各项业务工作顺利完成，但专项工作总结、成果提炼、经验推广力度不足，扣1分。</w:t>
      </w:r>
    </w:p>
    <w:p w14:paraId="04768911">
      <w:pPr>
        <w:rPr>
          <w:rFonts w:hint="eastAsia"/>
          <w:b/>
          <w:bCs/>
          <w:sz w:val="28"/>
          <w:szCs w:val="28"/>
        </w:rPr>
      </w:pPr>
      <w:r>
        <w:rPr>
          <w:rFonts w:hint="eastAsia"/>
          <w:b/>
          <w:bCs/>
          <w:sz w:val="28"/>
          <w:szCs w:val="28"/>
        </w:rPr>
        <w:t xml:space="preserve"> 四、评价结论</w:t>
      </w:r>
    </w:p>
    <w:p w14:paraId="0A7D5403">
      <w:pPr>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本专项项目绩效自评总得分94分，评价等级为优秀。</w:t>
      </w:r>
    </w:p>
    <w:p w14:paraId="6CAB2A11">
      <w:pPr>
        <w:ind w:firstLine="560" w:firstLineChars="200"/>
        <w:rPr>
          <w:rFonts w:hint="eastAsia"/>
          <w:sz w:val="28"/>
          <w:szCs w:val="28"/>
        </w:rPr>
      </w:pPr>
      <w:r>
        <w:rPr>
          <w:rFonts w:hint="eastAsia"/>
          <w:sz w:val="28"/>
          <w:szCs w:val="28"/>
        </w:rPr>
        <w:t>2025年度生态环境专项经费项目立项依据充分、决策程序规范、制度体系健全、资金管理严格、预算执行到位、资金使用合规高效。专项经费全面保障了生态环境执法监管、县域监测运维、六五环保宣传、环境应急保障、建设项目环评技术审查等年度重点工作落地，有效补齐高原基层环保工作保障短板，规范了区域环境监管秩序，提升了环境风险防控能力、政务服务能力和公众环保意识，生态效益、社会效益、履职效益突出。项目整体实施成效优良，仅在绩效目标精细化、台账细节管理、工作成果提炼方面存在轻微不足。</w:t>
      </w:r>
    </w:p>
    <w:p w14:paraId="424B2083">
      <w:pPr>
        <w:rPr>
          <w:rFonts w:hint="eastAsia"/>
          <w:sz w:val="28"/>
          <w:szCs w:val="28"/>
        </w:rPr>
      </w:pPr>
      <w:r>
        <w:rPr>
          <w:rFonts w:hint="eastAsia"/>
          <w:sz w:val="28"/>
          <w:szCs w:val="28"/>
        </w:rPr>
        <w:t xml:space="preserve"> </w:t>
      </w:r>
    </w:p>
    <w:p w14:paraId="49661853">
      <w:pPr>
        <w:rPr>
          <w:rFonts w:hint="eastAsia"/>
          <w:b/>
          <w:bCs/>
          <w:sz w:val="28"/>
          <w:szCs w:val="28"/>
        </w:rPr>
      </w:pPr>
      <w:r>
        <w:rPr>
          <w:rFonts w:hint="eastAsia"/>
          <w:b/>
          <w:bCs/>
          <w:sz w:val="28"/>
          <w:szCs w:val="28"/>
        </w:rPr>
        <w:t>五、存在主要问题</w:t>
      </w:r>
    </w:p>
    <w:p w14:paraId="38C45A9E">
      <w:pPr>
        <w:rPr>
          <w:rFonts w:hint="eastAsia"/>
          <w:sz w:val="28"/>
          <w:szCs w:val="28"/>
        </w:rPr>
      </w:pPr>
      <w:r>
        <w:rPr>
          <w:rFonts w:hint="eastAsia"/>
          <w:sz w:val="28"/>
          <w:szCs w:val="28"/>
        </w:rPr>
        <w:t xml:space="preserve"> </w:t>
      </w:r>
      <w:r>
        <w:rPr>
          <w:rFonts w:hint="eastAsia"/>
          <w:sz w:val="28"/>
          <w:szCs w:val="28"/>
          <w:lang w:val="en-US" w:eastAsia="zh-CN"/>
        </w:rPr>
        <w:t xml:space="preserve">  </w:t>
      </w:r>
      <w:r>
        <w:rPr>
          <w:rFonts w:hint="eastAsia"/>
          <w:sz w:val="28"/>
          <w:szCs w:val="28"/>
        </w:rPr>
        <w:t>1. 绩效目标编制精细化不足：五大分项专项工作未设置独立量化细分绩效目标，整体目标偏宏观，绩效运行监控台账记录不够详实、针对性不强。</w:t>
      </w:r>
    </w:p>
    <w:p w14:paraId="7AE97315">
      <w:pPr>
        <w:ind w:firstLine="560" w:firstLineChars="200"/>
        <w:rPr>
          <w:rFonts w:hint="eastAsia"/>
          <w:sz w:val="28"/>
          <w:szCs w:val="28"/>
        </w:rPr>
      </w:pPr>
      <w:r>
        <w:rPr>
          <w:rFonts w:hint="eastAsia"/>
          <w:sz w:val="28"/>
          <w:szCs w:val="28"/>
        </w:rPr>
        <w:t>2. 台账精细化管理有待提升：部分专项业务台账、宣传台账、运维台账与财务台账联动匹配度不足，零星支出佐证资料归档不够细化完整。</w:t>
      </w:r>
    </w:p>
    <w:p w14:paraId="128DA09E">
      <w:pPr>
        <w:ind w:firstLine="560" w:firstLineChars="200"/>
        <w:rPr>
          <w:rFonts w:hint="eastAsia"/>
          <w:sz w:val="28"/>
          <w:szCs w:val="28"/>
        </w:rPr>
      </w:pPr>
      <w:r>
        <w:rPr>
          <w:rFonts w:hint="eastAsia"/>
          <w:sz w:val="28"/>
          <w:szCs w:val="28"/>
        </w:rPr>
        <w:t>3. 预算执行时序不均衡：受年度重点工作集中攻坚、高原气候影响，部分专项经费集中在下半年支出，全年执行时序不够均衡。</w:t>
      </w:r>
    </w:p>
    <w:p w14:paraId="3D7C8F79">
      <w:pPr>
        <w:ind w:firstLine="560" w:firstLineChars="200"/>
        <w:rPr>
          <w:rFonts w:hint="eastAsia"/>
          <w:sz w:val="28"/>
          <w:szCs w:val="28"/>
        </w:rPr>
      </w:pPr>
      <w:r>
        <w:rPr>
          <w:rFonts w:hint="eastAsia"/>
          <w:sz w:val="28"/>
          <w:szCs w:val="28"/>
        </w:rPr>
        <w:t>4. 专项工作成果转化不足：各项业务工作顺利完成，但缺少系统性总结、数据分析、成果提炼，工作经验推广、成效展示力度不足。</w:t>
      </w:r>
    </w:p>
    <w:p w14:paraId="271D9275">
      <w:pPr>
        <w:rPr>
          <w:rFonts w:hint="eastAsia"/>
          <w:b/>
          <w:bCs/>
          <w:sz w:val="28"/>
          <w:szCs w:val="28"/>
        </w:rPr>
      </w:pPr>
      <w:r>
        <w:rPr>
          <w:rFonts w:hint="eastAsia"/>
          <w:b/>
          <w:bCs/>
          <w:sz w:val="28"/>
          <w:szCs w:val="28"/>
        </w:rPr>
        <w:t xml:space="preserve"> 六、改进建议</w:t>
      </w:r>
    </w:p>
    <w:p w14:paraId="07F7F7B9">
      <w:pPr>
        <w:rPr>
          <w:rFonts w:hint="eastAsia"/>
          <w:sz w:val="28"/>
          <w:szCs w:val="28"/>
        </w:rPr>
      </w:pPr>
      <w:r>
        <w:rPr>
          <w:rFonts w:hint="eastAsia"/>
          <w:sz w:val="28"/>
          <w:szCs w:val="28"/>
        </w:rPr>
        <w:t>针对自评发现的问题，逐条对应制定闭环整改、长效提升措施：</w:t>
      </w:r>
    </w:p>
    <w:p w14:paraId="171BFDEE">
      <w:pPr>
        <w:ind w:firstLine="560" w:firstLineChars="200"/>
        <w:rPr>
          <w:rFonts w:hint="eastAsia"/>
          <w:sz w:val="28"/>
          <w:szCs w:val="28"/>
        </w:rPr>
      </w:pPr>
      <w:r>
        <w:rPr>
          <w:rFonts w:hint="eastAsia"/>
          <w:sz w:val="28"/>
          <w:szCs w:val="28"/>
        </w:rPr>
        <w:t>1. 细化绩效目标体系，强化全过程绩效管理。下年度预算申报时，按执法、监测、宣传、应急运维、环评审查五个分项分别设置量化、可考核、可追溯的细分绩效目标；建立月度监控、季度分析机制，详实记录绩效运行数据，提升绩效管理精细化水平。</w:t>
      </w:r>
    </w:p>
    <w:p w14:paraId="403DBD97">
      <w:pPr>
        <w:ind w:firstLine="560" w:firstLineChars="200"/>
        <w:rPr>
          <w:rFonts w:hint="eastAsia"/>
          <w:sz w:val="28"/>
          <w:szCs w:val="28"/>
        </w:rPr>
      </w:pPr>
      <w:r>
        <w:rPr>
          <w:rFonts w:hint="eastAsia"/>
          <w:sz w:val="28"/>
          <w:szCs w:val="28"/>
        </w:rPr>
        <w:t>2. 健全一体化台账归档机制。建立业务、财务台账同步整理、同步归档制度，明确专人专项负责，确保每笔经费对应具体业务工作，完善佐证资料，实现账实相符、全程可溯。</w:t>
      </w:r>
    </w:p>
    <w:p w14:paraId="73328D51">
      <w:pPr>
        <w:ind w:firstLine="560" w:firstLineChars="200"/>
        <w:rPr>
          <w:rFonts w:hint="eastAsia"/>
          <w:sz w:val="28"/>
          <w:szCs w:val="28"/>
        </w:rPr>
      </w:pPr>
      <w:r>
        <w:rPr>
          <w:rFonts w:hint="eastAsia"/>
          <w:sz w:val="28"/>
          <w:szCs w:val="28"/>
        </w:rPr>
        <w:t>3. 科学统筹预算执行，均衡全年支出进度。年初制定分项经费使用计划，结合季节特点、工作节奏合理排布上下半年工作及经费支出，避免年底集中支出，提升预算执行计划性与均衡性。</w:t>
      </w:r>
    </w:p>
    <w:p w14:paraId="7509902A">
      <w:pPr>
        <w:spacing w:line="578" w:lineRule="exact"/>
        <w:ind w:firstLine="640"/>
        <w:rPr>
          <w:rFonts w:eastAsia="仿宋_GB2312" w:cs="仿宋_GB2312"/>
          <w:kern w:val="0"/>
          <w:sz w:val="32"/>
          <w:szCs w:val="32"/>
        </w:rPr>
      </w:pPr>
      <w:r>
        <w:rPr>
          <w:rFonts w:hint="eastAsia"/>
          <w:sz w:val="28"/>
          <w:szCs w:val="28"/>
        </w:rPr>
        <w:t>4. 强化专项工作成果提炼与转化。年度各项专项工作完成后，及时梳理工作亮点、数据成效、典型案例，形成工作总结、分析报告，加强经验推广，切实提升专项工作价值与成果转化效能。</w:t>
      </w:r>
    </w:p>
    <w:p w14:paraId="2E896AA7">
      <w:pPr>
        <w:spacing w:line="578" w:lineRule="exact"/>
        <w:ind w:firstLine="640"/>
        <w:rPr>
          <w:rFonts w:eastAsia="仿宋_GB2312" w:cs="仿宋_GB2312"/>
          <w:kern w:val="0"/>
          <w:sz w:val="32"/>
          <w:szCs w:val="32"/>
        </w:rPr>
      </w:pPr>
    </w:p>
    <w:p w14:paraId="597F47D6">
      <w:pPr>
        <w:spacing w:line="578" w:lineRule="exact"/>
        <w:ind w:firstLine="640"/>
        <w:rPr>
          <w:rFonts w:eastAsia="仿宋_GB2312" w:cs="仿宋_GB2312"/>
          <w:kern w:val="0"/>
          <w:sz w:val="32"/>
          <w:szCs w:val="32"/>
        </w:rPr>
      </w:pPr>
      <w:bookmarkStart w:id="54" w:name="_Toc15396618"/>
      <w:r>
        <w:rPr>
          <w:rFonts w:hint="eastAsia" w:eastAsia="仿宋_GB2312" w:cs="仿宋_GB2312"/>
          <w:kern w:val="0"/>
          <w:sz w:val="32"/>
          <w:szCs w:val="32"/>
        </w:rPr>
        <w:br w:type="page"/>
      </w:r>
    </w:p>
    <w:p w14:paraId="243C4408">
      <w:pPr>
        <w:widowControl/>
        <w:jc w:val="center"/>
        <w:rPr>
          <w:rFonts w:eastAsia="仿宋"/>
        </w:rPr>
      </w:pPr>
      <w:r>
        <w:rPr>
          <w:rFonts w:hint="eastAsia" w:eastAsia="黑体"/>
          <w:sz w:val="44"/>
          <w:szCs w:val="44"/>
        </w:rPr>
        <w:t>第</w:t>
      </w:r>
      <w:r>
        <w:rPr>
          <w:rStyle w:val="28"/>
          <w:rFonts w:hint="eastAsia" w:eastAsia="黑体"/>
          <w:b w:val="0"/>
        </w:rPr>
        <w:t>五部分 附表</w:t>
      </w:r>
      <w:bookmarkEnd w:id="51"/>
      <w:bookmarkEnd w:id="54"/>
      <w:bookmarkStart w:id="55" w:name="_Toc15396619"/>
    </w:p>
    <w:p w14:paraId="72F42725">
      <w:pPr>
        <w:pStyle w:val="14"/>
        <w:adjustRightInd w:val="0"/>
        <w:snapToGrid w:val="0"/>
        <w:spacing w:line="560" w:lineRule="exact"/>
        <w:jc w:val="left"/>
        <w:rPr>
          <w:rFonts w:eastAsia="仿宋_GB2312" w:cs="仿宋_GB2312"/>
          <w:sz w:val="32"/>
          <w:szCs w:val="32"/>
        </w:rPr>
      </w:pPr>
    </w:p>
    <w:p w14:paraId="262FD3CE">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一、收入支出决算总表</w:t>
      </w:r>
      <w:bookmarkEnd w:id="55"/>
    </w:p>
    <w:p w14:paraId="540056C6">
      <w:pPr>
        <w:pStyle w:val="14"/>
        <w:adjustRightInd w:val="0"/>
        <w:snapToGrid w:val="0"/>
        <w:spacing w:line="560" w:lineRule="exact"/>
        <w:jc w:val="left"/>
        <w:rPr>
          <w:rFonts w:eastAsia="仿宋_GB2312" w:cs="仿宋_GB2312"/>
          <w:sz w:val="32"/>
          <w:szCs w:val="32"/>
        </w:rPr>
      </w:pPr>
      <w:bookmarkStart w:id="56" w:name="_Toc15396620"/>
      <w:r>
        <w:rPr>
          <w:rFonts w:hint="eastAsia" w:eastAsia="仿宋_GB2312" w:cs="仿宋_GB2312"/>
          <w:sz w:val="32"/>
          <w:szCs w:val="32"/>
        </w:rPr>
        <w:t>二、收入决算表</w:t>
      </w:r>
      <w:bookmarkEnd w:id="56"/>
    </w:p>
    <w:p w14:paraId="49E4A893">
      <w:pPr>
        <w:pStyle w:val="14"/>
        <w:adjustRightInd w:val="0"/>
        <w:snapToGrid w:val="0"/>
        <w:spacing w:line="560" w:lineRule="exact"/>
        <w:jc w:val="left"/>
        <w:rPr>
          <w:rFonts w:eastAsia="仿宋_GB2312" w:cs="仿宋_GB2312"/>
          <w:sz w:val="32"/>
          <w:szCs w:val="32"/>
        </w:rPr>
      </w:pPr>
      <w:bookmarkStart w:id="57" w:name="_Toc15396621"/>
      <w:r>
        <w:rPr>
          <w:rFonts w:hint="eastAsia" w:eastAsia="仿宋_GB2312" w:cs="仿宋_GB2312"/>
          <w:sz w:val="32"/>
          <w:szCs w:val="32"/>
        </w:rPr>
        <w:t>三、支出决算表</w:t>
      </w:r>
      <w:bookmarkEnd w:id="57"/>
    </w:p>
    <w:p w14:paraId="5C1D2497">
      <w:pPr>
        <w:pStyle w:val="14"/>
        <w:adjustRightInd w:val="0"/>
        <w:snapToGrid w:val="0"/>
        <w:spacing w:line="560" w:lineRule="exact"/>
        <w:jc w:val="left"/>
        <w:rPr>
          <w:rFonts w:eastAsia="仿宋_GB2312" w:cs="仿宋_GB2312"/>
          <w:sz w:val="32"/>
          <w:szCs w:val="32"/>
        </w:rPr>
      </w:pPr>
      <w:bookmarkStart w:id="58" w:name="_Toc15396622"/>
      <w:r>
        <w:rPr>
          <w:rFonts w:hint="eastAsia" w:eastAsia="仿宋_GB2312" w:cs="仿宋_GB2312"/>
          <w:sz w:val="32"/>
          <w:szCs w:val="32"/>
        </w:rPr>
        <w:t>四、财政拨款收入支出决算总表</w:t>
      </w:r>
      <w:bookmarkEnd w:id="58"/>
    </w:p>
    <w:p w14:paraId="6763EA3E">
      <w:pPr>
        <w:pStyle w:val="14"/>
        <w:adjustRightInd w:val="0"/>
        <w:snapToGrid w:val="0"/>
        <w:spacing w:line="560" w:lineRule="exact"/>
        <w:jc w:val="left"/>
        <w:rPr>
          <w:rFonts w:eastAsia="仿宋_GB2312" w:cs="仿宋_GB2312"/>
          <w:sz w:val="32"/>
          <w:szCs w:val="32"/>
        </w:rPr>
      </w:pPr>
      <w:bookmarkStart w:id="59" w:name="_Toc15396623"/>
      <w:r>
        <w:rPr>
          <w:rFonts w:hint="eastAsia" w:eastAsia="仿宋_GB2312" w:cs="仿宋_GB2312"/>
          <w:sz w:val="32"/>
          <w:szCs w:val="32"/>
        </w:rPr>
        <w:t>五、财政拨款支出决算明细表</w:t>
      </w:r>
      <w:bookmarkEnd w:id="59"/>
      <w:bookmarkStart w:id="60" w:name="_Toc15396624"/>
    </w:p>
    <w:p w14:paraId="3F19AC18">
      <w:pPr>
        <w:pStyle w:val="14"/>
        <w:adjustRightInd w:val="0"/>
        <w:snapToGrid w:val="0"/>
        <w:spacing w:line="560" w:lineRule="exact"/>
        <w:jc w:val="left"/>
        <w:rPr>
          <w:rFonts w:eastAsia="仿宋_GB2312" w:cs="仿宋_GB2312"/>
          <w:sz w:val="32"/>
          <w:szCs w:val="32"/>
        </w:rPr>
      </w:pPr>
      <w:r>
        <w:rPr>
          <w:rFonts w:hint="eastAsia" w:eastAsia="仿宋_GB2312" w:cs="仿宋_GB2312"/>
          <w:sz w:val="32"/>
          <w:szCs w:val="32"/>
        </w:rPr>
        <w:t>六、一般公共预算财政拨款支出决算表</w:t>
      </w:r>
      <w:bookmarkEnd w:id="60"/>
    </w:p>
    <w:p w14:paraId="6497A3C5">
      <w:pPr>
        <w:pStyle w:val="14"/>
        <w:adjustRightInd w:val="0"/>
        <w:snapToGrid w:val="0"/>
        <w:spacing w:line="560" w:lineRule="exact"/>
        <w:jc w:val="left"/>
        <w:rPr>
          <w:rFonts w:eastAsia="仿宋_GB2312" w:cs="仿宋_GB2312"/>
          <w:sz w:val="32"/>
          <w:szCs w:val="32"/>
        </w:rPr>
      </w:pPr>
      <w:bookmarkStart w:id="61" w:name="_Toc15396625"/>
      <w:r>
        <w:rPr>
          <w:rFonts w:hint="eastAsia" w:eastAsia="仿宋_GB2312" w:cs="仿宋_GB2312"/>
          <w:sz w:val="32"/>
          <w:szCs w:val="32"/>
        </w:rPr>
        <w:t>七、一般公共预算财政拨款支出决算明细表</w:t>
      </w:r>
      <w:bookmarkEnd w:id="61"/>
    </w:p>
    <w:p w14:paraId="657F19D5">
      <w:pPr>
        <w:pStyle w:val="14"/>
        <w:adjustRightInd w:val="0"/>
        <w:snapToGrid w:val="0"/>
        <w:spacing w:line="560" w:lineRule="exact"/>
        <w:jc w:val="left"/>
        <w:rPr>
          <w:rFonts w:eastAsia="仿宋_GB2312" w:cs="仿宋_GB2312"/>
          <w:sz w:val="32"/>
          <w:szCs w:val="32"/>
        </w:rPr>
      </w:pPr>
      <w:bookmarkStart w:id="62" w:name="_Toc15396626"/>
      <w:r>
        <w:rPr>
          <w:rFonts w:hint="eastAsia" w:eastAsia="仿宋_GB2312" w:cs="仿宋_GB2312"/>
          <w:sz w:val="32"/>
          <w:szCs w:val="32"/>
        </w:rPr>
        <w:t>八、一般公共预算财政拨款基本支出决算表</w:t>
      </w:r>
      <w:bookmarkEnd w:id="62"/>
    </w:p>
    <w:p w14:paraId="223FCC39">
      <w:pPr>
        <w:pStyle w:val="14"/>
        <w:adjustRightInd w:val="0"/>
        <w:snapToGrid w:val="0"/>
        <w:spacing w:line="560" w:lineRule="exact"/>
        <w:jc w:val="left"/>
        <w:rPr>
          <w:rFonts w:eastAsia="仿宋_GB2312" w:cs="仿宋_GB2312"/>
          <w:sz w:val="32"/>
          <w:szCs w:val="32"/>
        </w:rPr>
      </w:pPr>
      <w:bookmarkStart w:id="63" w:name="_Toc15396627"/>
      <w:r>
        <w:rPr>
          <w:rFonts w:hint="eastAsia" w:eastAsia="仿宋_GB2312" w:cs="仿宋_GB2312"/>
          <w:sz w:val="32"/>
          <w:szCs w:val="32"/>
        </w:rPr>
        <w:t>九、一般公共预算财政拨款项目支出决算表</w:t>
      </w:r>
      <w:bookmarkEnd w:id="63"/>
    </w:p>
    <w:p w14:paraId="36A35316">
      <w:pPr>
        <w:pStyle w:val="14"/>
        <w:adjustRightInd w:val="0"/>
        <w:snapToGrid w:val="0"/>
        <w:spacing w:line="560" w:lineRule="exact"/>
        <w:jc w:val="left"/>
        <w:rPr>
          <w:rFonts w:eastAsia="仿宋_GB2312" w:cs="仿宋_GB2312"/>
          <w:sz w:val="32"/>
          <w:szCs w:val="32"/>
        </w:rPr>
      </w:pPr>
      <w:bookmarkStart w:id="64" w:name="_Toc15396628"/>
      <w:r>
        <w:rPr>
          <w:rFonts w:hint="eastAsia" w:eastAsia="仿宋_GB2312" w:cs="仿宋_GB2312"/>
          <w:sz w:val="32"/>
          <w:szCs w:val="32"/>
        </w:rPr>
        <w:t>十、</w:t>
      </w:r>
      <w:bookmarkEnd w:id="64"/>
      <w:r>
        <w:rPr>
          <w:rFonts w:hint="eastAsia" w:eastAsia="仿宋_GB2312" w:cs="仿宋_GB2312"/>
          <w:sz w:val="32"/>
          <w:szCs w:val="32"/>
        </w:rPr>
        <w:t>政府性基金预算财政拨款收入支出决算表</w:t>
      </w:r>
    </w:p>
    <w:p w14:paraId="184A6844">
      <w:pPr>
        <w:pStyle w:val="14"/>
        <w:adjustRightInd w:val="0"/>
        <w:snapToGrid w:val="0"/>
        <w:spacing w:line="560" w:lineRule="exact"/>
        <w:jc w:val="left"/>
        <w:rPr>
          <w:rFonts w:eastAsia="仿宋_GB2312" w:cs="仿宋_GB2312"/>
          <w:sz w:val="32"/>
          <w:szCs w:val="32"/>
        </w:rPr>
      </w:pPr>
      <w:bookmarkStart w:id="65" w:name="_Toc15396629"/>
      <w:r>
        <w:rPr>
          <w:rFonts w:hint="eastAsia" w:eastAsia="仿宋_GB2312" w:cs="仿宋_GB2312"/>
          <w:sz w:val="32"/>
          <w:szCs w:val="32"/>
        </w:rPr>
        <w:t>十一、</w:t>
      </w:r>
      <w:bookmarkEnd w:id="65"/>
      <w:r>
        <w:rPr>
          <w:rFonts w:hint="eastAsia" w:eastAsia="仿宋_GB2312" w:cs="仿宋_GB2312"/>
          <w:sz w:val="32"/>
          <w:szCs w:val="32"/>
        </w:rPr>
        <w:t>国有资本经营预算财政拨款收入支出决算表</w:t>
      </w:r>
    </w:p>
    <w:p w14:paraId="5C0BFF87">
      <w:pPr>
        <w:pStyle w:val="14"/>
        <w:adjustRightInd w:val="0"/>
        <w:snapToGrid w:val="0"/>
        <w:spacing w:line="560" w:lineRule="exact"/>
        <w:jc w:val="left"/>
        <w:rPr>
          <w:rFonts w:eastAsia="仿宋_GB2312" w:cs="仿宋_GB2312"/>
          <w:sz w:val="32"/>
          <w:szCs w:val="32"/>
        </w:rPr>
      </w:pPr>
      <w:bookmarkStart w:id="66" w:name="_Toc15396630"/>
      <w:r>
        <w:rPr>
          <w:rFonts w:hint="eastAsia" w:eastAsia="仿宋_GB2312" w:cs="仿宋_GB2312"/>
          <w:sz w:val="32"/>
          <w:szCs w:val="32"/>
        </w:rPr>
        <w:t>十二、</w:t>
      </w:r>
      <w:bookmarkEnd w:id="66"/>
      <w:r>
        <w:rPr>
          <w:rFonts w:hint="eastAsia" w:eastAsia="仿宋_GB2312" w:cs="仿宋_GB2312"/>
          <w:sz w:val="32"/>
          <w:szCs w:val="32"/>
        </w:rPr>
        <w:t>国有资本经营预算财政拨款支出决算表</w:t>
      </w:r>
    </w:p>
    <w:p w14:paraId="493C7E61">
      <w:pPr>
        <w:pStyle w:val="14"/>
        <w:adjustRightInd w:val="0"/>
        <w:snapToGrid w:val="0"/>
        <w:spacing w:line="560" w:lineRule="exact"/>
        <w:jc w:val="left"/>
        <w:rPr>
          <w:rFonts w:eastAsia="仿宋_GB2312" w:cs="仿宋_GB2312"/>
          <w:sz w:val="32"/>
          <w:szCs w:val="32"/>
        </w:rPr>
      </w:pPr>
      <w:bookmarkStart w:id="67" w:name="_Toc15396631"/>
      <w:r>
        <w:rPr>
          <w:rFonts w:hint="eastAsia" w:eastAsia="仿宋_GB2312" w:cs="仿宋_GB2312"/>
          <w:sz w:val="32"/>
          <w:szCs w:val="32"/>
        </w:rPr>
        <w:t>十三、</w:t>
      </w:r>
      <w:bookmarkEnd w:id="67"/>
      <w:r>
        <w:rPr>
          <w:rFonts w:hint="eastAsia" w:eastAsia="仿宋_GB2312" w:cs="仿宋_GB2312"/>
          <w:sz w:val="32"/>
          <w:szCs w:val="32"/>
        </w:rPr>
        <w:t>财政拨款“三公”经费支出决算表</w:t>
      </w:r>
    </w:p>
    <w:p w14:paraId="2CE29BED"/>
    <w:sectPr>
      <w:footerReference r:id="rId7" w:type="first"/>
      <w:footerReference r:id="rId6"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moder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C842861-AC87-4897-812F-25E6DEEE631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embedRegular r:id="rId2" w:fontKey="{0788EB43-ED86-4487-ABED-104FE6BE909C}"/>
  </w:font>
  <w:font w:name="仿宋">
    <w:panose1 w:val="02010609060101010101"/>
    <w:charset w:val="86"/>
    <w:family w:val="modern"/>
    <w:pitch w:val="default"/>
    <w:sig w:usb0="800002BF" w:usb1="38CF7CFA" w:usb2="00000016" w:usb3="00000000" w:csb0="00040001" w:csb1="00000000"/>
    <w:embedRegular r:id="rId3" w:fontKey="{A21B754D-6B95-4C3E-82CA-6D2E2AD7994C}"/>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script"/>
    <w:pitch w:val="default"/>
    <w:sig w:usb0="00000001" w:usb1="08000000" w:usb2="00000000" w:usb3="00000000" w:csb0="00040000" w:csb1="00000000"/>
    <w:embedRegular r:id="rId4" w:fontKey="{6B7B9043-CE09-4B8B-B030-ADF10EDAA62E}"/>
  </w:font>
  <w:font w:name="楷体_GB2312">
    <w:altName w:val="楷体"/>
    <w:panose1 w:val="02010609030101010101"/>
    <w:charset w:val="86"/>
    <w:family w:val="auto"/>
    <w:pitch w:val="default"/>
    <w:sig w:usb0="00000000" w:usb1="00000000" w:usb2="00000000" w:usb3="00000000" w:csb0="00040000" w:csb1="00000000"/>
    <w:embedRegular r:id="rId5" w:fontKey="{5933DECB-7F5F-429B-A858-AB1BCA113EF1}"/>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embedRegular r:id="rId6" w:fontKey="{BF92EDFB-4DD2-4FBD-86F3-DE2E3418B385}"/>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BE46B7">
    <w:pPr>
      <w:pStyle w:val="10"/>
      <w:jc w:val="center"/>
    </w:pPr>
  </w:p>
  <w:p w14:paraId="7193AD8E">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9B764">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3B80F">
    <w:pPr>
      <w:pStyle w:val="10"/>
      <w:jc w:val="center"/>
    </w:pPr>
  </w:p>
  <w:p w14:paraId="4D4CABDF">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2873F5">
    <w:pPr>
      <w:pStyle w:val="10"/>
    </w:pPr>
    <w:r>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path/>
          <v:fill on="f" focussize="0,0"/>
          <v:stroke on="f" weight="0.5pt" joinstyle="miter"/>
          <v:imagedata o:title=""/>
          <o:lock v:ext="edit"/>
          <v:textbox inset="0mm,0mm,0mm,0mm" style="mso-fit-shape-to-text:t;">
            <w:txbxContent>
              <w:p w14:paraId="7C086721">
                <w:pPr>
                  <w:pStyle w:val="10"/>
                </w:pPr>
                <w:r>
                  <w:rPr>
                    <w:rFonts w:hint="eastAsia"/>
                  </w:rPr>
                  <w:fldChar w:fldCharType="begin"/>
                </w:r>
                <w:r>
                  <w:rPr>
                    <w:rFonts w:hint="eastAsia"/>
                  </w:rPr>
                  <w:instrText xml:space="preserve"> PAGE  \* MERGEFORMAT </w:instrText>
                </w:r>
                <w:r>
                  <w:rPr>
                    <w:rFonts w:hint="eastAsia"/>
                  </w:rPr>
                  <w:fldChar w:fldCharType="separate"/>
                </w:r>
                <w:r>
                  <w:rPr>
                    <w:rFonts w:hint="eastAsia"/>
                  </w:rPr>
                  <w:t>- 1 -</w:t>
                </w:r>
                <w:r>
                  <w:rPr>
                    <w:rFonts w:hint="eastAsia"/>
                  </w:rPr>
                  <w:fldChar w:fldCharType="end"/>
                </w:r>
              </w:p>
            </w:txbxContent>
          </v:textbox>
        </v:shape>
      </w:pic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F8AF9F">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13D8E6"/>
    <w:multiLevelType w:val="singleLevel"/>
    <w:tmpl w:val="8613D8E6"/>
    <w:lvl w:ilvl="0" w:tentative="0">
      <w:start w:val="1"/>
      <w:numFmt w:val="chineseCounting"/>
      <w:suff w:val="nothing"/>
      <w:lvlText w:val="%1、"/>
      <w:lvlJc w:val="left"/>
      <w:rPr>
        <w:rFonts w:hint="eastAsia"/>
      </w:rPr>
    </w:lvl>
  </w:abstractNum>
  <w:abstractNum w:abstractNumId="1">
    <w:nsid w:val="9028300D"/>
    <w:multiLevelType w:val="singleLevel"/>
    <w:tmpl w:val="9028300D"/>
    <w:lvl w:ilvl="0" w:tentative="0">
      <w:start w:val="2"/>
      <w:numFmt w:val="chineseCounting"/>
      <w:suff w:val="nothing"/>
      <w:lvlText w:val="（%1）"/>
      <w:lvlJc w:val="left"/>
      <w:rPr>
        <w:rFonts w:hint="eastAsia"/>
      </w:rPr>
    </w:lvl>
  </w:abstractNum>
  <w:abstractNum w:abstractNumId="2">
    <w:nsid w:val="B29D2090"/>
    <w:multiLevelType w:val="singleLevel"/>
    <w:tmpl w:val="B29D2090"/>
    <w:lvl w:ilvl="0" w:tentative="0">
      <w:start w:val="1"/>
      <w:numFmt w:val="decimal"/>
      <w:lvlText w:val="%1."/>
      <w:lvlJc w:val="left"/>
      <w:pPr>
        <w:tabs>
          <w:tab w:val="left" w:pos="312"/>
        </w:tabs>
      </w:pPr>
    </w:lvl>
  </w:abstractNum>
  <w:abstractNum w:abstractNumId="3">
    <w:nsid w:val="5474004B"/>
    <w:multiLevelType w:val="singleLevel"/>
    <w:tmpl w:val="5474004B"/>
    <w:lvl w:ilvl="0" w:tentative="0">
      <w:start w:val="3"/>
      <w:numFmt w:val="chineseCounting"/>
      <w:suff w:val="nothing"/>
      <w:lvlText w:val="（%1）"/>
      <w:lvlJc w:val="left"/>
      <w:rPr>
        <w:rFonts w:hint="eastAsia"/>
      </w:rPr>
    </w:lvl>
  </w:abstractNum>
  <w:abstractNum w:abstractNumId="4">
    <w:nsid w:val="691F100B"/>
    <w:multiLevelType w:val="singleLevel"/>
    <w:tmpl w:val="691F100B"/>
    <w:lvl w:ilvl="0" w:tentative="0">
      <w:start w:val="1"/>
      <w:numFmt w:val="decimal"/>
      <w:lvlText w:val="%1."/>
      <w:lvlJc w:val="left"/>
      <w:pPr>
        <w:tabs>
          <w:tab w:val="left" w:pos="312"/>
        </w:tabs>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0004F"/>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36E0"/>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867E8F"/>
    <w:rsid w:val="0A2032A3"/>
    <w:rsid w:val="0C6C4794"/>
    <w:rsid w:val="0CA8290A"/>
    <w:rsid w:val="0D35B1ED"/>
    <w:rsid w:val="0DE07E2B"/>
    <w:rsid w:val="0F98263C"/>
    <w:rsid w:val="101860EC"/>
    <w:rsid w:val="10C055FF"/>
    <w:rsid w:val="11772AA4"/>
    <w:rsid w:val="118107EC"/>
    <w:rsid w:val="13D50BC4"/>
    <w:rsid w:val="14022904"/>
    <w:rsid w:val="14022B68"/>
    <w:rsid w:val="152F2A07"/>
    <w:rsid w:val="165E0673"/>
    <w:rsid w:val="16BB6735"/>
    <w:rsid w:val="16BB723D"/>
    <w:rsid w:val="186504BB"/>
    <w:rsid w:val="1938089F"/>
    <w:rsid w:val="19A445FC"/>
    <w:rsid w:val="1B7D550C"/>
    <w:rsid w:val="1BE8440E"/>
    <w:rsid w:val="1D155CEE"/>
    <w:rsid w:val="1E740ACF"/>
    <w:rsid w:val="1F62156A"/>
    <w:rsid w:val="1FF35744"/>
    <w:rsid w:val="1FF6BC77"/>
    <w:rsid w:val="21962A9E"/>
    <w:rsid w:val="21AE7C77"/>
    <w:rsid w:val="21FF16DF"/>
    <w:rsid w:val="22BC3C41"/>
    <w:rsid w:val="23860B96"/>
    <w:rsid w:val="240371BF"/>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98207C"/>
    <w:rsid w:val="3D9B0D99"/>
    <w:rsid w:val="3DEE7CF3"/>
    <w:rsid w:val="3DF02244"/>
    <w:rsid w:val="3E78745D"/>
    <w:rsid w:val="3FF4CAE0"/>
    <w:rsid w:val="3FF7B227"/>
    <w:rsid w:val="40E54C45"/>
    <w:rsid w:val="43A407DF"/>
    <w:rsid w:val="44515BEA"/>
    <w:rsid w:val="44E268DA"/>
    <w:rsid w:val="453F7E5B"/>
    <w:rsid w:val="486A6C7A"/>
    <w:rsid w:val="49176D9B"/>
    <w:rsid w:val="493256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AF92295"/>
    <w:rsid w:val="5BDD79E6"/>
    <w:rsid w:val="5BF561CA"/>
    <w:rsid w:val="5BFF5DFC"/>
    <w:rsid w:val="5CD71FC4"/>
    <w:rsid w:val="5D1F11B5"/>
    <w:rsid w:val="5DAE1B18"/>
    <w:rsid w:val="5DE7D9E5"/>
    <w:rsid w:val="5EBB0A43"/>
    <w:rsid w:val="5ECEC941"/>
    <w:rsid w:val="5F493CB7"/>
    <w:rsid w:val="5FBF9FF3"/>
    <w:rsid w:val="5FCD4E2C"/>
    <w:rsid w:val="5FD15F49"/>
    <w:rsid w:val="5FEF394A"/>
    <w:rsid w:val="5FF67715"/>
    <w:rsid w:val="62BF3928"/>
    <w:rsid w:val="64490ED4"/>
    <w:rsid w:val="647F5392"/>
    <w:rsid w:val="664B1D71"/>
    <w:rsid w:val="67AA3209"/>
    <w:rsid w:val="681C4F0D"/>
    <w:rsid w:val="69046D0F"/>
    <w:rsid w:val="69186868"/>
    <w:rsid w:val="698D0931"/>
    <w:rsid w:val="6A993CED"/>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072E27"/>
    <w:rsid w:val="7C1F3737"/>
    <w:rsid w:val="7CBFC87B"/>
    <w:rsid w:val="7CFE0F48"/>
    <w:rsid w:val="7D7EC23E"/>
    <w:rsid w:val="7D8B6016"/>
    <w:rsid w:val="7D916348"/>
    <w:rsid w:val="7E8ADEBF"/>
    <w:rsid w:val="7EEF11D3"/>
    <w:rsid w:val="7F0971A6"/>
    <w:rsid w:val="7F3F679B"/>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rPr>
  </w:style>
  <w:style w:type="paragraph" w:customStyle="1" w:styleId="19">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66091" w:themeColor="accent1" w:themeShade="BF"/>
      <w:kern w:val="0"/>
      <w:sz w:val="28"/>
      <w:szCs w:val="28"/>
    </w:rPr>
  </w:style>
  <w:style w:type="paragraph" w:customStyle="1" w:styleId="34">
    <w:name w:val="四号正文"/>
    <w:basedOn w:val="1"/>
    <w:qFormat/>
    <w:uiPriority w:val="0"/>
    <w:pPr>
      <w:spacing w:line="360" w:lineRule="auto"/>
    </w:pPr>
    <w:rPr>
      <w:rFonts w:ascii="??" w:hAnsi="??"/>
      <w:color w:val="000000"/>
      <w:kern w:val="0"/>
      <w:sz w:val="28"/>
      <w:szCs w:val="21"/>
      <w:lang w:val="zh-CN"/>
    </w:rPr>
  </w:style>
</w:styles>
</file>

<file path=word/_rels/document.xml.rels><?xml version="1.0" encoding="UTF-8" standalone="yes"?>
<Relationships xmlns="http://schemas.openxmlformats.org/package/2006/relationships"><Relationship Id="rId9" Type="http://schemas.openxmlformats.org/officeDocument/2006/relationships/chart" Target="charts/chart1.xml"/><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chart" Target="charts/chart7.xml"/><Relationship Id="rId14" Type="http://schemas.openxmlformats.org/officeDocument/2006/relationships/chart" Target="charts/chart6.xml"/><Relationship Id="rId13" Type="http://schemas.openxmlformats.org/officeDocument/2006/relationships/chart" Target="charts/chart5.xml"/><Relationship Id="rId12" Type="http://schemas.openxmlformats.org/officeDocument/2006/relationships/chart" Target="charts/chart4.xml"/><Relationship Id="rId11" Type="http://schemas.openxmlformats.org/officeDocument/2006/relationships/chart" Target="charts/chart3.xml"/><Relationship Id="rId10" Type="http://schemas.openxmlformats.org/officeDocument/2006/relationships/chart" Target="charts/chart2.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4.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5.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_rels/chart6.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7.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收入预算</c:v>
                </c:pt>
                <c:pt idx="1">
                  <c:v>支出预算</c:v>
                </c:pt>
              </c:strCache>
            </c:strRef>
          </c:cat>
          <c:val>
            <c:numRef>
              <c:f>Sheet1!$B$2:$B$3</c:f>
              <c:numCache>
                <c:formatCode>General</c:formatCode>
                <c:ptCount val="2"/>
                <c:pt idx="0">
                  <c:v>981.93</c:v>
                </c:pt>
                <c:pt idx="1">
                  <c:v>858.36</c:v>
                </c:pt>
              </c:numCache>
            </c:numRef>
          </c:val>
        </c:ser>
        <c:ser>
          <c:idx val="1"/>
          <c:order val="1"/>
          <c:tx>
            <c:strRef>
              <c:f>Sheet1!$C$1</c:f>
              <c:strCache>
                <c:ptCount val="1"/>
                <c:pt idx="0">
                  <c:v>2025</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收入预算</c:v>
                </c:pt>
                <c:pt idx="1">
                  <c:v>支出预算</c:v>
                </c:pt>
              </c:strCache>
            </c:strRef>
          </c:cat>
          <c:val>
            <c:numRef>
              <c:f>Sheet1!$C$2:$C$3</c:f>
              <c:numCache>
                <c:formatCode>General</c:formatCode>
                <c:ptCount val="2"/>
                <c:pt idx="0">
                  <c:v>783.6</c:v>
                </c:pt>
                <c:pt idx="1">
                  <c:v>803.17</c:v>
                </c:pt>
              </c:numCache>
            </c:numRef>
          </c:val>
        </c:ser>
        <c:dLbls>
          <c:showLegendKey val="0"/>
          <c:showVal val="1"/>
          <c:showCatName val="0"/>
          <c:showSerName val="0"/>
          <c:showPercent val="0"/>
          <c:showBubbleSize val="0"/>
        </c:dLbls>
        <c:gapWidth val="246"/>
        <c:overlap val="-28"/>
        <c:axId val="95842688"/>
        <c:axId val="95844224"/>
      </c:barChart>
      <c:catAx>
        <c:axId val="9584268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844224"/>
        <c:crosses val="autoZero"/>
        <c:auto val="1"/>
        <c:lblAlgn val="ctr"/>
        <c:lblOffset val="100"/>
        <c:noMultiLvlLbl val="0"/>
      </c:catAx>
      <c:valAx>
        <c:axId val="9584422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8426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80bb0b5-7ed3-4c7c-a31a-b5c50e6521c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收入决算结构图</a:t>
            </a:r>
          </a:p>
        </c:rich>
      </c:tx>
      <c:layout/>
      <c:overlay val="0"/>
      <c:spPr>
        <a:noFill/>
        <a:ln>
          <a:noFill/>
        </a:ln>
        <a:effectLst/>
      </c:spPr>
    </c:title>
    <c:autoTitleDeleted val="0"/>
    <c:plotArea>
      <c:layout>
        <c:manualLayout>
          <c:layoutTarget val="inner"/>
          <c:xMode val="edge"/>
          <c:yMode val="edge"/>
          <c:x val="0.27947571877265"/>
          <c:y val="0.298555036124097"/>
          <c:w val="0.39514375453008"/>
          <c:h val="0.695070123246919"/>
        </c:manualLayout>
      </c:layout>
      <c:pieChart>
        <c:varyColors val="1"/>
        <c:ser>
          <c:idx val="0"/>
          <c:order val="0"/>
          <c:tx>
            <c:strRef>
              <c:f>Sheet1!$B$1</c:f>
              <c:strCache>
                <c:ptCount val="1"/>
                <c:pt idx="0">
                  <c:v>各项收入占总收入的比重</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一般公共预算财政拨款收入</c:v>
                </c:pt>
                <c:pt idx="1">
                  <c:v>其他收入</c:v>
                </c:pt>
              </c:strCache>
            </c:strRef>
          </c:cat>
          <c:val>
            <c:numRef>
              <c:f>Sheet1!$B$2:$B$3</c:f>
              <c:numCache>
                <c:formatCode>General</c:formatCode>
                <c:ptCount val="2"/>
                <c:pt idx="0">
                  <c:v>701.6</c:v>
                </c:pt>
                <c:pt idx="1">
                  <c:v>82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95378f0a-0318-48db-a104-5e60c525e89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支出决算结构图</a:t>
            </a:r>
          </a:p>
        </c:rich>
      </c:tx>
      <c:layout/>
      <c:overlay val="0"/>
      <c:spPr>
        <a:noFill/>
        <a:ln>
          <a:noFill/>
        </a:ln>
        <a:effectLst/>
      </c:spPr>
    </c:title>
    <c:autoTitleDeleted val="0"/>
    <c:plotArea>
      <c:layout/>
      <c:pieChart>
        <c:varyColors val="1"/>
        <c:ser>
          <c:idx val="0"/>
          <c:order val="0"/>
          <c:tx>
            <c:strRef>
              <c:f>Sheet1!$B$1</c:f>
              <c:strCache>
                <c:ptCount val="1"/>
                <c:pt idx="0">
                  <c:v>各项支出占总支出的比重</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Lbl>
              <c:idx val="0"/>
              <c:layout>
                <c:manualLayout>
                  <c:x val="0.0152891332698778"/>
                  <c:y val="-0.0382300959585724"/>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0.0444607952973891"/>
                  <c:y val="0.0322017891502572"/>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0.0512613391917308"/>
                  <c:y val="-0.00867155274091394"/>
                </c:manualLayout>
              </c:layout>
              <c:dLblPos val="bestFit"/>
              <c:showLegendKey val="0"/>
              <c:showVal val="0"/>
              <c:showCatName val="0"/>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bestFit"/>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社会保障和就业支出</c:v>
                </c:pt>
                <c:pt idx="1">
                  <c:v>卫生健康支出</c:v>
                </c:pt>
                <c:pt idx="2">
                  <c:v>节能环保支出</c:v>
                </c:pt>
                <c:pt idx="3">
                  <c:v>住房保障支出</c:v>
                </c:pt>
              </c:strCache>
            </c:strRef>
          </c:cat>
          <c:val>
            <c:numRef>
              <c:f>Sheet1!$B$2:$B$5</c:f>
              <c:numCache>
                <c:formatCode>General</c:formatCode>
                <c:ptCount val="4"/>
                <c:pt idx="0">
                  <c:v>37.41</c:v>
                </c:pt>
                <c:pt idx="1">
                  <c:v>11.71</c:v>
                </c:pt>
                <c:pt idx="2">
                  <c:v>737.61</c:v>
                </c:pt>
                <c:pt idx="3">
                  <c:v>16.44</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zero"/>
    <c:showDLblsOverMax val="0"/>
    <c:extLst>
      <c:ext uri="{0b15fc19-7d7d-44ad-8c2d-2c3a37ce22c3}">
        <chartProps xmlns="https://web.wps.cn/et/2018/main" chartId="{8a093c51-4096-46ba-8bc7-7a3cd9ada04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收入支出决算总计变动情况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收入预算</c:v>
                </c:pt>
                <c:pt idx="1">
                  <c:v>支出预算</c:v>
                </c:pt>
              </c:strCache>
            </c:strRef>
          </c:cat>
          <c:val>
            <c:numRef>
              <c:f>Sheet1!$B$2:$B$3</c:f>
              <c:numCache>
                <c:formatCode>General</c:formatCode>
                <c:ptCount val="2"/>
                <c:pt idx="0">
                  <c:v>981.93</c:v>
                </c:pt>
                <c:pt idx="1">
                  <c:v>858.36</c:v>
                </c:pt>
              </c:numCache>
            </c:numRef>
          </c:val>
        </c:ser>
        <c:ser>
          <c:idx val="1"/>
          <c:order val="1"/>
          <c:tx>
            <c:strRef>
              <c:f>Sheet1!$C$1</c:f>
              <c:strCache>
                <c:ptCount val="1"/>
                <c:pt idx="0">
                  <c:v>2025</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收入预算</c:v>
                </c:pt>
                <c:pt idx="1">
                  <c:v>支出预算</c:v>
                </c:pt>
              </c:strCache>
            </c:strRef>
          </c:cat>
          <c:val>
            <c:numRef>
              <c:f>Sheet1!$C$2:$C$3</c:f>
              <c:numCache>
                <c:formatCode>General</c:formatCode>
                <c:ptCount val="2"/>
                <c:pt idx="0">
                  <c:v>783.6</c:v>
                </c:pt>
                <c:pt idx="1">
                  <c:v>803.17</c:v>
                </c:pt>
              </c:numCache>
            </c:numRef>
          </c:val>
        </c:ser>
        <c:dLbls>
          <c:showLegendKey val="0"/>
          <c:showVal val="1"/>
          <c:showCatName val="0"/>
          <c:showSerName val="0"/>
          <c:showPercent val="0"/>
          <c:showBubbleSize val="0"/>
        </c:dLbls>
        <c:gapWidth val="246"/>
        <c:overlap val="-28"/>
        <c:axId val="95842688"/>
        <c:axId val="95844224"/>
      </c:barChart>
      <c:catAx>
        <c:axId val="95842688"/>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844224"/>
        <c:crosses val="autoZero"/>
        <c:auto val="1"/>
        <c:lblAlgn val="ctr"/>
        <c:lblOffset val="100"/>
        <c:noMultiLvlLbl val="0"/>
      </c:catAx>
      <c:valAx>
        <c:axId val="9584422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95842688"/>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780bb0b5-7ed3-4c7c-a31a-b5c50e6521c6}"/>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一般公共预算财政拨款支出决算变动情况</a:t>
            </a:r>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delete val="1"/>
          </c:dLbls>
          <c:cat>
            <c:strRef>
              <c:f>Sheet1!$A$2</c:f>
              <c:strCache>
                <c:ptCount val="1"/>
                <c:pt idx="0">
                  <c:v>一般公共预算财政拨款支出</c:v>
                </c:pt>
              </c:strCache>
            </c:strRef>
          </c:cat>
          <c:val>
            <c:numRef>
              <c:f>Sheet1!$B$2</c:f>
              <c:numCache>
                <c:formatCode>General</c:formatCode>
                <c:ptCount val="1"/>
                <c:pt idx="0">
                  <c:v>776.37</c:v>
                </c:pt>
              </c:numCache>
            </c:numRef>
          </c:val>
        </c:ser>
        <c:ser>
          <c:idx val="1"/>
          <c:order val="1"/>
          <c:tx>
            <c:strRef>
              <c:f>Sheet1!$C$1</c:f>
              <c:strCache>
                <c:ptCount val="1"/>
                <c:pt idx="0">
                  <c:v>2025年</c:v>
                </c:pt>
              </c:strCache>
            </c:strRef>
          </c:tx>
          <c:spPr>
            <a:solidFill>
              <a:schemeClr val="accent2"/>
            </a:solidFill>
            <a:ln>
              <a:noFill/>
            </a:ln>
            <a:effectLst/>
          </c:spPr>
          <c:invertIfNegative val="0"/>
          <c:dLbls>
            <c:delete val="1"/>
          </c:dLbls>
          <c:cat>
            <c:strRef>
              <c:f>Sheet1!$A$2</c:f>
              <c:strCache>
                <c:ptCount val="1"/>
                <c:pt idx="0">
                  <c:v>一般公共预算财政拨款支出</c:v>
                </c:pt>
              </c:strCache>
            </c:strRef>
          </c:cat>
          <c:val>
            <c:numRef>
              <c:f>Sheet1!$C$2</c:f>
              <c:numCache>
                <c:formatCode>General</c:formatCode>
                <c:ptCount val="1"/>
                <c:pt idx="0">
                  <c:v>701.6</c:v>
                </c:pt>
              </c:numCache>
            </c:numRef>
          </c:val>
        </c:ser>
        <c:dLbls>
          <c:showLegendKey val="0"/>
          <c:showVal val="0"/>
          <c:showCatName val="0"/>
          <c:showSerName val="0"/>
          <c:showPercent val="0"/>
          <c:showBubbleSize val="0"/>
        </c:dLbls>
        <c:gapWidth val="246"/>
        <c:overlap val="-28"/>
        <c:axId val="258352954"/>
        <c:axId val="613235034"/>
      </c:barChart>
      <c:catAx>
        <c:axId val="258352954"/>
        <c:scaling>
          <c:orientation val="minMax"/>
        </c:scaling>
        <c:delete val="0"/>
        <c:axPos val="b"/>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13235034"/>
        <c:crosses val="autoZero"/>
        <c:auto val="1"/>
        <c:lblAlgn val="ctr"/>
        <c:lblOffset val="100"/>
        <c:noMultiLvlLbl val="0"/>
      </c:catAx>
      <c:valAx>
        <c:axId val="613235034"/>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58352954"/>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59abf7f2-6cc1-4c36-9cae-6f4064545305}"/>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一般公共预算财政拨款支出</a:t>
            </a:r>
          </a:p>
        </c:rich>
      </c:tx>
      <c:layout/>
      <c:overlay val="0"/>
      <c:spPr>
        <a:noFill/>
        <a:ln>
          <a:noFill/>
        </a:ln>
        <a:effectLst/>
      </c:spPr>
    </c:title>
    <c:autoTitleDeleted val="0"/>
    <c:plotArea>
      <c:layout/>
      <c:pieChart>
        <c:varyColors val="1"/>
        <c:ser>
          <c:idx val="0"/>
          <c:order val="0"/>
          <c:tx>
            <c:strRef>
              <c:f>Sheet1!$B$1</c:f>
              <c:strCache>
                <c:ptCount val="1"/>
                <c:pt idx="0">
                  <c:v>一般公共预算财政拨款支出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Pt>
            <c:idx val="3"/>
            <c:bubble3D val="0"/>
            <c:spPr>
              <a:solidFill>
                <a:schemeClr val="accent4"/>
              </a:solidFill>
              <a:ln>
                <a:solidFill>
                  <a:schemeClr val="bg1"/>
                </a:solidFill>
              </a:ln>
              <a:effectLst/>
            </c:spPr>
          </c:dPt>
          <c:dLbls>
            <c:delete val="1"/>
          </c:dLbls>
          <c:cat>
            <c:strRef>
              <c:f>Sheet1!$A$2:$A$5</c:f>
              <c:strCache>
                <c:ptCount val="4"/>
                <c:pt idx="0">
                  <c:v>社会保障和就业支出</c:v>
                </c:pt>
                <c:pt idx="1">
                  <c:v>卫生健康支出</c:v>
                </c:pt>
                <c:pt idx="2">
                  <c:v>住房保障支出</c:v>
                </c:pt>
                <c:pt idx="3">
                  <c:v>节能环保支出</c:v>
                </c:pt>
              </c:strCache>
            </c:strRef>
          </c:cat>
          <c:val>
            <c:numRef>
              <c:f>Sheet1!$B$2:$B$5</c:f>
              <c:numCache>
                <c:formatCode>General</c:formatCode>
                <c:ptCount val="4"/>
                <c:pt idx="0">
                  <c:v>37.41</c:v>
                </c:pt>
                <c:pt idx="1">
                  <c:v>11.71</c:v>
                </c:pt>
                <c:pt idx="2">
                  <c:v>16.44</c:v>
                </c:pt>
                <c:pt idx="3">
                  <c:v>636.04</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9698345a-aa00-4200-8100-3f52bd9eb869}"/>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t>财政拨款</a:t>
            </a:r>
            <a:r>
              <a:rPr lang="en-US" altLang="zh-CN"/>
              <a:t>“</a:t>
            </a:r>
            <a:r>
              <a:rPr altLang="en-US"/>
              <a:t>三公</a:t>
            </a:r>
            <a:r>
              <a:rPr lang="en-US" altLang="zh-CN"/>
              <a:t>”</a:t>
            </a:r>
            <a:r>
              <a:rPr altLang="en-US"/>
              <a:t>经费支出</a:t>
            </a:r>
            <a:endParaRPr altLang="en-US"/>
          </a:p>
        </c:rich>
      </c:tx>
      <c:layout/>
      <c:overlay val="0"/>
      <c:spPr>
        <a:noFill/>
        <a:ln>
          <a:noFill/>
        </a:ln>
        <a:effectLst/>
      </c:spPr>
    </c:title>
    <c:autoTitleDeleted val="0"/>
    <c:plotArea>
      <c:layout/>
      <c:pieChart>
        <c:varyColors val="1"/>
        <c:ser>
          <c:idx val="0"/>
          <c:order val="0"/>
          <c:tx>
            <c:strRef>
              <c:f>Sheet1!$B$1</c:f>
              <c:strCache>
                <c:ptCount val="1"/>
                <c:pt idx="0">
                  <c:v>财政拨款“三公”经费支出</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Pt>
            <c:idx val="2"/>
            <c:bubble3D val="0"/>
            <c:spPr>
              <a:solidFill>
                <a:schemeClr val="accent3"/>
              </a:solidFill>
              <a:ln>
                <a:solidFill>
                  <a:schemeClr val="bg1"/>
                </a:solidFill>
              </a:ln>
              <a:effectLst/>
            </c:spPr>
          </c:dPt>
          <c:dLbls>
            <c:delete val="1"/>
          </c:dLbls>
          <c:cat>
            <c:strRef>
              <c:f>Sheet1!$A$2:$A$4</c:f>
              <c:strCache>
                <c:ptCount val="3"/>
                <c:pt idx="0">
                  <c:v>公务用车购置及运行维护费支出</c:v>
                </c:pt>
                <c:pt idx="1">
                  <c:v>因公出国（境）费</c:v>
                </c:pt>
                <c:pt idx="2">
                  <c:v>公务接待费</c:v>
                </c:pt>
              </c:strCache>
            </c:strRef>
          </c:cat>
          <c:val>
            <c:numRef>
              <c:f>Sheet1!$B$2:$B$4</c:f>
              <c:numCache>
                <c:formatCode>General</c:formatCode>
                <c:ptCount val="3"/>
                <c:pt idx="0">
                  <c:v>11.52</c:v>
                </c:pt>
                <c:pt idx="1">
                  <c:v>0</c:v>
                </c:pt>
                <c:pt idx="2">
                  <c:v>0</c:v>
                </c:pt>
              </c:numCache>
            </c:numRef>
          </c:val>
        </c:ser>
        <c:dLbls>
          <c:showLegendKey val="0"/>
          <c:showVal val="0"/>
          <c:showCatName val="0"/>
          <c:showSerName val="0"/>
          <c:showPercent val="0"/>
          <c:showBubbleSize val="0"/>
          <c:showLeaderLines val="1"/>
        </c:dLbls>
        <c:firstSliceAng val="0"/>
      </c:pieChart>
      <c:spPr>
        <a:noFill/>
        <a:ln>
          <a:noFill/>
        </a:ln>
        <a:effectLst/>
      </c:spPr>
    </c:plotArea>
    <c:legend>
      <c:legendPos val="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b3e5f311-cb19-4286-9c73-1eeeb678df74}"/>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61</Pages>
  <Words>9331</Words>
  <Characters>9890</Characters>
  <Lines>6</Lines>
  <Paragraphs>17</Paragraphs>
  <TotalTime>8</TotalTime>
  <ScaleCrop>false</ScaleCrop>
  <LinksUpToDate>false</LinksUpToDate>
  <CharactersWithSpaces>9931</CharactersWithSpaces>
  <Application>WPS Office_12.1.0.28505_F1E327BC-269C-435d-A152-05C5408002CA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2026-09-10T02:58:00Z</dcterms:created>
  <dc:creator>曹颖</dc:creator>
  <cp:lastModifiedBy>゜　墨染锦年</cp:lastModifiedBy>
  <cp:lastPrinted>2026-08-03T09:27:00Z</cp:lastPrinted>
  <dcterms:modified xsi:type="dcterms:W3CDTF">2026-09-17T07:27:59Z</dcterms:modified>
  <dc:title>四川省***</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3BF536824C220DA3E40E8B68BA118B1C_42</vt:lpwstr>
  </property>
  <property fmtid="{D5CDD505-2E9C-101B-9397-08002B2CF9AE}" pid="4" name="KSOTemplateDocerSaveRecord">
    <vt:lpwstr>eyJoZGlkIjoiMjk4ODlhNzdhMGQ1N2Q5YzNkMGI1NzRhZjhlMTE5NmUiLCJ1c2VySWQiOiI1NzM3ODczNTgifQ==</vt:lpwstr>
  </property>
</Properties>
</file>