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11CAE4">
      <w:pPr>
        <w:pStyle w:val="9"/>
        <w:rPr>
          <w:rFonts w:hint="eastAsia" w:ascii="Times New Roman" w:hAnsi="Times New Roman" w:eastAsia="方正小标宋简体" w:cs="Times New Roman"/>
          <w:color w:val="auto"/>
          <w:kern w:val="2"/>
          <w:sz w:val="72"/>
          <w:szCs w:val="72"/>
          <w:highlight w:val="none"/>
          <w:lang w:val="en-US" w:eastAsia="zh-CN" w:bidi="ar-SA"/>
        </w:rPr>
      </w:pPr>
      <w:bookmarkStart w:id="0" w:name="_Toc15396475"/>
      <w:bookmarkStart w:id="1" w:name="_Toc15377425"/>
      <w:bookmarkStart w:id="2" w:name="_Toc15377193"/>
      <w:bookmarkStart w:id="3" w:name="_Toc15378441"/>
      <w:bookmarkStart w:id="4" w:name="_Toc15396597"/>
      <w:bookmarkStart w:id="5" w:name="_Toc15306267"/>
    </w:p>
    <w:p w14:paraId="2C7922AC">
      <w:pPr>
        <w:pStyle w:val="9"/>
        <w:rPr>
          <w:rFonts w:hint="eastAsia" w:ascii="Times New Roman" w:hAnsi="Times New Roman" w:eastAsia="方正小标宋简体" w:cs="Times New Roman"/>
          <w:color w:val="auto"/>
          <w:kern w:val="2"/>
          <w:sz w:val="72"/>
          <w:szCs w:val="72"/>
          <w:highlight w:val="none"/>
          <w:lang w:val="en-US" w:eastAsia="zh-CN" w:bidi="ar-SA"/>
        </w:rPr>
      </w:pPr>
    </w:p>
    <w:p w14:paraId="558F4D2D">
      <w:pPr>
        <w:pStyle w:val="9"/>
        <w:rPr>
          <w:rFonts w:hint="eastAsia" w:ascii="Times New Roman" w:hAnsi="Times New Roman" w:eastAsia="方正小标宋简体" w:cs="Times New Roman"/>
          <w:color w:val="auto"/>
          <w:kern w:val="2"/>
          <w:sz w:val="72"/>
          <w:szCs w:val="72"/>
          <w:highlight w:val="none"/>
          <w:lang w:val="en-US" w:eastAsia="zh-CN" w:bidi="ar-SA"/>
        </w:rPr>
      </w:pPr>
    </w:p>
    <w:p w14:paraId="432914ED">
      <w:pPr>
        <w:pStyle w:val="9"/>
        <w:jc w:val="center"/>
        <w:rPr>
          <w:rFonts w:hint="eastAsia" w:ascii="方正小标宋简体" w:hAnsi="宋体"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202</w:t>
      </w:r>
      <w:r>
        <w:rPr>
          <w:rFonts w:hint="eastAsia" w:ascii="Times New Roman" w:eastAsia="方正小标宋简体" w:cs="Times New Roman"/>
          <w:color w:val="auto"/>
          <w:kern w:val="2"/>
          <w:sz w:val="44"/>
          <w:szCs w:val="44"/>
          <w:highlight w:val="none"/>
          <w:lang w:val="en-US" w:eastAsia="zh-CN" w:bidi="ar-SA"/>
        </w:rPr>
        <w:t>5</w:t>
      </w:r>
      <w:r>
        <w:rPr>
          <w:rFonts w:hint="eastAsia" w:ascii="Times New Roman" w:hAnsi="Times New Roman" w:eastAsia="方正小标宋简体" w:cs="Times New Roman"/>
          <w:color w:val="auto"/>
          <w:kern w:val="2"/>
          <w:sz w:val="44"/>
          <w:szCs w:val="44"/>
          <w:highlight w:val="none"/>
          <w:lang w:val="en-US" w:eastAsia="zh-CN" w:bidi="ar-SA"/>
        </w:rPr>
        <w:t>年度</w:t>
      </w:r>
      <w:r>
        <w:rPr>
          <w:rFonts w:hint="eastAsia" w:ascii="方正小标宋简体" w:hAnsi="宋体" w:eastAsia="方正小标宋简体" w:cs="Times New Roman"/>
          <w:color w:val="auto"/>
          <w:kern w:val="2"/>
          <w:sz w:val="44"/>
          <w:szCs w:val="44"/>
          <w:highlight w:val="none"/>
          <w:lang w:val="en-US" w:eastAsia="zh-CN" w:bidi="ar-SA"/>
        </w:rPr>
        <w:t>阿坝州小金县环境监测站</w:t>
      </w:r>
    </w:p>
    <w:p w14:paraId="3E3173CF">
      <w:pPr>
        <w:pStyle w:val="9"/>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（单位）决算公开</w:t>
      </w:r>
    </w:p>
    <w:p w14:paraId="4B7BF79A">
      <w:pPr>
        <w:spacing w:line="600" w:lineRule="exact"/>
        <w:jc w:val="center"/>
        <w:outlineLvl w:val="0"/>
        <w:rPr>
          <w:rFonts w:ascii="Times New Roman" w:hAnsi="Times New Roman" w:eastAsia="方正小标宋简体"/>
          <w:color w:val="auto"/>
          <w:sz w:val="72"/>
          <w:szCs w:val="72"/>
          <w:highlight w:val="none"/>
        </w:rPr>
      </w:pPr>
    </w:p>
    <w:p w14:paraId="2AA22524">
      <w:pPr>
        <w:pStyle w:val="8"/>
        <w:rPr>
          <w:rFonts w:ascii="Times New Roman" w:hAnsi="Times New Roman" w:eastAsia="方正小标宋简体"/>
          <w:color w:val="auto"/>
          <w:sz w:val="72"/>
          <w:szCs w:val="72"/>
          <w:highlight w:val="none"/>
        </w:rPr>
      </w:pPr>
    </w:p>
    <w:p w14:paraId="6FB84FCF">
      <w:pPr>
        <w:rPr>
          <w:rFonts w:ascii="Times New Roman" w:hAnsi="Times New Roman" w:eastAsia="方正小标宋简体"/>
          <w:color w:val="auto"/>
          <w:sz w:val="72"/>
          <w:szCs w:val="72"/>
          <w:highlight w:val="none"/>
        </w:rPr>
      </w:pPr>
    </w:p>
    <w:p w14:paraId="45498A2C">
      <w:pPr>
        <w:pStyle w:val="8"/>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保密审查情况：已经保密审查、内容审定，同意对外公开</w:t>
      </w:r>
    </w:p>
    <w:p w14:paraId="2004237B">
      <w:pPr>
        <w:rPr>
          <w:rFonts w:hint="eastAsia" w:ascii="仿宋_GB2312" w:hAnsi="仿宋_GB2312" w:eastAsia="仿宋_GB2312" w:cs="仿宋_GB2312"/>
          <w:color w:val="auto"/>
          <w:sz w:val="32"/>
          <w:szCs w:val="32"/>
          <w:highlight w:val="none"/>
          <w:lang w:eastAsia="zh-CN"/>
        </w:rPr>
      </w:pPr>
    </w:p>
    <w:p w14:paraId="087B4F6E">
      <w:pPr>
        <w:pStyle w:val="8"/>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单位主要负责人审签情况：已审签，同意对外公开</w:t>
      </w:r>
    </w:p>
    <w:p w14:paraId="51B97F99">
      <w:pPr>
        <w:rPr>
          <w:rFonts w:hint="eastAsia" w:ascii="仿宋_GB2312" w:hAnsi="仿宋_GB2312" w:eastAsia="仿宋_GB2312" w:cs="仿宋_GB2312"/>
          <w:color w:val="auto"/>
          <w:sz w:val="32"/>
          <w:szCs w:val="32"/>
          <w:highlight w:val="none"/>
          <w:lang w:eastAsia="zh-CN"/>
        </w:rPr>
      </w:pPr>
    </w:p>
    <w:p w14:paraId="54ACEE82">
      <w:pPr>
        <w:pStyle w:val="8"/>
        <w:rPr>
          <w:rFonts w:hint="eastAsia" w:ascii="仿宋_GB2312" w:hAnsi="仿宋_GB2312" w:eastAsia="仿宋_GB2312" w:cs="仿宋_GB2312"/>
          <w:color w:val="auto"/>
          <w:sz w:val="32"/>
          <w:szCs w:val="32"/>
          <w:highlight w:val="none"/>
          <w:lang w:eastAsia="zh-CN"/>
        </w:rPr>
      </w:pPr>
    </w:p>
    <w:p w14:paraId="5F5C770C">
      <w:pPr>
        <w:rPr>
          <w:rFonts w:hint="eastAsia" w:ascii="仿宋_GB2312" w:hAnsi="仿宋_GB2312" w:eastAsia="仿宋_GB2312" w:cs="仿宋_GB2312"/>
          <w:color w:val="auto"/>
          <w:sz w:val="32"/>
          <w:szCs w:val="32"/>
          <w:highlight w:val="none"/>
          <w:lang w:eastAsia="zh-CN"/>
        </w:rPr>
      </w:pPr>
    </w:p>
    <w:p w14:paraId="11637C6F">
      <w:pPr>
        <w:pStyle w:val="8"/>
        <w:rPr>
          <w:rFonts w:hint="eastAsia" w:ascii="仿宋_GB2312" w:hAnsi="仿宋_GB2312" w:eastAsia="仿宋_GB2312" w:cs="仿宋_GB2312"/>
          <w:color w:val="auto"/>
          <w:sz w:val="32"/>
          <w:szCs w:val="32"/>
          <w:highlight w:val="none"/>
          <w:lang w:eastAsia="zh-CN"/>
        </w:rPr>
      </w:pPr>
    </w:p>
    <w:p w14:paraId="3E4D6D7F">
      <w:pPr>
        <w:rPr>
          <w:rFonts w:hint="eastAsia" w:ascii="仿宋_GB2312" w:hAnsi="仿宋_GB2312" w:eastAsia="仿宋_GB2312" w:cs="仿宋_GB2312"/>
          <w:color w:val="auto"/>
          <w:sz w:val="32"/>
          <w:szCs w:val="32"/>
          <w:highlight w:val="none"/>
          <w:lang w:eastAsia="zh-CN"/>
        </w:rPr>
      </w:pPr>
    </w:p>
    <w:p w14:paraId="1DE567B6">
      <w:pPr>
        <w:pStyle w:val="8"/>
        <w:rPr>
          <w:rFonts w:hint="eastAsia"/>
          <w:lang w:eastAsia="zh-CN"/>
        </w:rPr>
      </w:pPr>
    </w:p>
    <w:p w14:paraId="1D6DD0B2"/>
    <w:p w14:paraId="04000676">
      <w:pPr>
        <w:pStyle w:val="20"/>
        <w:rPr>
          <w:rFonts w:ascii="Times New Roman" w:hAnsi="Times New Roman"/>
        </w:rPr>
        <w:sectPr>
          <w:headerReference r:id="rId4" w:type="first"/>
          <w:footerReference r:id="rId6" w:type="first"/>
          <w:headerReference r:id="rId3" w:type="default"/>
          <w:footerReference r:id="rId5" w:type="default"/>
          <w:pgSz w:w="11906" w:h="16838"/>
          <w:pgMar w:top="1440" w:right="1800" w:bottom="1440" w:left="1800" w:header="851" w:footer="992" w:gutter="0"/>
          <w:pgNumType w:fmt="numberInDash" w:start="1"/>
          <w:cols w:space="425" w:num="1"/>
          <w:titlePg/>
          <w:docGrid w:type="lines" w:linePitch="312" w:charSpace="0"/>
        </w:sectPr>
      </w:pPr>
    </w:p>
    <w:p w14:paraId="7136CCB8">
      <w:pPr>
        <w:rPr>
          <w:rFonts w:ascii="Times New Roman" w:hAnsi="Times New Roman"/>
        </w:rPr>
      </w:pPr>
    </w:p>
    <w:p w14:paraId="673E14C0">
      <w:pPr>
        <w:pStyle w:val="9"/>
        <w:jc w:val="center"/>
        <w:rPr>
          <w:rFonts w:hint="eastAsia" w:ascii="Times New Roman" w:hAnsi="Times New Roman" w:eastAsia="方正小标宋简体" w:cs="Times New Roman"/>
          <w:color w:val="auto"/>
          <w:kern w:val="2"/>
          <w:sz w:val="44"/>
          <w:szCs w:val="44"/>
          <w:highlight w:val="none"/>
          <w:lang w:val="en-US" w:eastAsia="zh-CN" w:bidi="ar-SA"/>
        </w:rPr>
      </w:pPr>
    </w:p>
    <w:p w14:paraId="08DE14BC">
      <w:pPr>
        <w:pStyle w:val="9"/>
        <w:jc w:val="center"/>
        <w:rPr>
          <w:rFonts w:hint="eastAsia" w:ascii="Times New Roman" w:hAnsi="Times New Roman" w:eastAsia="方正小标宋简体" w:cs="Times New Roman"/>
          <w:color w:val="auto"/>
          <w:kern w:val="2"/>
          <w:sz w:val="44"/>
          <w:szCs w:val="44"/>
          <w:highlight w:val="none"/>
          <w:lang w:val="en-US" w:eastAsia="zh-CN" w:bidi="ar-SA"/>
        </w:rPr>
      </w:pPr>
    </w:p>
    <w:p w14:paraId="3430FCB0">
      <w:pPr>
        <w:pStyle w:val="9"/>
        <w:jc w:val="center"/>
        <w:rPr>
          <w:rFonts w:hint="eastAsia" w:ascii="Times New Roman" w:hAnsi="Times New Roman" w:eastAsia="方正小标宋简体" w:cs="Times New Roman"/>
          <w:color w:val="auto"/>
          <w:kern w:val="2"/>
          <w:sz w:val="44"/>
          <w:szCs w:val="44"/>
          <w:highlight w:val="none"/>
          <w:lang w:val="en-US" w:eastAsia="zh-CN" w:bidi="ar-SA"/>
        </w:rPr>
      </w:pPr>
    </w:p>
    <w:p w14:paraId="6E478EF8">
      <w:pPr>
        <w:pStyle w:val="9"/>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2E08A90A">
      <w:pPr>
        <w:pStyle w:val="9"/>
        <w:jc w:val="center"/>
        <w:rPr>
          <w:rFonts w:hint="eastAsia" w:ascii="方正小标宋简体" w:hAnsi="宋体" w:eastAsia="方正小标宋简体" w:cs="Times New Roman"/>
          <w:color w:val="auto"/>
          <w:kern w:val="2"/>
          <w:sz w:val="44"/>
          <w:szCs w:val="44"/>
          <w:highlight w:val="none"/>
          <w:lang w:val="en-US" w:eastAsia="zh-CN" w:bidi="ar-SA"/>
        </w:rPr>
      </w:pPr>
      <w:bookmarkStart w:id="6" w:name="_Toc15378442"/>
      <w:bookmarkStart w:id="7" w:name="_Toc15396598"/>
      <w:bookmarkStart w:id="8" w:name="_Toc15377426"/>
      <w:bookmarkStart w:id="9" w:name="_Toc15396476"/>
      <w:bookmarkStart w:id="10" w:name="_Toc15377194"/>
      <w:r>
        <w:rPr>
          <w:rFonts w:hint="eastAsia" w:ascii="Times New Roman" w:hAnsi="Times New Roman" w:eastAsia="方正小标宋简体" w:cs="Times New Roman"/>
          <w:color w:val="auto"/>
          <w:kern w:val="2"/>
          <w:sz w:val="44"/>
          <w:szCs w:val="44"/>
          <w:highlight w:val="none"/>
          <w:lang w:val="en-US" w:eastAsia="zh-CN" w:bidi="ar-SA"/>
        </w:rPr>
        <w:t>202</w:t>
      </w:r>
      <w:r>
        <w:rPr>
          <w:rFonts w:hint="eastAsia" w:ascii="Times New Roman" w:eastAsia="方正小标宋简体" w:cs="Times New Roman"/>
          <w:color w:val="auto"/>
          <w:kern w:val="2"/>
          <w:sz w:val="44"/>
          <w:szCs w:val="44"/>
          <w:highlight w:val="none"/>
          <w:lang w:val="en-US" w:eastAsia="zh-CN" w:bidi="ar-SA"/>
        </w:rPr>
        <w:t>5</w:t>
      </w:r>
      <w:r>
        <w:rPr>
          <w:rFonts w:hint="eastAsia" w:ascii="Times New Roman" w:hAnsi="Times New Roman" w:eastAsia="方正小标宋简体" w:cs="Times New Roman"/>
          <w:color w:val="auto"/>
          <w:kern w:val="2"/>
          <w:sz w:val="44"/>
          <w:szCs w:val="44"/>
          <w:highlight w:val="none"/>
          <w:lang w:val="en-US" w:eastAsia="zh-CN" w:bidi="ar-SA"/>
        </w:rPr>
        <w:t>年度</w:t>
      </w:r>
      <w:bookmarkEnd w:id="5"/>
      <w:bookmarkStart w:id="11" w:name="_Toc15306268"/>
      <w:r>
        <w:rPr>
          <w:rFonts w:hint="eastAsia" w:ascii="Times New Roman" w:eastAsia="方正小标宋简体" w:cs="Times New Roman"/>
          <w:color w:val="auto"/>
          <w:kern w:val="2"/>
          <w:sz w:val="44"/>
          <w:szCs w:val="44"/>
          <w:highlight w:val="none"/>
          <w:lang w:val="en-US" w:eastAsia="zh-CN" w:bidi="ar-SA"/>
        </w:rPr>
        <w:t>四川省</w:t>
      </w:r>
      <w:r>
        <w:rPr>
          <w:rFonts w:hint="eastAsia" w:ascii="方正小标宋简体" w:hAnsi="宋体" w:eastAsia="方正小标宋简体" w:cs="Times New Roman"/>
          <w:color w:val="auto"/>
          <w:kern w:val="2"/>
          <w:sz w:val="44"/>
          <w:szCs w:val="44"/>
          <w:highlight w:val="none"/>
          <w:lang w:val="en-US" w:eastAsia="zh-CN" w:bidi="ar-SA"/>
        </w:rPr>
        <w:t>阿坝州小金县环境监测站</w:t>
      </w:r>
    </w:p>
    <w:p w14:paraId="1C81C0E3">
      <w:pPr>
        <w:pStyle w:val="9"/>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单位</w:t>
      </w:r>
      <w:r>
        <w:rPr>
          <w:rFonts w:hint="eastAsia" w:ascii="Times New Roman" w:hAnsi="Times New Roman" w:eastAsia="方正小标宋简体" w:cs="Times New Roman"/>
          <w:color w:val="auto"/>
          <w:kern w:val="2"/>
          <w:sz w:val="44"/>
          <w:szCs w:val="44"/>
          <w:highlight w:val="none"/>
          <w:lang w:val="en-US" w:eastAsia="zh-CN" w:bidi="ar-SA"/>
        </w:rPr>
        <w:t>决算</w:t>
      </w:r>
      <w:bookmarkEnd w:id="6"/>
      <w:bookmarkEnd w:id="7"/>
      <w:bookmarkEnd w:id="8"/>
      <w:bookmarkEnd w:id="9"/>
      <w:bookmarkEnd w:id="10"/>
      <w:bookmarkEnd w:id="11"/>
    </w:p>
    <w:p w14:paraId="461A9B3B">
      <w:pPr>
        <w:widowControl/>
        <w:jc w:val="center"/>
        <w:rPr>
          <w:rFonts w:ascii="Times New Roman" w:hAnsi="Times New Roman" w:eastAsia="黑体"/>
          <w:color w:val="auto"/>
          <w:sz w:val="48"/>
          <w:szCs w:val="48"/>
          <w:highlight w:val="none"/>
        </w:rPr>
      </w:pPr>
      <w:r>
        <w:rPr>
          <w:rFonts w:ascii="Times New Roman" w:hAnsi="Times New Roman" w:eastAsia="方正小标宋简体"/>
          <w:color w:val="auto"/>
          <w:sz w:val="36"/>
          <w:szCs w:val="36"/>
          <w:highlight w:val="none"/>
        </w:rPr>
        <w:br w:type="page"/>
      </w:r>
      <w:r>
        <w:rPr>
          <w:rFonts w:hint="eastAsia" w:ascii="Times New Roman" w:hAnsi="Times New Roman" w:eastAsia="黑体"/>
          <w:color w:val="auto"/>
          <w:sz w:val="48"/>
          <w:szCs w:val="48"/>
          <w:highlight w:val="none"/>
        </w:rPr>
        <w:t>目录</w:t>
      </w:r>
    </w:p>
    <w:p w14:paraId="08CE455C">
      <w:pPr>
        <w:widowControl/>
        <w:jc w:val="center"/>
        <w:rPr>
          <w:rFonts w:ascii="Times New Roman" w:hAnsi="Times New Roman" w:eastAsia="黑体" w:cstheme="minorBidi"/>
          <w:color w:val="auto"/>
          <w:sz w:val="28"/>
          <w:szCs w:val="28"/>
          <w:highlight w:val="none"/>
        </w:rPr>
      </w:pPr>
    </w:p>
    <w:p w14:paraId="78E12A3D">
      <w:pPr>
        <w:pStyle w:val="14"/>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2</w:t>
      </w:r>
      <w:r>
        <w:rPr>
          <w:rFonts w:hint="eastAsia" w:ascii="Times New Roman" w:hAnsi="Times New Roman" w:eastAsia="仿宋_GB2312" w:cs="仿宋_GB2312"/>
          <w:color w:val="auto"/>
          <w:sz w:val="32"/>
          <w:szCs w:val="32"/>
          <w:highlight w:val="none"/>
        </w:rPr>
        <w:t>日</w:t>
      </w:r>
    </w:p>
    <w:p w14:paraId="4155DDFC">
      <w:pPr>
        <w:rPr>
          <w:rFonts w:ascii="Times New Roman" w:hAnsi="Times New Roman"/>
          <w:color w:val="auto"/>
          <w:highlight w:val="none"/>
        </w:rPr>
      </w:pPr>
    </w:p>
    <w:p w14:paraId="43F56D95">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 xml:space="preserve">第一部分 </w:t>
      </w:r>
      <w:r>
        <w:rPr>
          <w:rFonts w:hint="eastAsia" w:ascii="Times New Roman" w:hAnsi="Times New Roman" w:eastAsia="黑体" w:cs="黑体"/>
          <w:color w:val="auto"/>
          <w:sz w:val="32"/>
          <w:szCs w:val="32"/>
          <w:highlight w:val="none"/>
          <w:lang w:eastAsia="zh-CN"/>
        </w:rPr>
        <w:t>单位</w:t>
      </w:r>
      <w:r>
        <w:rPr>
          <w:rFonts w:hint="eastAsia" w:ascii="Times New Roman" w:hAnsi="Times New Roman" w:eastAsia="黑体" w:cs="黑体"/>
          <w:color w:val="auto"/>
          <w:sz w:val="32"/>
          <w:szCs w:val="32"/>
          <w:highlight w:val="none"/>
        </w:rPr>
        <w:t>概况</w:t>
      </w:r>
    </w:p>
    <w:p w14:paraId="1381D23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eastAsia="仿宋_GB2312" w:cs="仿宋_GB2312"/>
          <w:color w:val="auto"/>
          <w:sz w:val="32"/>
          <w:szCs w:val="32"/>
          <w:highlight w:val="none"/>
          <w:lang w:eastAsia="zh-CN"/>
        </w:rPr>
        <w:t>单位</w:t>
      </w:r>
      <w:r>
        <w:rPr>
          <w:rFonts w:hint="eastAsia" w:ascii="Times New Roman" w:hAnsi="Times New Roman" w:eastAsia="仿宋_GB2312" w:cs="仿宋_GB2312"/>
          <w:color w:val="auto"/>
          <w:sz w:val="32"/>
          <w:szCs w:val="32"/>
          <w:highlight w:val="none"/>
          <w:lang w:eastAsia="zh-CN"/>
        </w:rPr>
        <w:t>职责</w:t>
      </w:r>
    </w:p>
    <w:p w14:paraId="5D765F6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15E63AB7">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lang w:eastAsia="zh-CN"/>
        </w:rPr>
        <w:t>单位</w:t>
      </w:r>
      <w:r>
        <w:rPr>
          <w:rFonts w:hint="eastAsia" w:ascii="Times New Roman" w:hAnsi="Times New Roman" w:eastAsia="黑体" w:cs="黑体"/>
          <w:color w:val="auto"/>
          <w:sz w:val="32"/>
          <w:szCs w:val="32"/>
          <w:highlight w:val="none"/>
        </w:rPr>
        <w:t>决算情况说明</w:t>
      </w:r>
    </w:p>
    <w:p w14:paraId="01144D2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1A3E1DD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601E2A8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1A73154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6106415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5E10E4E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7774855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5B1AC13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562B99D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3DF0597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2EC4094E">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622AECDB">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6C7283C7">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4C6C6EA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2DB054C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44C53B5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3F96522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47B2557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319727F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6B9A315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3EA3F86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442EF7A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7F28346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42519EA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45460E8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69962B7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5BE4941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14:paraId="7B563F3D">
      <w:pPr>
        <w:pStyle w:val="5"/>
        <w:jc w:val="center"/>
        <w:rPr>
          <w:rFonts w:hint="eastAsia" w:ascii="Times New Roman" w:hAnsi="Times New Roman" w:eastAsia="方正小标宋简体" w:cs="方正小标宋简体"/>
          <w:b w:val="0"/>
          <w:color w:val="auto"/>
          <w:highlight w:val="none"/>
        </w:rPr>
        <w:sectPr>
          <w:footerReference r:id="rId8" w:type="first"/>
          <w:footerReference r:id="rId7" w:type="default"/>
          <w:pgSz w:w="11906" w:h="16838"/>
          <w:pgMar w:top="1440" w:right="1800" w:bottom="1440" w:left="1800" w:header="851" w:footer="992" w:gutter="0"/>
          <w:pgNumType w:fmt="numberInDash" w:start="1"/>
          <w:cols w:space="425" w:num="1"/>
          <w:titlePg/>
          <w:docGrid w:type="lines" w:linePitch="312" w:charSpace="0"/>
        </w:sectPr>
      </w:pPr>
      <w:bookmarkStart w:id="12" w:name="_Toc15377196"/>
      <w:bookmarkStart w:id="13" w:name="_Toc15396599"/>
    </w:p>
    <w:p w14:paraId="6BB2DB15">
      <w:pPr>
        <w:pStyle w:val="5"/>
        <w:jc w:val="center"/>
        <w:rPr>
          <w:rStyle w:val="29"/>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eastAsia="方正小标宋简体" w:cs="方正小标宋简体"/>
          <w:b w:val="0"/>
          <w:bCs w:val="0"/>
          <w:color w:val="auto"/>
          <w:highlight w:val="none"/>
          <w:lang w:eastAsia="zh-CN"/>
        </w:rPr>
        <w:t>单位</w:t>
      </w:r>
      <w:r>
        <w:rPr>
          <w:rStyle w:val="29"/>
          <w:rFonts w:hint="eastAsia" w:ascii="Times New Roman" w:hAnsi="Times New Roman" w:eastAsia="方正小标宋简体" w:cs="方正小标宋简体"/>
          <w:b w:val="0"/>
          <w:bCs w:val="0"/>
          <w:color w:val="auto"/>
          <w:highlight w:val="none"/>
        </w:rPr>
        <w:t>概况</w:t>
      </w:r>
      <w:bookmarkEnd w:id="12"/>
      <w:bookmarkEnd w:id="13"/>
    </w:p>
    <w:p w14:paraId="554698E7">
      <w:pPr>
        <w:pStyle w:val="6"/>
        <w:ind w:firstLine="640" w:firstLineChars="200"/>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一、单位职责</w:t>
      </w:r>
      <w:bookmarkStart w:id="14" w:name="_Toc15396601"/>
      <w:bookmarkStart w:id="15" w:name="_Toc15377200"/>
    </w:p>
    <w:p w14:paraId="0E061D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76" w:lineRule="exact"/>
        <w:ind w:left="0" w:right="0"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color w:val="auto"/>
          <w:kern w:val="2"/>
          <w:sz w:val="32"/>
          <w:szCs w:val="32"/>
          <w:lang w:val="en-US" w:eastAsia="zh-CN" w:bidi="ar"/>
        </w:rPr>
        <w:t>1.负责建立健全生态环境保护监督管理制度。贯彻落实生态环境保护方面的法律法规和国家、省、州标准，拟定县域生态环境保护规范性文件，会同有关部门编制并监督实施全县重点区域、流域、饮用水水源地生态环境规划和水功能区划。负责生态环境监测工作。贯彻执行生态环境监测制度、规范和有关标准。会同有关部门统一规划生态环境质量监测站点设置。组织实施生态环境质量监测、污染源监督性监测、温室气体减排监测、应急监测。组织开展生态环境质量状况的调查评价、预警预测。依法公开环境质量、环境监测等环境信息。协助县生态环境局提出生态环境保护领域固定资产投资规模和方向的建议，配合有关部门做好组织实施和监督工作。参与指导推动循环经济和生态环保产业发展。完成阿坝州生态环境局和小金县委、县政府交办的其他事项。</w:t>
      </w:r>
    </w:p>
    <w:p w14:paraId="2CD282E9">
      <w:pPr>
        <w:ind w:firstLine="640" w:firstLineChars="200"/>
        <w:rPr>
          <w:rFonts w:hint="default"/>
          <w:sz w:val="32"/>
          <w:szCs w:val="32"/>
          <w:lang w:val="en-US" w:eastAsia="zh-CN"/>
        </w:rPr>
      </w:pPr>
      <w:r>
        <w:rPr>
          <w:rFonts w:hint="eastAsia" w:ascii="仿宋_GB2312" w:hAnsi="仿宋_GB2312" w:eastAsia="仿宋_GB2312" w:cs="仿宋_GB2312"/>
          <w:color w:val="auto"/>
          <w:kern w:val="2"/>
          <w:sz w:val="32"/>
          <w:szCs w:val="32"/>
          <w:lang w:val="en-US" w:eastAsia="zh-CN" w:bidi="ar"/>
        </w:rPr>
        <w:t>2.完成州生态环境监测中心站交办的其他任务</w:t>
      </w:r>
    </w:p>
    <w:p w14:paraId="39691CC0">
      <w:pPr>
        <w:pStyle w:val="6"/>
        <w:ind w:firstLine="640" w:firstLineChars="200"/>
        <w:rPr>
          <w:rStyle w:val="30"/>
          <w:rFonts w:ascii="Times New Roman" w:hAnsi="Times New Roman"/>
          <w:b w:val="0"/>
          <w:bCs w:val="0"/>
          <w:color w:val="auto"/>
          <w:highlight w:val="none"/>
        </w:rPr>
      </w:pPr>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14"/>
      <w:bookmarkEnd w:id="15"/>
    </w:p>
    <w:p w14:paraId="3CC832B2">
      <w:pPr>
        <w:pStyle w:val="36"/>
        <w:pageBreakBefore w:val="0"/>
        <w:kinsoku/>
        <w:wordWrap/>
        <w:overflowPunct/>
        <w:topLinePunct w:val="0"/>
        <w:autoSpaceDE/>
        <w:autoSpaceDN/>
        <w:bidi w:val="0"/>
        <w:spacing w:before="0" w:line="576" w:lineRule="exact"/>
        <w:ind w:firstLine="627" w:firstLineChars="196"/>
        <w:textAlignment w:val="auto"/>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kern w:val="2"/>
          <w:sz w:val="32"/>
          <w:szCs w:val="32"/>
          <w:lang w:eastAsia="zh-CN"/>
        </w:rPr>
        <w:t>小金</w:t>
      </w:r>
      <w:r>
        <w:rPr>
          <w:rFonts w:hint="eastAsia" w:ascii="仿宋_GB2312" w:hAnsi="仿宋_GB2312" w:eastAsia="仿宋_GB2312" w:cs="仿宋_GB2312"/>
          <w:kern w:val="2"/>
          <w:sz w:val="32"/>
          <w:szCs w:val="32"/>
        </w:rPr>
        <w:t>县环境监测站属于二级预算单位。本部门内设机构1个。总编制</w:t>
      </w:r>
      <w:r>
        <w:rPr>
          <w:rFonts w:hint="eastAsia" w:ascii="仿宋_GB2312" w:hAnsi="仿宋_GB2312" w:eastAsia="仿宋_GB2312" w:cs="仿宋_GB2312"/>
          <w:kern w:val="2"/>
          <w:sz w:val="32"/>
          <w:szCs w:val="32"/>
          <w:lang w:val="en-US" w:eastAsia="zh-CN"/>
        </w:rPr>
        <w:t>14</w:t>
      </w:r>
      <w:r>
        <w:rPr>
          <w:rFonts w:hint="eastAsia" w:ascii="仿宋_GB2312" w:hAnsi="仿宋_GB2312" w:eastAsia="仿宋_GB2312" w:cs="仿宋_GB2312"/>
          <w:kern w:val="2"/>
          <w:sz w:val="32"/>
          <w:szCs w:val="32"/>
        </w:rPr>
        <w:t>名，均属于事业编制。在职人员总数</w:t>
      </w:r>
      <w:r>
        <w:rPr>
          <w:rFonts w:hint="eastAsia" w:ascii="仿宋_GB2312" w:hAnsi="仿宋_GB2312" w:eastAsia="仿宋_GB2312" w:cs="仿宋_GB2312"/>
          <w:kern w:val="2"/>
          <w:sz w:val="32"/>
          <w:szCs w:val="32"/>
          <w:lang w:val="en-US" w:eastAsia="zh-CN"/>
        </w:rPr>
        <w:t>14</w:t>
      </w:r>
      <w:r>
        <w:rPr>
          <w:rFonts w:hint="eastAsia" w:ascii="仿宋_GB2312" w:hAnsi="仿宋_GB2312" w:eastAsia="仿宋_GB2312" w:cs="仿宋_GB2312"/>
          <w:kern w:val="2"/>
          <w:sz w:val="32"/>
          <w:szCs w:val="32"/>
          <w:lang w:eastAsia="zh-CN"/>
        </w:rPr>
        <w:t>人（</w:t>
      </w:r>
      <w:r>
        <w:rPr>
          <w:rFonts w:hint="eastAsia" w:ascii="仿宋_GB2312" w:hAnsi="仿宋_GB2312" w:eastAsia="仿宋_GB2312" w:cs="仿宋_GB2312"/>
          <w:kern w:val="2"/>
          <w:sz w:val="32"/>
          <w:szCs w:val="32"/>
          <w:lang w:val="en-US" w:eastAsia="zh-CN"/>
        </w:rPr>
        <w:t>其中：管理人员1人。专业技术人员13人</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rPr>
        <w:t>；离休人员0人，退休人员0人；编外长期聘用的人员0名。</w:t>
      </w:r>
    </w:p>
    <w:p w14:paraId="30F4D8CA">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26EBE099">
      <w:pPr>
        <w:pStyle w:val="5"/>
        <w:jc w:val="center"/>
        <w:rPr>
          <w:rFonts w:hint="eastAsia" w:ascii="Times New Roman" w:hAnsi="Times New Roman" w:eastAsia="方正小标宋简体" w:cs="方正小标宋简体"/>
          <w:b w:val="0"/>
          <w:color w:val="auto"/>
          <w:highlight w:val="none"/>
        </w:rPr>
      </w:pPr>
      <w:bookmarkStart w:id="16" w:name="_Toc15377204"/>
      <w:bookmarkStart w:id="17"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w:t>
      </w:r>
      <w:r>
        <w:rPr>
          <w:rFonts w:hint="eastAsia" w:eastAsia="方正小标宋简体" w:cs="方正小标宋简体"/>
          <w:b w:val="0"/>
          <w:color w:val="auto"/>
          <w:highlight w:val="none"/>
          <w:lang w:val="en-US" w:eastAsia="zh-CN"/>
        </w:rPr>
        <w:t>5</w:t>
      </w:r>
      <w:r>
        <w:rPr>
          <w:rFonts w:hint="eastAsia" w:ascii="Times New Roman" w:hAnsi="Times New Roman" w:eastAsia="方正小标宋简体" w:cs="方正小标宋简体"/>
          <w:b w:val="0"/>
          <w:color w:val="auto"/>
          <w:highlight w:val="none"/>
          <w:lang w:val="en-US" w:eastAsia="zh-CN"/>
        </w:rPr>
        <w:t>年度</w:t>
      </w:r>
      <w:r>
        <w:rPr>
          <w:rFonts w:hint="eastAsia" w:eastAsia="方正小标宋简体" w:cs="方正小标宋简体"/>
          <w:b w:val="0"/>
          <w:color w:val="auto"/>
          <w:highlight w:val="none"/>
          <w:lang w:eastAsia="zh-CN"/>
        </w:rPr>
        <w:t>单位</w:t>
      </w:r>
      <w:r>
        <w:rPr>
          <w:rFonts w:hint="eastAsia" w:ascii="Times New Roman" w:hAnsi="Times New Roman" w:eastAsia="方正小标宋简体" w:cs="方正小标宋简体"/>
          <w:b w:val="0"/>
          <w:color w:val="auto"/>
          <w:highlight w:val="none"/>
        </w:rPr>
        <w:t>决算情况说明</w:t>
      </w:r>
      <w:bookmarkEnd w:id="16"/>
      <w:bookmarkEnd w:id="17"/>
    </w:p>
    <w:p w14:paraId="17A70A39">
      <w:pPr>
        <w:rPr>
          <w:rFonts w:ascii="Times New Roman" w:hAnsi="Times New Roman"/>
          <w:color w:val="auto"/>
          <w:highlight w:val="none"/>
        </w:rPr>
      </w:pPr>
    </w:p>
    <w:p w14:paraId="291C853B">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8" w:name="_Toc15396603"/>
      <w:bookmarkStart w:id="19"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8"/>
      <w:bookmarkEnd w:id="19"/>
    </w:p>
    <w:p w14:paraId="0A3955C4">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年度收入</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支出</w:t>
      </w:r>
      <w:r>
        <w:rPr>
          <w:rFonts w:hint="eastAsia" w:ascii="仿宋_GB2312" w:hAnsi="仿宋_GB2312" w:eastAsia="仿宋_GB2312" w:cs="仿宋_GB2312"/>
          <w:color w:val="auto"/>
          <w:sz w:val="32"/>
          <w:szCs w:val="32"/>
          <w:highlight w:val="none"/>
        </w:rPr>
        <w:t>总计</w:t>
      </w:r>
      <w:r>
        <w:rPr>
          <w:rFonts w:hint="eastAsia" w:ascii="仿宋_GB2312" w:hAnsi="仿宋_GB2312" w:eastAsia="仿宋_GB2312" w:cs="仿宋_GB2312"/>
          <w:color w:val="auto"/>
          <w:sz w:val="32"/>
          <w:szCs w:val="32"/>
          <w:highlight w:val="none"/>
          <w:lang w:eastAsia="zh-CN"/>
        </w:rPr>
        <w:t>均为</w:t>
      </w:r>
      <w:r>
        <w:rPr>
          <w:rFonts w:hint="eastAsia" w:ascii="仿宋_GB2312" w:hAnsi="仿宋_GB2312" w:eastAsia="仿宋_GB2312" w:cs="仿宋_GB2312"/>
          <w:color w:val="auto"/>
          <w:sz w:val="32"/>
          <w:szCs w:val="32"/>
          <w:highlight w:val="none"/>
          <w:lang w:val="en-US" w:eastAsia="zh-CN"/>
        </w:rPr>
        <w:t>243.76</w:t>
      </w:r>
      <w:r>
        <w:rPr>
          <w:rFonts w:hint="eastAsia" w:ascii="仿宋_GB2312" w:hAnsi="仿宋_GB2312" w:eastAsia="仿宋_GB2312" w:cs="仿宋_GB2312"/>
          <w:color w:val="auto"/>
          <w:sz w:val="32"/>
          <w:szCs w:val="32"/>
          <w:highlight w:val="none"/>
        </w:rPr>
        <w:t>万元。与</w:t>
      </w:r>
      <w:r>
        <w:rPr>
          <w:rFonts w:hint="eastAsia" w:ascii="仿宋_GB2312" w:hAnsi="仿宋_GB2312" w:eastAsia="仿宋_GB2312" w:cs="仿宋_GB2312"/>
          <w:color w:val="auto"/>
          <w:sz w:val="32"/>
          <w:szCs w:val="32"/>
          <w:highlight w:val="none"/>
          <w:lang w:eastAsia="zh-CN"/>
        </w:rPr>
        <w:t>上</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eastAsia="zh-CN"/>
        </w:rPr>
        <w:t>度</w:t>
      </w:r>
      <w:r>
        <w:rPr>
          <w:rFonts w:hint="eastAsia" w:ascii="仿宋_GB2312" w:hAnsi="仿宋_GB2312" w:eastAsia="仿宋_GB2312" w:cs="仿宋_GB2312"/>
          <w:color w:val="auto"/>
          <w:sz w:val="32"/>
          <w:szCs w:val="32"/>
          <w:highlight w:val="none"/>
        </w:rPr>
        <w:t>相比，</w:t>
      </w:r>
      <w:r>
        <w:rPr>
          <w:rFonts w:hint="eastAsia" w:ascii="仿宋_GB2312" w:hAnsi="仿宋_GB2312" w:eastAsia="仿宋_GB2312" w:cs="仿宋_GB2312"/>
          <w:color w:val="auto"/>
          <w:sz w:val="32"/>
          <w:szCs w:val="32"/>
          <w:highlight w:val="none"/>
          <w:lang w:eastAsia="zh-CN"/>
        </w:rPr>
        <w:t>收入</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支出</w:t>
      </w:r>
      <w:r>
        <w:rPr>
          <w:rFonts w:hint="eastAsia" w:ascii="仿宋_GB2312" w:hAnsi="仿宋_GB2312" w:eastAsia="仿宋_GB2312" w:cs="仿宋_GB2312"/>
          <w:color w:val="auto"/>
          <w:sz w:val="32"/>
          <w:szCs w:val="32"/>
          <w:highlight w:val="none"/>
        </w:rPr>
        <w:t>总计各</w:t>
      </w:r>
      <w:r>
        <w:rPr>
          <w:rFonts w:hint="eastAsia" w:ascii="仿宋_GB2312" w:hAnsi="仿宋_GB2312" w:eastAsia="仿宋_GB2312" w:cs="仿宋_GB2312"/>
          <w:color w:val="auto"/>
          <w:sz w:val="32"/>
          <w:szCs w:val="32"/>
          <w:highlight w:val="none"/>
          <w:lang w:eastAsia="zh-CN"/>
        </w:rPr>
        <w:t>增加</w:t>
      </w:r>
      <w:r>
        <w:rPr>
          <w:rFonts w:hint="eastAsia" w:ascii="仿宋_GB2312" w:hAnsi="仿宋_GB2312" w:eastAsia="仿宋_GB2312" w:cs="仿宋_GB2312"/>
          <w:color w:val="auto"/>
          <w:sz w:val="32"/>
          <w:szCs w:val="32"/>
          <w:highlight w:val="none"/>
          <w:lang w:val="en-US" w:eastAsia="zh-CN"/>
        </w:rPr>
        <w:t>21.88</w:t>
      </w:r>
      <w:r>
        <w:rPr>
          <w:rFonts w:hint="eastAsia" w:ascii="仿宋_GB2312" w:hAnsi="仿宋_GB2312" w:eastAsia="仿宋_GB2312" w:cs="仿宋_GB2312"/>
          <w:color w:val="auto"/>
          <w:sz w:val="32"/>
          <w:szCs w:val="32"/>
          <w:highlight w:val="none"/>
        </w:rPr>
        <w:t>万元，</w:t>
      </w:r>
      <w:r>
        <w:rPr>
          <w:rFonts w:hint="eastAsia" w:ascii="仿宋_GB2312" w:hAnsi="仿宋_GB2312" w:eastAsia="仿宋_GB2312" w:cs="仿宋_GB2312"/>
          <w:color w:val="auto"/>
          <w:sz w:val="32"/>
          <w:szCs w:val="32"/>
          <w:highlight w:val="none"/>
          <w:lang w:eastAsia="zh-CN"/>
        </w:rPr>
        <w:t>增长</w:t>
      </w:r>
      <w:r>
        <w:rPr>
          <w:rFonts w:hint="eastAsia" w:ascii="仿宋_GB2312" w:hAnsi="仿宋_GB2312" w:eastAsia="仿宋_GB2312" w:cs="仿宋_GB2312"/>
          <w:color w:val="auto"/>
          <w:sz w:val="32"/>
          <w:szCs w:val="32"/>
          <w:highlight w:val="none"/>
          <w:lang w:val="en-US" w:eastAsia="zh-CN"/>
        </w:rPr>
        <w:t>9.86</w:t>
      </w:r>
      <w:r>
        <w:rPr>
          <w:rFonts w:hint="eastAsia" w:ascii="仿宋_GB2312" w:hAnsi="仿宋_GB2312" w:eastAsia="仿宋_GB2312" w:cs="仿宋_GB2312"/>
          <w:color w:val="auto"/>
          <w:sz w:val="32"/>
          <w:szCs w:val="32"/>
          <w:highlight w:val="none"/>
        </w:rPr>
        <w:t>%。主要变动原因是</w:t>
      </w:r>
      <w:r>
        <w:rPr>
          <w:rFonts w:hint="eastAsia" w:ascii="仿宋_GB2312" w:hAnsi="仿宋_GB2312" w:eastAsia="仿宋_GB2312" w:cs="仿宋_GB2312"/>
          <w:color w:val="auto"/>
          <w:sz w:val="32"/>
          <w:szCs w:val="32"/>
          <w:highlight w:val="none"/>
          <w:lang w:val="en-US" w:eastAsia="zh-CN"/>
        </w:rPr>
        <w:t>2025年工资、各类保险上调，使得总比增加。</w:t>
      </w:r>
    </w:p>
    <w:p w14:paraId="728437F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（图1：</w:t>
      </w:r>
      <w:r>
        <w:rPr>
          <w:rFonts w:hint="eastAsia" w:ascii="仿宋_GB2312" w:hAnsi="仿宋_GB2312" w:eastAsia="仿宋_GB2312" w:cs="仿宋_GB2312"/>
          <w:color w:val="auto"/>
          <w:sz w:val="32"/>
          <w:szCs w:val="32"/>
          <w:highlight w:val="none"/>
          <w:lang w:eastAsia="zh-CN"/>
        </w:rPr>
        <w:t>收入</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支出</w:t>
      </w:r>
      <w:r>
        <w:rPr>
          <w:rFonts w:hint="eastAsia" w:ascii="仿宋_GB2312" w:hAnsi="仿宋_GB2312" w:eastAsia="仿宋_GB2312" w:cs="仿宋_GB2312"/>
          <w:color w:val="auto"/>
          <w:sz w:val="32"/>
          <w:szCs w:val="32"/>
          <w:highlight w:val="none"/>
        </w:rPr>
        <w:t>决算总计变动情况图）（柱状图）</w:t>
      </w:r>
    </w:p>
    <w:p w14:paraId="4E6EC10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仿宋_GB2312" w:eastAsia="仿宋_GB2312"/>
          <w:color w:val="auto"/>
          <w:sz w:val="32"/>
          <w:szCs w:val="32"/>
          <w:highlight w:val="none"/>
          <w:lang w:eastAsia="zh-CN"/>
        </w:rPr>
        <w:object>
          <v:shape id="_x0000_i1025" o:spt="75" type="#_x0000_t75" style="height:222.75pt;width:381.75pt;" o:ole="t" filled="f" o:preferrelative="t" stroked="f" coordsize="21600,21600">
            <v:path/>
            <v:fill on="f" focussize="0,0"/>
            <v:stroke on="f"/>
            <v:imagedata r:id="rId13" o:title=""/>
            <o:lock v:ext="edit" aspectratio="t"/>
            <w10:wrap type="none"/>
            <w10:anchorlock/>
          </v:shape>
          <o:OLEObject Type="Embed" ProgID="Excel.Chart.8" ShapeID="_x0000_i1025" DrawAspect="Content" ObjectID="_1468075725" r:id="rId12">
            <o:LockedField>false</o:LockedField>
          </o:OLEObject>
        </w:object>
      </w:r>
    </w:p>
    <w:p w14:paraId="51B48250">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0" w:name="_Toc15377206"/>
      <w:bookmarkStart w:id="21" w:name="_Toc15396604"/>
      <w:r>
        <w:rPr>
          <w:rFonts w:hint="eastAsia" w:ascii="Times New Roman" w:hAnsi="Times New Roman" w:eastAsia="黑体"/>
          <w:color w:val="auto"/>
          <w:sz w:val="32"/>
          <w:szCs w:val="32"/>
          <w:highlight w:val="none"/>
          <w:lang w:eastAsia="zh-CN"/>
        </w:rPr>
        <w:t>二、收入决算情况说明</w:t>
      </w:r>
      <w:bookmarkEnd w:id="20"/>
      <w:bookmarkEnd w:id="21"/>
    </w:p>
    <w:p w14:paraId="0356577B">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仿宋_GB2312" w:hAnsi="仿宋_GB2312" w:eastAsia="仿宋_GB2312" w:cs="仿宋_GB2312"/>
          <w:b/>
          <w:bCs/>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年度本年收入合计</w:t>
      </w:r>
      <w:r>
        <w:rPr>
          <w:rFonts w:hint="eastAsia" w:ascii="仿宋_GB2312" w:hAnsi="仿宋_GB2312" w:eastAsia="仿宋_GB2312" w:cs="仿宋_GB2312"/>
          <w:color w:val="auto"/>
          <w:sz w:val="32"/>
          <w:szCs w:val="32"/>
          <w:highlight w:val="none"/>
          <w:lang w:val="en-US" w:eastAsia="zh-CN"/>
        </w:rPr>
        <w:t>243.76</w:t>
      </w:r>
      <w:r>
        <w:rPr>
          <w:rFonts w:hint="eastAsia" w:ascii="仿宋_GB2312" w:hAnsi="仿宋_GB2312" w:eastAsia="仿宋_GB2312" w:cs="仿宋_GB2312"/>
          <w:sz w:val="32"/>
          <w:szCs w:val="32"/>
        </w:rPr>
        <w:t>万元，其中：一般公共预算财政拨款收入</w:t>
      </w:r>
      <w:r>
        <w:rPr>
          <w:rFonts w:hint="eastAsia" w:ascii="仿宋_GB2312" w:hAnsi="仿宋_GB2312" w:eastAsia="仿宋_GB2312" w:cs="仿宋_GB2312"/>
          <w:color w:val="auto"/>
          <w:sz w:val="32"/>
          <w:szCs w:val="32"/>
          <w:highlight w:val="none"/>
          <w:lang w:val="en-US" w:eastAsia="zh-CN"/>
        </w:rPr>
        <w:t>243.76</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b/>
          <w:bCs/>
          <w:color w:val="auto"/>
          <w:sz w:val="32"/>
          <w:szCs w:val="32"/>
          <w:highlight w:val="none"/>
          <w:lang w:eastAsia="zh-CN"/>
        </w:rPr>
        <w:t>（注：仅罗列本部门涉及的收入）</w:t>
      </w:r>
    </w:p>
    <w:p w14:paraId="3B1C48BA">
      <w:pPr>
        <w:ind w:firstLine="800" w:firstLineChars="25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（图2：收入决算结构图）（饼状图）</w:t>
      </w:r>
    </w:p>
    <w:p w14:paraId="532AB86F">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仿宋_GB2312" w:eastAsia="仿宋_GB2312"/>
          <w:color w:val="auto"/>
          <w:sz w:val="32"/>
          <w:szCs w:val="32"/>
          <w:highlight w:val="none"/>
          <w:lang w:eastAsia="zh-CN"/>
        </w:rPr>
        <w:object>
          <v:shape id="_x0000_i1026" o:spt="75" type="#_x0000_t75" style="height:222.75pt;width:366.75pt;" o:ole="t" filled="f" o:preferrelative="t" stroked="f" coordsize="21600,21600">
            <v:path/>
            <v:fill on="f" focussize="0,0"/>
            <v:stroke on="f"/>
            <v:imagedata r:id="rId15" o:title=""/>
            <o:lock v:ext="edit" aspectratio="t"/>
            <w10:wrap type="none"/>
            <w10:anchorlock/>
          </v:shape>
          <o:OLEObject Type="Embed" ProgID="Excel.Chart.8" ShapeID="_x0000_i1026" DrawAspect="Content" ObjectID="_1468075726" r:id="rId14">
            <o:LockedField>false</o:LockedField>
          </o:OLEObject>
        </w:object>
      </w:r>
    </w:p>
    <w:p w14:paraId="3CB3165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2" w:name="_Toc15396605"/>
      <w:bookmarkStart w:id="23"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22"/>
      <w:bookmarkEnd w:id="23"/>
    </w:p>
    <w:p w14:paraId="22E87D28">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年度本年支出合计</w:t>
      </w:r>
      <w:r>
        <w:rPr>
          <w:rFonts w:hint="eastAsia" w:ascii="仿宋_GB2312" w:hAnsi="仿宋_GB2312" w:eastAsia="仿宋_GB2312" w:cs="仿宋_GB2312"/>
          <w:color w:val="auto"/>
          <w:sz w:val="32"/>
          <w:szCs w:val="32"/>
          <w:highlight w:val="none"/>
          <w:lang w:val="en-US" w:eastAsia="zh-CN"/>
        </w:rPr>
        <w:t>243.76</w:t>
      </w:r>
      <w:r>
        <w:rPr>
          <w:rFonts w:hint="eastAsia" w:ascii="仿宋_GB2312" w:hAnsi="仿宋_GB2312" w:eastAsia="仿宋_GB2312" w:cs="仿宋_GB2312"/>
          <w:color w:val="auto"/>
          <w:sz w:val="32"/>
          <w:szCs w:val="32"/>
          <w:highlight w:val="none"/>
          <w:lang w:eastAsia="zh-CN"/>
        </w:rPr>
        <w:t>万元，其中：基本支出</w:t>
      </w:r>
      <w:r>
        <w:rPr>
          <w:rFonts w:hint="eastAsia" w:ascii="仿宋_GB2312" w:hAnsi="仿宋_GB2312" w:eastAsia="仿宋_GB2312" w:cs="仿宋_GB2312"/>
          <w:color w:val="auto"/>
          <w:sz w:val="32"/>
          <w:szCs w:val="32"/>
          <w:highlight w:val="none"/>
          <w:lang w:val="en-US" w:eastAsia="zh-CN"/>
        </w:rPr>
        <w:t>243.76</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b/>
          <w:bCs/>
          <w:color w:val="auto"/>
          <w:sz w:val="32"/>
          <w:szCs w:val="32"/>
          <w:highlight w:val="none"/>
          <w:lang w:eastAsia="zh-CN"/>
        </w:rPr>
        <w:t>（注：仅罗列本部门涉及的支出）</w:t>
      </w:r>
    </w:p>
    <w:p w14:paraId="55C3DEBA">
      <w:pPr>
        <w:ind w:firstLine="800" w:firstLineChars="25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（图3：支出决算结构图）（饼状图）</w:t>
      </w:r>
    </w:p>
    <w:p w14:paraId="7BAA7552">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仿宋_GB2312" w:eastAsia="仿宋_GB2312"/>
          <w:color w:val="auto"/>
          <w:sz w:val="32"/>
          <w:szCs w:val="32"/>
          <w:highlight w:val="none"/>
          <w:lang w:eastAsia="zh-CN"/>
        </w:rPr>
        <w:object>
          <v:shape id="_x0000_i1027" o:spt="75" type="#_x0000_t75" style="height:222.75pt;width:366.75pt;" o:ole="t" filled="f" o:preferrelative="t" stroked="f" coordsize="21600,21600">
            <v:path/>
            <v:fill on="f" focussize="0,0"/>
            <v:stroke on="f"/>
            <v:imagedata r:id="rId17" o:title=""/>
            <o:lock v:ext="edit" aspectratio="t"/>
            <w10:wrap type="none"/>
            <w10:anchorlock/>
          </v:shape>
          <o:OLEObject Type="Embed" ProgID="Excel.Chart.8" ShapeID="_x0000_i1027" DrawAspect="Content" ObjectID="_1468075727" r:id="rId16">
            <o:LockedField>false</o:LockedField>
          </o:OLEObject>
        </w:object>
      </w:r>
    </w:p>
    <w:p w14:paraId="62056D46">
      <w:pPr>
        <w:spacing w:line="600" w:lineRule="exact"/>
        <w:ind w:firstLine="640" w:firstLineChars="200"/>
        <w:outlineLvl w:val="1"/>
        <w:rPr>
          <w:rStyle w:val="30"/>
          <w:rFonts w:ascii="Times New Roman" w:hAnsi="Times New Roman" w:eastAsia="黑体"/>
          <w:b w:val="0"/>
          <w:color w:val="auto"/>
          <w:highlight w:val="none"/>
        </w:rPr>
      </w:pPr>
      <w:bookmarkStart w:id="24" w:name="_Toc15396606"/>
      <w:bookmarkStart w:id="25" w:name="_Toc15377208"/>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24"/>
      <w:bookmarkEnd w:id="25"/>
    </w:p>
    <w:p w14:paraId="1DD886A3">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2025年度财政拨款收入、支出总计均为</w:t>
      </w:r>
      <w:r>
        <w:rPr>
          <w:rFonts w:hint="eastAsia" w:ascii="仿宋_GB2312" w:hAnsi="仿宋_GB2312" w:eastAsia="仿宋_GB2312" w:cs="仿宋_GB2312"/>
          <w:color w:val="auto"/>
          <w:sz w:val="32"/>
          <w:szCs w:val="32"/>
          <w:highlight w:val="none"/>
          <w:lang w:val="en-US" w:eastAsia="zh-CN"/>
        </w:rPr>
        <w:t>243.76</w:t>
      </w:r>
      <w:r>
        <w:rPr>
          <w:rFonts w:hint="eastAsia" w:ascii="仿宋_GB2312" w:hAnsi="仿宋_GB2312" w:eastAsia="仿宋_GB2312" w:cs="仿宋_GB2312"/>
          <w:color w:val="auto"/>
          <w:kern w:val="2"/>
          <w:sz w:val="32"/>
          <w:szCs w:val="32"/>
          <w:highlight w:val="none"/>
          <w:lang w:val="en-US" w:eastAsia="zh-CN" w:bidi="ar-SA"/>
        </w:rPr>
        <w:t>万元。与</w:t>
      </w:r>
      <w:r>
        <w:rPr>
          <w:rFonts w:hint="eastAsia" w:ascii="仿宋_GB2312" w:hAnsi="仿宋_GB2312" w:eastAsia="仿宋_GB2312" w:cs="仿宋_GB2312"/>
          <w:color w:val="auto"/>
          <w:sz w:val="32"/>
          <w:szCs w:val="32"/>
          <w:highlight w:val="none"/>
          <w:lang w:eastAsia="zh-CN"/>
        </w:rPr>
        <w:t>上</w:t>
      </w:r>
      <w:r>
        <w:rPr>
          <w:rFonts w:hint="eastAsia" w:ascii="仿宋_GB2312" w:hAnsi="仿宋_GB2312" w:eastAsia="仿宋_GB2312" w:cs="仿宋_GB2312"/>
          <w:color w:val="auto"/>
          <w:kern w:val="2"/>
          <w:sz w:val="32"/>
          <w:szCs w:val="32"/>
          <w:highlight w:val="none"/>
          <w:lang w:val="en-US" w:eastAsia="zh-CN" w:bidi="ar-SA"/>
        </w:rPr>
        <w:t>年度相比，财政拨款收入总计、支出总计各增加21.88万元</w:t>
      </w:r>
      <w:r>
        <w:rPr>
          <w:rFonts w:hint="eastAsia" w:ascii="仿宋_GB2312" w:hAnsi="仿宋_GB2312" w:eastAsia="仿宋_GB2312" w:cs="仿宋_GB2312"/>
          <w:color w:val="0000FF"/>
          <w:kern w:val="2"/>
          <w:sz w:val="32"/>
          <w:szCs w:val="32"/>
          <w:highlight w:val="none"/>
          <w:lang w:val="en-US" w:eastAsia="zh-CN" w:bidi="ar-SA"/>
        </w:rPr>
        <w:t>，</w:t>
      </w:r>
      <w:r>
        <w:rPr>
          <w:rFonts w:hint="eastAsia" w:ascii="仿宋_GB2312" w:hAnsi="仿宋_GB2312" w:eastAsia="仿宋_GB2312" w:cs="仿宋_GB2312"/>
          <w:color w:val="auto"/>
          <w:sz w:val="32"/>
          <w:szCs w:val="32"/>
          <w:highlight w:val="none"/>
          <w:lang w:eastAsia="zh-CN"/>
        </w:rPr>
        <w:t>增长</w:t>
      </w:r>
      <w:r>
        <w:rPr>
          <w:rFonts w:hint="eastAsia" w:ascii="仿宋_GB2312" w:hAnsi="仿宋_GB2312" w:eastAsia="仿宋_GB2312" w:cs="仿宋_GB2312"/>
          <w:color w:val="auto"/>
          <w:sz w:val="32"/>
          <w:szCs w:val="32"/>
          <w:highlight w:val="none"/>
          <w:lang w:val="en-US" w:eastAsia="zh-CN"/>
        </w:rPr>
        <w:t>9.86</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kern w:val="2"/>
          <w:sz w:val="32"/>
          <w:szCs w:val="32"/>
          <w:highlight w:val="none"/>
          <w:lang w:val="en-US" w:eastAsia="zh-CN" w:bidi="ar-SA"/>
        </w:rPr>
        <w:t>主要变动原因是</w:t>
      </w:r>
      <w:r>
        <w:rPr>
          <w:rFonts w:hint="eastAsia" w:ascii="仿宋_GB2312" w:hAnsi="仿宋_GB2312" w:eastAsia="仿宋_GB2312" w:cs="仿宋_GB2312"/>
          <w:color w:val="auto"/>
          <w:sz w:val="32"/>
          <w:szCs w:val="32"/>
          <w:highlight w:val="none"/>
          <w:lang w:val="en-US" w:eastAsia="zh-CN"/>
        </w:rPr>
        <w:t>2025年工资、各类保险上调，使得总比增加。</w:t>
      </w:r>
    </w:p>
    <w:p w14:paraId="7D115F4F">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511F78BA">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b/>
          <w:color w:val="auto"/>
          <w:sz w:val="32"/>
          <w:szCs w:val="32"/>
          <w:highlight w:val="none"/>
          <w:lang w:eastAsia="zh-CN"/>
        </w:rPr>
        <w:object>
          <v:shape id="_x0000_i1028" o:spt="75" type="#_x0000_t75" style="height:222.75pt;width:377.25pt;" o:ole="t" filled="f" o:preferrelative="t" stroked="f" coordsize="21600,21600">
            <v:path/>
            <v:fill on="f" focussize="0,0"/>
            <v:stroke on="f"/>
            <v:imagedata r:id="rId19" o:title=""/>
            <o:lock v:ext="edit" aspectratio="t"/>
            <w10:wrap type="none"/>
            <w10:anchorlock/>
          </v:shape>
          <o:OLEObject Type="Embed" ProgID="Excel.Chart.8" ShapeID="_x0000_i1028" DrawAspect="Content" ObjectID="_1468075728" r:id="rId18">
            <o:LockedField>false</o:LockedField>
          </o:OLEObject>
        </w:object>
      </w:r>
    </w:p>
    <w:p w14:paraId="6396FE4C">
      <w:pPr>
        <w:spacing w:line="600" w:lineRule="exact"/>
        <w:ind w:firstLine="640" w:firstLineChars="200"/>
        <w:outlineLvl w:val="1"/>
        <w:rPr>
          <w:rStyle w:val="30"/>
          <w:rFonts w:ascii="Times New Roman" w:hAnsi="Times New Roman" w:eastAsia="黑体"/>
          <w:b w:val="0"/>
          <w:color w:val="auto"/>
          <w:highlight w:val="none"/>
        </w:rPr>
      </w:pPr>
      <w:bookmarkStart w:id="26" w:name="_Toc15396607"/>
      <w:bookmarkStart w:id="27"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26"/>
      <w:bookmarkEnd w:id="27"/>
    </w:p>
    <w:p w14:paraId="6D1BE9F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8"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8"/>
    </w:p>
    <w:p w14:paraId="33A8A2BD">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eastAsia" w:ascii="仿宋_GB2312" w:hAnsi="仿宋_GB2312" w:eastAsia="仿宋_GB2312" w:cs="仿宋_GB2312"/>
          <w:color w:val="auto"/>
          <w:sz w:val="32"/>
          <w:szCs w:val="32"/>
          <w:highlight w:val="none"/>
          <w:lang w:val="en-US" w:eastAsia="zh-CN"/>
        </w:rPr>
        <w:t>243.76</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kern w:val="2"/>
          <w:sz w:val="32"/>
          <w:szCs w:val="32"/>
          <w:highlight w:val="none"/>
          <w:lang w:val="en-US" w:eastAsia="zh-CN" w:bidi="ar-SA"/>
        </w:rPr>
        <w:t>%。与</w:t>
      </w:r>
      <w:r>
        <w:rPr>
          <w:rFonts w:hint="eastAsia" w:ascii="仿宋_GB2312" w:hAnsi="仿宋_GB2312" w:eastAsia="仿宋_GB2312" w:cs="仿宋_GB2312"/>
          <w:color w:val="auto"/>
          <w:sz w:val="32"/>
          <w:szCs w:val="32"/>
          <w:highlight w:val="none"/>
          <w:lang w:eastAsia="zh-CN"/>
        </w:rPr>
        <w:t>上</w:t>
      </w:r>
      <w:r>
        <w:rPr>
          <w:rFonts w:hint="eastAsia" w:ascii="仿宋_GB2312" w:hAnsi="仿宋_GB2312" w:eastAsia="仿宋_GB2312" w:cs="仿宋_GB2312"/>
          <w:color w:val="auto"/>
          <w:kern w:val="2"/>
          <w:sz w:val="32"/>
          <w:szCs w:val="32"/>
          <w:highlight w:val="none"/>
          <w:lang w:val="en-US" w:eastAsia="zh-CN" w:bidi="ar-SA"/>
        </w:rPr>
        <w:t>年度相比，一般公共预算财政拨款支出增加21.88万元，增长9.86%。主要变动原因是</w:t>
      </w:r>
      <w:r>
        <w:rPr>
          <w:rFonts w:hint="eastAsia" w:ascii="仿宋_GB2312" w:hAnsi="仿宋_GB2312" w:eastAsia="仿宋_GB2312" w:cs="仿宋_GB2312"/>
          <w:color w:val="auto"/>
          <w:sz w:val="32"/>
          <w:szCs w:val="32"/>
          <w:highlight w:val="none"/>
          <w:lang w:val="en-US" w:eastAsia="zh-CN"/>
        </w:rPr>
        <w:t>2025年工资、各类保险上调，使得总比增加。</w:t>
      </w:r>
    </w:p>
    <w:p w14:paraId="0E87268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4C091F31">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olor w:val="auto"/>
          <w:sz w:val="32"/>
          <w:szCs w:val="32"/>
          <w:highlight w:val="none"/>
          <w:lang w:eastAsia="zh-CN"/>
        </w:rPr>
        <w:object>
          <v:shape id="_x0000_i1029" o:spt="75" type="#_x0000_t75" style="height:222.75pt;width:372pt;" o:ole="t" filled="f" o:preferrelative="t" stroked="f" coordsize="21600,21600">
            <v:path/>
            <v:fill on="f" focussize="0,0"/>
            <v:stroke on="f"/>
            <v:imagedata r:id="rId21" o:title=""/>
            <o:lock v:ext="edit" aspectratio="t"/>
            <w10:wrap type="none"/>
            <w10:anchorlock/>
          </v:shape>
          <o:OLEObject Type="Embed" ProgID="Excel.Chart.8" ShapeID="_x0000_i1029" DrawAspect="Content" ObjectID="_1468075729" r:id="rId20">
            <o:LockedField>false</o:LockedField>
          </o:OLEObject>
        </w:object>
      </w:r>
    </w:p>
    <w:p w14:paraId="6C633FE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9"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9"/>
    </w:p>
    <w:p w14:paraId="57EE43A3">
      <w:pPr>
        <w:pageBreakBefore w:val="0"/>
        <w:kinsoku/>
        <w:wordWrap/>
        <w:overflowPunct/>
        <w:topLinePunct w:val="0"/>
        <w:bidi w:val="0"/>
        <w:snapToGrid/>
        <w:spacing w:line="576" w:lineRule="exact"/>
        <w:ind w:firstLine="640"/>
        <w:textAlignment w:val="auto"/>
        <w:rPr>
          <w:rFonts w:hint="eastAsia" w:ascii="仿宋_GB2312" w:hAnsi="仿宋_GB2312"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eastAsia" w:ascii="仿宋_GB2312" w:hAnsi="仿宋_GB2312" w:eastAsia="仿宋_GB2312" w:cs="仿宋_GB2312"/>
          <w:sz w:val="32"/>
          <w:szCs w:val="32"/>
          <w:lang w:val="en-US" w:eastAsia="zh-CN"/>
        </w:rPr>
        <w:t>243.76</w:t>
      </w:r>
      <w:r>
        <w:rPr>
          <w:rFonts w:hint="eastAsia" w:ascii="仿宋_GB2312" w:hAnsi="仿宋_GB2312" w:eastAsia="仿宋_GB2312" w:cs="仿宋_GB2312"/>
          <w:color w:val="auto"/>
          <w:kern w:val="2"/>
          <w:sz w:val="32"/>
          <w:szCs w:val="32"/>
          <w:highlight w:val="none"/>
          <w:lang w:val="en-US" w:eastAsia="zh-CN" w:bidi="ar-SA"/>
        </w:rPr>
        <w:t>万元，主要用于以下方面：</w:t>
      </w:r>
      <w:r>
        <w:rPr>
          <w:rFonts w:hint="eastAsia" w:ascii="仿宋_GB2312" w:hAnsi="仿宋_GB2312" w:eastAsia="仿宋_GB2312" w:cs="仿宋_GB2312"/>
          <w:b/>
          <w:color w:val="auto"/>
          <w:sz w:val="32"/>
          <w:szCs w:val="32"/>
          <w:highlight w:val="none"/>
        </w:rPr>
        <w:t>社会保障和就业</w:t>
      </w:r>
      <w:r>
        <w:rPr>
          <w:rFonts w:hint="eastAsia" w:ascii="仿宋_GB2312" w:hAnsi="仿宋_GB2312" w:eastAsia="仿宋_GB2312" w:cs="仿宋_GB2312"/>
          <w:b/>
          <w:bCs/>
          <w:color w:val="auto"/>
          <w:sz w:val="32"/>
          <w:szCs w:val="32"/>
          <w:highlight w:val="none"/>
        </w:rPr>
        <w:t>支出</w:t>
      </w:r>
      <w:r>
        <w:rPr>
          <w:rFonts w:hint="eastAsia" w:ascii="仿宋_GB2312" w:hAnsi="仿宋_GB2312" w:eastAsia="仿宋_GB2312" w:cs="仿宋_GB2312"/>
          <w:color w:val="auto"/>
          <w:sz w:val="32"/>
          <w:szCs w:val="32"/>
          <w:highlight w:val="none"/>
          <w:lang w:val="en-US" w:eastAsia="zh-CN"/>
        </w:rPr>
        <w:t>40.34</w:t>
      </w:r>
      <w:r>
        <w:rPr>
          <w:rFonts w:hint="eastAsia" w:ascii="仿宋_GB2312" w:hAnsi="仿宋_GB2312" w:eastAsia="仿宋_GB2312" w:cs="仿宋_GB2312"/>
          <w:color w:val="auto"/>
          <w:sz w:val="32"/>
          <w:szCs w:val="32"/>
          <w:highlight w:val="none"/>
        </w:rPr>
        <w:t>万元，占</w:t>
      </w:r>
      <w:r>
        <w:rPr>
          <w:rFonts w:hint="eastAsia" w:ascii="仿宋_GB2312" w:hAnsi="仿宋_GB2312" w:eastAsia="仿宋_GB2312" w:cs="仿宋_GB2312"/>
          <w:color w:val="auto"/>
          <w:sz w:val="32"/>
          <w:szCs w:val="32"/>
          <w:highlight w:val="none"/>
          <w:lang w:val="en-US" w:eastAsia="zh-CN"/>
        </w:rPr>
        <w:t>16.55</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b/>
          <w:bCs/>
          <w:color w:val="auto"/>
          <w:sz w:val="32"/>
          <w:szCs w:val="32"/>
          <w:highlight w:val="none"/>
        </w:rPr>
        <w:t>卫生健康支出</w:t>
      </w:r>
      <w:r>
        <w:rPr>
          <w:rFonts w:hint="eastAsia" w:ascii="仿宋_GB2312" w:hAnsi="仿宋_GB2312" w:eastAsia="仿宋_GB2312" w:cs="仿宋_GB2312"/>
          <w:color w:val="auto"/>
          <w:sz w:val="32"/>
          <w:szCs w:val="32"/>
          <w:highlight w:val="none"/>
          <w:lang w:val="en-US" w:eastAsia="zh-CN"/>
        </w:rPr>
        <w:t>13.96</w:t>
      </w:r>
      <w:r>
        <w:rPr>
          <w:rFonts w:hint="eastAsia" w:ascii="仿宋_GB2312" w:hAnsi="仿宋_GB2312" w:eastAsia="仿宋_GB2312" w:cs="仿宋_GB2312"/>
          <w:color w:val="auto"/>
          <w:sz w:val="32"/>
          <w:szCs w:val="32"/>
          <w:highlight w:val="none"/>
        </w:rPr>
        <w:t>万元，占</w:t>
      </w:r>
      <w:r>
        <w:rPr>
          <w:rFonts w:hint="eastAsia" w:ascii="仿宋_GB2312" w:hAnsi="仿宋_GB2312" w:eastAsia="仿宋_GB2312" w:cs="仿宋_GB2312"/>
          <w:color w:val="auto"/>
          <w:sz w:val="32"/>
          <w:szCs w:val="32"/>
          <w:highlight w:val="none"/>
          <w:lang w:val="en-US" w:eastAsia="zh-CN"/>
        </w:rPr>
        <w:t>5.73</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b/>
          <w:bCs/>
          <w:color w:val="auto"/>
          <w:sz w:val="32"/>
          <w:szCs w:val="32"/>
          <w:highlight w:val="none"/>
        </w:rPr>
        <w:t>住房保障支出</w:t>
      </w:r>
      <w:r>
        <w:rPr>
          <w:rFonts w:hint="eastAsia" w:ascii="仿宋_GB2312" w:hAnsi="仿宋_GB2312" w:eastAsia="仿宋_GB2312" w:cs="仿宋_GB2312"/>
          <w:color w:val="auto"/>
          <w:sz w:val="32"/>
          <w:szCs w:val="32"/>
          <w:highlight w:val="none"/>
          <w:lang w:val="en-US" w:eastAsia="zh-CN"/>
        </w:rPr>
        <w:t>22.37</w:t>
      </w:r>
      <w:r>
        <w:rPr>
          <w:rFonts w:hint="eastAsia" w:ascii="仿宋_GB2312" w:hAnsi="仿宋_GB2312" w:eastAsia="仿宋_GB2312" w:cs="仿宋_GB2312"/>
          <w:color w:val="auto"/>
          <w:sz w:val="32"/>
          <w:szCs w:val="32"/>
          <w:highlight w:val="none"/>
        </w:rPr>
        <w:t>万元，占</w:t>
      </w:r>
      <w:r>
        <w:rPr>
          <w:rFonts w:hint="eastAsia" w:ascii="仿宋_GB2312" w:hAnsi="仿宋_GB2312" w:eastAsia="仿宋_GB2312" w:cs="仿宋_GB2312"/>
          <w:color w:val="auto"/>
          <w:sz w:val="32"/>
          <w:szCs w:val="32"/>
          <w:highlight w:val="none"/>
          <w:lang w:val="en-US" w:eastAsia="zh-CN"/>
        </w:rPr>
        <w:t>9.17</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b/>
          <w:sz w:val="32"/>
          <w:szCs w:val="32"/>
          <w:lang w:eastAsia="zh-CN"/>
        </w:rPr>
        <w:t>节能环保</w:t>
      </w:r>
      <w:r>
        <w:rPr>
          <w:rFonts w:hint="eastAsia" w:ascii="仿宋_GB2312" w:hAnsi="仿宋_GB2312" w:eastAsia="仿宋_GB2312" w:cs="仿宋_GB2312"/>
          <w:b/>
          <w:bCs/>
          <w:sz w:val="32"/>
          <w:szCs w:val="32"/>
        </w:rPr>
        <w:t>支出</w:t>
      </w:r>
      <w:r>
        <w:rPr>
          <w:rFonts w:hint="eastAsia" w:ascii="仿宋_GB2312" w:hAnsi="仿宋_GB2312" w:eastAsia="仿宋_GB2312" w:cs="仿宋_GB2312"/>
          <w:sz w:val="32"/>
          <w:szCs w:val="32"/>
          <w:lang w:val="en-US" w:eastAsia="zh-CN"/>
        </w:rPr>
        <w:t>167.09</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68.55</w:t>
      </w:r>
      <w:r>
        <w:rPr>
          <w:rFonts w:hint="eastAsia" w:ascii="仿宋_GB2312" w:hAnsi="仿宋_GB2312" w:eastAsia="仿宋_GB2312" w:cs="仿宋_GB2312"/>
          <w:sz w:val="32"/>
          <w:szCs w:val="32"/>
        </w:rPr>
        <w:t>%。</w:t>
      </w:r>
      <w:r>
        <w:rPr>
          <w:rFonts w:hint="eastAsia" w:ascii="仿宋_GB2312" w:hAnsi="仿宋_GB2312" w:eastAsia="仿宋_GB2312" w:cs="仿宋_GB2312"/>
          <w:b/>
          <w:bCs/>
          <w:color w:val="auto"/>
          <w:kern w:val="2"/>
          <w:sz w:val="32"/>
          <w:szCs w:val="32"/>
          <w:highlight w:val="none"/>
          <w:lang w:val="en-US" w:eastAsia="zh-CN" w:bidi="ar-SA"/>
        </w:rPr>
        <w:t>（注：仅罗列本部门涉及的全部功能分类科目，至类级）</w:t>
      </w:r>
    </w:p>
    <w:p w14:paraId="53359585">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（图6：一般公共预算财政拨款支出决算结构）（饼状图）</w:t>
      </w:r>
    </w:p>
    <w:p w14:paraId="6DF56085">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olor w:val="auto"/>
          <w:sz w:val="32"/>
          <w:szCs w:val="32"/>
          <w:highlight w:val="none"/>
          <w:lang w:eastAsia="zh-CN"/>
        </w:rPr>
        <w:object>
          <v:shape id="_x0000_i1030" o:spt="75" type="#_x0000_t75" style="height:228.75pt;width:366.75pt;" o:ole="t" filled="f" o:preferrelative="t" stroked="f" coordsize="21600,21600">
            <v:path/>
            <v:fill on="f" focussize="0,0"/>
            <v:stroke on="f"/>
            <v:imagedata r:id="rId23" o:title=""/>
            <o:lock v:ext="edit" aspectratio="t"/>
            <w10:wrap type="none"/>
            <w10:anchorlock/>
          </v:shape>
          <o:OLEObject Type="Embed" ProgID="Excel.Chart.8" ShapeID="_x0000_i1030" DrawAspect="Content" ObjectID="_1468075730" r:id="rId22">
            <o:LockedField>false</o:LockedField>
          </o:OLEObject>
        </w:object>
      </w:r>
    </w:p>
    <w:p w14:paraId="070D553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0"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0"/>
    </w:p>
    <w:p w14:paraId="6FD2E712">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bookmarkStart w:id="31" w:name="_Toc15377444"/>
      <w:bookmarkStart w:id="32" w:name="_Toc15378460"/>
      <w:bookmarkStart w:id="33" w:name="_Toc15377213"/>
      <w:r>
        <w:rPr>
          <w:rFonts w:hint="eastAsia" w:ascii="仿宋_GB2312" w:hAnsi="仿宋_GB2312" w:eastAsia="仿宋_GB2312" w:cs="仿宋_GB2312"/>
          <w:color w:val="auto"/>
          <w:kern w:val="2"/>
          <w:sz w:val="32"/>
          <w:szCs w:val="32"/>
          <w:highlight w:val="none"/>
          <w:lang w:val="en-US" w:eastAsia="zh-CN" w:bidi="ar-SA"/>
        </w:rPr>
        <w:t>2025年度一般公共预算财政拨款支出决算数为</w:t>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43.76万元</w:t>
      </w:r>
      <w:r>
        <w:rPr>
          <w:rFonts w:hint="eastAsia" w:ascii="仿宋_GB2312" w:hAnsi="仿宋_GB2312" w:eastAsia="仿宋_GB2312" w:cs="仿宋_GB2312"/>
          <w:color w:val="auto"/>
          <w:kern w:val="2"/>
          <w:sz w:val="32"/>
          <w:szCs w:val="32"/>
          <w:highlight w:val="none"/>
          <w:lang w:val="en-US" w:eastAsia="zh-CN" w:bidi="ar-SA"/>
        </w:rPr>
        <w:t>，完成预算100%。其中：</w:t>
      </w:r>
      <w:bookmarkEnd w:id="31"/>
      <w:bookmarkEnd w:id="32"/>
      <w:bookmarkEnd w:id="33"/>
    </w:p>
    <w:p w14:paraId="2933EFC0">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b/>
          <w:sz w:val="32"/>
          <w:szCs w:val="32"/>
        </w:rPr>
      </w:pPr>
      <w:r>
        <w:rPr>
          <w:rStyle w:val="18"/>
          <w:rFonts w:hint="eastAsia" w:ascii="仿宋_GB2312" w:hAnsi="仿宋_GB2312" w:eastAsia="仿宋_GB2312" w:cs="仿宋_GB2312"/>
          <w:bCs/>
          <w:sz w:val="32"/>
          <w:szCs w:val="32"/>
        </w:rPr>
        <w:t>1.社会保障和就业（类）</w:t>
      </w:r>
      <w:r>
        <w:rPr>
          <w:rStyle w:val="18"/>
          <w:rFonts w:hint="eastAsia" w:ascii="仿宋_GB2312" w:hAnsi="仿宋_GB2312" w:eastAsia="仿宋_GB2312" w:cs="仿宋_GB2312"/>
          <w:bCs/>
          <w:sz w:val="32"/>
          <w:szCs w:val="32"/>
          <w:lang w:val="en-US" w:eastAsia="zh-CN"/>
        </w:rPr>
        <w:t>208</w:t>
      </w:r>
      <w:r>
        <w:rPr>
          <w:rStyle w:val="18"/>
          <w:rFonts w:hint="eastAsia" w:ascii="仿宋_GB2312" w:hAnsi="仿宋_GB2312" w:eastAsia="仿宋_GB2312" w:cs="仿宋_GB2312"/>
          <w:bCs/>
          <w:sz w:val="32"/>
          <w:szCs w:val="32"/>
        </w:rPr>
        <w:t>（款）</w:t>
      </w:r>
      <w:r>
        <w:rPr>
          <w:rStyle w:val="18"/>
          <w:rFonts w:hint="eastAsia" w:ascii="仿宋_GB2312" w:hAnsi="仿宋_GB2312" w:eastAsia="仿宋_GB2312" w:cs="仿宋_GB2312"/>
          <w:bCs/>
          <w:sz w:val="32"/>
          <w:szCs w:val="32"/>
          <w:lang w:val="en-US" w:eastAsia="zh-CN"/>
        </w:rPr>
        <w:t>05</w:t>
      </w:r>
      <w:r>
        <w:rPr>
          <w:rStyle w:val="18"/>
          <w:rFonts w:hint="eastAsia" w:ascii="仿宋_GB2312" w:hAnsi="仿宋_GB2312" w:eastAsia="仿宋_GB2312" w:cs="仿宋_GB2312"/>
          <w:bCs/>
          <w:sz w:val="32"/>
          <w:szCs w:val="32"/>
        </w:rPr>
        <w:t>（项）</w:t>
      </w:r>
      <w:r>
        <w:rPr>
          <w:rStyle w:val="18"/>
          <w:rFonts w:hint="eastAsia" w:ascii="仿宋_GB2312" w:hAnsi="仿宋_GB2312" w:eastAsia="仿宋_GB2312" w:cs="仿宋_GB2312"/>
          <w:bCs/>
          <w:sz w:val="32"/>
          <w:szCs w:val="32"/>
          <w:lang w:val="en-US" w:eastAsia="zh-CN"/>
        </w:rPr>
        <w:t>06</w:t>
      </w:r>
      <w:r>
        <w:rPr>
          <w:rStyle w:val="18"/>
          <w:rFonts w:hint="eastAsia" w:ascii="仿宋_GB2312" w:hAnsi="仿宋_GB2312" w:eastAsia="仿宋_GB2312" w:cs="仿宋_GB2312"/>
          <w:bCs/>
          <w:sz w:val="32"/>
          <w:szCs w:val="32"/>
        </w:rPr>
        <w:t>:</w:t>
      </w:r>
      <w:r>
        <w:rPr>
          <w:rStyle w:val="18"/>
          <w:rFonts w:hint="eastAsia" w:ascii="仿宋_GB2312" w:hAnsi="仿宋_GB2312" w:eastAsia="仿宋_GB2312" w:cs="仿宋_GB2312"/>
          <w:b w:val="0"/>
          <w:bCs/>
          <w:sz w:val="32"/>
          <w:szCs w:val="32"/>
        </w:rPr>
        <w:t>支出决算为</w:t>
      </w:r>
      <w:r>
        <w:rPr>
          <w:rFonts w:hint="eastAsia" w:ascii="仿宋_GB2312" w:hAnsi="仿宋_GB2312" w:eastAsia="仿宋_GB2312" w:cs="仿宋_GB2312"/>
          <w:color w:val="auto"/>
          <w:sz w:val="32"/>
          <w:szCs w:val="32"/>
          <w:highlight w:val="none"/>
          <w:lang w:val="en-US" w:eastAsia="zh-CN"/>
        </w:rPr>
        <w:t>40.34</w:t>
      </w:r>
      <w:r>
        <w:rPr>
          <w:rFonts w:hint="eastAsia" w:ascii="仿宋_GB2312" w:hAnsi="仿宋_GB2312" w:eastAsia="仿宋_GB2312" w:cs="仿宋_GB2312"/>
          <w:color w:val="auto"/>
          <w:sz w:val="32"/>
          <w:szCs w:val="32"/>
          <w:highlight w:val="none"/>
        </w:rPr>
        <w:t>万元，</w:t>
      </w:r>
      <w:r>
        <w:rPr>
          <w:rStyle w:val="18"/>
          <w:rFonts w:hint="eastAsia" w:ascii="仿宋_GB2312" w:hAnsi="仿宋_GB2312" w:eastAsia="仿宋_GB2312" w:cs="仿宋_GB2312"/>
          <w:b w:val="0"/>
          <w:bCs/>
          <w:sz w:val="32"/>
          <w:szCs w:val="32"/>
        </w:rPr>
        <w:t>完成预算</w:t>
      </w:r>
      <w:r>
        <w:rPr>
          <w:rFonts w:hint="eastAsia" w:ascii="仿宋_GB2312" w:hAnsi="仿宋_GB2312" w:eastAsia="仿宋_GB2312" w:cs="仿宋_GB2312"/>
          <w:color w:val="auto"/>
          <w:sz w:val="32"/>
          <w:szCs w:val="32"/>
          <w:highlight w:val="none"/>
          <w:lang w:val="en-US" w:eastAsia="zh-CN"/>
        </w:rPr>
        <w:t>16.55</w:t>
      </w:r>
      <w:r>
        <w:rPr>
          <w:rFonts w:hint="eastAsia" w:ascii="仿宋_GB2312" w:hAnsi="仿宋_GB2312" w:eastAsia="仿宋_GB2312" w:cs="仿宋_GB2312"/>
          <w:color w:val="auto"/>
          <w:sz w:val="32"/>
          <w:szCs w:val="32"/>
          <w:highlight w:val="none"/>
        </w:rPr>
        <w:t>%</w:t>
      </w:r>
      <w:r>
        <w:rPr>
          <w:rStyle w:val="18"/>
          <w:rFonts w:hint="eastAsia" w:ascii="仿宋_GB2312" w:hAnsi="仿宋_GB2312" w:eastAsia="仿宋_GB2312" w:cs="仿宋_GB2312"/>
          <w:b w:val="0"/>
          <w:bCs/>
          <w:sz w:val="32"/>
          <w:szCs w:val="32"/>
        </w:rPr>
        <w:t>。</w:t>
      </w:r>
    </w:p>
    <w:p w14:paraId="752ABD57">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b/>
          <w:sz w:val="32"/>
          <w:szCs w:val="32"/>
        </w:rPr>
      </w:pPr>
      <w:r>
        <w:rPr>
          <w:rStyle w:val="18"/>
          <w:rFonts w:hint="eastAsia" w:ascii="仿宋_GB2312" w:hAnsi="仿宋_GB2312" w:eastAsia="仿宋_GB2312" w:cs="仿宋_GB2312"/>
          <w:bCs/>
          <w:sz w:val="32"/>
          <w:szCs w:val="32"/>
        </w:rPr>
        <w:t>2.</w:t>
      </w:r>
      <w:r>
        <w:rPr>
          <w:rFonts w:hint="eastAsia" w:ascii="仿宋_GB2312" w:hAnsi="仿宋_GB2312" w:eastAsia="仿宋_GB2312" w:cs="仿宋_GB2312"/>
          <w:b/>
          <w:bCs/>
          <w:sz w:val="32"/>
          <w:szCs w:val="32"/>
        </w:rPr>
        <w:t>卫生健康</w:t>
      </w:r>
      <w:r>
        <w:rPr>
          <w:rStyle w:val="18"/>
          <w:rFonts w:hint="eastAsia" w:ascii="仿宋_GB2312" w:hAnsi="仿宋_GB2312" w:eastAsia="仿宋_GB2312" w:cs="仿宋_GB2312"/>
          <w:bCs/>
          <w:sz w:val="32"/>
          <w:szCs w:val="32"/>
        </w:rPr>
        <w:t>（类）</w:t>
      </w:r>
      <w:r>
        <w:rPr>
          <w:rStyle w:val="18"/>
          <w:rFonts w:hint="eastAsia" w:ascii="仿宋_GB2312" w:hAnsi="仿宋_GB2312" w:eastAsia="仿宋_GB2312" w:cs="仿宋_GB2312"/>
          <w:bCs/>
          <w:sz w:val="32"/>
          <w:szCs w:val="32"/>
          <w:lang w:val="en-US" w:eastAsia="zh-CN"/>
        </w:rPr>
        <w:t>210</w:t>
      </w:r>
      <w:r>
        <w:rPr>
          <w:rStyle w:val="18"/>
          <w:rFonts w:hint="eastAsia" w:ascii="仿宋_GB2312" w:hAnsi="仿宋_GB2312" w:eastAsia="仿宋_GB2312" w:cs="仿宋_GB2312"/>
          <w:bCs/>
          <w:sz w:val="32"/>
          <w:szCs w:val="32"/>
        </w:rPr>
        <w:t>（款）</w:t>
      </w:r>
      <w:r>
        <w:rPr>
          <w:rStyle w:val="18"/>
          <w:rFonts w:hint="eastAsia" w:ascii="仿宋_GB2312" w:hAnsi="仿宋_GB2312" w:eastAsia="仿宋_GB2312" w:cs="仿宋_GB2312"/>
          <w:bCs/>
          <w:sz w:val="32"/>
          <w:szCs w:val="32"/>
          <w:lang w:val="en-US" w:eastAsia="zh-CN"/>
        </w:rPr>
        <w:t>11</w:t>
      </w:r>
      <w:r>
        <w:rPr>
          <w:rStyle w:val="18"/>
          <w:rFonts w:hint="eastAsia" w:ascii="仿宋_GB2312" w:hAnsi="仿宋_GB2312" w:eastAsia="仿宋_GB2312" w:cs="仿宋_GB2312"/>
          <w:bCs/>
          <w:sz w:val="32"/>
          <w:szCs w:val="32"/>
        </w:rPr>
        <w:t>（项）:</w:t>
      </w:r>
      <w:r>
        <w:rPr>
          <w:rStyle w:val="18"/>
          <w:rFonts w:hint="eastAsia" w:ascii="仿宋_GB2312" w:hAnsi="仿宋_GB2312" w:eastAsia="仿宋_GB2312" w:cs="仿宋_GB2312"/>
          <w:b w:val="0"/>
          <w:bCs/>
          <w:sz w:val="32"/>
          <w:szCs w:val="32"/>
        </w:rPr>
        <w:t>支出决算为</w:t>
      </w:r>
      <w:r>
        <w:rPr>
          <w:rFonts w:hint="eastAsia" w:ascii="仿宋_GB2312" w:hAnsi="仿宋_GB2312" w:eastAsia="仿宋_GB2312" w:cs="仿宋_GB2312"/>
          <w:color w:val="auto"/>
          <w:sz w:val="32"/>
          <w:szCs w:val="32"/>
          <w:highlight w:val="none"/>
          <w:lang w:val="en-US" w:eastAsia="zh-CN"/>
        </w:rPr>
        <w:t>13.96</w:t>
      </w:r>
      <w:r>
        <w:rPr>
          <w:rStyle w:val="18"/>
          <w:rFonts w:hint="eastAsia" w:ascii="仿宋_GB2312" w:hAnsi="仿宋_GB2312" w:eastAsia="仿宋_GB2312" w:cs="仿宋_GB2312"/>
          <w:b w:val="0"/>
          <w:bCs/>
          <w:sz w:val="32"/>
          <w:szCs w:val="32"/>
        </w:rPr>
        <w:t>万元，完成预算</w:t>
      </w:r>
      <w:r>
        <w:rPr>
          <w:rStyle w:val="18"/>
          <w:rFonts w:hint="eastAsia" w:ascii="仿宋_GB2312" w:hAnsi="仿宋_GB2312" w:eastAsia="仿宋_GB2312" w:cs="仿宋_GB2312"/>
          <w:b w:val="0"/>
          <w:bCs/>
          <w:sz w:val="32"/>
          <w:szCs w:val="32"/>
          <w:lang w:val="en-US" w:eastAsia="zh-CN"/>
        </w:rPr>
        <w:t>5.73</w:t>
      </w:r>
      <w:r>
        <w:rPr>
          <w:rStyle w:val="18"/>
          <w:rFonts w:hint="eastAsia" w:ascii="仿宋_GB2312" w:hAnsi="仿宋_GB2312" w:eastAsia="仿宋_GB2312" w:cs="仿宋_GB2312"/>
          <w:b w:val="0"/>
          <w:bCs/>
          <w:sz w:val="32"/>
          <w:szCs w:val="32"/>
        </w:rPr>
        <w:t>%。</w:t>
      </w:r>
    </w:p>
    <w:p w14:paraId="32CD4B53">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b/>
          <w:sz w:val="32"/>
          <w:szCs w:val="32"/>
        </w:rPr>
      </w:pPr>
      <w:r>
        <w:rPr>
          <w:rStyle w:val="18"/>
          <w:rFonts w:hint="eastAsia" w:ascii="仿宋_GB2312" w:hAnsi="仿宋_GB2312" w:eastAsia="仿宋_GB2312" w:cs="仿宋_GB2312"/>
          <w:bCs/>
          <w:sz w:val="32"/>
          <w:szCs w:val="32"/>
        </w:rPr>
        <w:t>3.</w:t>
      </w:r>
      <w:r>
        <w:rPr>
          <w:rFonts w:hint="eastAsia" w:ascii="仿宋_GB2312" w:hAnsi="仿宋_GB2312" w:eastAsia="仿宋_GB2312" w:cs="仿宋_GB2312"/>
          <w:b/>
          <w:bCs/>
          <w:sz w:val="32"/>
          <w:szCs w:val="32"/>
        </w:rPr>
        <w:t>住房保障支出</w:t>
      </w:r>
      <w:r>
        <w:rPr>
          <w:rStyle w:val="18"/>
          <w:rFonts w:hint="eastAsia" w:ascii="仿宋_GB2312" w:hAnsi="仿宋_GB2312" w:eastAsia="仿宋_GB2312" w:cs="仿宋_GB2312"/>
          <w:bCs/>
          <w:sz w:val="32"/>
          <w:szCs w:val="32"/>
        </w:rPr>
        <w:t>（类）</w:t>
      </w:r>
      <w:r>
        <w:rPr>
          <w:rStyle w:val="18"/>
          <w:rFonts w:hint="eastAsia" w:ascii="仿宋_GB2312" w:hAnsi="仿宋_GB2312" w:eastAsia="仿宋_GB2312" w:cs="仿宋_GB2312"/>
          <w:bCs/>
          <w:sz w:val="32"/>
          <w:szCs w:val="32"/>
          <w:lang w:val="en-US" w:eastAsia="zh-CN"/>
        </w:rPr>
        <w:t>221</w:t>
      </w:r>
      <w:r>
        <w:rPr>
          <w:rStyle w:val="18"/>
          <w:rFonts w:hint="eastAsia" w:ascii="仿宋_GB2312" w:hAnsi="仿宋_GB2312" w:eastAsia="仿宋_GB2312" w:cs="仿宋_GB2312"/>
          <w:bCs/>
          <w:sz w:val="32"/>
          <w:szCs w:val="32"/>
        </w:rPr>
        <w:t>（款）</w:t>
      </w:r>
      <w:r>
        <w:rPr>
          <w:rStyle w:val="18"/>
          <w:rFonts w:hint="eastAsia" w:ascii="仿宋_GB2312" w:hAnsi="仿宋_GB2312" w:eastAsia="仿宋_GB2312" w:cs="仿宋_GB2312"/>
          <w:bCs/>
          <w:sz w:val="32"/>
          <w:szCs w:val="32"/>
          <w:lang w:val="en-US" w:eastAsia="zh-CN"/>
        </w:rPr>
        <w:t>02</w:t>
      </w:r>
      <w:r>
        <w:rPr>
          <w:rStyle w:val="18"/>
          <w:rFonts w:hint="eastAsia" w:ascii="仿宋_GB2312" w:hAnsi="仿宋_GB2312" w:eastAsia="仿宋_GB2312" w:cs="仿宋_GB2312"/>
          <w:bCs/>
          <w:sz w:val="32"/>
          <w:szCs w:val="32"/>
        </w:rPr>
        <w:t>（项）</w:t>
      </w:r>
      <w:r>
        <w:rPr>
          <w:rStyle w:val="18"/>
          <w:rFonts w:hint="eastAsia" w:ascii="仿宋_GB2312" w:hAnsi="仿宋_GB2312" w:eastAsia="仿宋_GB2312" w:cs="仿宋_GB2312"/>
          <w:bCs/>
          <w:sz w:val="32"/>
          <w:szCs w:val="32"/>
          <w:lang w:val="en-US" w:eastAsia="zh-CN"/>
        </w:rPr>
        <w:t>01</w:t>
      </w:r>
      <w:r>
        <w:rPr>
          <w:rStyle w:val="18"/>
          <w:rFonts w:hint="eastAsia" w:ascii="仿宋_GB2312" w:hAnsi="仿宋_GB2312" w:eastAsia="仿宋_GB2312" w:cs="仿宋_GB2312"/>
          <w:bCs/>
          <w:sz w:val="32"/>
          <w:szCs w:val="32"/>
        </w:rPr>
        <w:t>:</w:t>
      </w:r>
      <w:r>
        <w:rPr>
          <w:rStyle w:val="18"/>
          <w:rFonts w:hint="eastAsia" w:ascii="仿宋_GB2312" w:hAnsi="仿宋_GB2312" w:eastAsia="仿宋_GB2312" w:cs="仿宋_GB2312"/>
          <w:b w:val="0"/>
          <w:bCs/>
          <w:sz w:val="32"/>
          <w:szCs w:val="32"/>
        </w:rPr>
        <w:t>支出决算为</w:t>
      </w:r>
      <w:r>
        <w:rPr>
          <w:rFonts w:hint="eastAsia" w:ascii="仿宋_GB2312" w:hAnsi="仿宋_GB2312" w:eastAsia="仿宋_GB2312" w:cs="仿宋_GB2312"/>
          <w:color w:val="auto"/>
          <w:sz w:val="32"/>
          <w:szCs w:val="32"/>
          <w:highlight w:val="none"/>
          <w:lang w:val="en-US" w:eastAsia="zh-CN"/>
        </w:rPr>
        <w:t>22.37</w:t>
      </w:r>
      <w:r>
        <w:rPr>
          <w:rStyle w:val="18"/>
          <w:rFonts w:hint="eastAsia" w:ascii="仿宋_GB2312" w:hAnsi="仿宋_GB2312" w:eastAsia="仿宋_GB2312" w:cs="仿宋_GB2312"/>
          <w:b w:val="0"/>
          <w:bCs/>
          <w:sz w:val="32"/>
          <w:szCs w:val="32"/>
        </w:rPr>
        <w:t>万元，完成预算</w:t>
      </w:r>
      <w:r>
        <w:rPr>
          <w:rFonts w:hint="eastAsia" w:ascii="仿宋_GB2312" w:hAnsi="仿宋_GB2312" w:eastAsia="仿宋_GB2312" w:cs="仿宋_GB2312"/>
          <w:color w:val="auto"/>
          <w:sz w:val="32"/>
          <w:szCs w:val="32"/>
          <w:highlight w:val="none"/>
          <w:lang w:val="en-US" w:eastAsia="zh-CN"/>
        </w:rPr>
        <w:t>9.17</w:t>
      </w:r>
      <w:r>
        <w:rPr>
          <w:rStyle w:val="18"/>
          <w:rFonts w:hint="eastAsia" w:ascii="仿宋_GB2312" w:hAnsi="仿宋_GB2312" w:eastAsia="仿宋_GB2312" w:cs="仿宋_GB2312"/>
          <w:b w:val="0"/>
          <w:bCs/>
          <w:sz w:val="32"/>
          <w:szCs w:val="32"/>
        </w:rPr>
        <w:t>%。</w:t>
      </w:r>
    </w:p>
    <w:p w14:paraId="5DD0E1F9">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b/>
          <w:sz w:val="32"/>
          <w:szCs w:val="32"/>
        </w:rPr>
      </w:pPr>
      <w:r>
        <w:rPr>
          <w:rStyle w:val="18"/>
          <w:rFonts w:hint="eastAsia" w:ascii="仿宋_GB2312" w:hAnsi="仿宋_GB2312" w:eastAsia="仿宋_GB2312" w:cs="仿宋_GB2312"/>
          <w:bCs/>
          <w:sz w:val="32"/>
          <w:szCs w:val="32"/>
        </w:rPr>
        <w:t>4.</w:t>
      </w:r>
      <w:r>
        <w:rPr>
          <w:rFonts w:hint="eastAsia" w:ascii="仿宋_GB2312" w:hAnsi="仿宋_GB2312" w:eastAsia="仿宋_GB2312" w:cs="仿宋_GB2312"/>
          <w:b/>
          <w:sz w:val="32"/>
          <w:szCs w:val="32"/>
          <w:lang w:eastAsia="zh-CN"/>
        </w:rPr>
        <w:t>节能环保</w:t>
      </w:r>
      <w:r>
        <w:rPr>
          <w:rFonts w:hint="eastAsia" w:ascii="仿宋_GB2312" w:hAnsi="仿宋_GB2312" w:eastAsia="仿宋_GB2312" w:cs="仿宋_GB2312"/>
          <w:b/>
          <w:bCs/>
          <w:sz w:val="32"/>
          <w:szCs w:val="32"/>
        </w:rPr>
        <w:t>支出</w:t>
      </w:r>
      <w:r>
        <w:rPr>
          <w:rStyle w:val="18"/>
          <w:rFonts w:hint="eastAsia" w:ascii="仿宋_GB2312" w:hAnsi="仿宋_GB2312" w:eastAsia="仿宋_GB2312" w:cs="仿宋_GB2312"/>
          <w:bCs/>
          <w:sz w:val="32"/>
          <w:szCs w:val="32"/>
        </w:rPr>
        <w:t>（类）</w:t>
      </w:r>
      <w:r>
        <w:rPr>
          <w:rStyle w:val="18"/>
          <w:rFonts w:hint="eastAsia" w:ascii="仿宋_GB2312" w:hAnsi="仿宋_GB2312" w:eastAsia="仿宋_GB2312" w:cs="仿宋_GB2312"/>
          <w:bCs/>
          <w:sz w:val="32"/>
          <w:szCs w:val="32"/>
          <w:lang w:val="en-US" w:eastAsia="zh-CN"/>
        </w:rPr>
        <w:t>211</w:t>
      </w:r>
      <w:r>
        <w:rPr>
          <w:rStyle w:val="18"/>
          <w:rFonts w:hint="eastAsia" w:ascii="仿宋_GB2312" w:hAnsi="仿宋_GB2312" w:eastAsia="仿宋_GB2312" w:cs="仿宋_GB2312"/>
          <w:bCs/>
          <w:sz w:val="32"/>
          <w:szCs w:val="32"/>
        </w:rPr>
        <w:t>（款）</w:t>
      </w:r>
      <w:r>
        <w:rPr>
          <w:rStyle w:val="18"/>
          <w:rFonts w:hint="eastAsia" w:ascii="仿宋_GB2312" w:hAnsi="仿宋_GB2312" w:eastAsia="仿宋_GB2312" w:cs="仿宋_GB2312"/>
          <w:bCs/>
          <w:sz w:val="32"/>
          <w:szCs w:val="32"/>
          <w:lang w:val="en-US" w:eastAsia="zh-CN"/>
        </w:rPr>
        <w:t>01</w:t>
      </w:r>
      <w:r>
        <w:rPr>
          <w:rStyle w:val="18"/>
          <w:rFonts w:hint="eastAsia" w:ascii="仿宋_GB2312" w:hAnsi="仿宋_GB2312" w:eastAsia="仿宋_GB2312" w:cs="仿宋_GB2312"/>
          <w:bCs/>
          <w:sz w:val="32"/>
          <w:szCs w:val="32"/>
        </w:rPr>
        <w:t>（项）:</w:t>
      </w:r>
      <w:r>
        <w:rPr>
          <w:rStyle w:val="18"/>
          <w:rFonts w:hint="eastAsia" w:ascii="仿宋_GB2312" w:hAnsi="仿宋_GB2312" w:eastAsia="仿宋_GB2312" w:cs="仿宋_GB2312"/>
          <w:b w:val="0"/>
          <w:bCs/>
          <w:sz w:val="32"/>
          <w:szCs w:val="32"/>
        </w:rPr>
        <w:t xml:space="preserve"> 支出决算为</w:t>
      </w:r>
      <w:r>
        <w:rPr>
          <w:rFonts w:hint="eastAsia" w:ascii="仿宋_GB2312" w:hAnsi="仿宋_GB2312" w:eastAsia="仿宋_GB2312" w:cs="仿宋_GB2312"/>
          <w:sz w:val="32"/>
          <w:szCs w:val="32"/>
          <w:lang w:val="en-US" w:eastAsia="zh-CN"/>
        </w:rPr>
        <w:t>167.09</w:t>
      </w:r>
      <w:r>
        <w:rPr>
          <w:rStyle w:val="18"/>
          <w:rFonts w:hint="eastAsia" w:ascii="仿宋_GB2312" w:hAnsi="仿宋_GB2312" w:eastAsia="仿宋_GB2312" w:cs="仿宋_GB2312"/>
          <w:b w:val="0"/>
          <w:bCs/>
          <w:sz w:val="32"/>
          <w:szCs w:val="32"/>
        </w:rPr>
        <w:t>万元，完成预算</w:t>
      </w:r>
      <w:r>
        <w:rPr>
          <w:rStyle w:val="18"/>
          <w:rFonts w:hint="eastAsia" w:ascii="仿宋_GB2312" w:hAnsi="仿宋_GB2312" w:eastAsia="仿宋_GB2312" w:cs="仿宋_GB2312"/>
          <w:b w:val="0"/>
          <w:bCs/>
          <w:sz w:val="32"/>
          <w:szCs w:val="32"/>
          <w:lang w:val="en-US" w:eastAsia="zh-CN"/>
        </w:rPr>
        <w:t>68.55</w:t>
      </w:r>
      <w:r>
        <w:rPr>
          <w:rStyle w:val="18"/>
          <w:rFonts w:hint="eastAsia" w:ascii="仿宋_GB2312" w:hAnsi="仿宋_GB2312" w:eastAsia="仿宋_GB2312" w:cs="仿宋_GB2312"/>
          <w:b w:val="0"/>
          <w:bCs/>
          <w:sz w:val="32"/>
          <w:szCs w:val="32"/>
        </w:rPr>
        <w:t>%。</w:t>
      </w:r>
    </w:p>
    <w:p w14:paraId="628F6FB7">
      <w:pPr>
        <w:spacing w:line="600" w:lineRule="exact"/>
        <w:ind w:firstLine="640"/>
        <w:rPr>
          <w:rFonts w:hint="eastAsia" w:ascii="仿宋_GB2312" w:hAnsi="仿宋_GB2312"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（注：仅罗列本部门涉及的全部功能分类科目，至项级。上述“预算”口径为全年预算数。增减变动原因为决算数&lt;项级&gt;和全年预算数&lt;项级&gt;比较，与预算数持平可以不写原因）</w:t>
      </w:r>
    </w:p>
    <w:p w14:paraId="3A2AF697">
      <w:pPr>
        <w:tabs>
          <w:tab w:val="right" w:pos="8306"/>
        </w:tabs>
        <w:spacing w:line="600" w:lineRule="exact"/>
        <w:ind w:firstLine="640"/>
        <w:outlineLvl w:val="1"/>
        <w:rPr>
          <w:rStyle w:val="30"/>
          <w:rFonts w:ascii="Times New Roman" w:hAnsi="Times New Roman"/>
          <w:color w:val="auto"/>
          <w:highlight w:val="none"/>
        </w:rPr>
      </w:pPr>
      <w:bookmarkStart w:id="34" w:name="_Toc15396608"/>
      <w:bookmarkStart w:id="35"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34"/>
      <w:bookmarkEnd w:id="35"/>
      <w:r>
        <w:rPr>
          <w:rStyle w:val="30"/>
          <w:rFonts w:ascii="Times New Roman" w:hAnsi="Times New Roman" w:eastAsia="黑体"/>
          <w:b w:val="0"/>
          <w:color w:val="auto"/>
          <w:highlight w:val="none"/>
        </w:rPr>
        <w:tab/>
      </w:r>
    </w:p>
    <w:p w14:paraId="796B04EF">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2025年度一般公共预算财政拨款基本支出</w:t>
      </w:r>
      <w:r>
        <w:rPr>
          <w:rFonts w:hint="eastAsia" w:ascii="仿宋_GB2312" w:hAnsi="仿宋_GB2312" w:eastAsia="仿宋_GB2312" w:cs="仿宋_GB2312"/>
          <w:color w:val="auto"/>
          <w:sz w:val="32"/>
          <w:szCs w:val="32"/>
          <w:lang w:val="en-US" w:eastAsia="zh-CN"/>
        </w:rPr>
        <w:t>243.76</w:t>
      </w:r>
      <w:r>
        <w:rPr>
          <w:rFonts w:hint="eastAsia" w:ascii="仿宋_GB2312" w:hAnsi="仿宋_GB2312" w:eastAsia="仿宋_GB2312" w:cs="仿宋_GB2312"/>
          <w:color w:val="auto"/>
          <w:kern w:val="2"/>
          <w:sz w:val="32"/>
          <w:szCs w:val="32"/>
          <w:highlight w:val="none"/>
          <w:lang w:val="en-US" w:eastAsia="zh-CN" w:bidi="ar-SA"/>
        </w:rPr>
        <w:t>万元，其中：</w:t>
      </w:r>
    </w:p>
    <w:p w14:paraId="1CEE7244">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color w:val="auto"/>
          <w:sz w:val="32"/>
          <w:szCs w:val="32"/>
          <w:lang w:val="en-US" w:eastAsia="zh-CN"/>
        </w:rPr>
        <w:t>214.77</w:t>
      </w:r>
      <w:r>
        <w:rPr>
          <w:rFonts w:hint="eastAsia" w:ascii="仿宋_GB2312" w:hAnsi="仿宋_GB2312" w:eastAsia="仿宋_GB2312" w:cs="仿宋_GB2312"/>
          <w:color w:val="auto"/>
          <w:kern w:val="2"/>
          <w:sz w:val="32"/>
          <w:szCs w:val="32"/>
          <w:highlight w:val="none"/>
          <w:lang w:val="en-US" w:eastAsia="zh-CN" w:bidi="ar-SA"/>
        </w:rPr>
        <w:t>万元，主要包括：基本工资59.75万元、津贴补贴21.45万元、奖励金0.45万元、绩效工资55.18万元、机关事业单位基本养老保险缴费26.92万元、职业年金缴费13.42万元、职工基本医疗保险缴费11.48万元、其他社会保障缴费3.75万元、住房公积金22.37万元。</w:t>
      </w:r>
    </w:p>
    <w:p w14:paraId="30E62CE0">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公用经费</w:t>
      </w:r>
      <w:r>
        <w:rPr>
          <w:rFonts w:hint="eastAsia" w:ascii="仿宋_GB2312" w:hAnsi="仿宋_GB2312" w:eastAsia="仿宋_GB2312" w:cs="仿宋_GB2312"/>
          <w:sz w:val="32"/>
          <w:szCs w:val="32"/>
          <w:lang w:val="en-US" w:eastAsia="zh-CN"/>
        </w:rPr>
        <w:t>28.99</w:t>
      </w:r>
      <w:r>
        <w:rPr>
          <w:rFonts w:hint="eastAsia" w:ascii="仿宋_GB2312" w:hAnsi="仿宋_GB2312" w:eastAsia="仿宋_GB2312" w:cs="仿宋_GB2312"/>
          <w:color w:val="auto"/>
          <w:kern w:val="2"/>
          <w:sz w:val="32"/>
          <w:szCs w:val="32"/>
          <w:highlight w:val="none"/>
          <w:lang w:val="en-US" w:eastAsia="zh-CN" w:bidi="ar-SA"/>
        </w:rPr>
        <w:t>万元，主要包括：办公费2.63万元、电费0.6万元、邮电费1.64万元、差旅费6.2万元、维修（护）费9.52万元、培训费1.07万元、福利费2.52万元、其他商品和服务支出4.81万元。</w:t>
      </w:r>
    </w:p>
    <w:p w14:paraId="697C0041">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（注：仅罗列本部门实际支出涉及的经济分类科目）</w:t>
      </w:r>
    </w:p>
    <w:p w14:paraId="17DE0144">
      <w:pPr>
        <w:spacing w:line="600" w:lineRule="exact"/>
        <w:ind w:firstLine="640"/>
        <w:outlineLvl w:val="1"/>
        <w:rPr>
          <w:rStyle w:val="30"/>
          <w:rFonts w:ascii="Times New Roman" w:hAnsi="Times New Roman" w:eastAsia="黑体"/>
          <w:b w:val="0"/>
          <w:color w:val="auto"/>
          <w:highlight w:val="none"/>
        </w:rPr>
      </w:pPr>
      <w:bookmarkStart w:id="36" w:name="_Toc15396609"/>
      <w:bookmarkStart w:id="37" w:name="_Toc15377215"/>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36"/>
      <w:bookmarkEnd w:id="37"/>
    </w:p>
    <w:p w14:paraId="41C0765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8" w:name="_Toc15377216"/>
      <w:r>
        <w:rPr>
          <w:rFonts w:hint="eastAsia" w:ascii="Times New Roman" w:hAnsi="Times New Roman" w:eastAsia="楷体_GB2312" w:cs="楷体_GB2312"/>
          <w:b/>
          <w:color w:val="auto"/>
          <w:sz w:val="32"/>
          <w:szCs w:val="32"/>
          <w:highlight w:val="none"/>
        </w:rPr>
        <w:t>（一）</w:t>
      </w:r>
      <w:r>
        <w:rPr>
          <w:rFonts w:hint="eastAsia" w:eastAsia="楷体_GB2312" w:cs="楷体_GB2312"/>
          <w:b/>
          <w:color w:val="auto"/>
          <w:sz w:val="32"/>
          <w:szCs w:val="32"/>
          <w:highlight w:val="none"/>
          <w:lang w:eastAsia="zh-CN"/>
        </w:rPr>
        <w:t>财政拨款</w:t>
      </w:r>
      <w:r>
        <w:rPr>
          <w:rFonts w:hint="eastAsia" w:ascii="Times New Roman" w:hAnsi="Times New Roman" w:eastAsia="楷体_GB2312" w:cs="楷体_GB2312"/>
          <w:b/>
          <w:color w:val="auto"/>
          <w:sz w:val="32"/>
          <w:szCs w:val="32"/>
          <w:highlight w:val="none"/>
        </w:rPr>
        <w:t>“三公”经费支出决算总体情况说明</w:t>
      </w:r>
      <w:bookmarkEnd w:id="38"/>
    </w:p>
    <w:p w14:paraId="67078E85">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2025年度财政拨款“三公”经费支出决算为0万元，完成预算0%，较上年度无变化，增长0%。</w:t>
      </w:r>
    </w:p>
    <w:p w14:paraId="12BC8B32">
      <w:pPr>
        <w:spacing w:line="600" w:lineRule="exact"/>
        <w:ind w:firstLine="643" w:firstLineChars="200"/>
        <w:outlineLvl w:val="2"/>
        <w:rPr>
          <w:rFonts w:hint="eastAsia" w:ascii="Times New Roman" w:hAnsi="Times New Roman" w:eastAsia="仿宋_GB2312" w:cs="仿宋_GB2312"/>
          <w:b/>
          <w:bCs/>
          <w:color w:val="auto"/>
          <w:kern w:val="2"/>
          <w:sz w:val="32"/>
          <w:szCs w:val="32"/>
          <w:highlight w:val="none"/>
          <w:lang w:val="en-US" w:eastAsia="zh-CN" w:bidi="ar-SA"/>
        </w:rPr>
      </w:pPr>
      <w:bookmarkStart w:id="39" w:name="_Toc15377217"/>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（注：上述“预算”口径为全年预算数，包括一般公共预算和政府性基金预算财政拨款支出决算情况，与预算数持平可以不写原因）</w:t>
      </w:r>
    </w:p>
    <w:p w14:paraId="479C75A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（二）财政拨款“三公”经费支出决算具体情况说明</w:t>
      </w:r>
      <w:bookmarkEnd w:id="39"/>
    </w:p>
    <w:p w14:paraId="43E30F6B">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2025年度财政拨款“三公”经费支出决算中，因公出国（境）费支出决算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万元，占0%；公务用车购置及运行维护费支出决算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万元，占0%；公务接待费支出决算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万元，占0%。具体情况如下：</w:t>
      </w:r>
    </w:p>
    <w:p w14:paraId="4859659F">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（图7：财政拨款“三公”经费支出结构）（饼状图）</w:t>
      </w:r>
    </w:p>
    <w:p w14:paraId="490F7074">
      <w:pPr>
        <w:pStyle w:val="2"/>
        <w:rPr>
          <w:rFonts w:hint="eastAsia"/>
          <w:lang w:val="en-US" w:eastAsia="zh-CN"/>
        </w:rPr>
      </w:pPr>
    </w:p>
    <w:p w14:paraId="7E1A95BC">
      <w:pPr>
        <w:pStyle w:val="8"/>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eastAsia="宋体"/>
          <w:lang w:eastAsia="zh-CN"/>
        </w:rPr>
        <w:object>
          <v:shape id="_x0000_i1031" o:spt="75" type="#_x0000_t75" style="height:228.75pt;width:366.75pt;" o:ole="t" filled="f" o:preferrelative="t" stroked="f" coordsize="21600,21600">
            <v:path/>
            <v:fill on="f" focussize="0,0"/>
            <v:stroke on="f"/>
            <v:imagedata r:id="rId25" o:title=""/>
            <o:lock v:ext="edit" aspectratio="t"/>
            <w10:wrap type="none"/>
            <w10:anchorlock/>
          </v:shape>
          <o:OLEObject Type="Embed" ProgID="Excel.Chart.8" ShapeID="_x0000_i1031" DrawAspect="Content" ObjectID="_1468075731" r:id="rId24">
            <o:LockedField>false</o:LockedField>
          </o:OLEObject>
        </w:object>
      </w:r>
    </w:p>
    <w:p w14:paraId="3F69279E">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1.因公出国（境）经费支出0万元，完成预算0%。</w:t>
      </w:r>
      <w:r>
        <w:rPr>
          <w:rFonts w:hint="eastAsia" w:ascii="仿宋_GB2312" w:hAnsi="仿宋_GB2312"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人。因公出国（境）支出决算比</w:t>
      </w:r>
      <w:r>
        <w:rPr>
          <w:rFonts w:hint="eastAsia" w:ascii="仿宋_GB2312" w:hAnsi="仿宋_GB2312" w:eastAsia="仿宋_GB2312" w:cs="仿宋_GB2312"/>
          <w:color w:val="auto"/>
          <w:sz w:val="32"/>
          <w:szCs w:val="32"/>
          <w:highlight w:val="none"/>
          <w:lang w:eastAsia="zh-CN"/>
        </w:rPr>
        <w:t>上</w:t>
      </w:r>
      <w:r>
        <w:rPr>
          <w:rFonts w:hint="eastAsia" w:ascii="仿宋_GB2312" w:hAnsi="仿宋_GB2312" w:eastAsia="仿宋_GB2312" w:cs="仿宋_GB2312"/>
          <w:color w:val="auto"/>
          <w:kern w:val="2"/>
          <w:sz w:val="32"/>
          <w:szCs w:val="32"/>
          <w:highlight w:val="none"/>
          <w:lang w:val="en-US" w:eastAsia="zh-CN" w:bidi="ar-SA"/>
        </w:rPr>
        <w:t>年度增加/减少0万元，增长/下降0%。主要原因是</w:t>
      </w:r>
      <w:r>
        <w:rPr>
          <w:rFonts w:hint="eastAsia" w:ascii="仿宋_GB2312" w:eastAsia="仿宋_GB2312"/>
          <w:sz w:val="32"/>
          <w:szCs w:val="32"/>
          <w:lang w:eastAsia="zh-CN"/>
        </w:rPr>
        <w:t>厉行节约</w:t>
      </w:r>
    </w:p>
    <w:p w14:paraId="795E3638">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2.公务用车购置及运行维护费支出0万元，完成预算0%。</w:t>
      </w:r>
      <w:r>
        <w:rPr>
          <w:rFonts w:hint="eastAsia" w:ascii="仿宋_GB2312" w:hAnsi="仿宋_GB2312" w:eastAsia="仿宋_GB2312" w:cs="仿宋_GB2312"/>
          <w:color w:val="auto"/>
          <w:kern w:val="2"/>
          <w:sz w:val="32"/>
          <w:szCs w:val="32"/>
          <w:highlight w:val="none"/>
          <w:lang w:val="en-US" w:eastAsia="zh-CN" w:bidi="ar-SA"/>
        </w:rPr>
        <w:t>公务用车购置及运行维护费支出决算比上年度无变化，增长/下降0%。主要原因是2025年监测站无车辆购置，运行维护费在局里面支出。</w:t>
      </w:r>
    </w:p>
    <w:p w14:paraId="0830F957">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万元。全年按规定更新购置公务用车0辆，其中：轿车0辆、金额0万元，越野车0辆、金额0万元，载客汽车0辆、金额0万元。截至2025年12月31日，单位共有公务用车0辆，其中：轿车0辆、越野车0辆、载客汽车0辆。</w:t>
      </w:r>
    </w:p>
    <w:p w14:paraId="31075B86">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w:t>
      </w:r>
    </w:p>
    <w:p w14:paraId="726F60A5">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3.公务接待费支出0万元，完成预算0%。</w:t>
      </w:r>
      <w:r>
        <w:rPr>
          <w:rFonts w:hint="eastAsia" w:ascii="仿宋_GB2312" w:hAnsi="仿宋_GB2312" w:eastAsia="仿宋_GB2312" w:cs="仿宋_GB2312"/>
          <w:color w:val="auto"/>
          <w:kern w:val="2"/>
          <w:sz w:val="32"/>
          <w:szCs w:val="32"/>
          <w:highlight w:val="none"/>
          <w:lang w:val="en-US" w:eastAsia="zh-CN" w:bidi="ar-SA"/>
        </w:rPr>
        <w:t>公务接待费支出决算比</w:t>
      </w:r>
      <w:r>
        <w:rPr>
          <w:rFonts w:hint="eastAsia" w:ascii="仿宋_GB2312" w:hAnsi="仿宋_GB2312" w:eastAsia="仿宋_GB2312" w:cs="仿宋_GB2312"/>
          <w:color w:val="auto"/>
          <w:sz w:val="32"/>
          <w:szCs w:val="32"/>
          <w:highlight w:val="none"/>
          <w:lang w:eastAsia="zh-CN"/>
        </w:rPr>
        <w:t>上</w:t>
      </w:r>
      <w:r>
        <w:rPr>
          <w:rFonts w:hint="eastAsia" w:ascii="仿宋_GB2312" w:hAnsi="仿宋_GB2312" w:eastAsia="仿宋_GB2312" w:cs="仿宋_GB2312"/>
          <w:color w:val="auto"/>
          <w:kern w:val="2"/>
          <w:sz w:val="32"/>
          <w:szCs w:val="32"/>
          <w:highlight w:val="none"/>
          <w:lang w:val="en-US" w:eastAsia="zh-CN" w:bidi="ar-SA"/>
        </w:rPr>
        <w:t>年度增加/减少0万元，增长/下降0%。主要原因是厉行节约。其中：</w:t>
      </w:r>
    </w:p>
    <w:p w14:paraId="37408250">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万元。国内公务接待</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人次（不包括陪同人员），共计支出0万元。</w:t>
      </w:r>
    </w:p>
    <w:p w14:paraId="3D1D7676">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人次（不包括陪同人员），共计支出0万元。</w:t>
      </w:r>
    </w:p>
    <w:p w14:paraId="5AA877C0">
      <w:pPr>
        <w:spacing w:line="600" w:lineRule="exact"/>
        <w:ind w:firstLine="640"/>
        <w:outlineLvl w:val="1"/>
        <w:rPr>
          <w:rStyle w:val="30"/>
          <w:rFonts w:ascii="Times New Roman" w:hAnsi="Times New Roman" w:eastAsia="黑体"/>
          <w:color w:val="auto"/>
          <w:highlight w:val="none"/>
        </w:rPr>
      </w:pPr>
      <w:bookmarkStart w:id="40" w:name="_Toc15396610"/>
      <w:bookmarkStart w:id="41" w:name="_Toc15377218"/>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40"/>
      <w:bookmarkEnd w:id="41"/>
    </w:p>
    <w:p w14:paraId="3D0428AB">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%。与上年度相比，政府性基金预算财政拨款支出增加/减少0万元，增长/下降0%。</w:t>
      </w:r>
    </w:p>
    <w:p w14:paraId="5989D358">
      <w:pPr>
        <w:spacing w:line="600" w:lineRule="exact"/>
        <w:ind w:firstLine="640"/>
        <w:rPr>
          <w:rFonts w:hint="eastAsia" w:ascii="仿宋_GB2312" w:hAnsi="仿宋_GB2312"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（注：支出数与上年持平可以不写原因）</w:t>
      </w:r>
    </w:p>
    <w:p w14:paraId="02490ED4">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42" w:name="_Toc15396611"/>
      <w:bookmarkStart w:id="43" w:name="_Toc15377219"/>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42"/>
      <w:bookmarkEnd w:id="43"/>
    </w:p>
    <w:p w14:paraId="27140CE8">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2024年度国有资本经营预算财政拨款支出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%。与</w:t>
      </w:r>
      <w:r>
        <w:rPr>
          <w:rFonts w:hint="eastAsia" w:ascii="仿宋_GB2312" w:hAnsi="仿宋_GB2312" w:eastAsia="仿宋_GB2312" w:cs="仿宋_GB2312"/>
          <w:color w:val="auto"/>
          <w:sz w:val="32"/>
          <w:szCs w:val="32"/>
          <w:highlight w:val="none"/>
          <w:lang w:eastAsia="zh-CN"/>
        </w:rPr>
        <w:t>上</w:t>
      </w:r>
      <w:r>
        <w:rPr>
          <w:rFonts w:hint="eastAsia" w:ascii="仿宋_GB2312" w:hAnsi="仿宋_GB2312" w:eastAsia="仿宋_GB2312" w:cs="仿宋_GB2312"/>
          <w:color w:val="auto"/>
          <w:kern w:val="2"/>
          <w:sz w:val="32"/>
          <w:szCs w:val="32"/>
          <w:highlight w:val="none"/>
          <w:lang w:val="en-US" w:eastAsia="zh-CN" w:bidi="ar-SA"/>
        </w:rPr>
        <w:t>年度相比，国有资本经营预算财政拨款支出增加/减少0万元，增长/下降0%。</w:t>
      </w:r>
    </w:p>
    <w:p w14:paraId="1318AC09">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（注：支出数与上年持平可以不写原因）</w:t>
      </w:r>
    </w:p>
    <w:p w14:paraId="035F33A9">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44" w:name="_Toc15396612"/>
      <w:bookmarkStart w:id="45" w:name="_Toc15377221"/>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44"/>
      <w:bookmarkEnd w:id="45"/>
    </w:p>
    <w:p w14:paraId="2BC1315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6" w:name="_Toc15377222"/>
      <w:r>
        <w:rPr>
          <w:rFonts w:hint="eastAsia" w:ascii="Times New Roman" w:hAnsi="Times New Roman" w:eastAsia="楷体_GB2312" w:cs="楷体_GB2312"/>
          <w:b/>
          <w:color w:val="auto"/>
          <w:sz w:val="32"/>
          <w:szCs w:val="32"/>
          <w:highlight w:val="none"/>
        </w:rPr>
        <w:t>（一）机关运行经费支出情况</w:t>
      </w:r>
      <w:bookmarkEnd w:id="46"/>
    </w:p>
    <w:p w14:paraId="7E3FC40A">
      <w:pPr>
        <w:spacing w:line="600" w:lineRule="exact"/>
        <w:ind w:firstLine="640"/>
        <w:rPr>
          <w:rFonts w:hint="eastAsia" w:ascii="仿宋_GB2312" w:eastAsia="仿宋_GB2312"/>
          <w:color w:val="auto"/>
          <w:sz w:val="32"/>
          <w:szCs w:val="32"/>
          <w:highlight w:val="none"/>
          <w:lang w:eastAsia="zh-CN"/>
        </w:rPr>
      </w:pPr>
      <w:r>
        <w:rPr>
          <w:rFonts w:hint="eastAsia" w:ascii="仿宋_GB2312" w:hAnsi="仿宋_GB2312" w:eastAsia="仿宋_GB2312" w:cs="仿宋_GB2312"/>
          <w:color w:val="auto"/>
          <w:kern w:val="2"/>
          <w:sz w:val="32"/>
          <w:szCs w:val="32"/>
          <w:highlight w:val="none"/>
          <w:lang w:val="en-US" w:eastAsia="zh-CN" w:bidi="ar-SA"/>
        </w:rPr>
        <w:t>2024年度，</w:t>
      </w:r>
      <w:r>
        <w:rPr>
          <w:rFonts w:hint="eastAsia" w:ascii="仿宋_GB2312" w:hAnsi="仿宋_GB2312" w:eastAsia="仿宋_GB2312" w:cs="仿宋_GB2312"/>
          <w:sz w:val="32"/>
          <w:szCs w:val="32"/>
        </w:rPr>
        <w:t>阿坝州小金环境监测站</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万元，与</w:t>
      </w:r>
      <w:r>
        <w:rPr>
          <w:rFonts w:hint="eastAsia" w:ascii="仿宋_GB2312" w:hAnsi="仿宋_GB2312" w:eastAsia="仿宋_GB2312" w:cs="仿宋_GB2312"/>
          <w:color w:val="auto"/>
          <w:sz w:val="32"/>
          <w:szCs w:val="32"/>
          <w:highlight w:val="none"/>
          <w:lang w:eastAsia="zh-CN"/>
        </w:rPr>
        <w:t>上</w:t>
      </w:r>
      <w:r>
        <w:rPr>
          <w:rFonts w:hint="eastAsia" w:ascii="仿宋_GB2312" w:hAnsi="仿宋_GB2312" w:eastAsia="仿宋_GB2312" w:cs="仿宋_GB2312"/>
          <w:color w:val="auto"/>
          <w:kern w:val="2"/>
          <w:sz w:val="32"/>
          <w:szCs w:val="32"/>
          <w:highlight w:val="none"/>
          <w:lang w:val="en-US" w:eastAsia="zh-CN" w:bidi="ar-SA"/>
        </w:rPr>
        <w:t>年度决算数持平。主要原因是</w:t>
      </w:r>
      <w:r>
        <w:rPr>
          <w:rFonts w:hint="eastAsia" w:ascii="仿宋_GB2312" w:eastAsia="仿宋_GB2312"/>
          <w:color w:val="auto"/>
          <w:sz w:val="32"/>
          <w:szCs w:val="32"/>
          <w:highlight w:val="none"/>
          <w:lang w:eastAsia="zh-CN"/>
        </w:rPr>
        <w:t>机关运行在局里面，站无支出。</w:t>
      </w:r>
    </w:p>
    <w:p w14:paraId="1BA531FC">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（注：支出数与上年持平可以不写原因）</w:t>
      </w:r>
    </w:p>
    <w:p w14:paraId="595C5DE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7" w:name="_Toc15377223"/>
      <w:r>
        <w:rPr>
          <w:rFonts w:hint="eastAsia" w:ascii="Times New Roman" w:hAnsi="Times New Roman" w:eastAsia="楷体_GB2312" w:cs="楷体_GB2312"/>
          <w:b/>
          <w:color w:val="auto"/>
          <w:sz w:val="32"/>
          <w:szCs w:val="32"/>
          <w:highlight w:val="none"/>
        </w:rPr>
        <w:t>（二）政府采购支出情况</w:t>
      </w:r>
      <w:bookmarkEnd w:id="47"/>
    </w:p>
    <w:p w14:paraId="500E7D97">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rPr>
        <w:t>阿坝州小金环境监测站</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p>
    <w:p w14:paraId="720332A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24"/>
      <w:r>
        <w:rPr>
          <w:rFonts w:hint="eastAsia" w:ascii="Times New Roman" w:hAnsi="Times New Roman" w:eastAsia="楷体_GB2312" w:cs="楷体_GB2312"/>
          <w:b/>
          <w:color w:val="auto"/>
          <w:sz w:val="32"/>
          <w:szCs w:val="32"/>
          <w:highlight w:val="none"/>
        </w:rPr>
        <w:t>（三）国有资产占有使用情况</w:t>
      </w:r>
      <w:bookmarkEnd w:id="48"/>
    </w:p>
    <w:p w14:paraId="4BB09D5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rPr>
        <w:t>阿坝州小金环境监测站</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辆。单价100万元（含）以上设备（不含车辆）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601B496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4ABCD352">
      <w:pPr>
        <w:widowControl/>
        <w:jc w:val="left"/>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根据预算绩效管理要求，在2025年度预算编制阶段，组织对</w:t>
      </w:r>
      <w:r>
        <w:rPr>
          <w:rFonts w:hint="eastAsia" w:ascii="仿宋_GB2312" w:hAnsi="仿宋_GB2312" w:eastAsia="仿宋_GB2312" w:cs="仿宋_GB2312"/>
          <w:sz w:val="32"/>
          <w:szCs w:val="32"/>
          <w:lang w:val="en-US" w:eastAsia="zh-CN"/>
        </w:rPr>
        <w:t>资性支出、单位缴费、日常公用经费、追加人员工资性支出、日常公用经费（其他运转类）</w:t>
      </w:r>
      <w:r>
        <w:rPr>
          <w:rFonts w:hint="eastAsia" w:ascii="仿宋_GB2312" w:hAnsi="仿宋_GB2312" w:eastAsia="仿宋_GB2312" w:cs="仿宋_GB2312"/>
          <w:color w:val="auto"/>
          <w:kern w:val="2"/>
          <w:sz w:val="32"/>
          <w:szCs w:val="32"/>
          <w:highlight w:val="none"/>
          <w:lang w:val="en-US" w:eastAsia="zh-CN" w:bidi="ar-SA"/>
        </w:rPr>
        <w:t>等5个项目开展了预算事前绩效评估，对5个项目编制了绩效目标，预算执行过程中，对5个项目开展绩效监控。</w:t>
      </w:r>
    </w:p>
    <w:p w14:paraId="38F29516">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绩效自评工作与局一起开展的，因此监测站无部门整体（含部门预算项目）绩效自评报告和其他专项预算项目绩效自评报告。</w:t>
      </w:r>
    </w:p>
    <w:p w14:paraId="475505B8">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如不涉及，可根据实际修改表述。）</w:t>
      </w:r>
    </w:p>
    <w:p w14:paraId="42C2B1CD">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9" w:name="_Toc15377225"/>
      <w:bookmarkStart w:id="50" w:name="_Toc15396613"/>
    </w:p>
    <w:p w14:paraId="38733FEA">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9"/>
      <w:bookmarkEnd w:id="50"/>
    </w:p>
    <w:p w14:paraId="3744A6F1">
      <w:pPr>
        <w:spacing w:line="600" w:lineRule="exact"/>
        <w:jc w:val="left"/>
        <w:rPr>
          <w:rFonts w:ascii="Times New Roman" w:hAnsi="Times New Roman"/>
          <w:b/>
          <w:color w:val="auto"/>
          <w:sz w:val="44"/>
          <w:szCs w:val="44"/>
          <w:highlight w:val="none"/>
        </w:rPr>
      </w:pPr>
    </w:p>
    <w:p w14:paraId="47A24AE4">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1.财政拨款收入：指单位从同级财政部门取得的财政预算资金。</w:t>
      </w:r>
    </w:p>
    <w:p w14:paraId="6D7DD1D3">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2.事业收入：指事业单位开展专业业务活动及辅助活动取得的收入。</w:t>
      </w:r>
    </w:p>
    <w:p w14:paraId="511C6D71">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w:t>
      </w:r>
    </w:p>
    <w:p w14:paraId="12B1D0E4">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4.其他收入：指单位取得的除上述收入以外的各项收入。</w:t>
      </w:r>
    </w:p>
    <w:p w14:paraId="02433D0F">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5.使用非财政拨款结余（含专用结余）：指事业单位使用以前年度积累的非财政拨款结余弥补当年收支差额的金额。</w:t>
      </w:r>
    </w:p>
    <w:p w14:paraId="49B1E490">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6.年初结转和结余：指以前年度尚未完成、结转到本年按有关规定继续使用的资金。</w:t>
      </w:r>
    </w:p>
    <w:p w14:paraId="7520B44E">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2ED59DA3">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8.年末结转和结余：指单位按有关规定结转到下年或以后年度继续使用的资金。</w:t>
      </w:r>
    </w:p>
    <w:p w14:paraId="19BC8938">
      <w:pPr>
        <w:keepNext w:val="0"/>
        <w:keepLines w:val="0"/>
        <w:pageBreakBefore w:val="0"/>
        <w:widowControl/>
        <w:kinsoku/>
        <w:wordWrap/>
        <w:overflowPunct/>
        <w:topLinePunct w:val="0"/>
        <w:autoSpaceDE/>
        <w:autoSpaceDN/>
        <w:bidi w:val="0"/>
        <w:adjustRightInd w:val="0"/>
        <w:snapToGrid w:val="0"/>
        <w:spacing w:line="576" w:lineRule="exact"/>
        <w:ind w:right="0" w:rightChars="0" w:firstLine="640" w:firstLineChars="200"/>
        <w:jc w:val="both"/>
        <w:textAlignment w:val="auto"/>
        <w:rPr>
          <w:rFonts w:hint="default"/>
          <w:lang w:val="en-US" w:eastAsia="zh-CN"/>
        </w:rPr>
      </w:pPr>
      <w:r>
        <w:rPr>
          <w:rFonts w:ascii="仿宋_GB2312" w:eastAsia="仿宋_GB2312"/>
          <w:sz w:val="32"/>
          <w:szCs w:val="32"/>
        </w:rPr>
        <w:t>9.</w:t>
      </w:r>
      <w:r>
        <w:rPr>
          <w:rFonts w:hint="eastAsia" w:ascii="仿宋_GB2312" w:eastAsia="仿宋_GB2312"/>
          <w:sz w:val="32"/>
          <w:szCs w:val="32"/>
        </w:rPr>
        <w:t>社会保障和就业（类）</w:t>
      </w:r>
      <w:r>
        <w:rPr>
          <w:rFonts w:hint="eastAsia" w:ascii="仿宋_GB2312" w:eastAsia="仿宋_GB2312"/>
          <w:sz w:val="32"/>
          <w:szCs w:val="32"/>
          <w:lang w:val="en-US" w:eastAsia="zh-CN"/>
        </w:rPr>
        <w:t>208</w:t>
      </w:r>
      <w:r>
        <w:rPr>
          <w:rFonts w:hint="eastAsia" w:ascii="仿宋_GB2312" w:eastAsia="仿宋_GB2312"/>
          <w:sz w:val="32"/>
          <w:szCs w:val="32"/>
        </w:rPr>
        <w:t>（款）</w:t>
      </w:r>
      <w:r>
        <w:rPr>
          <w:rFonts w:hint="eastAsia" w:ascii="仿宋_GB2312" w:eastAsia="仿宋_GB2312"/>
          <w:sz w:val="32"/>
          <w:szCs w:val="32"/>
          <w:lang w:val="en-US" w:eastAsia="zh-CN"/>
        </w:rPr>
        <w:t>05</w:t>
      </w:r>
      <w:r>
        <w:rPr>
          <w:rFonts w:hint="eastAsia" w:ascii="仿宋_GB2312" w:eastAsia="仿宋_GB2312"/>
          <w:sz w:val="32"/>
          <w:szCs w:val="32"/>
        </w:rPr>
        <w:t>（项）：指</w:t>
      </w:r>
      <w:r>
        <w:rPr>
          <w:rFonts w:hint="eastAsia" w:ascii="仿宋_GB2312" w:eastAsia="仿宋_GB2312"/>
          <w:sz w:val="32"/>
          <w:szCs w:val="32"/>
          <w:lang w:eastAsia="zh-CN"/>
        </w:rPr>
        <w:t>反映政府在社会保障与就业方面的支出</w:t>
      </w:r>
      <w:r>
        <w:rPr>
          <w:rFonts w:hint="eastAsia" w:ascii="仿宋_GB2312" w:eastAsia="仿宋_GB2312"/>
          <w:sz w:val="32"/>
          <w:szCs w:val="32"/>
        </w:rPr>
        <w:t>。</w:t>
      </w:r>
    </w:p>
    <w:p w14:paraId="10E05036">
      <w:pPr>
        <w:keepNext w:val="0"/>
        <w:keepLines w:val="0"/>
        <w:pageBreakBefore w:val="0"/>
        <w:kinsoku/>
        <w:wordWrap/>
        <w:overflowPunct/>
        <w:topLinePunct w:val="0"/>
        <w:bidi w:val="0"/>
        <w:spacing w:line="576" w:lineRule="exact"/>
        <w:ind w:firstLine="640" w:firstLineChars="200"/>
        <w:textAlignment w:val="auto"/>
        <w:rPr>
          <w:rFonts w:ascii="仿宋_GB2312" w:eastAsia="仿宋_GB2312"/>
          <w:sz w:val="32"/>
          <w:szCs w:val="32"/>
        </w:rPr>
      </w:pPr>
      <w:r>
        <w:rPr>
          <w:rFonts w:ascii="仿宋_GB2312" w:eastAsia="仿宋_GB2312"/>
          <w:sz w:val="32"/>
          <w:szCs w:val="32"/>
        </w:rPr>
        <w:t>10.</w:t>
      </w:r>
      <w:r>
        <w:rPr>
          <w:rFonts w:hint="eastAsia" w:ascii="仿宋_GB2312" w:eastAsia="仿宋_GB2312"/>
          <w:sz w:val="32"/>
          <w:szCs w:val="32"/>
        </w:rPr>
        <w:t>卫生健康（类）</w:t>
      </w:r>
      <w:r>
        <w:rPr>
          <w:rFonts w:hint="eastAsia" w:ascii="仿宋_GB2312" w:eastAsia="仿宋_GB2312"/>
          <w:sz w:val="32"/>
          <w:szCs w:val="32"/>
          <w:lang w:val="en-US" w:eastAsia="zh-CN"/>
        </w:rPr>
        <w:t>210</w:t>
      </w:r>
      <w:r>
        <w:rPr>
          <w:rFonts w:hint="eastAsia" w:ascii="仿宋_GB2312" w:eastAsia="仿宋_GB2312"/>
          <w:sz w:val="32"/>
          <w:szCs w:val="32"/>
        </w:rPr>
        <w:t>（款）</w:t>
      </w:r>
      <w:r>
        <w:rPr>
          <w:rFonts w:hint="eastAsia" w:ascii="仿宋_GB2312" w:eastAsia="仿宋_GB2312"/>
          <w:sz w:val="32"/>
          <w:szCs w:val="32"/>
          <w:lang w:val="en-US" w:eastAsia="zh-CN"/>
        </w:rPr>
        <w:t>11</w:t>
      </w:r>
      <w:r>
        <w:rPr>
          <w:rFonts w:hint="eastAsia" w:ascii="仿宋_GB2312" w:eastAsia="仿宋_GB2312"/>
          <w:sz w:val="32"/>
          <w:szCs w:val="32"/>
        </w:rPr>
        <w:t>（项）：指</w:t>
      </w:r>
      <w:r>
        <w:rPr>
          <w:rFonts w:hint="eastAsia" w:ascii="仿宋_GB2312" w:eastAsia="仿宋_GB2312"/>
          <w:sz w:val="32"/>
          <w:szCs w:val="32"/>
          <w:lang w:eastAsia="zh-CN"/>
        </w:rPr>
        <w:t>反映政府卫生健康方面的支出</w:t>
      </w:r>
      <w:r>
        <w:rPr>
          <w:rFonts w:hint="eastAsia" w:ascii="仿宋_GB2312" w:eastAsia="仿宋_GB2312"/>
          <w:sz w:val="32"/>
          <w:szCs w:val="32"/>
        </w:rPr>
        <w:t>。</w:t>
      </w:r>
    </w:p>
    <w:p w14:paraId="3EBC0823">
      <w:pPr>
        <w:keepNext w:val="0"/>
        <w:keepLines w:val="0"/>
        <w:pageBreakBefore w:val="0"/>
        <w:widowControl/>
        <w:kinsoku/>
        <w:wordWrap/>
        <w:overflowPunct/>
        <w:topLinePunct w:val="0"/>
        <w:autoSpaceDE/>
        <w:autoSpaceDN/>
        <w:bidi w:val="0"/>
        <w:adjustRightInd w:val="0"/>
        <w:snapToGrid w:val="0"/>
        <w:spacing w:line="576" w:lineRule="exact"/>
        <w:ind w:right="0" w:rightChars="0" w:firstLine="640" w:firstLineChars="200"/>
        <w:jc w:val="both"/>
        <w:textAlignment w:val="auto"/>
        <w:rPr>
          <w:rFonts w:hint="default"/>
          <w:lang w:val="en-US" w:eastAsia="zh-CN"/>
        </w:rPr>
      </w:pPr>
      <w:r>
        <w:rPr>
          <w:rFonts w:ascii="仿宋_GB2312" w:eastAsia="仿宋_GB2312"/>
          <w:sz w:val="32"/>
          <w:szCs w:val="32"/>
        </w:rPr>
        <w:t>1</w:t>
      </w:r>
      <w:r>
        <w:rPr>
          <w:rFonts w:hint="eastAsia" w:ascii="仿宋_GB2312" w:eastAsia="仿宋_GB2312"/>
          <w:sz w:val="32"/>
          <w:szCs w:val="32"/>
          <w:lang w:val="en-US" w:eastAsia="zh-CN"/>
        </w:rPr>
        <w:t>1</w:t>
      </w:r>
      <w:r>
        <w:rPr>
          <w:rFonts w:ascii="仿宋_GB2312" w:eastAsia="仿宋_GB2312"/>
          <w:sz w:val="32"/>
          <w:szCs w:val="32"/>
        </w:rPr>
        <w:t>.</w:t>
      </w:r>
      <w:r>
        <w:rPr>
          <w:rFonts w:hint="eastAsia" w:ascii="仿宋_GB2312" w:eastAsia="仿宋_GB2312" w:cs="Times New Roman"/>
          <w:sz w:val="32"/>
          <w:szCs w:val="32"/>
          <w:lang w:val="en-US" w:eastAsia="zh-CN"/>
        </w:rPr>
        <w:t>节能环保</w:t>
      </w:r>
      <w:r>
        <w:rPr>
          <w:rFonts w:hint="eastAsia" w:ascii="仿宋_GB2312" w:eastAsia="仿宋_GB2312"/>
          <w:sz w:val="32"/>
          <w:szCs w:val="32"/>
        </w:rPr>
        <w:t>（类）</w:t>
      </w:r>
      <w:r>
        <w:rPr>
          <w:rFonts w:hint="eastAsia" w:ascii="仿宋_GB2312" w:eastAsia="仿宋_GB2312" w:cs="Times New Roman"/>
          <w:sz w:val="32"/>
          <w:szCs w:val="32"/>
          <w:lang w:val="en-US" w:eastAsia="zh-CN"/>
        </w:rPr>
        <w:t>211</w:t>
      </w:r>
      <w:r>
        <w:rPr>
          <w:rFonts w:hint="eastAsia" w:ascii="仿宋_GB2312" w:eastAsia="仿宋_GB2312"/>
          <w:sz w:val="32"/>
          <w:szCs w:val="32"/>
        </w:rPr>
        <w:t>（款）</w:t>
      </w:r>
      <w:r>
        <w:rPr>
          <w:rFonts w:hint="eastAsia" w:ascii="仿宋_GB2312" w:eastAsia="仿宋_GB2312" w:cs="Times New Roman"/>
          <w:sz w:val="32"/>
          <w:szCs w:val="32"/>
          <w:lang w:val="en-US" w:eastAsia="zh-CN"/>
        </w:rPr>
        <w:t>01</w:t>
      </w:r>
      <w:r>
        <w:rPr>
          <w:rFonts w:hint="eastAsia" w:ascii="仿宋_GB2312" w:eastAsia="仿宋_GB2312"/>
          <w:sz w:val="32"/>
          <w:szCs w:val="32"/>
        </w:rPr>
        <w:t>（项）</w:t>
      </w:r>
      <w:r>
        <w:rPr>
          <w:rFonts w:hint="eastAsia" w:ascii="仿宋_GB2312" w:eastAsia="仿宋_GB2312" w:cs="Times New Roman"/>
          <w:sz w:val="32"/>
          <w:szCs w:val="32"/>
          <w:lang w:val="en-US" w:eastAsia="zh-CN"/>
        </w:rPr>
        <w:t>（2110101-行政运行、（2110102-一般行政管理事务）、（2110399-其他污染防治支出）、（2110499-其他自然生态保护支出）</w:t>
      </w:r>
      <w:r>
        <w:rPr>
          <w:rFonts w:hint="eastAsia" w:ascii="仿宋_GB2312" w:eastAsia="仿宋_GB2312"/>
          <w:sz w:val="32"/>
          <w:szCs w:val="32"/>
        </w:rPr>
        <w:t>：</w:t>
      </w:r>
      <w:r>
        <w:rPr>
          <w:rFonts w:hint="eastAsia" w:ascii="仿宋_GB2312" w:eastAsia="仿宋_GB2312" w:cs="Times New Roman"/>
          <w:sz w:val="32"/>
          <w:szCs w:val="32"/>
          <w:lang w:val="en-US" w:eastAsia="zh-CN"/>
        </w:rPr>
        <w:t>指反映政府环境保护管理事务支出。</w:t>
      </w:r>
    </w:p>
    <w:p w14:paraId="1007FE3D">
      <w:pPr>
        <w:keepNext w:val="0"/>
        <w:keepLines w:val="0"/>
        <w:pageBreakBefore w:val="0"/>
        <w:kinsoku/>
        <w:wordWrap/>
        <w:overflowPunct/>
        <w:topLinePunct w:val="0"/>
        <w:bidi w:val="0"/>
        <w:spacing w:line="576" w:lineRule="exact"/>
        <w:ind w:firstLine="640" w:firstLineChars="200"/>
        <w:textAlignment w:val="auto"/>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lang w:val="en-US" w:eastAsia="zh-CN"/>
        </w:rPr>
        <w:t>2</w:t>
      </w:r>
      <w:r>
        <w:rPr>
          <w:rFonts w:ascii="仿宋_GB2312" w:eastAsia="仿宋_GB2312"/>
          <w:sz w:val="32"/>
          <w:szCs w:val="32"/>
        </w:rPr>
        <w:t>.</w:t>
      </w:r>
      <w:r>
        <w:rPr>
          <w:rFonts w:hint="eastAsia" w:ascii="仿宋_GB2312" w:eastAsia="仿宋_GB2312"/>
          <w:sz w:val="32"/>
          <w:szCs w:val="32"/>
        </w:rPr>
        <w:t>住房保障（类）</w:t>
      </w:r>
      <w:r>
        <w:rPr>
          <w:rFonts w:hint="eastAsia" w:ascii="仿宋_GB2312" w:eastAsia="仿宋_GB2312"/>
          <w:sz w:val="32"/>
          <w:szCs w:val="32"/>
          <w:lang w:val="en-US" w:eastAsia="zh-CN"/>
        </w:rPr>
        <w:t>221</w:t>
      </w:r>
      <w:r>
        <w:rPr>
          <w:rFonts w:hint="eastAsia" w:ascii="仿宋_GB2312" w:eastAsia="仿宋_GB2312"/>
          <w:sz w:val="32"/>
          <w:szCs w:val="32"/>
        </w:rPr>
        <w:t>（款）</w:t>
      </w:r>
      <w:r>
        <w:rPr>
          <w:rFonts w:hint="eastAsia" w:ascii="仿宋_GB2312" w:eastAsia="仿宋_GB2312"/>
          <w:sz w:val="32"/>
          <w:szCs w:val="32"/>
          <w:lang w:val="en-US" w:eastAsia="zh-CN"/>
        </w:rPr>
        <w:t>02</w:t>
      </w:r>
      <w:r>
        <w:rPr>
          <w:rFonts w:hint="eastAsia" w:ascii="仿宋_GB2312" w:eastAsia="仿宋_GB2312"/>
          <w:sz w:val="32"/>
          <w:szCs w:val="32"/>
        </w:rPr>
        <w:t>（项）</w:t>
      </w:r>
      <w:r>
        <w:rPr>
          <w:rFonts w:hint="eastAsia" w:ascii="仿宋_GB2312" w:eastAsia="仿宋_GB2312"/>
          <w:sz w:val="32"/>
          <w:szCs w:val="32"/>
          <w:lang w:val="en-US" w:eastAsia="zh-CN"/>
        </w:rPr>
        <w:t>01</w:t>
      </w:r>
      <w:r>
        <w:rPr>
          <w:rFonts w:hint="eastAsia" w:ascii="仿宋_GB2312" w:eastAsia="仿宋_GB2312"/>
          <w:sz w:val="32"/>
          <w:szCs w:val="32"/>
        </w:rPr>
        <w:t>：指</w:t>
      </w:r>
      <w:r>
        <w:rPr>
          <w:rFonts w:hint="eastAsia" w:ascii="仿宋_GB2312" w:eastAsia="仿宋_GB2312"/>
          <w:sz w:val="32"/>
          <w:szCs w:val="32"/>
          <w:lang w:eastAsia="zh-CN"/>
        </w:rPr>
        <w:t>集中反映政府用于住房方面的支出</w:t>
      </w:r>
      <w:r>
        <w:rPr>
          <w:rFonts w:hint="eastAsia" w:ascii="仿宋_GB2312" w:eastAsia="仿宋_GB2312"/>
          <w:sz w:val="32"/>
          <w:szCs w:val="32"/>
        </w:rPr>
        <w:t>。</w:t>
      </w:r>
    </w:p>
    <w:p w14:paraId="14AD7B53">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（注：解释本部门决算报表中涉及的全部功能分类科目至项级，不涉及的科目请自行删除。请参照《2025年政府收支分类科目》增减内容）</w:t>
      </w:r>
    </w:p>
    <w:p w14:paraId="4682EFD8">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13.基本支出：指为保障机构正常运转、完成日常工作任务而发生的人员支出和公用支出。</w:t>
      </w:r>
    </w:p>
    <w:p w14:paraId="3CCF0DB1">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14.项目支出：指在基本支出之外为完成特定行政任务和事业发展目标所发生的支出。</w:t>
      </w:r>
    </w:p>
    <w:p w14:paraId="1BB49390">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15.经营支出：指事业单位在专业业务活动及其辅助活动之外开展非独立核算经营活动发生的支出。</w:t>
      </w:r>
    </w:p>
    <w:p w14:paraId="05877A82">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16.“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F515B9A">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17.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E25D0B9">
      <w:pPr>
        <w:spacing w:line="600" w:lineRule="exact"/>
        <w:ind w:firstLine="640"/>
        <w:rPr>
          <w:rFonts w:hint="eastAsia" w:ascii="仿宋_GB2312" w:hAnsi="仿宋_GB2312"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14:paraId="096B8CFA">
      <w:pPr>
        <w:spacing w:line="600" w:lineRule="exact"/>
        <w:jc w:val="center"/>
        <w:rPr>
          <w:rFonts w:hint="eastAsia" w:ascii="Times New Roman" w:hAnsi="Times New Roman" w:eastAsia="仿宋_GB2312" w:cs="仿宋_GB2312"/>
          <w:color w:val="auto"/>
          <w:kern w:val="2"/>
          <w:sz w:val="32"/>
          <w:szCs w:val="32"/>
          <w:highlight w:val="none"/>
          <w:lang w:val="en-US" w:eastAsia="zh-CN" w:bidi="ar-SA"/>
        </w:rPr>
        <w:sectPr>
          <w:footerReference r:id="rId10" w:type="first"/>
          <w:footerReference r:id="rId9" w:type="default"/>
          <w:pgSz w:w="11906" w:h="16838"/>
          <w:pgMar w:top="1440" w:right="1800" w:bottom="1440" w:left="1800" w:header="851" w:footer="992" w:gutter="0"/>
          <w:pgNumType w:fmt="numberInDash" w:start="1"/>
          <w:cols w:space="425" w:num="1"/>
          <w:docGrid w:type="lines" w:linePitch="312" w:charSpace="0"/>
        </w:sectPr>
      </w:pPr>
      <w:bookmarkStart w:id="51"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2" w:name="_Toc15396614"/>
    </w:p>
    <w:p w14:paraId="62DDAF1E">
      <w:pPr>
        <w:pageBreakBefore w:val="0"/>
        <w:numPr>
          <w:ilvl w:val="0"/>
          <w:numId w:val="1"/>
        </w:numPr>
        <w:kinsoku/>
        <w:wordWrap/>
        <w:overflowPunct/>
        <w:topLinePunct w:val="0"/>
        <w:bidi w:val="0"/>
        <w:snapToGrid/>
        <w:spacing w:line="576" w:lineRule="exact"/>
        <w:jc w:val="center"/>
        <w:textAlignment w:val="auto"/>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 xml:space="preserve"> 附件</w:t>
      </w:r>
      <w:bookmarkEnd w:id="52"/>
      <w:bookmarkStart w:id="53" w:name="_Toc15396618"/>
    </w:p>
    <w:p w14:paraId="4D8818E4">
      <w:pPr>
        <w:widowControl/>
        <w:jc w:val="both"/>
        <w:rPr>
          <w:rFonts w:hint="eastAsia" w:ascii="Times New Roman" w:hAnsi="Times New Roman" w:eastAsia="黑体"/>
          <w:color w:val="auto"/>
          <w:sz w:val="44"/>
          <w:szCs w:val="44"/>
          <w:highlight w:val="none"/>
        </w:rPr>
      </w:pPr>
    </w:p>
    <w:p w14:paraId="54C82407">
      <w:pPr>
        <w:pStyle w:val="2"/>
        <w:ind w:firstLine="1280" w:firstLineChars="400"/>
        <w:rPr>
          <w:rFonts w:hint="eastAsia" w:eastAsia="仿宋_GB2312" w:cs="仿宋_GB2312"/>
          <w:sz w:val="32"/>
          <w:szCs w:val="32"/>
        </w:rPr>
      </w:pPr>
      <w:r>
        <w:rPr>
          <w:rFonts w:hint="eastAsia" w:eastAsia="仿宋_GB2312" w:cs="仿宋_GB2312"/>
          <w:sz w:val="32"/>
          <w:szCs w:val="32"/>
        </w:rPr>
        <w:t>附表（备注：本单位无项目）</w:t>
      </w:r>
    </w:p>
    <w:p w14:paraId="3866FC48">
      <w:pPr>
        <w:pStyle w:val="3"/>
        <w:rPr>
          <w:rFonts w:hint="eastAsia" w:eastAsia="仿宋_GB2312" w:cs="仿宋_GB2312"/>
          <w:sz w:val="32"/>
          <w:szCs w:val="32"/>
        </w:rPr>
      </w:pPr>
    </w:p>
    <w:p w14:paraId="04A9F23E">
      <w:pPr>
        <w:rPr>
          <w:rFonts w:hint="eastAsia" w:eastAsia="仿宋_GB2312" w:cs="仿宋_GB2312"/>
          <w:sz w:val="32"/>
          <w:szCs w:val="32"/>
        </w:rPr>
      </w:pPr>
    </w:p>
    <w:p w14:paraId="56F09B3F">
      <w:pPr>
        <w:pStyle w:val="2"/>
        <w:rPr>
          <w:rFonts w:hint="eastAsia"/>
        </w:rPr>
        <w:sectPr>
          <w:pgSz w:w="16838" w:h="11906" w:orient="landscape"/>
          <w:pgMar w:top="1803" w:right="1440" w:bottom="1803" w:left="1440" w:header="851" w:footer="992" w:gutter="0"/>
          <w:pgNumType w:fmt="numberInDash"/>
          <w:cols w:space="0" w:num="1"/>
          <w:titlePg/>
          <w:rtlGutter w:val="0"/>
          <w:docGrid w:type="lines" w:linePitch="319" w:charSpace="0"/>
        </w:sectPr>
      </w:pPr>
    </w:p>
    <w:p w14:paraId="1C2FB559">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51"/>
      <w:bookmarkEnd w:id="53"/>
      <w:bookmarkStart w:id="54" w:name="_Toc15396619"/>
    </w:p>
    <w:p w14:paraId="2B27EFE9">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36259E6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4"/>
    </w:p>
    <w:p w14:paraId="1851D9F9">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0"/>
      <w:r>
        <w:rPr>
          <w:rFonts w:hint="eastAsia" w:ascii="Times New Roman" w:hAnsi="Times New Roman" w:eastAsia="仿宋_GB2312" w:cs="仿宋_GB2312"/>
          <w:color w:val="auto"/>
          <w:sz w:val="32"/>
          <w:szCs w:val="32"/>
          <w:highlight w:val="none"/>
        </w:rPr>
        <w:t>二、收入决算表</w:t>
      </w:r>
      <w:bookmarkEnd w:id="55"/>
    </w:p>
    <w:p w14:paraId="6B98D189">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1"/>
      <w:r>
        <w:rPr>
          <w:rFonts w:hint="eastAsia" w:ascii="Times New Roman" w:hAnsi="Times New Roman" w:eastAsia="仿宋_GB2312" w:cs="仿宋_GB2312"/>
          <w:color w:val="auto"/>
          <w:sz w:val="32"/>
          <w:szCs w:val="32"/>
          <w:highlight w:val="none"/>
        </w:rPr>
        <w:t>三、支出决算表</w:t>
      </w:r>
      <w:bookmarkEnd w:id="56"/>
    </w:p>
    <w:p w14:paraId="6921069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2"/>
      <w:r>
        <w:rPr>
          <w:rFonts w:hint="eastAsia" w:ascii="Times New Roman" w:hAnsi="Times New Roman" w:eastAsia="仿宋_GB2312" w:cs="仿宋_GB2312"/>
          <w:color w:val="auto"/>
          <w:sz w:val="32"/>
          <w:szCs w:val="32"/>
          <w:highlight w:val="none"/>
        </w:rPr>
        <w:t>四、财政拨款收入支出决算总表</w:t>
      </w:r>
      <w:bookmarkEnd w:id="57"/>
    </w:p>
    <w:p w14:paraId="3FF18DC4">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3"/>
      <w:r>
        <w:rPr>
          <w:rFonts w:hint="eastAsia" w:ascii="Times New Roman" w:hAnsi="Times New Roman" w:eastAsia="仿宋_GB2312" w:cs="仿宋_GB2312"/>
          <w:color w:val="auto"/>
          <w:sz w:val="32"/>
          <w:szCs w:val="32"/>
          <w:highlight w:val="none"/>
        </w:rPr>
        <w:t>五、财政拨款支出决算明细表</w:t>
      </w:r>
      <w:bookmarkEnd w:id="58"/>
      <w:bookmarkStart w:id="59" w:name="_Toc15396624"/>
    </w:p>
    <w:p w14:paraId="59D4094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9"/>
    </w:p>
    <w:p w14:paraId="3E21455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5"/>
      <w:r>
        <w:rPr>
          <w:rFonts w:hint="eastAsia" w:ascii="Times New Roman" w:hAnsi="Times New Roman" w:eastAsia="仿宋_GB2312" w:cs="仿宋_GB2312"/>
          <w:color w:val="auto"/>
          <w:sz w:val="32"/>
          <w:szCs w:val="32"/>
          <w:highlight w:val="none"/>
        </w:rPr>
        <w:t>七、一般公共预算财政拨款支出决算明细表</w:t>
      </w:r>
      <w:bookmarkEnd w:id="60"/>
    </w:p>
    <w:p w14:paraId="622553B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6"/>
      <w:r>
        <w:rPr>
          <w:rFonts w:hint="eastAsia" w:ascii="Times New Roman" w:hAnsi="Times New Roman" w:eastAsia="仿宋_GB2312" w:cs="仿宋_GB2312"/>
          <w:color w:val="auto"/>
          <w:sz w:val="32"/>
          <w:szCs w:val="32"/>
          <w:highlight w:val="none"/>
        </w:rPr>
        <w:t>八、一般公共预算财政拨款基本支出决算表</w:t>
      </w:r>
      <w:bookmarkEnd w:id="61"/>
    </w:p>
    <w:p w14:paraId="16EB726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7"/>
      <w:r>
        <w:rPr>
          <w:rFonts w:hint="eastAsia" w:ascii="Times New Roman" w:hAnsi="Times New Roman" w:eastAsia="仿宋_GB2312" w:cs="仿宋_GB2312"/>
          <w:color w:val="auto"/>
          <w:sz w:val="32"/>
          <w:szCs w:val="32"/>
          <w:highlight w:val="none"/>
        </w:rPr>
        <w:t>九、一般公共预算财政拨款项目支出决算表</w:t>
      </w:r>
      <w:bookmarkEnd w:id="62"/>
    </w:p>
    <w:p w14:paraId="4B11429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8"/>
      <w:r>
        <w:rPr>
          <w:rFonts w:hint="eastAsia" w:ascii="Times New Roman" w:hAnsi="Times New Roman" w:eastAsia="仿宋_GB2312" w:cs="仿宋_GB2312"/>
          <w:color w:val="auto"/>
          <w:sz w:val="32"/>
          <w:szCs w:val="32"/>
          <w:highlight w:val="none"/>
        </w:rPr>
        <w:t>十、</w:t>
      </w:r>
      <w:bookmarkEnd w:id="63"/>
      <w:r>
        <w:rPr>
          <w:rFonts w:hint="eastAsia" w:ascii="Times New Roman" w:hAnsi="Times New Roman" w:eastAsia="仿宋_GB2312" w:cs="仿宋_GB2312"/>
          <w:color w:val="auto"/>
          <w:sz w:val="32"/>
          <w:szCs w:val="32"/>
          <w:highlight w:val="none"/>
        </w:rPr>
        <w:t>政府性基金预算财政拨款收入支出决算表</w:t>
      </w:r>
    </w:p>
    <w:p w14:paraId="03A111DD">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9"/>
      <w:r>
        <w:rPr>
          <w:rFonts w:hint="eastAsia" w:ascii="Times New Roman" w:hAnsi="Times New Roman" w:eastAsia="仿宋_GB2312" w:cs="仿宋_GB2312"/>
          <w:color w:val="auto"/>
          <w:sz w:val="32"/>
          <w:szCs w:val="32"/>
          <w:highlight w:val="none"/>
        </w:rPr>
        <w:t>十一、</w:t>
      </w:r>
      <w:bookmarkEnd w:id="64"/>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441F250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30"/>
      <w:r>
        <w:rPr>
          <w:rFonts w:hint="eastAsia" w:ascii="Times New Roman" w:hAnsi="Times New Roman" w:eastAsia="仿宋_GB2312" w:cs="仿宋_GB2312"/>
          <w:color w:val="auto"/>
          <w:sz w:val="32"/>
          <w:szCs w:val="32"/>
          <w:highlight w:val="none"/>
        </w:rPr>
        <w:t>十二、</w:t>
      </w:r>
      <w:bookmarkEnd w:id="65"/>
      <w:r>
        <w:rPr>
          <w:rFonts w:hint="eastAsia" w:ascii="Times New Roman" w:hAnsi="Times New Roman" w:eastAsia="仿宋_GB2312" w:cs="仿宋_GB2312"/>
          <w:color w:val="auto"/>
          <w:sz w:val="32"/>
          <w:szCs w:val="32"/>
          <w:highlight w:val="none"/>
          <w:lang w:eastAsia="zh-CN"/>
        </w:rPr>
        <w:t>国有资本经营预算财政拨款支出决算表</w:t>
      </w:r>
    </w:p>
    <w:p w14:paraId="2E58C15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6" w:name="_Toc15396631"/>
      <w:r>
        <w:rPr>
          <w:rFonts w:hint="eastAsia" w:ascii="Times New Roman" w:hAnsi="Times New Roman" w:eastAsia="仿宋_GB2312" w:cs="仿宋_GB2312"/>
          <w:color w:val="auto"/>
          <w:sz w:val="32"/>
          <w:szCs w:val="32"/>
          <w:highlight w:val="none"/>
        </w:rPr>
        <w:t>十三、</w:t>
      </w:r>
      <w:bookmarkEnd w:id="66"/>
      <w:r>
        <w:rPr>
          <w:rFonts w:hint="eastAsia" w:ascii="Times New Roman" w:hAnsi="Times New Roman" w:eastAsia="仿宋_GB2312" w:cs="仿宋_GB2312"/>
          <w:color w:val="auto"/>
          <w:sz w:val="32"/>
          <w:szCs w:val="32"/>
          <w:highlight w:val="none"/>
          <w:lang w:eastAsia="zh-CN"/>
        </w:rPr>
        <w:t>财政拨款“三公”经费支出决算表</w:t>
      </w:r>
    </w:p>
    <w:p w14:paraId="40D87A77">
      <w:pPr>
        <w:rPr>
          <w:rFonts w:hint="eastAsia" w:ascii="Times New Roman" w:hAnsi="Times New Roman"/>
          <w:lang w:eastAsia="zh-CN"/>
        </w:rPr>
      </w:pPr>
    </w:p>
    <w:sectPr>
      <w:pgSz w:w="11906" w:h="16838"/>
      <w:pgMar w:top="1440" w:right="1803" w:bottom="1440" w:left="1803" w:header="851" w:footer="992" w:gutter="0"/>
      <w:pgNumType w:fmt="numberInDash"/>
      <w:cols w:space="0" w:num="1"/>
      <w:titlePg/>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5E1E47">
    <w:pPr>
      <w:pStyle w:val="12"/>
      <w:jc w:val="center"/>
    </w:pPr>
  </w:p>
  <w:p w14:paraId="3F82BA3A">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AC4AC5">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83DB5">
    <w:pPr>
      <w:pStyle w:val="12"/>
      <w:jc w:val="center"/>
    </w:pPr>
  </w:p>
  <w:p w14:paraId="4876FBA0">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E59EBB">
    <w:pPr>
      <w:pStyle w:val="1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58B15">
    <w:pPr>
      <w:pStyle w:val="12"/>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DF8A52E">
                          <w:pPr>
                            <w:pStyle w:val="1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- 2 -</w:t>
                          </w:r>
                          <w:r>
                            <w:rPr>
                              <w:rFonts w:hint="eastAsia" w:ascii="仿宋_GB2312" w:hAnsi="仿宋_GB2312" w:eastAsia="仿宋_GB2312" w:cs="仿宋_GB2312"/>
                              <w:sz w:val="32"/>
                              <w:szCs w:val="32"/>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0DF8A52E">
                    <w:pPr>
                      <w:pStyle w:val="1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- 2 -</w:t>
                    </w:r>
                    <w:r>
                      <w:rPr>
                        <w:rFonts w:hint="eastAsia" w:ascii="仿宋_GB2312" w:hAnsi="仿宋_GB2312" w:eastAsia="仿宋_GB2312" w:cs="仿宋_GB2312"/>
                        <w:sz w:val="32"/>
                        <w:szCs w:val="32"/>
                      </w:rPr>
                      <w:fldChar w:fldCharType="end"/>
                    </w:r>
                  </w:p>
                </w:txbxContent>
              </v:textbox>
            </v:shape>
          </w:pict>
        </mc:Fallback>
      </mc:AlternateContent>
    </w:r>
  </w:p>
  <w:p w14:paraId="60146B89">
    <w:pPr>
      <w:pStyle w:val="12"/>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B74192">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3030260">
                          <w:pPr>
                            <w:pStyle w:val="12"/>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fyKa93AIAACQGAAAOAAAAAAAAAAEAIAAAAB8BAABkcnMvZTJvRG9jLnhtbFBLBQYA&#10;AAAABgAGAFkBAABtBgAAAAA=&#10;">
              <v:fill on="f" focussize="0,0"/>
              <v:stroke on="f" weight="0.5pt"/>
              <v:imagedata o:title=""/>
              <o:lock v:ext="edit" aspectratio="f"/>
              <v:textbox inset="0mm,0mm,0mm,0mm" style="mso-fit-shape-to-text:t;">
                <w:txbxContent>
                  <w:p w14:paraId="33030260">
                    <w:pPr>
                      <w:pStyle w:val="12"/>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09FAA">
    <w:pPr>
      <w:pStyle w:val="13"/>
      <w:pBdr>
        <w:bottom w:val="none" w:color="auto" w:sz="0" w:space="0"/>
      </w:pBdr>
    </w:pPr>
    <w:bookmarkStart w:id="67" w:name="_GoBack"/>
    <w:bookmarkEnd w:id="67"/>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F36BC2">
    <w:pPr>
      <w:pStyle w:val="1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ADE6D2F"/>
    <w:multiLevelType w:val="singleLevel"/>
    <w:tmpl w:val="3ADE6D2F"/>
    <w:lvl w:ilvl="0" w:tentative="0">
      <w:start w:val="4"/>
      <w:numFmt w:val="chineseCounting"/>
      <w:suff w:val="space"/>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D6F3B"/>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FEBE30"/>
    <w:rsid w:val="03CD1AD8"/>
    <w:rsid w:val="04916F1E"/>
    <w:rsid w:val="0532472F"/>
    <w:rsid w:val="061E35DE"/>
    <w:rsid w:val="066E0107"/>
    <w:rsid w:val="07996F6E"/>
    <w:rsid w:val="07DFD8BA"/>
    <w:rsid w:val="09867E8F"/>
    <w:rsid w:val="0A2032A3"/>
    <w:rsid w:val="0AD46E99"/>
    <w:rsid w:val="0CA8290A"/>
    <w:rsid w:val="0CBD6919"/>
    <w:rsid w:val="0D35B1ED"/>
    <w:rsid w:val="0E254B6B"/>
    <w:rsid w:val="0EB9334C"/>
    <w:rsid w:val="0F98263C"/>
    <w:rsid w:val="101860EC"/>
    <w:rsid w:val="101F47CC"/>
    <w:rsid w:val="10C055FF"/>
    <w:rsid w:val="114156CF"/>
    <w:rsid w:val="11694EBD"/>
    <w:rsid w:val="11772AA4"/>
    <w:rsid w:val="118107EC"/>
    <w:rsid w:val="12E24EE2"/>
    <w:rsid w:val="13D50BC4"/>
    <w:rsid w:val="13DA4490"/>
    <w:rsid w:val="14B17F78"/>
    <w:rsid w:val="16096967"/>
    <w:rsid w:val="165E0673"/>
    <w:rsid w:val="16B831D5"/>
    <w:rsid w:val="16BB723D"/>
    <w:rsid w:val="17E50567"/>
    <w:rsid w:val="186504BB"/>
    <w:rsid w:val="19A445FC"/>
    <w:rsid w:val="1BE8440E"/>
    <w:rsid w:val="1D155CEE"/>
    <w:rsid w:val="1D1638FE"/>
    <w:rsid w:val="1E312DEB"/>
    <w:rsid w:val="1E740ACF"/>
    <w:rsid w:val="1FF35744"/>
    <w:rsid w:val="1FF6BC77"/>
    <w:rsid w:val="2186353C"/>
    <w:rsid w:val="21AE05F9"/>
    <w:rsid w:val="23323DF5"/>
    <w:rsid w:val="23860B96"/>
    <w:rsid w:val="240371BF"/>
    <w:rsid w:val="244F3473"/>
    <w:rsid w:val="24C97D99"/>
    <w:rsid w:val="250C6474"/>
    <w:rsid w:val="255816B9"/>
    <w:rsid w:val="25A718F0"/>
    <w:rsid w:val="25BB59F6"/>
    <w:rsid w:val="25C428AA"/>
    <w:rsid w:val="260F557C"/>
    <w:rsid w:val="26970054"/>
    <w:rsid w:val="281408E2"/>
    <w:rsid w:val="283221C4"/>
    <w:rsid w:val="29FD04D3"/>
    <w:rsid w:val="2BC857E0"/>
    <w:rsid w:val="2BFF7BC6"/>
    <w:rsid w:val="2C471B3F"/>
    <w:rsid w:val="2C8A61B5"/>
    <w:rsid w:val="2DC87B15"/>
    <w:rsid w:val="2DE51610"/>
    <w:rsid w:val="2DF04E50"/>
    <w:rsid w:val="2E586DFA"/>
    <w:rsid w:val="2F040D46"/>
    <w:rsid w:val="2F6B035B"/>
    <w:rsid w:val="2FAE5751"/>
    <w:rsid w:val="2FB1A395"/>
    <w:rsid w:val="2FD9A7D8"/>
    <w:rsid w:val="2FDBF714"/>
    <w:rsid w:val="30AB6865"/>
    <w:rsid w:val="311F12DD"/>
    <w:rsid w:val="314D409C"/>
    <w:rsid w:val="319F7F4E"/>
    <w:rsid w:val="31FC33CC"/>
    <w:rsid w:val="32BD1EF1"/>
    <w:rsid w:val="3304709D"/>
    <w:rsid w:val="33A773CB"/>
    <w:rsid w:val="349D6851"/>
    <w:rsid w:val="34AE6BFF"/>
    <w:rsid w:val="36AA5135"/>
    <w:rsid w:val="36BE0DA7"/>
    <w:rsid w:val="376B6AA6"/>
    <w:rsid w:val="376D39B2"/>
    <w:rsid w:val="37E16F03"/>
    <w:rsid w:val="37F53A3B"/>
    <w:rsid w:val="38392C84"/>
    <w:rsid w:val="388D4D7E"/>
    <w:rsid w:val="389B6C89"/>
    <w:rsid w:val="38D469F0"/>
    <w:rsid w:val="39627CCD"/>
    <w:rsid w:val="397BAF1F"/>
    <w:rsid w:val="3AB79AF3"/>
    <w:rsid w:val="3AE834C0"/>
    <w:rsid w:val="3B7EF35A"/>
    <w:rsid w:val="3B9FDB6C"/>
    <w:rsid w:val="3BF5BC2F"/>
    <w:rsid w:val="3CEBA265"/>
    <w:rsid w:val="3D98207C"/>
    <w:rsid w:val="3DEE7CF3"/>
    <w:rsid w:val="3E740A63"/>
    <w:rsid w:val="3E78745D"/>
    <w:rsid w:val="3EE17838"/>
    <w:rsid w:val="3F55381A"/>
    <w:rsid w:val="3F673A4D"/>
    <w:rsid w:val="3F7F7599"/>
    <w:rsid w:val="3FF4CAE0"/>
    <w:rsid w:val="3FF7B227"/>
    <w:rsid w:val="42A653BA"/>
    <w:rsid w:val="4361391A"/>
    <w:rsid w:val="44E268DA"/>
    <w:rsid w:val="450D13D7"/>
    <w:rsid w:val="45506656"/>
    <w:rsid w:val="4682407F"/>
    <w:rsid w:val="46B502C1"/>
    <w:rsid w:val="486A6C7A"/>
    <w:rsid w:val="4A627F82"/>
    <w:rsid w:val="4B0E749A"/>
    <w:rsid w:val="4B2477C4"/>
    <w:rsid w:val="4B4F25DA"/>
    <w:rsid w:val="4BE068DB"/>
    <w:rsid w:val="4C1B0BC7"/>
    <w:rsid w:val="4C6B00A8"/>
    <w:rsid w:val="4D577224"/>
    <w:rsid w:val="4DBF1CEB"/>
    <w:rsid w:val="4DF0007C"/>
    <w:rsid w:val="4E01203E"/>
    <w:rsid w:val="4EAB630A"/>
    <w:rsid w:val="4EC73155"/>
    <w:rsid w:val="4ECE2238"/>
    <w:rsid w:val="4F833267"/>
    <w:rsid w:val="4FE9BD67"/>
    <w:rsid w:val="4FFB052F"/>
    <w:rsid w:val="51D04201"/>
    <w:rsid w:val="537E6D0A"/>
    <w:rsid w:val="53D004E8"/>
    <w:rsid w:val="53F74C96"/>
    <w:rsid w:val="545949DF"/>
    <w:rsid w:val="546155E5"/>
    <w:rsid w:val="55170BA8"/>
    <w:rsid w:val="553218C9"/>
    <w:rsid w:val="567E1AA5"/>
    <w:rsid w:val="56E47B74"/>
    <w:rsid w:val="57175D52"/>
    <w:rsid w:val="57BD3DD4"/>
    <w:rsid w:val="5AF92295"/>
    <w:rsid w:val="5B250254"/>
    <w:rsid w:val="5BDD79E6"/>
    <w:rsid w:val="5BF561CA"/>
    <w:rsid w:val="5BFF5DFC"/>
    <w:rsid w:val="5CD71FC4"/>
    <w:rsid w:val="5D1F11B5"/>
    <w:rsid w:val="5D663C6C"/>
    <w:rsid w:val="5D695134"/>
    <w:rsid w:val="5DAE1B18"/>
    <w:rsid w:val="5DE7D9E5"/>
    <w:rsid w:val="5ECEC941"/>
    <w:rsid w:val="5FBF9FF3"/>
    <w:rsid w:val="5FCD4E2C"/>
    <w:rsid w:val="5FEF394A"/>
    <w:rsid w:val="5FF67715"/>
    <w:rsid w:val="606326E4"/>
    <w:rsid w:val="625F4F5E"/>
    <w:rsid w:val="62BF3928"/>
    <w:rsid w:val="630710D0"/>
    <w:rsid w:val="63B3701E"/>
    <w:rsid w:val="644665A5"/>
    <w:rsid w:val="647F5392"/>
    <w:rsid w:val="64A030F0"/>
    <w:rsid w:val="64E57B6C"/>
    <w:rsid w:val="65E66580"/>
    <w:rsid w:val="664B1D71"/>
    <w:rsid w:val="664B4E8E"/>
    <w:rsid w:val="665C5C0C"/>
    <w:rsid w:val="67277B67"/>
    <w:rsid w:val="67AA3209"/>
    <w:rsid w:val="698D0931"/>
    <w:rsid w:val="6A7FE5F3"/>
    <w:rsid w:val="6B053271"/>
    <w:rsid w:val="6BDD78B3"/>
    <w:rsid w:val="6C4A05C8"/>
    <w:rsid w:val="6C8742B8"/>
    <w:rsid w:val="6DBF5E93"/>
    <w:rsid w:val="6DFF077E"/>
    <w:rsid w:val="6E714EF0"/>
    <w:rsid w:val="6E7E3605"/>
    <w:rsid w:val="6E7FDCC7"/>
    <w:rsid w:val="6ED6A62E"/>
    <w:rsid w:val="6EE00B15"/>
    <w:rsid w:val="6F6FB3EB"/>
    <w:rsid w:val="6F8731EA"/>
    <w:rsid w:val="6FCE6052"/>
    <w:rsid w:val="6FD57C00"/>
    <w:rsid w:val="6FEFFFD8"/>
    <w:rsid w:val="6FF5CC65"/>
    <w:rsid w:val="6FF752D4"/>
    <w:rsid w:val="6FFB47EC"/>
    <w:rsid w:val="6FFF034A"/>
    <w:rsid w:val="70484440"/>
    <w:rsid w:val="712A28F1"/>
    <w:rsid w:val="715C0E4B"/>
    <w:rsid w:val="71992E7C"/>
    <w:rsid w:val="72233669"/>
    <w:rsid w:val="72734D90"/>
    <w:rsid w:val="73160E6D"/>
    <w:rsid w:val="7332FE48"/>
    <w:rsid w:val="73AB61DA"/>
    <w:rsid w:val="73AD73D5"/>
    <w:rsid w:val="73B6EB34"/>
    <w:rsid w:val="73FA497D"/>
    <w:rsid w:val="744731E5"/>
    <w:rsid w:val="74BBD01D"/>
    <w:rsid w:val="74BF4BC8"/>
    <w:rsid w:val="74ED5379"/>
    <w:rsid w:val="75DEEEC2"/>
    <w:rsid w:val="75E32345"/>
    <w:rsid w:val="763B5477"/>
    <w:rsid w:val="76E3355F"/>
    <w:rsid w:val="76FF5125"/>
    <w:rsid w:val="776F6FFA"/>
    <w:rsid w:val="778769C8"/>
    <w:rsid w:val="77A75DCA"/>
    <w:rsid w:val="77DC22F5"/>
    <w:rsid w:val="783E271A"/>
    <w:rsid w:val="78616DE9"/>
    <w:rsid w:val="78E875D7"/>
    <w:rsid w:val="79086DAD"/>
    <w:rsid w:val="79D7FD79"/>
    <w:rsid w:val="79EE5BA4"/>
    <w:rsid w:val="7A633442"/>
    <w:rsid w:val="7A894339"/>
    <w:rsid w:val="7AD284E8"/>
    <w:rsid w:val="7AFF7572"/>
    <w:rsid w:val="7B6C7DFB"/>
    <w:rsid w:val="7BBFBED0"/>
    <w:rsid w:val="7BC3E394"/>
    <w:rsid w:val="7C1F3737"/>
    <w:rsid w:val="7CBFC87B"/>
    <w:rsid w:val="7CFE0F48"/>
    <w:rsid w:val="7D272ABC"/>
    <w:rsid w:val="7D7EC23E"/>
    <w:rsid w:val="7E8ADEBF"/>
    <w:rsid w:val="7EEF11D3"/>
    <w:rsid w:val="7EFE4840"/>
    <w:rsid w:val="7F0971A6"/>
    <w:rsid w:val="7F1D62E7"/>
    <w:rsid w:val="7F3F679B"/>
    <w:rsid w:val="7F4FC4EF"/>
    <w:rsid w:val="7F5E4D54"/>
    <w:rsid w:val="7F6E0135"/>
    <w:rsid w:val="7F79F205"/>
    <w:rsid w:val="7FA30C79"/>
    <w:rsid w:val="7FA79C44"/>
    <w:rsid w:val="7FAF8ABF"/>
    <w:rsid w:val="7FB0104A"/>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Salutation"/>
    <w:basedOn w:val="1"/>
    <w:next w:val="1"/>
    <w:qFormat/>
    <w:uiPriority w:val="0"/>
  </w:style>
  <w:style w:type="paragraph" w:styleId="9">
    <w:name w:val="Body Text"/>
    <w:basedOn w:val="1"/>
    <w:link w:val="26"/>
    <w:qFormat/>
    <w:uiPriority w:val="99"/>
    <w:pPr>
      <w:spacing w:beforeLines="30"/>
    </w:pPr>
    <w:rPr>
      <w:rFonts w:ascii="仿宋_GB2312" w:eastAsia="仿宋_GB2312"/>
      <w:kern w:val="0"/>
      <w:sz w:val="30"/>
    </w:r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2"/>
    <w:semiHidden/>
    <w:unhideWhenUsed/>
    <w:qFormat/>
    <w:uiPriority w:val="99"/>
    <w:rPr>
      <w:sz w:val="18"/>
      <w:szCs w:val="18"/>
    </w:rPr>
  </w:style>
  <w:style w:type="paragraph" w:styleId="12">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3"/>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2"/>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9"/>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5"/>
    <w:qFormat/>
    <w:uiPriority w:val="9"/>
    <w:rPr>
      <w:rFonts w:ascii="Times New Roman" w:hAnsi="Times New Roman"/>
      <w:b/>
      <w:bCs/>
      <w:kern w:val="44"/>
      <w:sz w:val="44"/>
      <w:szCs w:val="44"/>
    </w:rPr>
  </w:style>
  <w:style w:type="character" w:customStyle="1" w:styleId="30">
    <w:name w:val="标题 2 Char"/>
    <w:basedOn w:val="17"/>
    <w:link w:val="6"/>
    <w:qFormat/>
    <w:uiPriority w:val="9"/>
    <w:rPr>
      <w:rFonts w:asciiTheme="majorHAnsi" w:hAnsiTheme="majorHAnsi" w:eastAsiaTheme="majorEastAsia" w:cstheme="majorBidi"/>
      <w:b/>
      <w:bCs/>
      <w:kern w:val="2"/>
      <w:sz w:val="32"/>
      <w:szCs w:val="32"/>
    </w:rPr>
  </w:style>
  <w:style w:type="paragraph" w:customStyle="1" w:styleId="31">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1"/>
    <w:semiHidden/>
    <w:qFormat/>
    <w:uiPriority w:val="99"/>
    <w:rPr>
      <w:rFonts w:ascii="Times New Roman" w:hAnsi="Times New Roman"/>
      <w:kern w:val="2"/>
      <w:sz w:val="18"/>
      <w:szCs w:val="18"/>
    </w:rPr>
  </w:style>
  <w:style w:type="character" w:customStyle="1" w:styleId="33">
    <w:name w:val="标题 3 Char"/>
    <w:basedOn w:val="17"/>
    <w:link w:val="7"/>
    <w:qFormat/>
    <w:uiPriority w:val="9"/>
    <w:rPr>
      <w:rFonts w:ascii="Times New Roman" w:hAnsi="Times New Roman"/>
      <w:b/>
      <w:bCs/>
      <w:kern w:val="2"/>
      <w:sz w:val="32"/>
      <w:szCs w:val="32"/>
    </w:rPr>
  </w:style>
  <w:style w:type="paragraph" w:customStyle="1" w:styleId="34">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6">
    <w:name w:val="正文文本1"/>
    <w:basedOn w:val="1"/>
    <w:qFormat/>
    <w:uiPriority w:val="99"/>
    <w:pPr>
      <w:spacing w:before="93"/>
    </w:pPr>
    <w:rPr>
      <w:rFonts w:ascii="仿宋_GB2312" w:hAnsi="仿宋_GB2312" w:eastAsia="仿宋_GB2312" w:cs="仿宋_GB2312"/>
      <w:kern w:val="0"/>
      <w:sz w:val="30"/>
      <w:szCs w:val="30"/>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7.emf"/><Relationship Id="rId24" Type="http://schemas.openxmlformats.org/officeDocument/2006/relationships/oleObject" Target="embeddings/oleObject7.bin"/><Relationship Id="rId23" Type="http://schemas.openxmlformats.org/officeDocument/2006/relationships/image" Target="media/image6.emf"/><Relationship Id="rId22" Type="http://schemas.openxmlformats.org/officeDocument/2006/relationships/oleObject" Target="embeddings/oleObject6.bin"/><Relationship Id="rId21" Type="http://schemas.openxmlformats.org/officeDocument/2006/relationships/image" Target="media/image5.emf"/><Relationship Id="rId20" Type="http://schemas.openxmlformats.org/officeDocument/2006/relationships/oleObject" Target="embeddings/oleObject5.bin"/><Relationship Id="rId2" Type="http://schemas.openxmlformats.org/officeDocument/2006/relationships/settings" Target="settings.xml"/><Relationship Id="rId19" Type="http://schemas.openxmlformats.org/officeDocument/2006/relationships/image" Target="media/image4.emf"/><Relationship Id="rId18" Type="http://schemas.openxmlformats.org/officeDocument/2006/relationships/oleObject" Target="embeddings/oleObject4.bin"/><Relationship Id="rId17" Type="http://schemas.openxmlformats.org/officeDocument/2006/relationships/image" Target="media/image3.emf"/><Relationship Id="rId16" Type="http://schemas.openxmlformats.org/officeDocument/2006/relationships/oleObject" Target="embeddings/oleObject3.bin"/><Relationship Id="rId15" Type="http://schemas.openxmlformats.org/officeDocument/2006/relationships/image" Target="media/image2.emf"/><Relationship Id="rId14" Type="http://schemas.openxmlformats.org/officeDocument/2006/relationships/oleObject" Target="embeddings/oleObject2.bin"/><Relationship Id="rId13" Type="http://schemas.openxmlformats.org/officeDocument/2006/relationships/image" Target="media/image1.emf"/><Relationship Id="rId12" Type="http://schemas.openxmlformats.org/officeDocument/2006/relationships/oleObject" Target="embeddings/oleObject1.bin"/><Relationship Id="rId11" Type="http://schemas.openxmlformats.org/officeDocument/2006/relationships/theme" Target="theme/theme1.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20</Pages>
  <Words>4986</Words>
  <Characters>5408</Characters>
  <Lines>61</Lines>
  <Paragraphs>17</Paragraphs>
  <TotalTime>1</TotalTime>
  <ScaleCrop>false</ScaleCrop>
  <LinksUpToDate>false</LinksUpToDate>
  <CharactersWithSpaces>5423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自由……畅快</cp:lastModifiedBy>
  <cp:lastPrinted>2026-09-09T08:48:00Z</cp:lastPrinted>
  <dcterms:modified xsi:type="dcterms:W3CDTF">2026-09-10T08:56:37Z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04787F2533EB45DC91BCDE4AB213247F</vt:lpwstr>
  </property>
  <property fmtid="{D5CDD505-2E9C-101B-9397-08002B2CF9AE}" pid="4" name="KSOTemplateDocerSaveRecord">
    <vt:lpwstr>eyJoZGlkIjoiMTRkM2Q4OTc3NmM5NWM3Yzk3MWUxZDIyYjhhZmQ5YWUiLCJ1c2VySWQiOiIxMTQ5MjA0OTg1In0=</vt:lpwstr>
  </property>
</Properties>
</file>