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60" w:lineRule="exact"/>
        <w:ind w:firstLineChars="0" w:firstLine="0"/>
        <w:jc w:val="center"/>
        <w:rPr>
          <w:rFonts w:eastAsia="方正小标宋简体" w:cs="Times New Roman"/>
          <w:bCs w:val="0"/>
          <w:color w:val="000000"/>
          <w:sz w:val="44"/>
          <w:szCs w:val="44"/>
        </w:rPr>
      </w:pPr>
      <w:r>
        <w:rPr>
          <w:rFonts w:eastAsia="方正小标宋简体" w:cs="Times New Roman"/>
          <w:bCs w:val="0"/>
          <w:color w:val="000000"/>
          <w:sz w:val="44"/>
          <w:szCs w:val="44"/>
        </w:rPr>
        <w:t>阿坝州城乡建设指导意见（试行）</w:t>
      </w:r>
    </w:p>
    <w:p>
      <w:pPr>
        <w:spacing w:line="560" w:lineRule="exact"/>
        <w:ind w:firstLineChars="0" w:firstLine="0"/>
        <w:jc w:val="center"/>
        <w:rPr>
          <w:rFonts w:eastAsia="楷体_GB2312" w:cs="Times New Roman"/>
          <w:b/>
          <w:bCs w:val="0"/>
          <w:color w:val="000000"/>
          <w:szCs w:val="32"/>
        </w:rPr>
      </w:pPr>
      <w:r>
        <w:rPr>
          <w:rFonts w:eastAsia="楷体_GB2312" w:cs="Times New Roman"/>
          <w:b/>
          <w:bCs w:val="0"/>
          <w:color w:val="000000"/>
          <w:szCs w:val="32"/>
        </w:rPr>
        <w:t>（送审稿）</w:t>
      </w:r>
    </w:p>
    <w:p>
      <w:pPr>
        <w:spacing w:line="560" w:lineRule="exact"/>
        <w:ind w:firstLineChars="0" w:firstLine="0"/>
        <w:rPr>
          <w:rFonts w:eastAsia="楷体_GB2312" w:cs="Times New Roman"/>
          <w:b/>
          <w:bCs w:val="0"/>
          <w:color w:val="000000"/>
          <w:szCs w:val="32"/>
        </w:rPr>
      </w:pPr>
    </w:p>
    <w:p>
      <w:pPr>
        <w:spacing w:line="560" w:lineRule="exact"/>
        <w:ind w:firstLineChars="200" w:firstLine="640"/>
        <w:rPr>
          <w:rFonts w:cs="Times New Roman"/>
          <w:bCs w:val="0"/>
          <w:color w:val="000000"/>
          <w:szCs w:val="32"/>
        </w:rPr>
      </w:pPr>
      <w:r>
        <w:rPr>
          <w:rFonts w:cs="Times New Roman"/>
          <w:bCs w:val="0"/>
          <w:color w:val="000000"/>
          <w:szCs w:val="32"/>
        </w:rPr>
        <w:t>城乡建设是推动绿色发展、建设美丽阿坝的重要载体。近年来，我州人居环境持续改善，住房水平显著提高，同时仍存在设计水平不高、建筑材料把控不严、工程质量缺陷频发等突出问题，结合我州高寒气候特点及民族地区的文化特色，为推动城乡建设高质量发展，现提出以下指导意见。</w:t>
      </w:r>
    </w:p>
    <w:p>
      <w:pPr>
        <w:spacing w:line="560" w:lineRule="exact"/>
        <w:rPr>
          <w:rFonts w:eastAsia="黑体" w:cs="Times New Roman"/>
          <w:color w:val="000000"/>
          <w:szCs w:val="32"/>
        </w:rPr>
      </w:pPr>
      <w:r>
        <w:rPr>
          <w:rFonts w:eastAsia="黑体" w:cs="Times New Roman"/>
          <w:color w:val="000000"/>
          <w:szCs w:val="32"/>
        </w:rPr>
        <w:t>一、总体要求</w:t>
      </w:r>
    </w:p>
    <w:p>
      <w:pPr>
        <w:spacing w:line="560" w:lineRule="exact"/>
        <w:rPr>
          <w:rFonts w:cs="Times New Roman"/>
          <w:color w:val="000000"/>
          <w:szCs w:val="32"/>
        </w:rPr>
      </w:pPr>
      <w:r>
        <w:rPr>
          <w:rFonts w:eastAsia="楷体_GB2312" w:cs="Times New Roman"/>
          <w:b/>
          <w:color w:val="000000"/>
          <w:szCs w:val="32"/>
        </w:rPr>
        <w:t>（一）指导思想。</w:t>
      </w:r>
      <w:r>
        <w:rPr>
          <w:rFonts w:cs="Times New Roman"/>
          <w:color w:val="000000"/>
          <w:szCs w:val="32"/>
        </w:rPr>
        <w:t>坚持以习近平新时代中国特色社会主义思想为指导，深入贯彻党的二十大和二十届三中、四中全会精神，全面落实习近平总书记关于城市工作的重要论述和对四川工作系列重要指示精神。坚决担当维护国家生态安全战略屏障重任，主动服务国家重要初级产品供给战略基地建设，全力建设四川向西开放战略重要支点，统筹推进高质量发展、高水平保护和高效能治理。认真落实2025年中央、省委城市工作会议精神及州委、州政府决策部署。以建设创新、宜居、美丽、韧性、文明、智慧的现代化人民城市为目标，以推进城市更新为重要抓手，秉承“把建筑轻轻放在山水之间”的核心理念，着力建成“双翼驱动、三向突破、四区共兴”的区域发展新格局。推动城乡建设实现功能完善、风貌协调、安全韧性、绿色低碳，为民族地区高质量发展阿坝典范建设提供坚实支撑。</w:t>
      </w:r>
    </w:p>
    <w:p>
      <w:pPr>
        <w:spacing w:line="560" w:lineRule="exact"/>
        <w:rPr>
          <w:rFonts w:cs="Times New Roman"/>
          <w:bCs w:val="0"/>
          <w:color w:val="000000"/>
          <w:szCs w:val="32"/>
        </w:rPr>
      </w:pPr>
      <w:r>
        <w:rPr>
          <w:rFonts w:eastAsia="楷体_GB2312" w:cs="Times New Roman"/>
          <w:b/>
          <w:color w:val="000000"/>
          <w:szCs w:val="32"/>
        </w:rPr>
        <w:t>（二）主要目标。</w:t>
      </w:r>
      <w:r>
        <w:rPr>
          <w:rFonts w:cs="Times New Roman"/>
          <w:color w:val="000000"/>
          <w:szCs w:val="32"/>
        </w:rPr>
        <w:t>到“十五五”期末，阿坝州城乡建设质量、效率与可持续性显著提升，城乡功能更加完善、风貌特色更加鲜明、绿色低碳发展深入推进、治理能力提质增效，基本形成与“国际生态文化旅游目的地”定位相适应、具有高原民族特色的城乡发展新格局。</w:t>
      </w:r>
    </w:p>
    <w:p>
      <w:pPr>
        <w:spacing w:line="560" w:lineRule="exact"/>
        <w:rPr>
          <w:rFonts w:eastAsia="楷体_GB2312" w:cs="Times New Roman"/>
          <w:b/>
          <w:color w:val="000000"/>
          <w:szCs w:val="32"/>
        </w:rPr>
      </w:pPr>
      <w:r>
        <w:rPr>
          <w:rFonts w:eastAsia="楷体_GB2312" w:cs="Times New Roman"/>
          <w:b/>
          <w:color w:val="000000"/>
          <w:szCs w:val="32"/>
        </w:rPr>
        <w:t>（三）基本原则。</w:t>
      </w:r>
    </w:p>
    <w:p>
      <w:pPr>
        <w:spacing w:line="560" w:lineRule="exact"/>
        <w:rPr>
          <w:rFonts w:cs="Times New Roman"/>
          <w:color w:val="000000"/>
          <w:szCs w:val="32"/>
        </w:rPr>
      </w:pPr>
      <w:r>
        <w:rPr>
          <w:rFonts w:cs="Times New Roman"/>
          <w:b/>
          <w:color w:val="000000"/>
          <w:szCs w:val="32"/>
        </w:rPr>
        <w:t>坚持安全为本、质量优先：</w:t>
      </w:r>
      <w:r>
        <w:rPr>
          <w:rFonts w:cs="Times New Roman"/>
          <w:color w:val="000000"/>
          <w:szCs w:val="32"/>
        </w:rPr>
        <w:t>严守质量安全底线，强化全过程全生命周期管理，严格落实抗震、抗冻、防风、防火等防灾要求，保障人民群众生命财产安全和建筑长期性能。</w:t>
      </w:r>
    </w:p>
    <w:p>
      <w:pPr>
        <w:spacing w:line="560" w:lineRule="exact"/>
        <w:rPr>
          <w:rFonts w:cs="Times New Roman"/>
          <w:color w:val="000000"/>
          <w:szCs w:val="32"/>
        </w:rPr>
      </w:pPr>
      <w:r>
        <w:rPr>
          <w:rFonts w:cs="Times New Roman"/>
          <w:b/>
          <w:color w:val="000000"/>
          <w:szCs w:val="32"/>
        </w:rPr>
        <w:t>坚持因地制宜、彰显特色：</w:t>
      </w:r>
      <w:r>
        <w:rPr>
          <w:rFonts w:cs="Times New Roman"/>
          <w:color w:val="000000"/>
          <w:szCs w:val="32"/>
        </w:rPr>
        <w:t>充分考虑高原高寒、民族地区、生态敏感等地域特点，灵活适用技术标准，避免“一刀切”。加强藏羌传统建筑技艺和风貌保护传承，推动现代技术与民族文化深度融合。</w:t>
      </w:r>
    </w:p>
    <w:p>
      <w:pPr>
        <w:spacing w:line="560" w:lineRule="exact"/>
        <w:rPr>
          <w:rFonts w:cs="Times New Roman"/>
          <w:color w:val="000000"/>
          <w:szCs w:val="32"/>
        </w:rPr>
      </w:pPr>
      <w:r>
        <w:rPr>
          <w:rFonts w:cs="Times New Roman"/>
          <w:b/>
          <w:color w:val="000000"/>
          <w:szCs w:val="32"/>
        </w:rPr>
        <w:t>坚持生态优先、绿色发展：</w:t>
      </w:r>
      <w:r>
        <w:rPr>
          <w:rFonts w:cs="Times New Roman"/>
          <w:color w:val="000000"/>
          <w:szCs w:val="32"/>
        </w:rPr>
        <w:t>牢固树立绿水青山就是金山银山理念，严格保护自然本底，推动绿色建筑、节能材料、可再生能源应用，构建低碳、循环、韧性的城乡体系。</w:t>
      </w:r>
    </w:p>
    <w:p>
      <w:pPr>
        <w:spacing w:line="560" w:lineRule="exact"/>
        <w:rPr>
          <w:rFonts w:cs="Times New Roman"/>
          <w:color w:val="000000"/>
          <w:szCs w:val="32"/>
        </w:rPr>
      </w:pPr>
      <w:r>
        <w:rPr>
          <w:rFonts w:cs="Times New Roman"/>
          <w:b/>
          <w:color w:val="000000"/>
          <w:szCs w:val="32"/>
        </w:rPr>
        <w:t>坚持统筹协同、系统治理：</w:t>
      </w:r>
      <w:r>
        <w:rPr>
          <w:rFonts w:cs="Times New Roman"/>
          <w:color w:val="000000"/>
          <w:szCs w:val="32"/>
        </w:rPr>
        <w:t>强化规划、建设、管理、运营各环节衔接，推动跨部门、跨层级、跨区域协同联动，构建“规—建—管—运”一体化工作机制。</w:t>
      </w:r>
    </w:p>
    <w:p>
      <w:pPr>
        <w:spacing w:line="560" w:lineRule="exact"/>
        <w:rPr>
          <w:rFonts w:cs="Times New Roman"/>
          <w:color w:val="000000"/>
          <w:szCs w:val="32"/>
        </w:rPr>
      </w:pPr>
      <w:r>
        <w:rPr>
          <w:rFonts w:cs="Times New Roman"/>
          <w:b/>
          <w:color w:val="000000"/>
          <w:szCs w:val="32"/>
        </w:rPr>
        <w:t>坚持改革创新、注重实效：</w:t>
      </w:r>
      <w:r>
        <w:rPr>
          <w:rFonts w:cs="Times New Roman"/>
          <w:color w:val="000000"/>
          <w:szCs w:val="32"/>
        </w:rPr>
        <w:t>鼓励管理制度、技术标准、工程实践创新，探索适用于高海拔、峡谷地区的地方标准和技术参数。聚焦群众“急难愁盼”，推动政策落地见效，切实提升人民群众获得感、幸福感、安全感。</w:t>
      </w:r>
    </w:p>
    <w:p>
      <w:pPr>
        <w:spacing w:line="560" w:lineRule="exact"/>
        <w:rPr>
          <w:rFonts w:eastAsia="黑体" w:cs="Times New Roman"/>
          <w:color w:val="000000"/>
          <w:szCs w:val="32"/>
        </w:rPr>
      </w:pPr>
      <w:r>
        <w:rPr>
          <w:rFonts w:eastAsia="黑体" w:cs="Times New Roman"/>
          <w:color w:val="000000"/>
          <w:szCs w:val="32"/>
        </w:rPr>
        <w:t>二、强化项目包装谋划</w:t>
      </w:r>
    </w:p>
    <w:p>
      <w:pPr>
        <w:spacing w:line="560" w:lineRule="exact"/>
        <w:rPr>
          <w:rFonts w:cs="Times New Roman"/>
          <w:bCs w:val="0"/>
          <w:color w:val="000000"/>
          <w:szCs w:val="32"/>
        </w:rPr>
      </w:pPr>
      <w:r>
        <w:rPr>
          <w:rFonts w:eastAsia="楷体_GB2312" w:cs="Times New Roman"/>
          <w:b/>
          <w:bCs w:val="0"/>
          <w:color w:val="000000"/>
          <w:szCs w:val="32"/>
        </w:rPr>
        <w:t>（四）坚持规划引领。</w:t>
      </w:r>
      <w:r>
        <w:rPr>
          <w:rFonts w:cs="Times New Roman"/>
          <w:bCs w:val="0"/>
          <w:color w:val="000000"/>
          <w:szCs w:val="32"/>
        </w:rPr>
        <w:t>高质量编制阿坝州“十五五”住房城乡建设事业发展规划及新型城镇化规划，优化城镇网络空间与功能配置。加快推进县城城市体检和城市更新专项规划编制。科学确定县（市）域镇村体系及空间布局，明确职能定位、主导产业、人口规模、开发边界、用途管制，经评估论证后保障城乡建设科学发展。</w:t>
      </w:r>
    </w:p>
    <w:p>
      <w:pPr>
        <w:spacing w:line="560" w:lineRule="exact"/>
        <w:rPr>
          <w:rFonts w:cs="Times New Roman"/>
          <w:bCs w:val="0"/>
          <w:color w:val="000000"/>
          <w:szCs w:val="32"/>
        </w:rPr>
      </w:pPr>
      <w:r>
        <w:rPr>
          <w:rFonts w:eastAsia="楷体_GB2312" w:cs="Times New Roman"/>
          <w:b/>
          <w:bCs w:val="0"/>
          <w:color w:val="000000"/>
          <w:szCs w:val="32"/>
        </w:rPr>
        <w:t>（五）强化项目要素保障。</w:t>
      </w:r>
      <w:r>
        <w:rPr>
          <w:rFonts w:cs="Times New Roman"/>
          <w:bCs w:val="0"/>
          <w:color w:val="000000"/>
          <w:szCs w:val="32"/>
        </w:rPr>
        <w:t>围绕城乡建设目标，州、县（市）住建部门会同发改、财政、自然资源、农业农村、林草、生态环境等部门建立重大项目协同管理机制，明确项目生成、审批、建设、资金保障等环节职责分工。重点加强项目策划包装、规划用地、建筑方案设计的统筹联动。</w:t>
      </w:r>
    </w:p>
    <w:p>
      <w:pPr>
        <w:spacing w:line="560" w:lineRule="exact"/>
        <w:rPr>
          <w:rFonts w:cs="Times New Roman"/>
          <w:bCs w:val="0"/>
          <w:color w:val="000000"/>
          <w:szCs w:val="32"/>
        </w:rPr>
      </w:pPr>
      <w:r>
        <w:rPr>
          <w:rFonts w:eastAsia="楷体_GB2312" w:cs="Times New Roman"/>
          <w:b/>
          <w:bCs w:val="0"/>
          <w:color w:val="000000"/>
          <w:szCs w:val="32"/>
        </w:rPr>
        <w:t>（六）加强城乡风貌管控。</w:t>
      </w:r>
      <w:r>
        <w:rPr>
          <w:rFonts w:cs="Times New Roman"/>
          <w:bCs w:val="0"/>
          <w:color w:val="000000"/>
          <w:szCs w:val="32"/>
        </w:rPr>
        <w:t>加强传统建筑及技艺保护利用，处理好传统与现代、继承与发展的关系。保护村落传统格局、街巷肌理、历史风貌与自然本底。挖掘历史、民族、红色、生态文化元素，建立地域建筑文化资源库。传承传统技艺，培育技艺人才，在历史建筑、保护建筑及传统村落建设中采用传统技艺。自然资源部门应及时制定设计方案审定细则</w:t>
      </w:r>
      <w:bookmarkStart w:id="0" w:name="_GoBack"/>
      <w:bookmarkEnd w:id="0"/>
      <w:r>
        <w:rPr>
          <w:rFonts w:cs="Times New Roman"/>
          <w:bCs w:val="0"/>
          <w:color w:val="000000"/>
          <w:szCs w:val="32"/>
        </w:rPr>
        <w:t>。住建部门应深度参与工程设计方案审定，提出设计方案审定技术审查意见。</w:t>
      </w:r>
    </w:p>
    <w:p>
      <w:pPr>
        <w:spacing w:line="560" w:lineRule="exact"/>
        <w:rPr>
          <w:rFonts w:cs="Times New Roman"/>
          <w:bCs w:val="0"/>
          <w:color w:val="000000"/>
          <w:szCs w:val="32"/>
        </w:rPr>
      </w:pPr>
      <w:r>
        <w:rPr>
          <w:rFonts w:eastAsia="楷体_GB2312" w:cs="Times New Roman"/>
          <w:b/>
          <w:bCs w:val="0"/>
          <w:color w:val="000000"/>
          <w:szCs w:val="32"/>
        </w:rPr>
        <w:t>（七）激活城市存量资源潜力。</w:t>
      </w:r>
      <w:r>
        <w:rPr>
          <w:rFonts w:cs="Times New Roman"/>
          <w:bCs w:val="0"/>
          <w:color w:val="000000"/>
          <w:szCs w:val="32"/>
        </w:rPr>
        <w:t>各县（市）结合城市体检，梳理闲置低效的公共建筑和市政设施存量资产。新建项目若可通过存量改造满足需求，优先采用功能转换、维修改造等方式盘活利用，避免重复建设。改造利用老旧厂房、低效楼宇、闲置商业设施等存量房屋，建立适应功能转换和混合利用的规划调整机制。加强存量市政设施资产管理，提高运行效能。优化产权归集、整合、置换和登记政策，盘活存量低效用地。</w:t>
      </w:r>
    </w:p>
    <w:p>
      <w:pPr>
        <w:spacing w:line="560" w:lineRule="exact"/>
        <w:rPr>
          <w:rFonts w:cs="Times New Roman"/>
          <w:bCs w:val="0"/>
          <w:color w:val="000000"/>
          <w:szCs w:val="32"/>
        </w:rPr>
      </w:pPr>
      <w:r>
        <w:rPr>
          <w:rFonts w:eastAsia="楷体_GB2312" w:cs="Times New Roman"/>
          <w:b/>
          <w:bCs w:val="0"/>
          <w:color w:val="000000"/>
          <w:szCs w:val="32"/>
        </w:rPr>
        <w:t>（八）系统推进“好房子”和完整社区建设。</w:t>
      </w:r>
      <w:r>
        <w:rPr>
          <w:rFonts w:cs="Times New Roman"/>
          <w:bCs w:val="0"/>
          <w:color w:val="000000"/>
          <w:szCs w:val="32"/>
        </w:rPr>
        <w:t>加快构建房地产发展新模式，满足群众刚性和多样化改善性住房需求。全链条提升住房设计、建造、维护、服务水平，建设安全、舒适、绿色、智慧的“好房子”。实施物业服务质量提升行动。稳步推进城中村和危旧房改造，支持城市危旧房自主更新、原拆原建。加快建设完整社区，完善嵌入式服务设施，构建便民生活圈。</w:t>
      </w:r>
    </w:p>
    <w:p>
      <w:pPr>
        <w:spacing w:line="560" w:lineRule="exact"/>
        <w:rPr>
          <w:rFonts w:cs="Times New Roman"/>
          <w:bCs w:val="0"/>
          <w:color w:val="000000"/>
          <w:szCs w:val="32"/>
        </w:rPr>
      </w:pPr>
      <w:r>
        <w:rPr>
          <w:rFonts w:eastAsia="楷体_GB2312" w:cs="Times New Roman"/>
          <w:b/>
          <w:color w:val="000000"/>
          <w:szCs w:val="32"/>
        </w:rPr>
        <w:t>（九）推进乡村建设提档升级。</w:t>
      </w:r>
      <w:r>
        <w:rPr>
          <w:rFonts w:cs="Times New Roman"/>
          <w:bCs w:val="0"/>
          <w:color w:val="000000"/>
          <w:szCs w:val="32"/>
        </w:rPr>
        <w:t>深入开展“美村靓户”行动，持续推进农村“厕所革命”、垃圾治理和生活污水治理，统筹推进基础设施建设和公共服务配套。加强传统村落保护利用，推动其与乡村旅游、文化传承有机结合，打造一批具有阿坝特色的和美乡村。实施农房抗震安全巩固提升行动和农村危房改造，守牢农户住房安全底线。</w:t>
      </w:r>
    </w:p>
    <w:p>
      <w:pPr>
        <w:spacing w:line="560" w:lineRule="exact"/>
        <w:rPr>
          <w:rFonts w:cs="Times New Roman"/>
          <w:bCs w:val="0"/>
          <w:color w:val="000000"/>
          <w:szCs w:val="32"/>
        </w:rPr>
      </w:pPr>
      <w:r>
        <w:rPr>
          <w:rFonts w:eastAsia="楷体_GB2312" w:cs="Times New Roman"/>
          <w:b/>
          <w:bCs w:val="0"/>
          <w:color w:val="000000"/>
          <w:szCs w:val="32"/>
        </w:rPr>
        <w:t>（十）推动文旅融合发展。</w:t>
      </w:r>
      <w:r>
        <w:rPr>
          <w:rFonts w:cs="Times New Roman"/>
          <w:bCs w:val="0"/>
          <w:color w:val="000000"/>
          <w:szCs w:val="32"/>
        </w:rPr>
        <w:t>围绕建设国际生态文化旅游目的地，推动城乡建设与文旅产业深度融合。培育景城互动、景镇一体、景村相融、红色研学、生态康养等业态，推进适旅化改造，完善旅游服务设施，打造“一村一韵”“美村靓户”的乡村风貌。以城市建设、景区发展为抓手，突出“精而优”的规划设计、“适而用”的配套基础、“特而新”的业态培育、“靓而美”的环境提升，与生态文化旅游目的地建设协调一致。</w:t>
      </w:r>
    </w:p>
    <w:p>
      <w:pPr>
        <w:spacing w:line="560" w:lineRule="exact"/>
        <w:rPr>
          <w:rFonts w:cs="Times New Roman"/>
          <w:bCs w:val="0"/>
          <w:color w:val="000000"/>
          <w:szCs w:val="32"/>
        </w:rPr>
      </w:pPr>
      <w:r>
        <w:rPr>
          <w:rFonts w:eastAsia="楷体_GB2312" w:cs="Times New Roman"/>
          <w:b/>
          <w:color w:val="000000"/>
          <w:szCs w:val="32"/>
        </w:rPr>
        <w:t>（十</w:t>
      </w:r>
      <w:r>
        <w:rPr>
          <w:rFonts w:eastAsia="楷体_GB2312" w:cs="Times New Roman" w:hint="eastAsia"/>
          <w:b/>
          <w:color w:val="000000"/>
          <w:szCs w:val="32"/>
        </w:rPr>
        <w:t>一</w:t>
      </w:r>
      <w:r>
        <w:rPr>
          <w:rFonts w:eastAsia="楷体_GB2312" w:cs="Times New Roman"/>
          <w:b/>
          <w:color w:val="000000"/>
          <w:szCs w:val="32"/>
        </w:rPr>
        <w:t>）优化营商环境。</w:t>
      </w:r>
      <w:r>
        <w:rPr>
          <w:rFonts w:cs="Times New Roman"/>
          <w:bCs w:val="0"/>
          <w:color w:val="000000"/>
          <w:szCs w:val="32"/>
        </w:rPr>
        <w:t>以企业需求为导向，在审批效率、过程监管、保障服务、政策支持上持续发力。实施建筑强企行动，培育壮大本地建筑企业，支持提升资质、拓展市场，积极发展本地绿色建材、装配式构件、建筑垃圾再生利用等企业。加快既有建材厂改造升级，推动本地建材获绿色建材产品认证。落实绿色电价政策，用足工业领域技术改造和设备更新资金支持。</w:t>
      </w:r>
    </w:p>
    <w:p>
      <w:pPr>
        <w:spacing w:line="560" w:lineRule="exact"/>
        <w:rPr>
          <w:rFonts w:eastAsia="黑体" w:cs="Times New Roman"/>
          <w:bCs w:val="0"/>
          <w:color w:val="000000"/>
          <w:szCs w:val="32"/>
        </w:rPr>
      </w:pPr>
      <w:r>
        <w:rPr>
          <w:rFonts w:eastAsia="黑体" w:cs="Times New Roman"/>
          <w:bCs w:val="0"/>
          <w:color w:val="000000"/>
          <w:szCs w:val="32"/>
        </w:rPr>
        <w:t>三、严格工程发包与承包管理</w:t>
      </w:r>
    </w:p>
    <w:p>
      <w:pPr>
        <w:spacing w:line="560" w:lineRule="exact"/>
        <w:rPr>
          <w:rFonts w:cs="Times New Roman"/>
          <w:bCs w:val="0"/>
          <w:color w:val="000000"/>
          <w:szCs w:val="32"/>
        </w:rPr>
      </w:pPr>
      <w:r>
        <w:rPr>
          <w:rFonts w:eastAsia="楷体_GB2312" w:cs="Times New Roman"/>
          <w:b/>
          <w:color w:val="000000"/>
          <w:szCs w:val="32"/>
        </w:rPr>
        <w:t>（十</w:t>
      </w:r>
      <w:r>
        <w:rPr>
          <w:rFonts w:eastAsia="楷体_GB2312" w:cs="Times New Roman" w:hint="eastAsia"/>
          <w:b/>
          <w:color w:val="000000"/>
          <w:szCs w:val="32"/>
        </w:rPr>
        <w:t>二</w:t>
      </w:r>
      <w:r>
        <w:rPr>
          <w:rFonts w:eastAsia="楷体_GB2312" w:cs="Times New Roman"/>
          <w:b/>
          <w:color w:val="000000"/>
          <w:szCs w:val="32"/>
        </w:rPr>
        <w:t>）加强项目发包管理。</w:t>
      </w:r>
      <w:r>
        <w:rPr>
          <w:rFonts w:cs="Times New Roman"/>
          <w:bCs w:val="0"/>
          <w:color w:val="000000"/>
          <w:szCs w:val="32"/>
        </w:rPr>
        <w:t>严格执行《招标投标法》及其实施条例，依法必须招标的国家投资工程建设项目，原则上采用评定分离机制确定中标人，禁止限制或排斥潜在投标人。非必须招标的项目应公开公平择优选择有资质的承包单位。禁止将工程发包给无资质单位，禁止肢解发包。涉及国家安全、抢险救灾等特殊项目按国家规定执行。</w:t>
      </w:r>
    </w:p>
    <w:p>
      <w:pPr>
        <w:spacing w:line="560" w:lineRule="exact"/>
        <w:rPr>
          <w:rFonts w:cs="Times New Roman"/>
          <w:bCs w:val="0"/>
          <w:color w:val="000000"/>
          <w:szCs w:val="32"/>
        </w:rPr>
      </w:pPr>
      <w:r>
        <w:rPr>
          <w:rFonts w:eastAsia="楷体_GB2312" w:cs="Times New Roman"/>
          <w:b/>
          <w:bCs w:val="0"/>
          <w:color w:val="000000"/>
          <w:szCs w:val="32"/>
        </w:rPr>
        <w:t>（十</w:t>
      </w:r>
      <w:r>
        <w:rPr>
          <w:rFonts w:eastAsia="楷体_GB2312" w:cs="Times New Roman" w:hint="eastAsia"/>
          <w:b/>
          <w:bCs w:val="0"/>
          <w:color w:val="000000"/>
          <w:szCs w:val="32"/>
        </w:rPr>
        <w:t>三</w:t>
      </w:r>
      <w:r>
        <w:rPr>
          <w:rFonts w:eastAsia="楷体_GB2312" w:cs="Times New Roman"/>
          <w:b/>
          <w:bCs w:val="0"/>
          <w:color w:val="000000"/>
          <w:szCs w:val="32"/>
        </w:rPr>
        <w:t>）加强项目承包管理。</w:t>
      </w:r>
      <w:r>
        <w:rPr>
          <w:rFonts w:cs="Times New Roman"/>
          <w:bCs w:val="0"/>
          <w:color w:val="000000"/>
          <w:szCs w:val="32"/>
        </w:rPr>
        <w:t>压实建设单位首要责任，合同签订前严格核查资质、人员、业绩条件，严禁超越资质承揽</w:t>
      </w:r>
      <w:r>
        <w:rPr>
          <w:rFonts w:cs="Times New Roman" w:hint="eastAsia"/>
          <w:bCs w:val="0"/>
          <w:color w:val="000000"/>
          <w:szCs w:val="32"/>
        </w:rPr>
        <w:t>，加强项目设计、施工、资金等风险管理，与工程施工单位合理分担风险。</w:t>
      </w:r>
      <w:r>
        <w:rPr>
          <w:rFonts w:cs="Times New Roman"/>
          <w:bCs w:val="0"/>
          <w:color w:val="000000"/>
          <w:szCs w:val="32"/>
        </w:rPr>
        <w:t>压实施工单位主体责任，依法须办理</w:t>
      </w:r>
      <w:r>
        <w:rPr>
          <w:rFonts w:cs="Times New Roman" w:hint="eastAsia"/>
          <w:bCs w:val="0"/>
          <w:color w:val="000000"/>
          <w:szCs w:val="32"/>
        </w:rPr>
        <w:t>《建筑工程施工许可证》</w:t>
      </w:r>
      <w:r>
        <w:rPr>
          <w:rFonts w:cs="Times New Roman"/>
          <w:bCs w:val="0"/>
          <w:color w:val="000000"/>
          <w:szCs w:val="32"/>
        </w:rPr>
        <w:t>的国家投资工程建设项目全面实行实名制管理。严厉打击转包、挂靠、违法分包等行为，依法责令改正、罚款并记入不良信用记录，情节严重的降低或吊销资质，确保建筑市场规范有序。</w:t>
      </w:r>
    </w:p>
    <w:p>
      <w:pPr>
        <w:spacing w:line="560" w:lineRule="exact"/>
        <w:rPr>
          <w:rFonts w:cs="Times New Roman"/>
          <w:bCs w:val="0"/>
          <w:color w:val="000000"/>
          <w:szCs w:val="32"/>
        </w:rPr>
      </w:pPr>
      <w:r>
        <w:rPr>
          <w:rFonts w:eastAsia="楷体_GB2312" w:cs="Times New Roman"/>
          <w:b/>
          <w:bCs w:val="0"/>
          <w:color w:val="000000"/>
          <w:szCs w:val="32"/>
        </w:rPr>
        <w:t>（十</w:t>
      </w:r>
      <w:r>
        <w:rPr>
          <w:rFonts w:eastAsia="楷体_GB2312" w:cs="Times New Roman" w:hint="eastAsia"/>
          <w:b/>
          <w:bCs w:val="0"/>
          <w:color w:val="000000"/>
          <w:szCs w:val="32"/>
        </w:rPr>
        <w:t>四</w:t>
      </w:r>
      <w:r>
        <w:rPr>
          <w:rFonts w:eastAsia="楷体_GB2312" w:cs="Times New Roman"/>
          <w:b/>
          <w:bCs w:val="0"/>
          <w:color w:val="000000"/>
          <w:szCs w:val="32"/>
        </w:rPr>
        <w:t>）加强工程总承包（EPC）管理。</w:t>
      </w:r>
      <w:r>
        <w:rPr>
          <w:rFonts w:cs="Times New Roman"/>
          <w:bCs w:val="0"/>
          <w:color w:val="000000"/>
          <w:szCs w:val="32"/>
        </w:rPr>
        <w:t>积极推行EPC模式，政府投资及国有资金占控股或主导地位的项目优先采用。建设单位应在发包前完成项目审批，明确建设范围、规模、标准、功能等要求。EPC单位应同时具备相应设计和施工资质（或组成联合体），设立项目管理机构，对工程质量、安全、工期、造价全面负责。严格控制初步设计深度与设计变更管理，确保投资可控、质量可靠。</w:t>
      </w:r>
    </w:p>
    <w:p>
      <w:pPr>
        <w:spacing w:line="560" w:lineRule="exact"/>
        <w:rPr>
          <w:rFonts w:cs="Times New Roman"/>
          <w:bCs w:val="0"/>
          <w:color w:val="000000"/>
          <w:szCs w:val="32"/>
        </w:rPr>
      </w:pPr>
      <w:r>
        <w:rPr>
          <w:rFonts w:eastAsia="楷体_GB2312" w:cs="Times New Roman"/>
          <w:b/>
          <w:bCs w:val="0"/>
          <w:color w:val="000000"/>
          <w:szCs w:val="32"/>
        </w:rPr>
        <w:t>（十</w:t>
      </w:r>
      <w:r>
        <w:rPr>
          <w:rFonts w:eastAsia="楷体_GB2312" w:cs="Times New Roman" w:hint="eastAsia"/>
          <w:b/>
          <w:bCs w:val="0"/>
          <w:color w:val="000000"/>
          <w:szCs w:val="32"/>
        </w:rPr>
        <w:t>五</w:t>
      </w:r>
      <w:r>
        <w:rPr>
          <w:rFonts w:eastAsia="楷体_GB2312" w:cs="Times New Roman"/>
          <w:b/>
          <w:bCs w:val="0"/>
          <w:color w:val="000000"/>
          <w:szCs w:val="32"/>
        </w:rPr>
        <w:t>）加强合同与计价管理。</w:t>
      </w:r>
      <w:r>
        <w:rPr>
          <w:rFonts w:cs="Times New Roman"/>
          <w:bCs w:val="0"/>
          <w:color w:val="000000"/>
          <w:szCs w:val="32"/>
        </w:rPr>
        <w:t>规范合同签订与履行，招标环节发包人应按《中华人民共和国招标投标法》规定，明确合同质量、安全、工期、造价、付款、违约责任等核心条款。严格执行造价管理制度，加强招标控制价、投标报价、竣工结算的全过程管理。强化财政评审，规范政府投资项目初步设计概算、招标控制价及竣工结算评审程序。加强造价咨询企业监督检查，依法查处违规计价行为，维护发承包双方合法权益。</w:t>
      </w:r>
    </w:p>
    <w:p>
      <w:pPr>
        <w:spacing w:line="560" w:lineRule="exact"/>
        <w:rPr>
          <w:rFonts w:eastAsia="黑体" w:cs="Times New Roman"/>
          <w:bCs w:val="0"/>
          <w:color w:val="000000"/>
          <w:szCs w:val="32"/>
        </w:rPr>
      </w:pPr>
      <w:r>
        <w:rPr>
          <w:rFonts w:eastAsia="黑体" w:cs="Times New Roman"/>
          <w:bCs w:val="0"/>
          <w:color w:val="000000"/>
          <w:szCs w:val="32"/>
        </w:rPr>
        <w:t>四、严格建设过程管理</w:t>
      </w:r>
    </w:p>
    <w:p>
      <w:pPr>
        <w:spacing w:line="560" w:lineRule="exact"/>
        <w:rPr>
          <w:rFonts w:cs="Times New Roman"/>
          <w:bCs w:val="0"/>
          <w:color w:val="000000"/>
          <w:szCs w:val="32"/>
        </w:rPr>
      </w:pPr>
      <w:r>
        <w:rPr>
          <w:rFonts w:eastAsia="楷体_GB2312" w:cs="Times New Roman"/>
          <w:b/>
          <w:color w:val="000000"/>
          <w:szCs w:val="32"/>
        </w:rPr>
        <w:t>（</w:t>
      </w:r>
      <w:r>
        <w:rPr>
          <w:rFonts w:eastAsia="楷体_GB2312" w:cs="Times New Roman" w:hint="eastAsia"/>
          <w:b/>
          <w:color w:val="000000"/>
          <w:szCs w:val="32"/>
        </w:rPr>
        <w:t>十六</w:t>
      </w:r>
      <w:r>
        <w:rPr>
          <w:rFonts w:eastAsia="楷体_GB2312" w:cs="Times New Roman"/>
          <w:b/>
          <w:color w:val="000000"/>
          <w:szCs w:val="32"/>
        </w:rPr>
        <w:t>）严格基本建设程序。</w:t>
      </w:r>
      <w:r>
        <w:rPr>
          <w:rFonts w:cs="Times New Roman"/>
          <w:bCs w:val="0"/>
          <w:color w:val="000000"/>
          <w:szCs w:val="32"/>
        </w:rPr>
        <w:t>严格执行“先勘察、后设计、再施工”原则。建设单位需依法办理用地、规划、</w:t>
      </w:r>
      <w:r>
        <w:rPr>
          <w:rFonts w:cs="Times New Roman" w:hint="eastAsia"/>
          <w:bCs w:val="0"/>
          <w:color w:val="000000"/>
          <w:szCs w:val="32"/>
        </w:rPr>
        <w:t>消防审查（备案）、</w:t>
      </w:r>
      <w:r>
        <w:rPr>
          <w:rFonts w:cs="Times New Roman"/>
          <w:bCs w:val="0"/>
          <w:color w:val="000000"/>
          <w:szCs w:val="32"/>
        </w:rPr>
        <w:t>施工许可等手续，未取得施工许可证不得开工。各部门应加强监督检查，依法查处未批先建、边批边建等行为。对多次违规的建设单位，住建部门联合发改、财政部门在项目申报、资金匹配等方面予以限制。</w:t>
      </w:r>
    </w:p>
    <w:p>
      <w:pPr>
        <w:spacing w:line="560" w:lineRule="exact"/>
        <w:rPr>
          <w:rFonts w:eastAsia="楷体_GB2312" w:cs="Times New Roman"/>
          <w:b/>
          <w:color w:val="FF0000"/>
          <w:szCs w:val="32"/>
        </w:rPr>
      </w:pPr>
      <w:r>
        <w:rPr>
          <w:rFonts w:eastAsia="楷体_GB2312" w:cs="Times New Roman"/>
          <w:b/>
          <w:color w:val="000000"/>
          <w:szCs w:val="32"/>
        </w:rPr>
        <w:t>（</w:t>
      </w:r>
      <w:r>
        <w:rPr>
          <w:rFonts w:eastAsia="楷体_GB2312" w:cs="Times New Roman" w:hint="eastAsia"/>
          <w:b/>
          <w:color w:val="000000"/>
          <w:szCs w:val="32"/>
        </w:rPr>
        <w:t>十七</w:t>
      </w:r>
      <w:r>
        <w:rPr>
          <w:rFonts w:eastAsia="楷体_GB2312" w:cs="Times New Roman"/>
          <w:b/>
          <w:color w:val="000000"/>
          <w:szCs w:val="32"/>
        </w:rPr>
        <w:t>）强化工程地质勘察工作质量管控。</w:t>
      </w:r>
      <w:r>
        <w:rPr>
          <w:rFonts w:cs="Times New Roman"/>
          <w:color w:val="000000"/>
          <w:szCs w:val="32"/>
        </w:rPr>
        <w:t>住房城乡主管部门应坚持源头管控、过程严查、闭环追责，聚焦工程勘察关键环节压实监管责任。从严管控勘察市场准入与招投标行为，常态化抽查野外勘探现场作业，联动审图机构严控勘察报告成果质量，严厉打击勘察数据造假、缩减勘探工作量等违规行为，依托行政处罚、信用惩戒倒逼参建主体履职，不断夯实工程项目勘察质量管控基础。</w:t>
      </w:r>
    </w:p>
    <w:p>
      <w:pPr>
        <w:spacing w:line="560" w:lineRule="exact"/>
        <w:rPr>
          <w:rFonts w:cs="Times New Roman"/>
          <w:color w:val="000000"/>
          <w:szCs w:val="32"/>
        </w:rPr>
      </w:pPr>
      <w:r>
        <w:rPr>
          <w:rFonts w:eastAsia="楷体_GB2312" w:cs="Times New Roman"/>
          <w:b/>
          <w:color w:val="000000"/>
          <w:szCs w:val="32"/>
        </w:rPr>
        <w:t>（</w:t>
      </w:r>
      <w:r>
        <w:rPr>
          <w:rFonts w:eastAsia="楷体_GB2312" w:cs="Times New Roman" w:hint="eastAsia"/>
          <w:b/>
          <w:color w:val="000000"/>
          <w:szCs w:val="32"/>
        </w:rPr>
        <w:t>十八</w:t>
      </w:r>
      <w:r>
        <w:rPr>
          <w:rFonts w:eastAsia="楷体_GB2312" w:cs="Times New Roman"/>
          <w:b/>
          <w:color w:val="000000"/>
          <w:szCs w:val="32"/>
        </w:rPr>
        <w:t>）强化设计质量管理。</w:t>
      </w:r>
      <w:r>
        <w:rPr>
          <w:rFonts w:cs="Times New Roman"/>
          <w:color w:val="000000"/>
          <w:szCs w:val="32"/>
        </w:rPr>
        <w:t>严格落实“校对、审核、审定”三级校审制度。设计文件须由项目负责人、专业负责人签字，施工前向施工及监理单位交底。涉及结构安全、使用功能及消防的设计变更，应按重大设计变更管理，修改后的施工图须原审查机构审查，并通过“四川一体化政务服务平台”在线变更、备案。禁止在违反强制性标准或规范的文件上签字；分部分项验收、竣工验收时，须按设计文件查验后签字。</w:t>
      </w:r>
    </w:p>
    <w:p>
      <w:pPr>
        <w:spacing w:line="560" w:lineRule="exact"/>
        <w:rPr>
          <w:rFonts w:cs="Times New Roman"/>
          <w:color w:val="000000"/>
          <w:szCs w:val="32"/>
        </w:rPr>
      </w:pPr>
      <w:r>
        <w:rPr>
          <w:rFonts w:eastAsia="楷体_GB2312" w:cs="Times New Roman"/>
          <w:b/>
          <w:color w:val="000000"/>
          <w:szCs w:val="32"/>
        </w:rPr>
        <w:t>（</w:t>
      </w:r>
      <w:r>
        <w:rPr>
          <w:rFonts w:eastAsia="楷体_GB2312" w:cs="Times New Roman" w:hint="eastAsia"/>
          <w:b/>
          <w:color w:val="000000"/>
          <w:szCs w:val="32"/>
        </w:rPr>
        <w:t>十九</w:t>
      </w:r>
      <w:r>
        <w:rPr>
          <w:rFonts w:eastAsia="楷体_GB2312" w:cs="Times New Roman"/>
          <w:b/>
          <w:color w:val="000000"/>
          <w:szCs w:val="32"/>
        </w:rPr>
        <w:t>）严格过程质量安全监管。</w:t>
      </w:r>
      <w:r>
        <w:rPr>
          <w:rFonts w:cs="Times New Roman"/>
          <w:color w:val="000000"/>
          <w:szCs w:val="32"/>
        </w:rPr>
        <w:t>全面落实质量安全主体责任，健全风险分级管控与隐患排查治理双重预防机制，重点加强高海拔地区抗震设防、冬季施工、地质灾害防治等环节监管。推进施工现场标准化管理，强化关键工序、部位及工艺质量控制。加强施工企业安全生产条件核查，严格安全生产许可证管理。聚焦前期程序、招投标、施工管理等问题易发多发领域，深入开展乱象整治，加大监督执法力度，严厉查处违法违规行为。</w:t>
      </w:r>
    </w:p>
    <w:p>
      <w:pPr>
        <w:spacing w:line="560" w:lineRule="exact"/>
        <w:rPr>
          <w:rFonts w:cs="Times New Roman"/>
          <w:color w:val="000000"/>
          <w:szCs w:val="32"/>
        </w:rPr>
      </w:pPr>
      <w:r>
        <w:rPr>
          <w:rFonts w:eastAsia="楷体_GB2312" w:cs="Times New Roman"/>
          <w:b/>
          <w:color w:val="000000"/>
          <w:szCs w:val="32"/>
        </w:rPr>
        <w:t>（二十）严格价格管控。</w:t>
      </w:r>
      <w:r>
        <w:rPr>
          <w:rFonts w:cs="Times New Roman"/>
          <w:color w:val="000000"/>
          <w:szCs w:val="32"/>
        </w:rPr>
        <w:t>加强建设工程材料价格信息发布与管理。因市场波动导致合同履行困难时，引导发承包双方依法依约调整合同价款。加强工程造价咨询行业监管，规范计价行为。全面推进全过程造价管理，强化初设概算、招标控制价、工程结算等环节管控，严格控制工程变更及现场签证。加强冬期施工温控措施成本管理。</w:t>
      </w:r>
    </w:p>
    <w:p>
      <w:pPr>
        <w:spacing w:line="560" w:lineRule="exact"/>
        <w:rPr>
          <w:rFonts w:cs="Times New Roman"/>
          <w:color w:val="000000"/>
          <w:szCs w:val="32"/>
        </w:rPr>
      </w:pPr>
      <w:r>
        <w:rPr>
          <w:rFonts w:eastAsia="楷体_GB2312" w:cs="Times New Roman"/>
          <w:b/>
          <w:color w:val="000000"/>
          <w:szCs w:val="32"/>
        </w:rPr>
        <w:t>（二十</w:t>
      </w:r>
      <w:r>
        <w:rPr>
          <w:rFonts w:eastAsia="楷体_GB2312" w:cs="Times New Roman" w:hint="eastAsia"/>
          <w:b/>
          <w:color w:val="000000"/>
          <w:szCs w:val="32"/>
        </w:rPr>
        <w:t>一</w:t>
      </w:r>
      <w:r>
        <w:rPr>
          <w:rFonts w:eastAsia="楷体_GB2312" w:cs="Times New Roman"/>
          <w:b/>
          <w:color w:val="000000"/>
          <w:szCs w:val="32"/>
        </w:rPr>
        <w:t>）严格工程检测及监测管理。</w:t>
      </w:r>
      <w:r>
        <w:rPr>
          <w:rFonts w:cs="Times New Roman"/>
          <w:color w:val="000000"/>
          <w:szCs w:val="32"/>
        </w:rPr>
        <w:t>建立质量安全监测制度，对深基坑、高边坡、桥梁隧道、大型模板等危大工程及高原高寒特殊环境施工实施专项监测。监测单位须具备相应资质，依法监测并如实报告异常情况。加强检测机构监管，确保数据真实准确。鼓励运用物联网、大数据等手段实现智能化实时监测。合理测算工程检测费用，</w:t>
      </w:r>
      <w:r>
        <w:rPr>
          <w:rFonts w:cs="Times New Roman"/>
        </w:rPr>
        <w:t xml:space="preserve">建设单位应将工程检测费报概算审批部门审批。 </w:t>
      </w:r>
    </w:p>
    <w:p>
      <w:pPr>
        <w:spacing w:line="560" w:lineRule="exact"/>
        <w:rPr>
          <w:rFonts w:eastAsia="黑体" w:cs="Times New Roman"/>
          <w:color w:val="000000"/>
          <w:szCs w:val="32"/>
        </w:rPr>
      </w:pPr>
      <w:r>
        <w:rPr>
          <w:rFonts w:eastAsia="黑体" w:cs="Times New Roman"/>
          <w:color w:val="000000"/>
          <w:szCs w:val="32"/>
        </w:rPr>
        <w:t>五、严格验收交付使用</w:t>
      </w:r>
    </w:p>
    <w:p>
      <w:pPr>
        <w:spacing w:line="560" w:lineRule="exact"/>
        <w:rPr>
          <w:rFonts w:cs="Times New Roman"/>
          <w:color w:val="000000"/>
          <w:szCs w:val="32"/>
        </w:rPr>
      </w:pPr>
      <w:r>
        <w:rPr>
          <w:rFonts w:eastAsia="楷体_GB2312" w:cs="Times New Roman"/>
          <w:b/>
          <w:color w:val="000000"/>
          <w:szCs w:val="32"/>
        </w:rPr>
        <w:t>（二十</w:t>
      </w:r>
      <w:r>
        <w:rPr>
          <w:rFonts w:eastAsia="楷体_GB2312" w:cs="Times New Roman" w:hint="eastAsia"/>
          <w:b/>
          <w:color w:val="000000"/>
          <w:szCs w:val="32"/>
        </w:rPr>
        <w:t>二</w:t>
      </w:r>
      <w:r>
        <w:rPr>
          <w:rFonts w:eastAsia="楷体_GB2312" w:cs="Times New Roman"/>
          <w:b/>
          <w:color w:val="000000"/>
          <w:szCs w:val="32"/>
        </w:rPr>
        <w:t>）竣工验收管理。</w:t>
      </w:r>
      <w:r>
        <w:rPr>
          <w:rFonts w:cs="Times New Roman"/>
          <w:color w:val="000000"/>
          <w:szCs w:val="32"/>
        </w:rPr>
        <w:t>建设单位应当依法组织勘察、设计、施工、监理等单位进行竣工验收。竣工验收应当具备规定的条件，验收程序和内容应当符合法律法规和工程建设强制性标准的要求。住房城乡建设主管部门或者其委托的工程质量监督机构对竣工验收进行监督，</w:t>
      </w:r>
      <w:r>
        <w:rPr>
          <w:rFonts w:cs="Times New Roman" w:hint="eastAsia"/>
          <w:color w:val="000000"/>
          <w:szCs w:val="32"/>
        </w:rPr>
        <w:t>按照规定开展消防验收，</w:t>
      </w:r>
      <w:r>
        <w:rPr>
          <w:rFonts w:cs="Times New Roman"/>
          <w:color w:val="000000"/>
          <w:szCs w:val="32"/>
        </w:rPr>
        <w:t>发现违反建设工程质量管理规定的行为的，应当责令改正。推进《四川省房屋建筑和市政基础设施工程竣工联合验收管理办法》，明确工作职责，优化验收程序、加强统筹协同、转变监管方式、实现“一网通办”、提高验收效能。</w:t>
      </w:r>
    </w:p>
    <w:p>
      <w:pPr>
        <w:spacing w:line="560" w:lineRule="exact"/>
        <w:rPr>
          <w:rFonts w:cs="Times New Roman"/>
          <w:color w:val="000000"/>
          <w:szCs w:val="32"/>
        </w:rPr>
      </w:pPr>
      <w:r>
        <w:rPr>
          <w:rFonts w:eastAsia="楷体_GB2312" w:cs="Times New Roman"/>
          <w:b/>
          <w:color w:val="000000"/>
          <w:szCs w:val="32"/>
        </w:rPr>
        <w:t>（二十</w:t>
      </w:r>
      <w:r>
        <w:rPr>
          <w:rFonts w:eastAsia="楷体_GB2312" w:cs="Times New Roman" w:hint="eastAsia"/>
          <w:b/>
          <w:color w:val="000000"/>
          <w:szCs w:val="32"/>
        </w:rPr>
        <w:t>三</w:t>
      </w:r>
      <w:r>
        <w:rPr>
          <w:rFonts w:eastAsia="楷体_GB2312" w:cs="Times New Roman"/>
          <w:b/>
          <w:color w:val="000000"/>
          <w:szCs w:val="32"/>
        </w:rPr>
        <w:t>）交付使用管理。</w:t>
      </w:r>
      <w:r>
        <w:rPr>
          <w:rFonts w:cs="Times New Roman"/>
          <w:color w:val="000000"/>
          <w:szCs w:val="32"/>
        </w:rPr>
        <w:t>建设单位应当在工程交付使用时向接收单位或者业主提供相关归档资料，明确工程保修范围、保修期限、保修责任等内容。</w:t>
      </w:r>
    </w:p>
    <w:p>
      <w:pPr>
        <w:spacing w:line="560" w:lineRule="exact"/>
        <w:rPr>
          <w:rFonts w:ascii="黑体" w:eastAsia="黑体" w:cs="Times New Roman"/>
          <w:bCs w:val="0"/>
          <w:color w:val="000000"/>
          <w:szCs w:val="32"/>
        </w:rPr>
      </w:pPr>
      <w:r>
        <w:rPr>
          <w:rFonts w:ascii="黑体" w:eastAsia="黑体" w:cs="Times New Roman" w:hint="eastAsia"/>
          <w:bCs w:val="0"/>
          <w:color w:val="000000"/>
          <w:szCs w:val="32"/>
        </w:rPr>
        <w:t>六、推进建筑行业数字化、工业化转型</w:t>
      </w:r>
    </w:p>
    <w:p>
      <w:pPr>
        <w:spacing w:line="560" w:lineRule="exact"/>
        <w:rPr>
          <w:rFonts w:cs="Times New Roman"/>
          <w:bCs w:val="0"/>
          <w:color w:val="000000"/>
          <w:szCs w:val="32"/>
        </w:rPr>
      </w:pPr>
      <w:r>
        <w:rPr>
          <w:rFonts w:eastAsia="楷体_GB2312" w:cs="Times New Roman"/>
          <w:b/>
          <w:bCs w:val="0"/>
          <w:color w:val="000000"/>
          <w:szCs w:val="32"/>
        </w:rPr>
        <w:t>（</w:t>
      </w:r>
      <w:r>
        <w:rPr>
          <w:rFonts w:eastAsia="楷体_GB2312" w:cs="Times New Roman" w:hint="eastAsia"/>
          <w:b/>
          <w:bCs w:val="0"/>
          <w:color w:val="000000"/>
          <w:szCs w:val="32"/>
        </w:rPr>
        <w:t>二十四</w:t>
      </w:r>
      <w:r>
        <w:rPr>
          <w:rFonts w:eastAsia="楷体_GB2312" w:cs="Times New Roman"/>
          <w:b/>
          <w:bCs w:val="0"/>
          <w:color w:val="000000"/>
          <w:szCs w:val="32"/>
        </w:rPr>
        <w:t>）推进数字化转型。</w:t>
      </w:r>
      <w:r>
        <w:rPr>
          <w:rFonts w:cs="Times New Roman"/>
          <w:bCs w:val="0"/>
          <w:color w:val="000000"/>
          <w:szCs w:val="32"/>
        </w:rPr>
        <w:t>落实《四川省“数字住建”实施行动计划》，有序推动数字工程建设，推进建筑市场与施工现场两场联动，大力推广智能建造，推动BIM、物联网、大数据等在工程建设全过程集成应用，加强项目全生命周期数字化管理。加快“开工一件事、联合验收一件事”落地，减少企业多头跑、重复验。</w:t>
      </w:r>
    </w:p>
    <w:p>
      <w:pPr>
        <w:spacing w:line="560" w:lineRule="exact"/>
        <w:rPr>
          <w:rFonts w:cs="Times New Roman"/>
          <w:color w:val="000000"/>
          <w:szCs w:val="32"/>
        </w:rPr>
      </w:pPr>
      <w:r>
        <w:rPr>
          <w:rFonts w:eastAsia="楷体_GB2312" w:cs="Times New Roman"/>
          <w:b/>
          <w:color w:val="000000"/>
          <w:szCs w:val="32"/>
        </w:rPr>
        <w:t>（二十</w:t>
      </w:r>
      <w:r>
        <w:rPr>
          <w:rFonts w:eastAsia="楷体_GB2312" w:cs="Times New Roman" w:hint="eastAsia"/>
          <w:b/>
          <w:color w:val="000000"/>
          <w:szCs w:val="32"/>
        </w:rPr>
        <w:t>五</w:t>
      </w:r>
      <w:r>
        <w:rPr>
          <w:rFonts w:eastAsia="楷体_GB2312" w:cs="Times New Roman"/>
          <w:b/>
          <w:color w:val="000000"/>
          <w:szCs w:val="32"/>
        </w:rPr>
        <w:t>）加强装配式建筑、BIM技术推广。</w:t>
      </w:r>
      <w:r>
        <w:rPr>
          <w:rFonts w:cs="Times New Roman"/>
          <w:color w:val="000000"/>
          <w:szCs w:val="32"/>
        </w:rPr>
        <w:t>在满足抗震前提下，逐步推行装配式建筑，推广BIM技术在规划、勘察、设计、施工、运维全过程应用，强化省级智能建造试点项目申报，提升工程建设管理信息化、智慧化水平，加强绿色建筑全过程质量管理。</w:t>
      </w:r>
    </w:p>
    <w:p>
      <w:pPr>
        <w:spacing w:line="560" w:lineRule="exact"/>
        <w:rPr>
          <w:rFonts w:eastAsia="楷体_GB2312" w:cs="Times New Roman"/>
          <w:b/>
          <w:bCs w:val="0"/>
          <w:color w:val="000000"/>
          <w:szCs w:val="32"/>
        </w:rPr>
      </w:pPr>
      <w:r>
        <w:rPr>
          <w:rFonts w:eastAsia="楷体_GB2312" w:cs="Times New Roman"/>
          <w:b/>
          <w:color w:val="000000"/>
          <w:szCs w:val="32"/>
        </w:rPr>
        <w:t>（二十</w:t>
      </w:r>
      <w:r>
        <w:rPr>
          <w:rFonts w:eastAsia="楷体_GB2312" w:cs="Times New Roman" w:hint="eastAsia"/>
          <w:b/>
          <w:color w:val="000000"/>
          <w:szCs w:val="32"/>
        </w:rPr>
        <w:t>六</w:t>
      </w:r>
      <w:r>
        <w:rPr>
          <w:rFonts w:eastAsia="楷体_GB2312" w:cs="Times New Roman"/>
          <w:b/>
          <w:color w:val="000000"/>
          <w:szCs w:val="32"/>
        </w:rPr>
        <w:t>）严格执行绿色建筑全过程管理。</w:t>
      </w:r>
      <w:r>
        <w:rPr>
          <w:rFonts w:cs="Times New Roman"/>
          <w:color w:val="000000"/>
          <w:szCs w:val="32"/>
        </w:rPr>
        <w:t>建立绿色建筑验收制度。住建部门会同市场监管等部门，健全建材生产、流通、使用全过程监管机制。严控砂石、水泥、钢筋、混凝土、沥青等主要建材质量，严禁不合格材料流入工地。加强施工现场材料进场验收、见证取样及送检管理，确保质量可追溯。对商品混凝土、沥青混凝土搅拌站实行绿色标准化管理，保障工程实体质量。</w:t>
      </w:r>
    </w:p>
    <w:p>
      <w:pPr>
        <w:spacing w:line="560" w:lineRule="exact"/>
        <w:rPr>
          <w:rFonts w:cs="Times New Roman"/>
          <w:bCs w:val="0"/>
          <w:color w:val="000000"/>
          <w:szCs w:val="32"/>
        </w:rPr>
      </w:pPr>
      <w:r>
        <w:rPr>
          <w:rFonts w:eastAsia="楷体_GB2312" w:cs="Times New Roman"/>
          <w:b/>
          <w:bCs w:val="0"/>
          <w:color w:val="000000"/>
          <w:szCs w:val="32"/>
        </w:rPr>
        <w:t>（</w:t>
      </w:r>
      <w:r>
        <w:rPr>
          <w:rFonts w:eastAsia="楷体_GB2312" w:cs="Times New Roman" w:hint="eastAsia"/>
          <w:b/>
          <w:bCs w:val="0"/>
          <w:color w:val="000000"/>
          <w:szCs w:val="32"/>
        </w:rPr>
        <w:t>二十七</w:t>
      </w:r>
      <w:r>
        <w:rPr>
          <w:rFonts w:eastAsia="楷体_GB2312" w:cs="Times New Roman"/>
          <w:b/>
          <w:bCs w:val="0"/>
          <w:color w:val="000000"/>
          <w:szCs w:val="32"/>
        </w:rPr>
        <w:t>）探索模式创新与政策支持。</w:t>
      </w:r>
      <w:r>
        <w:rPr>
          <w:rFonts w:cs="Times New Roman"/>
          <w:bCs w:val="0"/>
          <w:color w:val="000000"/>
          <w:szCs w:val="32"/>
        </w:rPr>
        <w:t>探索“城市合伙人”等投融资模式，鼓励社会资本规范参与城市更新、市政基础设施</w:t>
      </w:r>
      <w:r>
        <w:rPr>
          <w:rFonts w:cs="Times New Roman" w:hint="eastAsia"/>
          <w:bCs w:val="0"/>
          <w:color w:val="000000"/>
          <w:szCs w:val="32"/>
        </w:rPr>
        <w:t>“投融建营”</w:t>
      </w:r>
      <w:r>
        <w:rPr>
          <w:rFonts w:cs="Times New Roman"/>
          <w:bCs w:val="0"/>
          <w:color w:val="000000"/>
          <w:szCs w:val="32"/>
        </w:rPr>
        <w:t>及乡村建设。积极争取中央预算内投资、中省补助、专项债、超长期特别国债等资金，统筹用好城乡建设专项资金，强化监管、提升效益。</w:t>
      </w:r>
    </w:p>
    <w:p>
      <w:pPr>
        <w:spacing w:line="560" w:lineRule="exact"/>
        <w:rPr>
          <w:rFonts w:eastAsia="黑体" w:cs="Times New Roman"/>
          <w:color w:val="000000"/>
          <w:szCs w:val="32"/>
        </w:rPr>
      </w:pPr>
      <w:r>
        <w:rPr>
          <w:rFonts w:eastAsia="黑体" w:cs="Times New Roman" w:hint="eastAsia"/>
          <w:color w:val="000000"/>
          <w:szCs w:val="32"/>
        </w:rPr>
        <w:t>七</w:t>
      </w:r>
      <w:r>
        <w:rPr>
          <w:rFonts w:eastAsia="黑体" w:cs="Times New Roman"/>
          <w:color w:val="000000"/>
          <w:szCs w:val="32"/>
        </w:rPr>
        <w:t>、工作要求</w:t>
      </w:r>
    </w:p>
    <w:p>
      <w:pPr>
        <w:spacing w:line="560" w:lineRule="exact"/>
        <w:rPr>
          <w:rFonts w:cs="Times New Roman"/>
          <w:color w:val="000000"/>
          <w:szCs w:val="32"/>
        </w:rPr>
      </w:pPr>
      <w:r>
        <w:rPr>
          <w:rFonts w:eastAsia="楷体_GB2312" w:cs="Times New Roman"/>
          <w:b/>
          <w:color w:val="000000"/>
          <w:szCs w:val="32"/>
        </w:rPr>
        <w:t>（二十</w:t>
      </w:r>
      <w:r>
        <w:rPr>
          <w:rFonts w:eastAsia="楷体_GB2312" w:cs="Times New Roman" w:hint="eastAsia"/>
          <w:b/>
          <w:color w:val="000000"/>
          <w:szCs w:val="32"/>
        </w:rPr>
        <w:t>八</w:t>
      </w:r>
      <w:r>
        <w:rPr>
          <w:rFonts w:eastAsia="楷体_GB2312" w:cs="Times New Roman"/>
          <w:b/>
          <w:color w:val="000000"/>
          <w:szCs w:val="32"/>
        </w:rPr>
        <w:t>）加强组织领导。</w:t>
      </w:r>
      <w:r>
        <w:rPr>
          <w:rFonts w:cs="Times New Roman"/>
          <w:color w:val="000000"/>
          <w:szCs w:val="32"/>
        </w:rPr>
        <w:t>各县（市）人民政府要落实城乡建设主体责任，将本指导意见纳入重要议事日程，建立政府主导、部门协同、社会参与的工作机制。住建部门应加强与发改、自然资源、生态环境、林草等部门协作，建立城乡建设协调机制，定期研究解决重大问题，确保各项建设任务落地见效。</w:t>
      </w:r>
    </w:p>
    <w:p>
      <w:pPr>
        <w:spacing w:line="560" w:lineRule="exact"/>
        <w:rPr>
          <w:rFonts w:cs="Times New Roman"/>
          <w:color w:val="000000"/>
          <w:szCs w:val="32"/>
        </w:rPr>
      </w:pPr>
      <w:r>
        <w:rPr>
          <w:rFonts w:eastAsia="楷体_GB2312" w:cs="Times New Roman"/>
          <w:b/>
          <w:color w:val="000000"/>
          <w:szCs w:val="32"/>
        </w:rPr>
        <w:t>（</w:t>
      </w:r>
      <w:r>
        <w:rPr>
          <w:rFonts w:eastAsia="楷体_GB2312" w:cs="Times New Roman" w:hint="eastAsia"/>
          <w:b/>
          <w:color w:val="000000"/>
          <w:szCs w:val="32"/>
        </w:rPr>
        <w:t>二十九</w:t>
      </w:r>
      <w:r>
        <w:rPr>
          <w:rFonts w:eastAsia="楷体_GB2312" w:cs="Times New Roman"/>
          <w:b/>
          <w:color w:val="000000"/>
          <w:szCs w:val="32"/>
        </w:rPr>
        <w:t>）夯实人才保障。</w:t>
      </w:r>
      <w:r>
        <w:rPr>
          <w:rFonts w:cs="Times New Roman"/>
          <w:color w:val="000000"/>
          <w:szCs w:val="32"/>
        </w:rPr>
        <w:t>坚持有效市场与有为政府相互促进、就业导向与产业需求统筹兼顾、培训效果与技能评价提质增效的原则，深入</w:t>
      </w:r>
      <w:r>
        <w:rPr>
          <w:rStyle w:val="0"/>
          <w:rFonts w:cs="Times New Roman" w:hint="eastAsia"/>
          <w:color w:val="000000"/>
          <w:szCs w:val="32"/>
          <w:bdr w:val="none" w:sz="0" w:space="0" w:color="auto"/>
        </w:rPr>
        <w:t>开展大规模职业技能提升培训行动</w:t>
      </w:r>
      <w:r>
        <w:rPr>
          <w:rFonts w:cs="Times New Roman"/>
          <w:color w:val="000000"/>
          <w:szCs w:val="32"/>
        </w:rPr>
        <w:t>。贯彻《阿坝州“石榴同心·智荟阿坝”人才培育三年行动方案》，实施“菁英、骨干、青俊”三大工程，引进和培养熟悉高原建设、民族风貌、绿色低碳的复合型人才。支持本地建筑工匠技艺传承与提升。建立完善专家咨询机制，为重大决策和技术攻关提供智力支持。</w:t>
      </w:r>
    </w:p>
    <w:p>
      <w:pPr>
        <w:spacing w:line="560" w:lineRule="exact"/>
        <w:rPr>
          <w:rFonts w:cs="Times New Roman"/>
          <w:color w:val="000000"/>
          <w:szCs w:val="32"/>
        </w:rPr>
      </w:pPr>
      <w:r>
        <w:rPr>
          <w:rFonts w:eastAsia="楷体_GB2312" w:cs="Times New Roman"/>
          <w:b/>
          <w:color w:val="000000"/>
          <w:szCs w:val="32"/>
        </w:rPr>
        <w:t>（三十）加强宣传推广。</w:t>
      </w:r>
      <w:r>
        <w:rPr>
          <w:rFonts w:cs="Times New Roman"/>
          <w:color w:val="000000"/>
          <w:szCs w:val="32"/>
        </w:rPr>
        <w:t>加大政策法规和技术标准宣传，提高全社会知晓度与参与度。加强基层管理人员、工程技术人员及一线作业人员业务培训，重点提升高原高寒施工、抗震设防、质量安全管控等能力。推广先进经验和典型做法，营造全社会支持城乡建设高质量发展的良好氛围。</w:t>
      </w:r>
    </w:p>
    <w:p>
      <w:pPr>
        <w:spacing w:line="560" w:lineRule="exact"/>
        <w:rPr>
          <w:rFonts w:eastAsia="楷体_GB2312" w:cs="Times New Roman"/>
          <w:b/>
          <w:color w:val="000000"/>
          <w:szCs w:val="32"/>
        </w:rPr>
      </w:pPr>
      <w:r>
        <w:t>本指导意见自印发之日起施行，配套制定的《阿坝州城乡建设指引》《阿坝州城乡建设指导手册》随文印发，请一并遵照执行，本文件有效期2年。</w:t>
      </w:r>
    </w:p>
    <w:p>
      <w:pPr>
        <w:spacing w:line="560" w:lineRule="exact"/>
      </w:pPr>
    </w:p>
    <w:p>
      <w:pPr>
        <w:spacing w:line="560" w:lineRule="exact"/>
      </w:pPr>
      <w:r>
        <w:t>附件：1.阿坝州城乡建设指引</w:t>
      </w:r>
    </w:p>
    <w:p>
      <w:pPr>
        <w:spacing w:line="560" w:lineRule="exact"/>
        <w:rPr>
          <w:rFonts w:eastAsia="楷体_GB2312" w:cs="Times New Roman"/>
          <w:b/>
          <w:color w:val="000000"/>
          <w:szCs w:val="32"/>
        </w:rPr>
      </w:pPr>
      <w:r>
        <w:t xml:space="preserve">      2.阿坝州城乡建设指导手册</w:t>
      </w:r>
    </w:p>
    <w:sectPr>
      <w:headerReference w:type="default" r:id="rId2"/>
      <w:pgSz w:w="11907" w:h="16840"/>
      <w:pgMar w:top="2098" w:right="1474" w:bottom="1985" w:left="1588" w:header="851" w:footer="992" w:gutter="0"/>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简体">
    <w:panose1 w:val="02010601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variable"/>
    <w:sig w:usb0="00000001" w:usb1="080E0000" w:usb2="00000010" w:usb3="00000000" w:csb0="00040000" w:csb1="00000000"/>
  </w:font>
  <w:font w:name="Arial">
    <w:altName w:val="DejaVu Sans"/>
    <w:panose1 w:val="020B0604020202020204"/>
    <w:charset w:val="00"/>
    <w:family w:val="swiss"/>
    <w:pitch w:val="variable"/>
    <w:sig w:usb0="E0002EFF" w:usb1="C000785B" w:usb2="00000009" w:usb3="00000000" w:csb0="000001FF"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ind w:left="640" w:firstLineChars="0" w:firstLine="0"/>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doNotDisplayPageBoundaries/>
  <w:bordersDoNotSurroundHeader/>
  <w:bordersDoNotSurroundFooter/>
  <w:documentProtection w:edit="readOnly" w:enforcement="0"/>
  <w:defaultTabStop w:val="420"/>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360" w:lineRule="auto"/>
      <w:ind w:firstLineChars="200" w:firstLine="200"/>
      <w:jc w:val="both"/>
    </w:pPr>
    <w:rPr>
      <w:rFonts w:ascii="Times New Roman" w:eastAsia="仿宋_GB2312" w:cs="Arial" w:hAnsi="Times New Roman"/>
      <w:bCs/>
      <w:kern w:val="2"/>
      <w:sz w:val="32"/>
      <w:szCs w:val="22"/>
      <w:lang w:val="en-US" w:eastAsia="zh-CN" w:bidi="ar-SA"/>
    </w:rPr>
  </w:style>
  <w:style w:type="paragraph" w:styleId="1">
    <w:name w:val="heading 1"/>
    <w:basedOn w:val="0"/>
    <w:next w:val="0"/>
    <w:pPr>
      <w:keepNext/>
      <w:keepLines/>
      <w:widowControl w:val="0"/>
      <w:spacing w:before="340" w:after="330"/>
      <w:ind w:firstLineChars="0" w:firstLine="0"/>
      <w:outlineLvl w:val="0"/>
    </w:pPr>
    <w:rPr>
      <w:rFonts w:eastAsia="黑体"/>
      <w:b/>
      <w:kern w:val="44"/>
      <w:sz w:val="36"/>
    </w:rPr>
  </w:style>
  <w:style w:type="paragraph" w:styleId="2">
    <w:name w:val="heading 2"/>
    <w:basedOn w:val="0"/>
    <w:next w:val="0"/>
    <w:pPr>
      <w:keepNext/>
      <w:keepLines/>
      <w:widowControl w:val="0"/>
      <w:spacing w:before="260" w:after="260"/>
      <w:ind w:firstLineChars="0" w:firstLine="0"/>
      <w:outlineLvl w:val="1"/>
    </w:pPr>
    <w:rPr>
      <w:rFonts w:eastAsia="楷体_GB2312"/>
      <w:b/>
      <w:sz w:val="36"/>
    </w:rPr>
  </w:style>
  <w:style w:type="paragraph" w:styleId="3">
    <w:name w:val="heading 3"/>
    <w:basedOn w:val="0"/>
    <w:next w:val="0"/>
    <w:pPr>
      <w:keepNext/>
      <w:keepLines/>
      <w:widowControl w:val="0"/>
      <w:spacing w:before="260" w:after="260" w:line="415" w:lineRule="auto"/>
      <w:outlineLvl w:val="2"/>
    </w:pPr>
    <w:rPr>
      <w:b/>
    </w:rPr>
  </w:style>
  <w:style w:type="character" w:default="1" w:styleId="10">
    <w:name w:val="Default Paragraph Font"/>
  </w:style>
  <w:style w:type="paragraph" w:styleId="15">
    <w:name w:val="Body Text"/>
    <w:pPr>
      <w:spacing w:line="560" w:lineRule="exact"/>
      <w:ind w:firstLineChars="200" w:firstLine="200"/>
      <w:jc w:val="both"/>
    </w:pPr>
    <w:rPr>
      <w:rFonts w:ascii="仿宋_GB2312" w:eastAsia="仿宋_GB2312" w:cs="Times New Roman"/>
      <w:spacing w:val="-6"/>
      <w:sz w:val="32"/>
      <w:szCs w:val="20"/>
      <w:lang w:val="en-US" w:eastAsia="zh-CN" w:bidi="ar-SA"/>
    </w:rPr>
  </w:style>
  <w:style w:type="paragraph" w:styleId="16">
    <w:name w:val="footer"/>
    <w:basedOn w:val="0"/>
    <w:pPr>
      <w:tabs>
        <w:tab w:val="center" w:pos="4153"/>
        <w:tab w:val="right" w:pos="8306"/>
      </w:tabs>
      <w:snapToGrid w:val="0"/>
      <w:spacing w:line="240" w:lineRule="auto"/>
      <w:jc w:val="left"/>
    </w:pPr>
    <w:rPr>
      <w:sz w:val="18"/>
      <w:szCs w:val="18"/>
    </w:rPr>
  </w:style>
  <w:style w:type="paragraph" w:styleId="17">
    <w:name w:val="header"/>
    <w:basedOn w:val="0"/>
    <w:pPr>
      <w:pBdr>
        <w:bottom w:val="single" w:sz="6" w:space="1" w:color="auto"/>
      </w:pBdr>
      <w:tabs>
        <w:tab w:val="center" w:pos="4153"/>
        <w:tab w:val="right" w:pos="8306"/>
      </w:tabs>
      <w:snapToGrid w:val="0"/>
      <w:spacing w:line="240" w:lineRule="auto"/>
      <w:jc w:val="center"/>
    </w:pPr>
    <w:rPr>
      <w:sz w:val="18"/>
      <w:szCs w:val="18"/>
    </w:rPr>
  </w:style>
  <w:style w:type="character" w:styleId="18">
    <w:name w:val="Strong"/>
    <w:rPr>
      <w:b/>
    </w:rPr>
  </w:style>
  <w:style w:type="paragraph" w:customStyle="1" w:styleId="19">
    <w:name w:val="样式1"/>
    <w:basedOn w:val="0"/>
    <w:rPr>
      <w:b/>
      <w:color w:val="538135"/>
      <w:sz w:val="28"/>
    </w:rPr>
  </w:style>
  <w:style w:type="paragraph" w:styleId="20">
    <w:name w:val="List Paragraph"/>
    <w:basedOn w:val="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2153</TotalTime>
  <Application>Yozo_Office27021597764231179</Application>
  <Pages>11</Pages>
  <Words>5483</Words>
  <Characters>5504</Characters>
  <Lines>225</Lines>
  <Paragraphs>48</Paragraphs>
  <CharactersWithSpaces>5511</CharactersWithSpaces>
  <Company>Yozosoft</Company>
</Properties>
</file>

<file path=docProps/core.xml><?xml version="1.0" encoding="utf-8"?>
<cp:coreProperties xmlns:cp="http://schemas.openxmlformats.org/package/2006/metadata/core-properties" xmlns:dc="http://purl.org/dc/elements/1.1/" xmlns:dcterms="http://purl.org/dc/terms/" xmlns:xsi="http://www.w3.org/2001/XMLSchema-instance">
  <dc:creator>User274</dc:creator>
  <cp:lastModifiedBy>user</cp:lastModifiedBy>
  <cp:revision>126</cp:revision>
  <dcterms:created xsi:type="dcterms:W3CDTF">2026-05-25T09:52:00Z</dcterms:created>
  <dcterms:modified xsi:type="dcterms:W3CDTF">2026-07-06T08:48:53Z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2052-11.8.2.1132</vt:lpwstr>
  </property>
  <property fmtid="{D5CDD505-2E9C-101B-9397-08002B2CF9AE}" pid="3" name="ICV">
    <vt:lpwstr>8C68C9D883A9F59954531E6A301C607D</vt:lpwstr>
  </property>
</Properties>
</file>