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E0D9485">
      <w:pPr>
        <w:spacing w:line="560" w:lineRule="exact"/>
        <w:ind w:left="-424" w:leftChars="-202" w:right="-483" w:rightChars="-230"/>
        <w:rPr>
          <w:rFonts w:ascii="黑体" w:eastAsia="黑体"/>
          <w:sz w:val="32"/>
          <w:szCs w:val="32"/>
        </w:rPr>
      </w:pPr>
      <w:r>
        <w:rPr>
          <w:rFonts w:hint="eastAsia" w:ascii="黑体" w:eastAsia="黑体"/>
          <w:sz w:val="32"/>
          <w:szCs w:val="32"/>
        </w:rPr>
        <w:t>附件1</w:t>
      </w:r>
    </w:p>
    <w:p w14:paraId="1A935D1E">
      <w:pPr>
        <w:spacing w:line="560" w:lineRule="exact"/>
        <w:ind w:left="-424" w:leftChars="-202" w:right="-483" w:rightChars="-230"/>
        <w:jc w:val="center"/>
        <w:rPr>
          <w:rFonts w:ascii="Times New Roman" w:hAnsi="Times New Roman" w:eastAsia="黑体"/>
          <w:sz w:val="48"/>
          <w:szCs w:val="48"/>
        </w:rPr>
      </w:pPr>
    </w:p>
    <w:p w14:paraId="167F140E">
      <w:pPr>
        <w:spacing w:line="560" w:lineRule="exact"/>
        <w:ind w:left="-424" w:leftChars="-202" w:right="-483" w:rightChars="-230"/>
        <w:jc w:val="center"/>
        <w:rPr>
          <w:rFonts w:ascii="Times New Roman" w:hAnsi="Times New Roman" w:eastAsia="黑体"/>
          <w:sz w:val="48"/>
          <w:szCs w:val="48"/>
        </w:rPr>
      </w:pPr>
    </w:p>
    <w:p w14:paraId="5F3E935C">
      <w:pPr>
        <w:spacing w:line="560" w:lineRule="exact"/>
        <w:ind w:left="-424" w:leftChars="-202" w:right="-483" w:rightChars="-230"/>
        <w:jc w:val="center"/>
        <w:rPr>
          <w:rFonts w:ascii="Times New Roman" w:hAnsi="Times New Roman" w:eastAsia="黑体"/>
          <w:sz w:val="48"/>
          <w:szCs w:val="48"/>
        </w:rPr>
      </w:pPr>
    </w:p>
    <w:p w14:paraId="304E24FC">
      <w:pPr>
        <w:spacing w:before="312" w:beforeLines="100" w:after="312" w:afterLines="100" w:line="480" w:lineRule="auto"/>
        <w:ind w:left="-424" w:leftChars="-202" w:right="-483" w:rightChars="-230"/>
        <w:jc w:val="center"/>
        <w:rPr>
          <w:rFonts w:ascii="方正小标宋简体" w:eastAsia="方正小标宋简体"/>
          <w:sz w:val="48"/>
          <w:szCs w:val="48"/>
        </w:rPr>
      </w:pPr>
      <w:bookmarkStart w:id="0" w:name="OLE_LINK7"/>
      <w:bookmarkStart w:id="1" w:name="OLE_LINK6"/>
      <w:r>
        <w:rPr>
          <w:rFonts w:hint="eastAsia" w:ascii="方正小标宋简体" w:eastAsia="方正小标宋简体"/>
          <w:sz w:val="48"/>
          <w:szCs w:val="48"/>
        </w:rPr>
        <w:t>阿坝藏族羌族自治州城乡建设</w:t>
      </w:r>
      <w:bookmarkEnd w:id="0"/>
      <w:bookmarkEnd w:id="1"/>
      <w:r>
        <w:rPr>
          <w:rFonts w:hint="eastAsia" w:ascii="方正小标宋简体" w:eastAsia="方正小标宋简体"/>
          <w:sz w:val="48"/>
          <w:szCs w:val="48"/>
        </w:rPr>
        <w:t>指引</w:t>
      </w:r>
    </w:p>
    <w:p w14:paraId="2A4CEFE5">
      <w:pPr>
        <w:spacing w:before="312" w:beforeLines="100" w:after="312" w:afterLines="100" w:line="480" w:lineRule="auto"/>
        <w:ind w:left="-424" w:leftChars="-202" w:right="-483" w:rightChars="-230"/>
        <w:jc w:val="center"/>
        <w:rPr>
          <w:rFonts w:ascii="楷体_GB2312" w:eastAsia="楷体_GB2312"/>
          <w:b/>
          <w:bCs/>
          <w:sz w:val="44"/>
          <w:szCs w:val="44"/>
        </w:rPr>
      </w:pPr>
      <w:r>
        <w:rPr>
          <w:rFonts w:hint="eastAsia" w:ascii="楷体_GB2312" w:eastAsia="楷体_GB2312"/>
          <w:b/>
          <w:bCs/>
          <w:sz w:val="44"/>
          <w:szCs w:val="44"/>
        </w:rPr>
        <w:t>（2026年）</w:t>
      </w:r>
    </w:p>
    <w:p w14:paraId="69AF7A26">
      <w:pPr>
        <w:spacing w:line="560" w:lineRule="exact"/>
        <w:ind w:left="-424" w:leftChars="-202" w:right="-483" w:rightChars="-230"/>
        <w:jc w:val="center"/>
        <w:rPr>
          <w:rFonts w:ascii="Times New Roman" w:hAnsi="Times New Roman" w:eastAsia="黑体"/>
          <w:sz w:val="48"/>
          <w:szCs w:val="48"/>
        </w:rPr>
      </w:pPr>
    </w:p>
    <w:p w14:paraId="34D64AA5">
      <w:pPr>
        <w:spacing w:line="560" w:lineRule="exact"/>
        <w:ind w:left="-424" w:leftChars="-202" w:right="-483" w:rightChars="-230"/>
        <w:jc w:val="center"/>
        <w:rPr>
          <w:rFonts w:ascii="Times New Roman" w:hAnsi="Times New Roman" w:eastAsia="黑体"/>
          <w:sz w:val="32"/>
          <w:szCs w:val="32"/>
        </w:rPr>
      </w:pPr>
    </w:p>
    <w:p w14:paraId="0B1BA029">
      <w:pPr>
        <w:spacing w:line="560" w:lineRule="exact"/>
        <w:ind w:left="-424" w:leftChars="-202" w:right="-483" w:rightChars="-230"/>
        <w:jc w:val="center"/>
        <w:rPr>
          <w:rFonts w:ascii="Times New Roman" w:hAnsi="Times New Roman" w:eastAsia="黑体"/>
          <w:sz w:val="32"/>
          <w:szCs w:val="32"/>
        </w:rPr>
      </w:pPr>
    </w:p>
    <w:p w14:paraId="7EB10695">
      <w:pPr>
        <w:spacing w:line="560" w:lineRule="exact"/>
        <w:ind w:left="-424" w:leftChars="-202" w:right="-483" w:rightChars="-230"/>
        <w:jc w:val="center"/>
        <w:rPr>
          <w:rFonts w:ascii="Times New Roman" w:hAnsi="Times New Roman"/>
          <w:b/>
          <w:sz w:val="36"/>
          <w:szCs w:val="36"/>
        </w:rPr>
      </w:pPr>
      <w:bookmarkStart w:id="2" w:name="OLE_LINK33"/>
      <w:bookmarkStart w:id="3" w:name="OLE_LINK34"/>
    </w:p>
    <w:p w14:paraId="39FF493B">
      <w:pPr>
        <w:spacing w:line="560" w:lineRule="exact"/>
        <w:ind w:left="-424" w:leftChars="-202" w:right="-483" w:rightChars="-230"/>
        <w:jc w:val="center"/>
        <w:rPr>
          <w:rFonts w:ascii="Times New Roman" w:hAnsi="Times New Roman"/>
          <w:b/>
          <w:sz w:val="36"/>
          <w:szCs w:val="36"/>
        </w:rPr>
      </w:pPr>
    </w:p>
    <w:p w14:paraId="2E53B15C">
      <w:pPr>
        <w:spacing w:line="560" w:lineRule="exact"/>
        <w:ind w:left="-424" w:leftChars="-202" w:right="-483" w:rightChars="-230"/>
        <w:jc w:val="center"/>
        <w:rPr>
          <w:rFonts w:ascii="Times New Roman" w:hAnsi="Times New Roman"/>
          <w:b/>
          <w:sz w:val="36"/>
          <w:szCs w:val="36"/>
        </w:rPr>
      </w:pPr>
    </w:p>
    <w:p w14:paraId="094B6A9D">
      <w:pPr>
        <w:spacing w:line="560" w:lineRule="exact"/>
        <w:ind w:left="-424" w:leftChars="-202" w:right="-483" w:rightChars="-230"/>
        <w:jc w:val="center"/>
        <w:rPr>
          <w:rFonts w:ascii="Times New Roman" w:hAnsi="Times New Roman"/>
          <w:b/>
          <w:sz w:val="36"/>
          <w:szCs w:val="36"/>
        </w:rPr>
      </w:pPr>
    </w:p>
    <w:p w14:paraId="3A57EDE5">
      <w:pPr>
        <w:spacing w:line="560" w:lineRule="exact"/>
        <w:ind w:left="-424" w:leftChars="-202" w:right="-483" w:rightChars="-230"/>
        <w:jc w:val="center"/>
        <w:rPr>
          <w:rFonts w:ascii="Times New Roman" w:hAnsi="Times New Roman"/>
          <w:b/>
          <w:sz w:val="36"/>
          <w:szCs w:val="36"/>
        </w:rPr>
      </w:pPr>
    </w:p>
    <w:p w14:paraId="16CC78C0">
      <w:pPr>
        <w:spacing w:line="560" w:lineRule="exact"/>
        <w:ind w:left="-424" w:leftChars="-202" w:right="-483" w:rightChars="-230"/>
        <w:jc w:val="center"/>
        <w:rPr>
          <w:rFonts w:ascii="Times New Roman" w:hAnsi="Times New Roman"/>
          <w:b/>
          <w:sz w:val="36"/>
          <w:szCs w:val="36"/>
        </w:rPr>
      </w:pPr>
    </w:p>
    <w:p w14:paraId="12A2E488">
      <w:pPr>
        <w:spacing w:line="560" w:lineRule="exact"/>
        <w:ind w:left="-424" w:leftChars="-202" w:right="-483" w:rightChars="-230"/>
        <w:jc w:val="center"/>
        <w:rPr>
          <w:rFonts w:ascii="Times New Roman" w:hAnsi="Times New Roman"/>
          <w:b/>
          <w:sz w:val="36"/>
          <w:szCs w:val="36"/>
        </w:rPr>
      </w:pPr>
    </w:p>
    <w:p w14:paraId="7961DDE5">
      <w:pPr>
        <w:spacing w:line="560" w:lineRule="exact"/>
        <w:ind w:left="-424" w:leftChars="-202" w:right="-483" w:rightChars="-230"/>
        <w:jc w:val="center"/>
        <w:rPr>
          <w:rFonts w:ascii="Times New Roman" w:hAnsi="Times New Roman"/>
          <w:b/>
          <w:sz w:val="36"/>
          <w:szCs w:val="36"/>
        </w:rPr>
      </w:pPr>
    </w:p>
    <w:p w14:paraId="55C8BEA5">
      <w:pPr>
        <w:spacing w:line="560" w:lineRule="exact"/>
        <w:ind w:left="-424" w:leftChars="-202" w:right="-483" w:rightChars="-230"/>
        <w:jc w:val="center"/>
        <w:rPr>
          <w:rFonts w:ascii="Times New Roman" w:hAnsi="Times New Roman"/>
          <w:b/>
          <w:sz w:val="36"/>
          <w:szCs w:val="36"/>
        </w:rPr>
      </w:pPr>
    </w:p>
    <w:p w14:paraId="0963956A">
      <w:pPr>
        <w:spacing w:line="560" w:lineRule="exact"/>
        <w:ind w:left="-424" w:leftChars="-202" w:right="-483" w:rightChars="-230"/>
        <w:jc w:val="center"/>
        <w:rPr>
          <w:rFonts w:ascii="黑体" w:eastAsia="黑体"/>
          <w:sz w:val="36"/>
          <w:szCs w:val="36"/>
        </w:rPr>
      </w:pPr>
      <w:bookmarkStart w:id="4" w:name="OLE_LINK37"/>
      <w:bookmarkStart w:id="5" w:name="OLE_LINK38"/>
      <w:r>
        <w:rPr>
          <w:rFonts w:hint="eastAsia" w:ascii="黑体" w:eastAsia="黑体"/>
          <w:sz w:val="36"/>
          <w:szCs w:val="36"/>
        </w:rPr>
        <w:t>阿坝藏族羌族自治州</w:t>
      </w:r>
      <w:bookmarkEnd w:id="4"/>
      <w:bookmarkEnd w:id="5"/>
      <w:r>
        <w:rPr>
          <w:rFonts w:hint="eastAsia" w:ascii="黑体" w:eastAsia="黑体"/>
          <w:sz w:val="36"/>
          <w:szCs w:val="36"/>
        </w:rPr>
        <w:t>住房和城乡建设局</w:t>
      </w:r>
    </w:p>
    <w:bookmarkEnd w:id="2"/>
    <w:bookmarkEnd w:id="3"/>
    <w:p w14:paraId="0038F758">
      <w:pPr>
        <w:spacing w:line="560" w:lineRule="exact"/>
        <w:ind w:left="-424" w:leftChars="-202" w:right="-483" w:rightChars="-230"/>
        <w:jc w:val="center"/>
        <w:rPr>
          <w:rFonts w:ascii="黑体" w:eastAsia="黑体"/>
          <w:sz w:val="36"/>
          <w:szCs w:val="36"/>
        </w:rPr>
      </w:pPr>
      <w:r>
        <w:rPr>
          <w:rFonts w:hint="eastAsia" w:ascii="黑体" w:eastAsia="黑体"/>
          <w:sz w:val="36"/>
          <w:szCs w:val="36"/>
        </w:rPr>
        <w:t>2026年6月</w:t>
      </w:r>
    </w:p>
    <w:p w14:paraId="3B48F85C">
      <w:pPr>
        <w:rPr>
          <w:rFonts w:ascii="黑体" w:eastAsia="黑体"/>
          <w:sz w:val="36"/>
          <w:szCs w:val="36"/>
        </w:rPr>
        <w:sectPr>
          <w:footerReference r:id="rId3" w:type="default"/>
          <w:footerReference r:id="rId4" w:type="even"/>
          <w:pgSz w:w="11906" w:h="16838"/>
          <w:pgMar w:top="1440" w:right="1800" w:bottom="1440" w:left="1800" w:header="851" w:footer="992" w:gutter="0"/>
          <w:cols w:space="720" w:num="1"/>
          <w:titlePg/>
          <w:docGrid w:type="lines" w:linePitch="312" w:charSpace="0"/>
        </w:sectPr>
      </w:pPr>
    </w:p>
    <w:p w14:paraId="433E789C">
      <w:pPr>
        <w:spacing w:line="560" w:lineRule="exact"/>
        <w:ind w:left="-424" w:leftChars="-202" w:right="-483" w:rightChars="-230"/>
        <w:jc w:val="center"/>
        <w:rPr>
          <w:rFonts w:ascii="Times New Roman" w:hAnsi="Times New Roman"/>
          <w:sz w:val="36"/>
          <w:szCs w:val="36"/>
        </w:rPr>
      </w:pPr>
      <w:r>
        <w:rPr>
          <w:rFonts w:ascii="Times New Roman" w:hAnsi="Times New Roman"/>
          <w:sz w:val="36"/>
          <w:szCs w:val="36"/>
        </w:rPr>
        <w:t xml:space="preserve">目  录 </w:t>
      </w:r>
    </w:p>
    <w:p w14:paraId="44BE7337">
      <w:pPr>
        <w:spacing w:line="560" w:lineRule="exact"/>
        <w:ind w:left="-424" w:leftChars="-202" w:right="-483" w:rightChars="-230"/>
        <w:jc w:val="center"/>
        <w:rPr>
          <w:rFonts w:ascii="Times New Roman" w:hAnsi="Times New Roman"/>
          <w:sz w:val="36"/>
          <w:szCs w:val="36"/>
        </w:rPr>
      </w:pPr>
    </w:p>
    <w:p w14:paraId="1C5F8C7F">
      <w:pPr>
        <w:pStyle w:val="22"/>
        <w:tabs>
          <w:tab w:val="right" w:leader="dot" w:pos="8296"/>
        </w:tabs>
        <w:rPr>
          <w:rFonts w:hint="eastAsia" w:ascii="等线" w:eastAsia="等线" w:cs="Arial"/>
          <w:kern w:val="2"/>
          <w:szCs w:val="24"/>
        </w:rPr>
      </w:pPr>
      <w:r>
        <w:rPr>
          <w:rFonts w:ascii="Times New Roman" w:hAnsi="Times New Roman"/>
        </w:rPr>
        <w:fldChar w:fldCharType="begin"/>
      </w:r>
      <w:r>
        <w:rPr>
          <w:rFonts w:ascii="Times New Roman" w:hAnsi="Times New Roman"/>
        </w:rPr>
        <w:instrText xml:space="preserve"> TOC \o "1-3" \h \z \u </w:instrText>
      </w:r>
      <w:r>
        <w:rPr>
          <w:rFonts w:ascii="Times New Roman" w:hAnsi="Times New Roman"/>
        </w:rPr>
        <w:fldChar w:fldCharType="separate"/>
      </w:r>
      <w:r>
        <w:fldChar w:fldCharType="begin"/>
      </w:r>
      <w:r>
        <w:instrText xml:space="preserve">Hyperlink \l "_Toc233624833"</w:instrText>
      </w:r>
      <w:r>
        <w:fldChar w:fldCharType="separate"/>
      </w:r>
      <w:r>
        <w:rPr>
          <w:rFonts w:hint="eastAsia" w:ascii="黑体" w:eastAsia="黑体"/>
          <w:color w:val="auto"/>
        </w:rPr>
        <w:t>前 言</w:t>
      </w:r>
      <w:r>
        <w:rPr>
          <w:rFonts w:hint="eastAsia"/>
        </w:rPr>
        <w:tab/>
      </w:r>
      <w:r>
        <w:fldChar w:fldCharType="begin"/>
      </w:r>
      <w:r>
        <w:rPr>
          <w:rFonts w:hint="eastAsia"/>
        </w:rPr>
        <w:instrText xml:space="preserve"> </w:instrText>
      </w:r>
      <w:r>
        <w:instrText xml:space="preserve">PAGEREF _Toc233624833 \h</w:instrText>
      </w:r>
      <w:r>
        <w:rPr>
          <w:rFonts w:hint="eastAsia"/>
        </w:rPr>
        <w:instrText xml:space="preserve"> </w:instrText>
      </w:r>
      <w:r>
        <w:rPr>
          <w:rFonts w:hint="eastAsia"/>
        </w:rPr>
        <w:fldChar w:fldCharType="separate"/>
      </w:r>
      <w:r>
        <w:t>5</w:t>
      </w:r>
      <w:r>
        <w:rPr>
          <w:rFonts w:hint="eastAsia"/>
        </w:rPr>
        <w:fldChar w:fldCharType="end"/>
      </w:r>
      <w:r>
        <w:fldChar w:fldCharType="end"/>
      </w:r>
    </w:p>
    <w:p w14:paraId="1343D5B5">
      <w:pPr>
        <w:pStyle w:val="22"/>
        <w:tabs>
          <w:tab w:val="right" w:leader="dot" w:pos="8296"/>
        </w:tabs>
        <w:rPr>
          <w:rFonts w:hint="eastAsia" w:ascii="等线" w:eastAsia="等线" w:cs="Arial"/>
          <w:kern w:val="2"/>
          <w:szCs w:val="24"/>
        </w:rPr>
      </w:pPr>
      <w:r>
        <w:fldChar w:fldCharType="begin"/>
      </w:r>
      <w:r>
        <w:instrText xml:space="preserve">Hyperlink \l "_Toc233624834"</w:instrText>
      </w:r>
      <w:r>
        <w:fldChar w:fldCharType="separate"/>
      </w:r>
      <w:r>
        <w:rPr>
          <w:rFonts w:hint="eastAsia" w:ascii="Times New Roman" w:hAnsi="Times New Roman" w:eastAsia="黑体"/>
          <w:color w:val="auto"/>
        </w:rPr>
        <w:t>第一章 总 则</w:t>
      </w:r>
      <w:r>
        <w:rPr>
          <w:rFonts w:hint="eastAsia"/>
        </w:rPr>
        <w:tab/>
      </w:r>
      <w:r>
        <w:fldChar w:fldCharType="begin"/>
      </w:r>
      <w:r>
        <w:rPr>
          <w:rFonts w:hint="eastAsia"/>
        </w:rPr>
        <w:instrText xml:space="preserve"> </w:instrText>
      </w:r>
      <w:r>
        <w:instrText xml:space="preserve">PAGEREF _Toc233624834 \h</w:instrText>
      </w:r>
      <w:r>
        <w:rPr>
          <w:rFonts w:hint="eastAsia"/>
        </w:rPr>
        <w:instrText xml:space="preserve"> </w:instrText>
      </w:r>
      <w:r>
        <w:rPr>
          <w:rFonts w:hint="eastAsia"/>
        </w:rPr>
        <w:fldChar w:fldCharType="separate"/>
      </w:r>
      <w:r>
        <w:t>5</w:t>
      </w:r>
      <w:r>
        <w:rPr>
          <w:rFonts w:hint="eastAsia"/>
        </w:rPr>
        <w:fldChar w:fldCharType="end"/>
      </w:r>
      <w:r>
        <w:fldChar w:fldCharType="end"/>
      </w:r>
    </w:p>
    <w:p w14:paraId="073E3183">
      <w:pPr>
        <w:pStyle w:val="16"/>
        <w:tabs>
          <w:tab w:val="left" w:pos="1400"/>
          <w:tab w:val="right" w:leader="dot" w:pos="8296"/>
        </w:tabs>
        <w:rPr>
          <w:rFonts w:hint="eastAsia" w:ascii="等线" w:eastAsia="等线" w:cs="Arial"/>
          <w:kern w:val="2"/>
          <w:szCs w:val="24"/>
        </w:rPr>
      </w:pPr>
      <w:r>
        <w:fldChar w:fldCharType="begin"/>
      </w:r>
      <w:r>
        <w:instrText xml:space="preserve">Hyperlink \l "_Toc233624835"</w:instrText>
      </w:r>
      <w:r>
        <w:fldChar w:fldCharType="separate"/>
      </w:r>
      <w:r>
        <w:rPr>
          <w:rFonts w:hint="eastAsia"/>
          <w:color w:val="auto"/>
        </w:rPr>
        <w:t>第一条</w:t>
      </w:r>
      <w:r>
        <w:rPr>
          <w:rFonts w:hint="eastAsia" w:ascii="等线" w:eastAsia="等线" w:cs="Arial"/>
          <w:kern w:val="2"/>
          <w:szCs w:val="24"/>
        </w:rPr>
        <w:tab/>
      </w:r>
      <w:r>
        <w:rPr>
          <w:rFonts w:hint="eastAsia"/>
          <w:color w:val="auto"/>
        </w:rPr>
        <w:t>指导意见、建设指引和指导手册</w:t>
      </w:r>
      <w:r>
        <w:rPr>
          <w:rFonts w:hint="eastAsia"/>
        </w:rPr>
        <w:tab/>
      </w:r>
      <w:r>
        <w:fldChar w:fldCharType="begin"/>
      </w:r>
      <w:r>
        <w:rPr>
          <w:rFonts w:hint="eastAsia"/>
        </w:rPr>
        <w:instrText xml:space="preserve"> </w:instrText>
      </w:r>
      <w:r>
        <w:instrText xml:space="preserve">PAGEREF _Toc233624835 \h</w:instrText>
      </w:r>
      <w:r>
        <w:rPr>
          <w:rFonts w:hint="eastAsia"/>
        </w:rPr>
        <w:instrText xml:space="preserve"> </w:instrText>
      </w:r>
      <w:r>
        <w:rPr>
          <w:rFonts w:hint="eastAsia"/>
        </w:rPr>
        <w:fldChar w:fldCharType="separate"/>
      </w:r>
      <w:r>
        <w:t>5</w:t>
      </w:r>
      <w:r>
        <w:rPr>
          <w:rFonts w:hint="eastAsia"/>
        </w:rPr>
        <w:fldChar w:fldCharType="end"/>
      </w:r>
      <w:r>
        <w:fldChar w:fldCharType="end"/>
      </w:r>
    </w:p>
    <w:p w14:paraId="083F0295">
      <w:pPr>
        <w:pStyle w:val="16"/>
        <w:tabs>
          <w:tab w:val="left" w:pos="1400"/>
          <w:tab w:val="right" w:leader="dot" w:pos="8296"/>
        </w:tabs>
        <w:rPr>
          <w:rFonts w:hint="eastAsia" w:ascii="等线" w:eastAsia="等线" w:cs="Arial"/>
          <w:kern w:val="2"/>
          <w:szCs w:val="24"/>
        </w:rPr>
      </w:pPr>
      <w:r>
        <w:fldChar w:fldCharType="begin"/>
      </w:r>
      <w:r>
        <w:instrText xml:space="preserve">Hyperlink \l "_Toc233624836"</w:instrText>
      </w:r>
      <w:r>
        <w:fldChar w:fldCharType="separate"/>
      </w:r>
      <w:r>
        <w:rPr>
          <w:rFonts w:hint="eastAsia"/>
          <w:color w:val="auto"/>
        </w:rPr>
        <w:t>第二条</w:t>
      </w:r>
      <w:r>
        <w:rPr>
          <w:rFonts w:hint="eastAsia" w:ascii="等线" w:eastAsia="等线" w:cs="Arial"/>
          <w:kern w:val="2"/>
          <w:szCs w:val="24"/>
        </w:rPr>
        <w:tab/>
      </w:r>
      <w:r>
        <w:rPr>
          <w:rFonts w:hint="eastAsia"/>
          <w:color w:val="auto"/>
        </w:rPr>
        <w:t>适用范围</w:t>
      </w:r>
      <w:r>
        <w:rPr>
          <w:rFonts w:hint="eastAsia"/>
        </w:rPr>
        <w:tab/>
      </w:r>
      <w:r>
        <w:fldChar w:fldCharType="begin"/>
      </w:r>
      <w:r>
        <w:rPr>
          <w:rFonts w:hint="eastAsia"/>
        </w:rPr>
        <w:instrText xml:space="preserve"> </w:instrText>
      </w:r>
      <w:r>
        <w:instrText xml:space="preserve">PAGEREF _Toc233624836 \h</w:instrText>
      </w:r>
      <w:r>
        <w:rPr>
          <w:rFonts w:hint="eastAsia"/>
        </w:rPr>
        <w:instrText xml:space="preserve"> </w:instrText>
      </w:r>
      <w:r>
        <w:rPr>
          <w:rFonts w:hint="eastAsia"/>
        </w:rPr>
        <w:fldChar w:fldCharType="separate"/>
      </w:r>
      <w:r>
        <w:t>6</w:t>
      </w:r>
      <w:r>
        <w:rPr>
          <w:rFonts w:hint="eastAsia"/>
        </w:rPr>
        <w:fldChar w:fldCharType="end"/>
      </w:r>
      <w:r>
        <w:fldChar w:fldCharType="end"/>
      </w:r>
    </w:p>
    <w:p w14:paraId="594131A7">
      <w:pPr>
        <w:pStyle w:val="16"/>
        <w:tabs>
          <w:tab w:val="left" w:pos="1400"/>
          <w:tab w:val="right" w:leader="dot" w:pos="8296"/>
        </w:tabs>
        <w:rPr>
          <w:rFonts w:hint="eastAsia" w:ascii="等线" w:eastAsia="等线" w:cs="Arial"/>
          <w:kern w:val="2"/>
          <w:szCs w:val="24"/>
        </w:rPr>
      </w:pPr>
      <w:r>
        <w:fldChar w:fldCharType="begin"/>
      </w:r>
      <w:r>
        <w:instrText xml:space="preserve">Hyperlink \l "_Toc233624837"</w:instrText>
      </w:r>
      <w:r>
        <w:fldChar w:fldCharType="separate"/>
      </w:r>
      <w:r>
        <w:rPr>
          <w:rFonts w:hint="eastAsia"/>
          <w:color w:val="auto"/>
        </w:rPr>
        <w:t>第三条</w:t>
      </w:r>
      <w:r>
        <w:rPr>
          <w:rFonts w:hint="eastAsia" w:ascii="等线" w:eastAsia="等线" w:cs="Arial"/>
          <w:kern w:val="2"/>
          <w:szCs w:val="24"/>
        </w:rPr>
        <w:tab/>
      </w:r>
      <w:r>
        <w:rPr>
          <w:rFonts w:hint="eastAsia"/>
          <w:color w:val="auto"/>
        </w:rPr>
        <w:t>时效</w:t>
      </w:r>
      <w:r>
        <w:rPr>
          <w:rFonts w:hint="eastAsia"/>
        </w:rPr>
        <w:tab/>
      </w:r>
      <w:r>
        <w:fldChar w:fldCharType="begin"/>
      </w:r>
      <w:r>
        <w:rPr>
          <w:rFonts w:hint="eastAsia"/>
        </w:rPr>
        <w:instrText xml:space="preserve"> </w:instrText>
      </w:r>
      <w:r>
        <w:instrText xml:space="preserve">PAGEREF _Toc233624837 \h</w:instrText>
      </w:r>
      <w:r>
        <w:rPr>
          <w:rFonts w:hint="eastAsia"/>
        </w:rPr>
        <w:instrText xml:space="preserve"> </w:instrText>
      </w:r>
      <w:r>
        <w:rPr>
          <w:rFonts w:hint="eastAsia"/>
        </w:rPr>
        <w:fldChar w:fldCharType="separate"/>
      </w:r>
      <w:r>
        <w:t>6</w:t>
      </w:r>
      <w:r>
        <w:rPr>
          <w:rFonts w:hint="eastAsia"/>
        </w:rPr>
        <w:fldChar w:fldCharType="end"/>
      </w:r>
      <w:r>
        <w:fldChar w:fldCharType="end"/>
      </w:r>
    </w:p>
    <w:p w14:paraId="498F511D">
      <w:pPr>
        <w:pStyle w:val="22"/>
        <w:tabs>
          <w:tab w:val="right" w:leader="dot" w:pos="8296"/>
        </w:tabs>
        <w:rPr>
          <w:rFonts w:hint="eastAsia" w:ascii="等线" w:eastAsia="等线" w:cs="Arial"/>
          <w:kern w:val="2"/>
          <w:szCs w:val="24"/>
        </w:rPr>
      </w:pPr>
      <w:r>
        <w:fldChar w:fldCharType="begin"/>
      </w:r>
      <w:r>
        <w:instrText xml:space="preserve">Hyperlink \l "_Toc233624838"</w:instrText>
      </w:r>
      <w:r>
        <w:fldChar w:fldCharType="separate"/>
      </w:r>
      <w:r>
        <w:rPr>
          <w:rFonts w:hint="eastAsia" w:ascii="Times New Roman" w:hAnsi="Times New Roman" w:eastAsia="黑体"/>
          <w:color w:val="auto"/>
        </w:rPr>
        <w:t>第二章 行政管理指引</w:t>
      </w:r>
      <w:r>
        <w:rPr>
          <w:rFonts w:hint="eastAsia"/>
        </w:rPr>
        <w:tab/>
      </w:r>
      <w:r>
        <w:fldChar w:fldCharType="begin"/>
      </w:r>
      <w:r>
        <w:rPr>
          <w:rFonts w:hint="eastAsia"/>
        </w:rPr>
        <w:instrText xml:space="preserve"> </w:instrText>
      </w:r>
      <w:r>
        <w:instrText xml:space="preserve">PAGEREF _Toc233624838 \h</w:instrText>
      </w:r>
      <w:r>
        <w:rPr>
          <w:rFonts w:hint="eastAsia"/>
        </w:rPr>
        <w:instrText xml:space="preserve"> </w:instrText>
      </w:r>
      <w:r>
        <w:rPr>
          <w:rFonts w:hint="eastAsia"/>
        </w:rPr>
        <w:fldChar w:fldCharType="separate"/>
      </w:r>
      <w:r>
        <w:t>7</w:t>
      </w:r>
      <w:r>
        <w:rPr>
          <w:rFonts w:hint="eastAsia"/>
        </w:rPr>
        <w:fldChar w:fldCharType="end"/>
      </w:r>
      <w:r>
        <w:fldChar w:fldCharType="end"/>
      </w:r>
    </w:p>
    <w:p w14:paraId="6DB60B49">
      <w:pPr>
        <w:pStyle w:val="25"/>
        <w:tabs>
          <w:tab w:val="left" w:pos="1200"/>
          <w:tab w:val="right" w:leader="dot" w:pos="8296"/>
        </w:tabs>
        <w:rPr>
          <w:rFonts w:hint="eastAsia" w:ascii="等线" w:eastAsia="等线" w:cs="Arial"/>
          <w:kern w:val="2"/>
          <w:szCs w:val="24"/>
        </w:rPr>
      </w:pPr>
      <w:r>
        <w:fldChar w:fldCharType="begin"/>
      </w:r>
      <w:r>
        <w:instrText xml:space="preserve">Hyperlink \l "_Toc233624839"</w:instrText>
      </w:r>
      <w:r>
        <w:fldChar w:fldCharType="separate"/>
      </w:r>
      <w:r>
        <w:rPr>
          <w:rFonts w:hint="eastAsia" w:ascii="Times New Roman" w:hAnsi="Times New Roman" w:eastAsia="黑体"/>
          <w:color w:val="auto"/>
        </w:rPr>
        <w:t>第一节</w:t>
      </w:r>
      <w:r>
        <w:rPr>
          <w:rFonts w:hint="eastAsia" w:ascii="等线" w:eastAsia="等线" w:cs="Arial"/>
          <w:kern w:val="2"/>
          <w:szCs w:val="24"/>
        </w:rPr>
        <w:tab/>
      </w:r>
      <w:r>
        <w:rPr>
          <w:rFonts w:hint="eastAsia" w:ascii="Times New Roman" w:hAnsi="Times New Roman" w:eastAsia="黑体"/>
          <w:color w:val="auto"/>
        </w:rPr>
        <w:t>项目前期管理</w:t>
      </w:r>
      <w:r>
        <w:rPr>
          <w:rFonts w:hint="eastAsia"/>
        </w:rPr>
        <w:tab/>
      </w:r>
      <w:r>
        <w:fldChar w:fldCharType="begin"/>
      </w:r>
      <w:r>
        <w:rPr>
          <w:rFonts w:hint="eastAsia"/>
        </w:rPr>
        <w:instrText xml:space="preserve"> </w:instrText>
      </w:r>
      <w:r>
        <w:instrText xml:space="preserve">PAGEREF _Toc233624839 \h</w:instrText>
      </w:r>
      <w:r>
        <w:rPr>
          <w:rFonts w:hint="eastAsia"/>
        </w:rPr>
        <w:instrText xml:space="preserve"> </w:instrText>
      </w:r>
      <w:r>
        <w:rPr>
          <w:rFonts w:hint="eastAsia"/>
        </w:rPr>
        <w:fldChar w:fldCharType="separate"/>
      </w:r>
      <w:r>
        <w:t>7</w:t>
      </w:r>
      <w:r>
        <w:rPr>
          <w:rFonts w:hint="eastAsia"/>
        </w:rPr>
        <w:fldChar w:fldCharType="end"/>
      </w:r>
      <w:r>
        <w:fldChar w:fldCharType="end"/>
      </w:r>
    </w:p>
    <w:p w14:paraId="3EF56E36">
      <w:pPr>
        <w:pStyle w:val="16"/>
        <w:tabs>
          <w:tab w:val="left" w:pos="1400"/>
          <w:tab w:val="right" w:leader="dot" w:pos="8296"/>
        </w:tabs>
        <w:rPr>
          <w:rFonts w:hint="eastAsia" w:ascii="等线" w:eastAsia="等线" w:cs="Arial"/>
          <w:kern w:val="2"/>
          <w:szCs w:val="24"/>
        </w:rPr>
      </w:pPr>
      <w:r>
        <w:fldChar w:fldCharType="begin"/>
      </w:r>
      <w:r>
        <w:instrText xml:space="preserve">Hyperlink \l "_Toc233624840"</w:instrText>
      </w:r>
      <w:r>
        <w:fldChar w:fldCharType="separate"/>
      </w:r>
      <w:r>
        <w:rPr>
          <w:rFonts w:hint="eastAsia"/>
          <w:color w:val="auto"/>
        </w:rPr>
        <w:t>第四条</w:t>
      </w:r>
      <w:r>
        <w:rPr>
          <w:rFonts w:hint="eastAsia" w:ascii="等线" w:eastAsia="等线" w:cs="Arial"/>
          <w:kern w:val="2"/>
          <w:szCs w:val="24"/>
        </w:rPr>
        <w:tab/>
      </w:r>
      <w:r>
        <w:rPr>
          <w:rFonts w:hint="eastAsia"/>
          <w:color w:val="auto"/>
        </w:rPr>
        <w:t>县（市）总体规划目标再审视</w:t>
      </w:r>
      <w:r>
        <w:rPr>
          <w:rFonts w:hint="eastAsia"/>
        </w:rPr>
        <w:tab/>
      </w:r>
      <w:r>
        <w:fldChar w:fldCharType="begin"/>
      </w:r>
      <w:r>
        <w:rPr>
          <w:rFonts w:hint="eastAsia"/>
        </w:rPr>
        <w:instrText xml:space="preserve"> </w:instrText>
      </w:r>
      <w:r>
        <w:instrText xml:space="preserve">PAGEREF _Toc233624840 \h</w:instrText>
      </w:r>
      <w:r>
        <w:rPr>
          <w:rFonts w:hint="eastAsia"/>
        </w:rPr>
        <w:instrText xml:space="preserve"> </w:instrText>
      </w:r>
      <w:r>
        <w:rPr>
          <w:rFonts w:hint="eastAsia"/>
        </w:rPr>
        <w:fldChar w:fldCharType="separate"/>
      </w:r>
      <w:r>
        <w:t>7</w:t>
      </w:r>
      <w:r>
        <w:rPr>
          <w:rFonts w:hint="eastAsia"/>
        </w:rPr>
        <w:fldChar w:fldCharType="end"/>
      </w:r>
      <w:r>
        <w:fldChar w:fldCharType="end"/>
      </w:r>
    </w:p>
    <w:p w14:paraId="4631BE9E">
      <w:pPr>
        <w:pStyle w:val="16"/>
        <w:tabs>
          <w:tab w:val="left" w:pos="1400"/>
          <w:tab w:val="right" w:leader="dot" w:pos="8296"/>
        </w:tabs>
        <w:rPr>
          <w:rFonts w:hint="eastAsia" w:ascii="等线" w:eastAsia="等线" w:cs="Arial"/>
          <w:kern w:val="2"/>
          <w:szCs w:val="24"/>
        </w:rPr>
      </w:pPr>
      <w:r>
        <w:fldChar w:fldCharType="begin"/>
      </w:r>
      <w:r>
        <w:instrText xml:space="preserve">Hyperlink \l "_Toc233624841"</w:instrText>
      </w:r>
      <w:r>
        <w:fldChar w:fldCharType="separate"/>
      </w:r>
      <w:r>
        <w:rPr>
          <w:rFonts w:hint="eastAsia"/>
          <w:color w:val="auto"/>
        </w:rPr>
        <w:t>第五条</w:t>
      </w:r>
      <w:r>
        <w:rPr>
          <w:rFonts w:hint="eastAsia" w:ascii="等线" w:eastAsia="等线" w:cs="Arial"/>
          <w:kern w:val="2"/>
          <w:szCs w:val="24"/>
        </w:rPr>
        <w:tab/>
      </w:r>
      <w:r>
        <w:rPr>
          <w:rFonts w:hint="eastAsia"/>
          <w:color w:val="auto"/>
        </w:rPr>
        <w:t>城市体检评估、更新规划和实施方案</w:t>
      </w:r>
      <w:r>
        <w:rPr>
          <w:rFonts w:hint="eastAsia"/>
        </w:rPr>
        <w:tab/>
      </w:r>
      <w:r>
        <w:fldChar w:fldCharType="begin"/>
      </w:r>
      <w:r>
        <w:rPr>
          <w:rFonts w:hint="eastAsia"/>
        </w:rPr>
        <w:instrText xml:space="preserve"> </w:instrText>
      </w:r>
      <w:r>
        <w:instrText xml:space="preserve">PAGEREF _Toc233624841 \h</w:instrText>
      </w:r>
      <w:r>
        <w:rPr>
          <w:rFonts w:hint="eastAsia"/>
        </w:rPr>
        <w:instrText xml:space="preserve"> </w:instrText>
      </w:r>
      <w:r>
        <w:rPr>
          <w:rFonts w:hint="eastAsia"/>
        </w:rPr>
        <w:fldChar w:fldCharType="separate"/>
      </w:r>
      <w:r>
        <w:t>7</w:t>
      </w:r>
      <w:r>
        <w:rPr>
          <w:rFonts w:hint="eastAsia"/>
        </w:rPr>
        <w:fldChar w:fldCharType="end"/>
      </w:r>
      <w:r>
        <w:fldChar w:fldCharType="end"/>
      </w:r>
    </w:p>
    <w:p w14:paraId="51E77325">
      <w:pPr>
        <w:pStyle w:val="16"/>
        <w:tabs>
          <w:tab w:val="left" w:pos="1400"/>
          <w:tab w:val="right" w:leader="dot" w:pos="8296"/>
        </w:tabs>
        <w:rPr>
          <w:rFonts w:hint="eastAsia" w:ascii="等线" w:eastAsia="等线" w:cs="Arial"/>
          <w:kern w:val="2"/>
          <w:szCs w:val="24"/>
        </w:rPr>
      </w:pPr>
      <w:r>
        <w:fldChar w:fldCharType="begin"/>
      </w:r>
      <w:r>
        <w:instrText xml:space="preserve">Hyperlink \l "_Toc233624842"</w:instrText>
      </w:r>
      <w:r>
        <w:fldChar w:fldCharType="separate"/>
      </w:r>
      <w:r>
        <w:rPr>
          <w:rFonts w:hint="eastAsia"/>
          <w:color w:val="auto"/>
        </w:rPr>
        <w:t>第六条</w:t>
      </w:r>
      <w:r>
        <w:rPr>
          <w:rFonts w:hint="eastAsia" w:ascii="等线" w:eastAsia="等线" w:cs="Arial"/>
          <w:kern w:val="2"/>
          <w:szCs w:val="24"/>
        </w:rPr>
        <w:tab/>
      </w:r>
      <w:r>
        <w:rPr>
          <w:rFonts w:hint="eastAsia"/>
          <w:color w:val="auto"/>
        </w:rPr>
        <w:t>其他专项实施方案</w:t>
      </w:r>
      <w:r>
        <w:rPr>
          <w:rFonts w:hint="eastAsia"/>
        </w:rPr>
        <w:tab/>
      </w:r>
      <w:r>
        <w:fldChar w:fldCharType="begin"/>
      </w:r>
      <w:r>
        <w:rPr>
          <w:rFonts w:hint="eastAsia"/>
        </w:rPr>
        <w:instrText xml:space="preserve"> </w:instrText>
      </w:r>
      <w:r>
        <w:instrText xml:space="preserve">PAGEREF _Toc233624842 \h</w:instrText>
      </w:r>
      <w:r>
        <w:rPr>
          <w:rFonts w:hint="eastAsia"/>
        </w:rPr>
        <w:instrText xml:space="preserve"> </w:instrText>
      </w:r>
      <w:r>
        <w:rPr>
          <w:rFonts w:hint="eastAsia"/>
        </w:rPr>
        <w:fldChar w:fldCharType="separate"/>
      </w:r>
      <w:r>
        <w:t>8</w:t>
      </w:r>
      <w:r>
        <w:rPr>
          <w:rFonts w:hint="eastAsia"/>
        </w:rPr>
        <w:fldChar w:fldCharType="end"/>
      </w:r>
      <w:r>
        <w:fldChar w:fldCharType="end"/>
      </w:r>
    </w:p>
    <w:p w14:paraId="78C618EF">
      <w:pPr>
        <w:pStyle w:val="16"/>
        <w:tabs>
          <w:tab w:val="left" w:pos="1400"/>
          <w:tab w:val="right" w:leader="dot" w:pos="8296"/>
        </w:tabs>
        <w:rPr>
          <w:rFonts w:hint="eastAsia" w:ascii="等线" w:eastAsia="等线" w:cs="Arial"/>
          <w:kern w:val="2"/>
          <w:szCs w:val="24"/>
        </w:rPr>
      </w:pPr>
      <w:r>
        <w:fldChar w:fldCharType="begin"/>
      </w:r>
      <w:r>
        <w:instrText xml:space="preserve">Hyperlink \l "_Toc233624843"</w:instrText>
      </w:r>
      <w:r>
        <w:fldChar w:fldCharType="separate"/>
      </w:r>
      <w:r>
        <w:rPr>
          <w:rFonts w:hint="eastAsia"/>
          <w:color w:val="auto"/>
        </w:rPr>
        <w:t>第七条</w:t>
      </w:r>
      <w:r>
        <w:rPr>
          <w:rFonts w:hint="eastAsia" w:ascii="等线" w:eastAsia="等线" w:cs="Arial"/>
          <w:kern w:val="2"/>
          <w:szCs w:val="24"/>
        </w:rPr>
        <w:tab/>
      </w:r>
      <w:r>
        <w:rPr>
          <w:rFonts w:hint="eastAsia"/>
          <w:color w:val="auto"/>
        </w:rPr>
        <w:t>建立重大项目协同管理工作机制</w:t>
      </w:r>
      <w:r>
        <w:rPr>
          <w:rFonts w:hint="eastAsia"/>
        </w:rPr>
        <w:tab/>
      </w:r>
      <w:r>
        <w:fldChar w:fldCharType="begin"/>
      </w:r>
      <w:r>
        <w:rPr>
          <w:rFonts w:hint="eastAsia"/>
        </w:rPr>
        <w:instrText xml:space="preserve"> </w:instrText>
      </w:r>
      <w:r>
        <w:instrText xml:space="preserve">PAGEREF _Toc233624843 \h</w:instrText>
      </w:r>
      <w:r>
        <w:rPr>
          <w:rFonts w:hint="eastAsia"/>
        </w:rPr>
        <w:instrText xml:space="preserve"> </w:instrText>
      </w:r>
      <w:r>
        <w:rPr>
          <w:rFonts w:hint="eastAsia"/>
        </w:rPr>
        <w:fldChar w:fldCharType="separate"/>
      </w:r>
      <w:r>
        <w:t>9</w:t>
      </w:r>
      <w:r>
        <w:rPr>
          <w:rFonts w:hint="eastAsia"/>
        </w:rPr>
        <w:fldChar w:fldCharType="end"/>
      </w:r>
      <w:r>
        <w:fldChar w:fldCharType="end"/>
      </w:r>
    </w:p>
    <w:p w14:paraId="387E64D6">
      <w:pPr>
        <w:pStyle w:val="25"/>
        <w:tabs>
          <w:tab w:val="left" w:pos="1200"/>
          <w:tab w:val="right" w:leader="dot" w:pos="8296"/>
        </w:tabs>
        <w:rPr>
          <w:rFonts w:hint="eastAsia" w:ascii="等线" w:eastAsia="等线" w:cs="Arial"/>
          <w:kern w:val="2"/>
          <w:szCs w:val="24"/>
        </w:rPr>
      </w:pPr>
      <w:r>
        <w:fldChar w:fldCharType="begin"/>
      </w:r>
      <w:r>
        <w:instrText xml:space="preserve">Hyperlink \l "_Toc233624844"</w:instrText>
      </w:r>
      <w:r>
        <w:fldChar w:fldCharType="separate"/>
      </w:r>
      <w:r>
        <w:rPr>
          <w:rFonts w:hint="eastAsia" w:ascii="Times New Roman" w:hAnsi="Times New Roman" w:eastAsia="黑体"/>
          <w:color w:val="auto"/>
        </w:rPr>
        <w:t>第二节</w:t>
      </w:r>
      <w:r>
        <w:rPr>
          <w:rFonts w:hint="eastAsia" w:ascii="等线" w:eastAsia="等线" w:cs="Arial"/>
          <w:kern w:val="2"/>
          <w:szCs w:val="24"/>
        </w:rPr>
        <w:tab/>
      </w:r>
      <w:r>
        <w:rPr>
          <w:rFonts w:hint="eastAsia" w:ascii="Times New Roman" w:hAnsi="Times New Roman" w:eastAsia="黑体"/>
          <w:color w:val="auto"/>
        </w:rPr>
        <w:t>建设阶段管理</w:t>
      </w:r>
      <w:r>
        <w:rPr>
          <w:rFonts w:hint="eastAsia"/>
        </w:rPr>
        <w:tab/>
      </w:r>
      <w:r>
        <w:fldChar w:fldCharType="begin"/>
      </w:r>
      <w:r>
        <w:rPr>
          <w:rFonts w:hint="eastAsia"/>
        </w:rPr>
        <w:instrText xml:space="preserve"> </w:instrText>
      </w:r>
      <w:r>
        <w:instrText xml:space="preserve">PAGEREF _Toc233624844 \h</w:instrText>
      </w:r>
      <w:r>
        <w:rPr>
          <w:rFonts w:hint="eastAsia"/>
        </w:rPr>
        <w:instrText xml:space="preserve"> </w:instrText>
      </w:r>
      <w:r>
        <w:rPr>
          <w:rFonts w:hint="eastAsia"/>
        </w:rPr>
        <w:fldChar w:fldCharType="separate"/>
      </w:r>
      <w:r>
        <w:t>9</w:t>
      </w:r>
      <w:r>
        <w:rPr>
          <w:rFonts w:hint="eastAsia"/>
        </w:rPr>
        <w:fldChar w:fldCharType="end"/>
      </w:r>
      <w:r>
        <w:fldChar w:fldCharType="end"/>
      </w:r>
    </w:p>
    <w:p w14:paraId="5B46FFA8">
      <w:pPr>
        <w:pStyle w:val="16"/>
        <w:tabs>
          <w:tab w:val="left" w:pos="1400"/>
          <w:tab w:val="right" w:leader="dot" w:pos="8296"/>
        </w:tabs>
        <w:rPr>
          <w:rFonts w:hint="eastAsia" w:ascii="等线" w:eastAsia="等线" w:cs="Arial"/>
          <w:kern w:val="2"/>
          <w:szCs w:val="24"/>
        </w:rPr>
      </w:pPr>
      <w:r>
        <w:fldChar w:fldCharType="begin"/>
      </w:r>
      <w:r>
        <w:instrText xml:space="preserve">Hyperlink \l "_Toc233624845"</w:instrText>
      </w:r>
      <w:r>
        <w:fldChar w:fldCharType="separate"/>
      </w:r>
      <w:r>
        <w:rPr>
          <w:rFonts w:hint="eastAsia"/>
          <w:color w:val="auto"/>
        </w:rPr>
        <w:t>第八条</w:t>
      </w:r>
      <w:r>
        <w:rPr>
          <w:rFonts w:hint="eastAsia" w:ascii="等线" w:eastAsia="等线" w:cs="Arial"/>
          <w:kern w:val="2"/>
          <w:szCs w:val="24"/>
        </w:rPr>
        <w:tab/>
      </w:r>
      <w:r>
        <w:rPr>
          <w:rFonts w:hint="eastAsia"/>
          <w:color w:val="auto"/>
        </w:rPr>
        <w:t>“数字住建”工作推进</w:t>
      </w:r>
      <w:r>
        <w:rPr>
          <w:rFonts w:hint="eastAsia"/>
        </w:rPr>
        <w:tab/>
      </w:r>
      <w:r>
        <w:fldChar w:fldCharType="begin"/>
      </w:r>
      <w:r>
        <w:rPr>
          <w:rFonts w:hint="eastAsia"/>
        </w:rPr>
        <w:instrText xml:space="preserve"> </w:instrText>
      </w:r>
      <w:r>
        <w:instrText xml:space="preserve">PAGEREF _Toc233624845 \h</w:instrText>
      </w:r>
      <w:r>
        <w:rPr>
          <w:rFonts w:hint="eastAsia"/>
        </w:rPr>
        <w:instrText xml:space="preserve"> </w:instrText>
      </w:r>
      <w:r>
        <w:rPr>
          <w:rFonts w:hint="eastAsia"/>
        </w:rPr>
        <w:fldChar w:fldCharType="separate"/>
      </w:r>
      <w:r>
        <w:t>9</w:t>
      </w:r>
      <w:r>
        <w:rPr>
          <w:rFonts w:hint="eastAsia"/>
        </w:rPr>
        <w:fldChar w:fldCharType="end"/>
      </w:r>
      <w:r>
        <w:fldChar w:fldCharType="end"/>
      </w:r>
    </w:p>
    <w:p w14:paraId="6ADAE028">
      <w:pPr>
        <w:pStyle w:val="16"/>
        <w:tabs>
          <w:tab w:val="left" w:pos="1400"/>
          <w:tab w:val="right" w:leader="dot" w:pos="8296"/>
        </w:tabs>
        <w:rPr>
          <w:rFonts w:hint="eastAsia" w:ascii="等线" w:eastAsia="等线" w:cs="Arial"/>
          <w:kern w:val="2"/>
          <w:szCs w:val="24"/>
        </w:rPr>
      </w:pPr>
      <w:r>
        <w:fldChar w:fldCharType="begin"/>
      </w:r>
      <w:r>
        <w:instrText xml:space="preserve">Hyperlink \l "_Toc233624846"</w:instrText>
      </w:r>
      <w:r>
        <w:fldChar w:fldCharType="separate"/>
      </w:r>
      <w:r>
        <w:rPr>
          <w:rFonts w:hint="eastAsia"/>
          <w:color w:val="auto"/>
        </w:rPr>
        <w:t>第九条</w:t>
      </w:r>
      <w:r>
        <w:rPr>
          <w:rFonts w:hint="eastAsia" w:ascii="等线" w:eastAsia="等线" w:cs="Arial"/>
          <w:kern w:val="2"/>
          <w:szCs w:val="24"/>
        </w:rPr>
        <w:tab/>
      </w:r>
      <w:r>
        <w:rPr>
          <w:rFonts w:hint="eastAsia"/>
          <w:color w:val="auto"/>
        </w:rPr>
        <w:t>装配式建筑及BIM技术管理</w:t>
      </w:r>
      <w:r>
        <w:rPr>
          <w:rFonts w:hint="eastAsia"/>
        </w:rPr>
        <w:tab/>
      </w:r>
      <w:r>
        <w:fldChar w:fldCharType="begin"/>
      </w:r>
      <w:r>
        <w:rPr>
          <w:rFonts w:hint="eastAsia"/>
        </w:rPr>
        <w:instrText xml:space="preserve"> </w:instrText>
      </w:r>
      <w:r>
        <w:instrText xml:space="preserve">PAGEREF _Toc233624846 \h</w:instrText>
      </w:r>
      <w:r>
        <w:rPr>
          <w:rFonts w:hint="eastAsia"/>
        </w:rPr>
        <w:instrText xml:space="preserve"> </w:instrText>
      </w:r>
      <w:r>
        <w:rPr>
          <w:rFonts w:hint="eastAsia"/>
        </w:rPr>
        <w:fldChar w:fldCharType="separate"/>
      </w:r>
      <w:r>
        <w:t>10</w:t>
      </w:r>
      <w:r>
        <w:rPr>
          <w:rFonts w:hint="eastAsia"/>
        </w:rPr>
        <w:fldChar w:fldCharType="end"/>
      </w:r>
      <w:r>
        <w:fldChar w:fldCharType="end"/>
      </w:r>
    </w:p>
    <w:p w14:paraId="6901DD2D">
      <w:pPr>
        <w:pStyle w:val="16"/>
        <w:tabs>
          <w:tab w:val="left" w:pos="1400"/>
          <w:tab w:val="right" w:leader="dot" w:pos="8296"/>
        </w:tabs>
        <w:rPr>
          <w:rFonts w:hint="eastAsia" w:ascii="等线" w:eastAsia="等线" w:cs="Arial"/>
          <w:kern w:val="2"/>
          <w:szCs w:val="24"/>
        </w:rPr>
      </w:pPr>
      <w:r>
        <w:fldChar w:fldCharType="begin"/>
      </w:r>
      <w:r>
        <w:instrText xml:space="preserve">Hyperlink \l "_Toc233624847"</w:instrText>
      </w:r>
      <w:r>
        <w:fldChar w:fldCharType="separate"/>
      </w:r>
      <w:r>
        <w:rPr>
          <w:rFonts w:hint="eastAsia"/>
          <w:color w:val="auto"/>
        </w:rPr>
        <w:t>第十条</w:t>
      </w:r>
      <w:r>
        <w:rPr>
          <w:rFonts w:hint="eastAsia" w:ascii="等线" w:eastAsia="等线" w:cs="Arial"/>
          <w:kern w:val="2"/>
          <w:szCs w:val="24"/>
        </w:rPr>
        <w:tab/>
      </w:r>
      <w:r>
        <w:rPr>
          <w:rFonts w:hint="eastAsia"/>
          <w:color w:val="auto"/>
        </w:rPr>
        <w:t>绿色建筑全过程管理</w:t>
      </w:r>
      <w:r>
        <w:rPr>
          <w:rFonts w:hint="eastAsia"/>
        </w:rPr>
        <w:tab/>
      </w:r>
      <w:r>
        <w:fldChar w:fldCharType="begin"/>
      </w:r>
      <w:r>
        <w:rPr>
          <w:rFonts w:hint="eastAsia"/>
        </w:rPr>
        <w:instrText xml:space="preserve"> </w:instrText>
      </w:r>
      <w:r>
        <w:instrText xml:space="preserve">PAGEREF _Toc233624847 \h</w:instrText>
      </w:r>
      <w:r>
        <w:rPr>
          <w:rFonts w:hint="eastAsia"/>
        </w:rPr>
        <w:instrText xml:space="preserve"> </w:instrText>
      </w:r>
      <w:r>
        <w:rPr>
          <w:rFonts w:hint="eastAsia"/>
        </w:rPr>
        <w:fldChar w:fldCharType="separate"/>
      </w:r>
      <w:r>
        <w:t>10</w:t>
      </w:r>
      <w:r>
        <w:rPr>
          <w:rFonts w:hint="eastAsia"/>
        </w:rPr>
        <w:fldChar w:fldCharType="end"/>
      </w:r>
      <w:r>
        <w:fldChar w:fldCharType="end"/>
      </w:r>
    </w:p>
    <w:p w14:paraId="3F9F1855">
      <w:pPr>
        <w:pStyle w:val="16"/>
        <w:tabs>
          <w:tab w:val="left" w:pos="1600"/>
          <w:tab w:val="right" w:leader="dot" w:pos="8296"/>
        </w:tabs>
        <w:rPr>
          <w:rFonts w:hint="eastAsia" w:ascii="等线" w:eastAsia="等线" w:cs="Arial"/>
          <w:kern w:val="2"/>
          <w:szCs w:val="24"/>
        </w:rPr>
      </w:pPr>
      <w:r>
        <w:fldChar w:fldCharType="begin"/>
      </w:r>
      <w:r>
        <w:instrText xml:space="preserve">Hyperlink \l "_Toc233624848"</w:instrText>
      </w:r>
      <w:r>
        <w:fldChar w:fldCharType="separate"/>
      </w:r>
      <w:r>
        <w:rPr>
          <w:rFonts w:hint="eastAsia"/>
          <w:color w:val="auto"/>
        </w:rPr>
        <w:t>第十一条</w:t>
      </w:r>
      <w:r>
        <w:rPr>
          <w:rFonts w:hint="eastAsia" w:ascii="等线" w:eastAsia="等线" w:cs="Arial"/>
          <w:kern w:val="2"/>
          <w:szCs w:val="24"/>
        </w:rPr>
        <w:tab/>
      </w:r>
      <w:r>
        <w:rPr>
          <w:rFonts w:hint="eastAsia"/>
          <w:color w:val="auto"/>
        </w:rPr>
        <w:t>本地建材发展</w:t>
      </w:r>
      <w:r>
        <w:rPr>
          <w:rFonts w:hint="eastAsia"/>
        </w:rPr>
        <w:tab/>
      </w:r>
      <w:r>
        <w:fldChar w:fldCharType="begin"/>
      </w:r>
      <w:r>
        <w:rPr>
          <w:rFonts w:hint="eastAsia"/>
        </w:rPr>
        <w:instrText xml:space="preserve"> </w:instrText>
      </w:r>
      <w:r>
        <w:instrText xml:space="preserve">PAGEREF _Toc233624848 \h</w:instrText>
      </w:r>
      <w:r>
        <w:rPr>
          <w:rFonts w:hint="eastAsia"/>
        </w:rPr>
        <w:instrText xml:space="preserve"> </w:instrText>
      </w:r>
      <w:r>
        <w:rPr>
          <w:rFonts w:hint="eastAsia"/>
        </w:rPr>
        <w:fldChar w:fldCharType="separate"/>
      </w:r>
      <w:r>
        <w:t>11</w:t>
      </w:r>
      <w:r>
        <w:rPr>
          <w:rFonts w:hint="eastAsia"/>
        </w:rPr>
        <w:fldChar w:fldCharType="end"/>
      </w:r>
      <w:r>
        <w:fldChar w:fldCharType="end"/>
      </w:r>
    </w:p>
    <w:p w14:paraId="6C79EAB5">
      <w:pPr>
        <w:pStyle w:val="16"/>
        <w:tabs>
          <w:tab w:val="left" w:pos="1600"/>
          <w:tab w:val="right" w:leader="dot" w:pos="8296"/>
        </w:tabs>
        <w:rPr>
          <w:rFonts w:hint="eastAsia" w:ascii="等线" w:eastAsia="等线" w:cs="Arial"/>
          <w:kern w:val="2"/>
          <w:szCs w:val="24"/>
        </w:rPr>
      </w:pPr>
      <w:r>
        <w:fldChar w:fldCharType="begin"/>
      </w:r>
      <w:r>
        <w:instrText xml:space="preserve">Hyperlink \l "_Toc233624849"</w:instrText>
      </w:r>
      <w:r>
        <w:fldChar w:fldCharType="separate"/>
      </w:r>
      <w:r>
        <w:rPr>
          <w:rFonts w:hint="eastAsia"/>
          <w:color w:val="auto"/>
        </w:rPr>
        <w:t>第十二条</w:t>
      </w:r>
      <w:r>
        <w:rPr>
          <w:rFonts w:hint="eastAsia" w:ascii="等线" w:eastAsia="等线" w:cs="Arial"/>
          <w:kern w:val="2"/>
          <w:szCs w:val="24"/>
        </w:rPr>
        <w:tab/>
      </w:r>
      <w:r>
        <w:rPr>
          <w:rFonts w:hint="eastAsia"/>
          <w:color w:val="auto"/>
        </w:rPr>
        <w:t>地方砂石建材质量管控</w:t>
      </w:r>
      <w:r>
        <w:rPr>
          <w:rFonts w:hint="eastAsia"/>
        </w:rPr>
        <w:tab/>
      </w:r>
      <w:r>
        <w:fldChar w:fldCharType="begin"/>
      </w:r>
      <w:r>
        <w:rPr>
          <w:rFonts w:hint="eastAsia"/>
        </w:rPr>
        <w:instrText xml:space="preserve"> </w:instrText>
      </w:r>
      <w:r>
        <w:instrText xml:space="preserve">PAGEREF _Toc233624849 \h</w:instrText>
      </w:r>
      <w:r>
        <w:rPr>
          <w:rFonts w:hint="eastAsia"/>
        </w:rPr>
        <w:instrText xml:space="preserve"> </w:instrText>
      </w:r>
      <w:r>
        <w:rPr>
          <w:rFonts w:hint="eastAsia"/>
        </w:rPr>
        <w:fldChar w:fldCharType="separate"/>
      </w:r>
      <w:r>
        <w:t>11</w:t>
      </w:r>
      <w:r>
        <w:rPr>
          <w:rFonts w:hint="eastAsia"/>
        </w:rPr>
        <w:fldChar w:fldCharType="end"/>
      </w:r>
      <w:r>
        <w:fldChar w:fldCharType="end"/>
      </w:r>
    </w:p>
    <w:p w14:paraId="66E6FE44">
      <w:pPr>
        <w:pStyle w:val="16"/>
        <w:tabs>
          <w:tab w:val="left" w:pos="1600"/>
          <w:tab w:val="right" w:leader="dot" w:pos="8296"/>
        </w:tabs>
        <w:rPr>
          <w:rFonts w:hint="eastAsia" w:ascii="等线" w:eastAsia="等线" w:cs="Arial"/>
          <w:kern w:val="2"/>
          <w:szCs w:val="24"/>
        </w:rPr>
      </w:pPr>
      <w:r>
        <w:fldChar w:fldCharType="begin"/>
      </w:r>
      <w:r>
        <w:instrText xml:space="preserve">Hyperlink \l "_Toc233624850"</w:instrText>
      </w:r>
      <w:r>
        <w:fldChar w:fldCharType="separate"/>
      </w:r>
      <w:r>
        <w:rPr>
          <w:rFonts w:hint="eastAsia"/>
          <w:color w:val="auto"/>
        </w:rPr>
        <w:t>第十三条</w:t>
      </w:r>
      <w:r>
        <w:rPr>
          <w:rFonts w:hint="eastAsia" w:ascii="等线" w:eastAsia="等线" w:cs="Arial"/>
          <w:kern w:val="2"/>
          <w:szCs w:val="24"/>
        </w:rPr>
        <w:tab/>
      </w:r>
      <w:r>
        <w:rPr>
          <w:rFonts w:hint="eastAsia"/>
          <w:color w:val="auto"/>
        </w:rPr>
        <w:t>地方商品砼、沥青砼提质</w:t>
      </w:r>
      <w:r>
        <w:rPr>
          <w:rFonts w:hint="eastAsia"/>
        </w:rPr>
        <w:tab/>
      </w:r>
      <w:r>
        <w:fldChar w:fldCharType="begin"/>
      </w:r>
      <w:r>
        <w:rPr>
          <w:rFonts w:hint="eastAsia"/>
        </w:rPr>
        <w:instrText xml:space="preserve"> </w:instrText>
      </w:r>
      <w:r>
        <w:instrText xml:space="preserve">PAGEREF _Toc233624850 \h</w:instrText>
      </w:r>
      <w:r>
        <w:rPr>
          <w:rFonts w:hint="eastAsia"/>
        </w:rPr>
        <w:instrText xml:space="preserve"> </w:instrText>
      </w:r>
      <w:r>
        <w:rPr>
          <w:rFonts w:hint="eastAsia"/>
        </w:rPr>
        <w:fldChar w:fldCharType="separate"/>
      </w:r>
      <w:r>
        <w:t>11</w:t>
      </w:r>
      <w:r>
        <w:rPr>
          <w:rFonts w:hint="eastAsia"/>
        </w:rPr>
        <w:fldChar w:fldCharType="end"/>
      </w:r>
      <w:r>
        <w:fldChar w:fldCharType="end"/>
      </w:r>
    </w:p>
    <w:p w14:paraId="450CACE7">
      <w:pPr>
        <w:pStyle w:val="16"/>
        <w:tabs>
          <w:tab w:val="left" w:pos="1600"/>
          <w:tab w:val="right" w:leader="dot" w:pos="8296"/>
        </w:tabs>
        <w:rPr>
          <w:rFonts w:hint="eastAsia" w:ascii="等线" w:eastAsia="等线" w:cs="Arial"/>
          <w:kern w:val="2"/>
          <w:szCs w:val="24"/>
        </w:rPr>
      </w:pPr>
      <w:r>
        <w:fldChar w:fldCharType="begin"/>
      </w:r>
      <w:r>
        <w:instrText xml:space="preserve">Hyperlink \l "_Toc233624851"</w:instrText>
      </w:r>
      <w:r>
        <w:fldChar w:fldCharType="separate"/>
      </w:r>
      <w:r>
        <w:rPr>
          <w:rFonts w:hint="eastAsia"/>
          <w:color w:val="auto"/>
        </w:rPr>
        <w:t>第十四条</w:t>
      </w:r>
      <w:r>
        <w:rPr>
          <w:rFonts w:hint="eastAsia" w:ascii="等线" w:eastAsia="等线" w:cs="Arial"/>
          <w:kern w:val="2"/>
          <w:szCs w:val="24"/>
        </w:rPr>
        <w:tab/>
      </w:r>
      <w:r>
        <w:rPr>
          <w:rFonts w:hint="eastAsia"/>
          <w:color w:val="auto"/>
        </w:rPr>
        <w:t>工程检测费使用管理</w:t>
      </w:r>
      <w:r>
        <w:rPr>
          <w:rFonts w:hint="eastAsia"/>
        </w:rPr>
        <w:tab/>
      </w:r>
      <w:r>
        <w:fldChar w:fldCharType="begin"/>
      </w:r>
      <w:r>
        <w:rPr>
          <w:rFonts w:hint="eastAsia"/>
        </w:rPr>
        <w:instrText xml:space="preserve"> </w:instrText>
      </w:r>
      <w:r>
        <w:instrText xml:space="preserve">PAGEREF _Toc233624851 \h</w:instrText>
      </w:r>
      <w:r>
        <w:rPr>
          <w:rFonts w:hint="eastAsia"/>
        </w:rPr>
        <w:instrText xml:space="preserve"> </w:instrText>
      </w:r>
      <w:r>
        <w:rPr>
          <w:rFonts w:hint="eastAsia"/>
        </w:rPr>
        <w:fldChar w:fldCharType="separate"/>
      </w:r>
      <w:r>
        <w:t>12</w:t>
      </w:r>
      <w:r>
        <w:rPr>
          <w:rFonts w:hint="eastAsia"/>
        </w:rPr>
        <w:fldChar w:fldCharType="end"/>
      </w:r>
      <w:r>
        <w:fldChar w:fldCharType="end"/>
      </w:r>
    </w:p>
    <w:p w14:paraId="59CFFD64">
      <w:pPr>
        <w:pStyle w:val="16"/>
        <w:tabs>
          <w:tab w:val="left" w:pos="1600"/>
          <w:tab w:val="right" w:leader="dot" w:pos="8296"/>
        </w:tabs>
        <w:rPr>
          <w:rFonts w:hint="eastAsia" w:ascii="等线" w:eastAsia="等线" w:cs="Arial"/>
          <w:kern w:val="2"/>
          <w:szCs w:val="24"/>
        </w:rPr>
      </w:pPr>
      <w:r>
        <w:fldChar w:fldCharType="begin"/>
      </w:r>
      <w:r>
        <w:instrText xml:space="preserve">Hyperlink \l "_Toc233624852"</w:instrText>
      </w:r>
      <w:r>
        <w:fldChar w:fldCharType="separate"/>
      </w:r>
      <w:r>
        <w:rPr>
          <w:rFonts w:hint="eastAsia"/>
          <w:color w:val="auto"/>
        </w:rPr>
        <w:t>第十五条</w:t>
      </w:r>
      <w:r>
        <w:rPr>
          <w:rFonts w:hint="eastAsia" w:ascii="等线" w:eastAsia="等线" w:cs="Arial"/>
          <w:kern w:val="2"/>
          <w:szCs w:val="24"/>
        </w:rPr>
        <w:tab/>
      </w:r>
      <w:r>
        <w:rPr>
          <w:rFonts w:hint="eastAsia"/>
          <w:color w:val="auto"/>
        </w:rPr>
        <w:t>冬期施工温控措施成本管理</w:t>
      </w:r>
      <w:r>
        <w:rPr>
          <w:rFonts w:hint="eastAsia"/>
        </w:rPr>
        <w:tab/>
      </w:r>
      <w:r>
        <w:fldChar w:fldCharType="begin"/>
      </w:r>
      <w:r>
        <w:rPr>
          <w:rFonts w:hint="eastAsia"/>
        </w:rPr>
        <w:instrText xml:space="preserve"> </w:instrText>
      </w:r>
      <w:r>
        <w:instrText xml:space="preserve">PAGEREF _Toc233624852 \h</w:instrText>
      </w:r>
      <w:r>
        <w:rPr>
          <w:rFonts w:hint="eastAsia"/>
        </w:rPr>
        <w:instrText xml:space="preserve"> </w:instrText>
      </w:r>
      <w:r>
        <w:rPr>
          <w:rFonts w:hint="eastAsia"/>
        </w:rPr>
        <w:fldChar w:fldCharType="separate"/>
      </w:r>
      <w:r>
        <w:t>13</w:t>
      </w:r>
      <w:r>
        <w:rPr>
          <w:rFonts w:hint="eastAsia"/>
        </w:rPr>
        <w:fldChar w:fldCharType="end"/>
      </w:r>
      <w:r>
        <w:fldChar w:fldCharType="end"/>
      </w:r>
    </w:p>
    <w:p w14:paraId="19B6A8F2">
      <w:pPr>
        <w:pStyle w:val="16"/>
        <w:tabs>
          <w:tab w:val="left" w:pos="1600"/>
          <w:tab w:val="right" w:leader="dot" w:pos="8296"/>
        </w:tabs>
        <w:rPr>
          <w:rFonts w:hint="eastAsia" w:ascii="等线" w:eastAsia="等线" w:cs="Arial"/>
          <w:kern w:val="2"/>
          <w:szCs w:val="24"/>
        </w:rPr>
      </w:pPr>
      <w:r>
        <w:fldChar w:fldCharType="begin"/>
      </w:r>
      <w:r>
        <w:instrText xml:space="preserve">Hyperlink \l "_Toc233624853"</w:instrText>
      </w:r>
      <w:r>
        <w:fldChar w:fldCharType="separate"/>
      </w:r>
      <w:r>
        <w:rPr>
          <w:rFonts w:hint="eastAsia"/>
          <w:color w:val="auto"/>
        </w:rPr>
        <w:t>第十六条</w:t>
      </w:r>
      <w:r>
        <w:rPr>
          <w:rFonts w:hint="eastAsia" w:ascii="等线" w:eastAsia="等线" w:cs="Arial"/>
          <w:kern w:val="2"/>
          <w:szCs w:val="24"/>
        </w:rPr>
        <w:tab/>
      </w:r>
      <w:r>
        <w:rPr>
          <w:rFonts w:hint="eastAsia"/>
          <w:color w:val="auto"/>
        </w:rPr>
        <w:t>强化工程监理检测管理</w:t>
      </w:r>
      <w:r>
        <w:rPr>
          <w:rFonts w:hint="eastAsia"/>
        </w:rPr>
        <w:tab/>
      </w:r>
      <w:r>
        <w:fldChar w:fldCharType="begin"/>
      </w:r>
      <w:r>
        <w:rPr>
          <w:rFonts w:hint="eastAsia"/>
        </w:rPr>
        <w:instrText xml:space="preserve"> </w:instrText>
      </w:r>
      <w:r>
        <w:instrText xml:space="preserve">PAGEREF _Toc233624853 \h</w:instrText>
      </w:r>
      <w:r>
        <w:rPr>
          <w:rFonts w:hint="eastAsia"/>
        </w:rPr>
        <w:instrText xml:space="preserve"> </w:instrText>
      </w:r>
      <w:r>
        <w:rPr>
          <w:rFonts w:hint="eastAsia"/>
        </w:rPr>
        <w:fldChar w:fldCharType="separate"/>
      </w:r>
      <w:r>
        <w:t>13</w:t>
      </w:r>
      <w:r>
        <w:rPr>
          <w:rFonts w:hint="eastAsia"/>
        </w:rPr>
        <w:fldChar w:fldCharType="end"/>
      </w:r>
      <w:r>
        <w:fldChar w:fldCharType="end"/>
      </w:r>
    </w:p>
    <w:p w14:paraId="310E73BE">
      <w:pPr>
        <w:pStyle w:val="16"/>
        <w:tabs>
          <w:tab w:val="left" w:pos="1600"/>
          <w:tab w:val="right" w:leader="dot" w:pos="8296"/>
        </w:tabs>
        <w:rPr>
          <w:rFonts w:hint="eastAsia" w:ascii="等线" w:eastAsia="等线" w:cs="Arial"/>
          <w:kern w:val="2"/>
          <w:szCs w:val="24"/>
        </w:rPr>
      </w:pPr>
      <w:r>
        <w:fldChar w:fldCharType="begin"/>
      </w:r>
      <w:r>
        <w:instrText xml:space="preserve">Hyperlink \l "_Toc233624854"</w:instrText>
      </w:r>
      <w:r>
        <w:fldChar w:fldCharType="separate"/>
      </w:r>
      <w:r>
        <w:rPr>
          <w:rFonts w:hint="eastAsia" w:cs="仿宋_GB2312"/>
          <w:color w:val="auto"/>
        </w:rPr>
        <w:t>第十七条</w:t>
      </w:r>
      <w:r>
        <w:rPr>
          <w:rFonts w:hint="eastAsia" w:ascii="等线" w:eastAsia="等线" w:cs="Arial"/>
          <w:kern w:val="2"/>
          <w:szCs w:val="24"/>
        </w:rPr>
        <w:tab/>
      </w:r>
      <w:r>
        <w:rPr>
          <w:rFonts w:hint="eastAsia"/>
          <w:color w:val="auto"/>
        </w:rPr>
        <w:t>强化勘察设计质量管理</w:t>
      </w:r>
      <w:r>
        <w:rPr>
          <w:rFonts w:hint="eastAsia"/>
        </w:rPr>
        <w:tab/>
      </w:r>
      <w:r>
        <w:fldChar w:fldCharType="begin"/>
      </w:r>
      <w:r>
        <w:rPr>
          <w:rFonts w:hint="eastAsia"/>
        </w:rPr>
        <w:instrText xml:space="preserve"> </w:instrText>
      </w:r>
      <w:r>
        <w:instrText xml:space="preserve">PAGEREF _Toc233624854 \h</w:instrText>
      </w:r>
      <w:r>
        <w:rPr>
          <w:rFonts w:hint="eastAsia"/>
        </w:rPr>
        <w:instrText xml:space="preserve"> </w:instrText>
      </w:r>
      <w:r>
        <w:rPr>
          <w:rFonts w:hint="eastAsia"/>
        </w:rPr>
        <w:fldChar w:fldCharType="separate"/>
      </w:r>
      <w:r>
        <w:t>14</w:t>
      </w:r>
      <w:r>
        <w:rPr>
          <w:rFonts w:hint="eastAsia"/>
        </w:rPr>
        <w:fldChar w:fldCharType="end"/>
      </w:r>
      <w:r>
        <w:fldChar w:fldCharType="end"/>
      </w:r>
    </w:p>
    <w:p w14:paraId="2899F7B9">
      <w:pPr>
        <w:pStyle w:val="16"/>
        <w:tabs>
          <w:tab w:val="left" w:pos="1600"/>
          <w:tab w:val="right" w:leader="dot" w:pos="8296"/>
        </w:tabs>
        <w:rPr>
          <w:rFonts w:hint="eastAsia" w:ascii="等线" w:eastAsia="等线" w:cs="Arial"/>
          <w:kern w:val="2"/>
          <w:szCs w:val="24"/>
        </w:rPr>
      </w:pPr>
      <w:r>
        <w:fldChar w:fldCharType="begin"/>
      </w:r>
      <w:r>
        <w:instrText xml:space="preserve">Hyperlink \l "_Toc233624855"</w:instrText>
      </w:r>
      <w:r>
        <w:fldChar w:fldCharType="separate"/>
      </w:r>
      <w:r>
        <w:rPr>
          <w:rFonts w:hint="eastAsia"/>
          <w:color w:val="auto"/>
        </w:rPr>
        <w:t>第十八条</w:t>
      </w:r>
      <w:r>
        <w:rPr>
          <w:rFonts w:hint="eastAsia" w:ascii="等线" w:eastAsia="等线" w:cs="Arial"/>
          <w:kern w:val="2"/>
          <w:szCs w:val="24"/>
        </w:rPr>
        <w:tab/>
      </w:r>
      <w:r>
        <w:rPr>
          <w:rFonts w:hint="eastAsia"/>
          <w:color w:val="auto"/>
        </w:rPr>
        <w:t>施工质量安全监督</w:t>
      </w:r>
      <w:r>
        <w:rPr>
          <w:rFonts w:hint="eastAsia"/>
        </w:rPr>
        <w:tab/>
      </w:r>
      <w:r>
        <w:fldChar w:fldCharType="begin"/>
      </w:r>
      <w:r>
        <w:rPr>
          <w:rFonts w:hint="eastAsia"/>
        </w:rPr>
        <w:instrText xml:space="preserve"> </w:instrText>
      </w:r>
      <w:r>
        <w:instrText xml:space="preserve">PAGEREF _Toc233624855 \h</w:instrText>
      </w:r>
      <w:r>
        <w:rPr>
          <w:rFonts w:hint="eastAsia"/>
        </w:rPr>
        <w:instrText xml:space="preserve"> </w:instrText>
      </w:r>
      <w:r>
        <w:rPr>
          <w:rFonts w:hint="eastAsia"/>
        </w:rPr>
        <w:fldChar w:fldCharType="separate"/>
      </w:r>
      <w:r>
        <w:t>15</w:t>
      </w:r>
      <w:r>
        <w:rPr>
          <w:rFonts w:hint="eastAsia"/>
        </w:rPr>
        <w:fldChar w:fldCharType="end"/>
      </w:r>
      <w:r>
        <w:fldChar w:fldCharType="end"/>
      </w:r>
    </w:p>
    <w:p w14:paraId="07D15AB0">
      <w:pPr>
        <w:pStyle w:val="16"/>
        <w:tabs>
          <w:tab w:val="left" w:pos="1600"/>
          <w:tab w:val="right" w:leader="dot" w:pos="8296"/>
        </w:tabs>
        <w:rPr>
          <w:rFonts w:hint="eastAsia" w:ascii="等线" w:eastAsia="等线" w:cs="Arial"/>
          <w:kern w:val="2"/>
          <w:szCs w:val="24"/>
        </w:rPr>
      </w:pPr>
      <w:r>
        <w:fldChar w:fldCharType="begin"/>
      </w:r>
      <w:r>
        <w:instrText xml:space="preserve">Hyperlink \l "_Toc233624856"</w:instrText>
      </w:r>
      <w:r>
        <w:fldChar w:fldCharType="separate"/>
      </w:r>
      <w:r>
        <w:rPr>
          <w:rFonts w:hint="eastAsia"/>
          <w:color w:val="auto"/>
        </w:rPr>
        <w:t>第十九条</w:t>
      </w:r>
      <w:r>
        <w:rPr>
          <w:rFonts w:hint="eastAsia" w:ascii="等线" w:eastAsia="等线" w:cs="Arial"/>
          <w:kern w:val="2"/>
          <w:szCs w:val="24"/>
        </w:rPr>
        <w:tab/>
      </w:r>
      <w:r>
        <w:rPr>
          <w:rFonts w:hint="eastAsia"/>
          <w:color w:val="auto"/>
        </w:rPr>
        <w:t>造价信息价的收集与发布</w:t>
      </w:r>
      <w:r>
        <w:rPr>
          <w:rFonts w:hint="eastAsia"/>
        </w:rPr>
        <w:tab/>
      </w:r>
      <w:r>
        <w:fldChar w:fldCharType="begin"/>
      </w:r>
      <w:r>
        <w:rPr>
          <w:rFonts w:hint="eastAsia"/>
        </w:rPr>
        <w:instrText xml:space="preserve"> </w:instrText>
      </w:r>
      <w:r>
        <w:instrText xml:space="preserve">PAGEREF _Toc233624856 \h</w:instrText>
      </w:r>
      <w:r>
        <w:rPr>
          <w:rFonts w:hint="eastAsia"/>
        </w:rPr>
        <w:instrText xml:space="preserve"> </w:instrText>
      </w:r>
      <w:r>
        <w:rPr>
          <w:rFonts w:hint="eastAsia"/>
        </w:rPr>
        <w:fldChar w:fldCharType="separate"/>
      </w:r>
      <w:r>
        <w:t>16</w:t>
      </w:r>
      <w:r>
        <w:rPr>
          <w:rFonts w:hint="eastAsia"/>
        </w:rPr>
        <w:fldChar w:fldCharType="end"/>
      </w:r>
      <w:r>
        <w:fldChar w:fldCharType="end"/>
      </w:r>
    </w:p>
    <w:p w14:paraId="4D2ED667">
      <w:pPr>
        <w:pStyle w:val="25"/>
        <w:tabs>
          <w:tab w:val="left" w:pos="1200"/>
          <w:tab w:val="right" w:leader="dot" w:pos="8296"/>
        </w:tabs>
        <w:rPr>
          <w:rFonts w:hint="eastAsia" w:ascii="等线" w:eastAsia="等线" w:cs="Arial"/>
          <w:kern w:val="2"/>
          <w:szCs w:val="24"/>
        </w:rPr>
      </w:pPr>
      <w:r>
        <w:fldChar w:fldCharType="begin"/>
      </w:r>
      <w:r>
        <w:instrText xml:space="preserve">Hyperlink \l "_Toc233624857"</w:instrText>
      </w:r>
      <w:r>
        <w:fldChar w:fldCharType="separate"/>
      </w:r>
      <w:r>
        <w:rPr>
          <w:rFonts w:hint="eastAsia" w:ascii="Times New Roman" w:hAnsi="Times New Roman" w:eastAsia="黑体"/>
          <w:color w:val="auto"/>
        </w:rPr>
        <w:t>第三节</w:t>
      </w:r>
      <w:r>
        <w:rPr>
          <w:rFonts w:hint="eastAsia" w:ascii="等线" w:eastAsia="等线" w:cs="Arial"/>
          <w:kern w:val="2"/>
          <w:szCs w:val="24"/>
        </w:rPr>
        <w:tab/>
      </w:r>
      <w:r>
        <w:rPr>
          <w:rFonts w:hint="eastAsia" w:ascii="Times New Roman" w:hAnsi="Times New Roman" w:eastAsia="黑体"/>
          <w:color w:val="auto"/>
        </w:rPr>
        <w:t>其他相关管理</w:t>
      </w:r>
      <w:r>
        <w:rPr>
          <w:rFonts w:hint="eastAsia"/>
        </w:rPr>
        <w:tab/>
      </w:r>
      <w:r>
        <w:fldChar w:fldCharType="begin"/>
      </w:r>
      <w:r>
        <w:rPr>
          <w:rFonts w:hint="eastAsia"/>
        </w:rPr>
        <w:instrText xml:space="preserve"> </w:instrText>
      </w:r>
      <w:r>
        <w:instrText xml:space="preserve">PAGEREF _Toc233624857 \h</w:instrText>
      </w:r>
      <w:r>
        <w:rPr>
          <w:rFonts w:hint="eastAsia"/>
        </w:rPr>
        <w:instrText xml:space="preserve"> </w:instrText>
      </w:r>
      <w:r>
        <w:rPr>
          <w:rFonts w:hint="eastAsia"/>
        </w:rPr>
        <w:fldChar w:fldCharType="separate"/>
      </w:r>
      <w:r>
        <w:t>16</w:t>
      </w:r>
      <w:r>
        <w:rPr>
          <w:rFonts w:hint="eastAsia"/>
        </w:rPr>
        <w:fldChar w:fldCharType="end"/>
      </w:r>
      <w:r>
        <w:fldChar w:fldCharType="end"/>
      </w:r>
    </w:p>
    <w:p w14:paraId="258C80A1">
      <w:pPr>
        <w:pStyle w:val="16"/>
        <w:tabs>
          <w:tab w:val="left" w:pos="1600"/>
          <w:tab w:val="right" w:leader="dot" w:pos="8296"/>
        </w:tabs>
        <w:rPr>
          <w:rFonts w:hint="eastAsia" w:ascii="等线" w:eastAsia="等线" w:cs="Arial"/>
          <w:kern w:val="2"/>
          <w:szCs w:val="24"/>
        </w:rPr>
      </w:pPr>
      <w:r>
        <w:fldChar w:fldCharType="begin"/>
      </w:r>
      <w:r>
        <w:instrText xml:space="preserve">Hyperlink \l "_Toc233624858"</w:instrText>
      </w:r>
      <w:r>
        <w:fldChar w:fldCharType="separate"/>
      </w:r>
      <w:r>
        <w:rPr>
          <w:rFonts w:hint="eastAsia"/>
          <w:color w:val="auto"/>
        </w:rPr>
        <w:t>第二十条</w:t>
      </w:r>
      <w:r>
        <w:rPr>
          <w:rFonts w:hint="eastAsia" w:ascii="等线" w:eastAsia="等线" w:cs="Arial"/>
          <w:kern w:val="2"/>
          <w:szCs w:val="24"/>
        </w:rPr>
        <w:tab/>
      </w:r>
      <w:r>
        <w:rPr>
          <w:rFonts w:hint="eastAsia"/>
          <w:color w:val="auto"/>
        </w:rPr>
        <w:t>农村自建房管控</w:t>
      </w:r>
      <w:r>
        <w:rPr>
          <w:rFonts w:hint="eastAsia"/>
        </w:rPr>
        <w:tab/>
      </w:r>
      <w:r>
        <w:fldChar w:fldCharType="begin"/>
      </w:r>
      <w:r>
        <w:rPr>
          <w:rFonts w:hint="eastAsia"/>
        </w:rPr>
        <w:instrText xml:space="preserve"> </w:instrText>
      </w:r>
      <w:r>
        <w:instrText xml:space="preserve">PAGEREF _Toc233624858 \h</w:instrText>
      </w:r>
      <w:r>
        <w:rPr>
          <w:rFonts w:hint="eastAsia"/>
        </w:rPr>
        <w:instrText xml:space="preserve"> </w:instrText>
      </w:r>
      <w:r>
        <w:rPr>
          <w:rFonts w:hint="eastAsia"/>
        </w:rPr>
        <w:fldChar w:fldCharType="separate"/>
      </w:r>
      <w:r>
        <w:t>16</w:t>
      </w:r>
      <w:r>
        <w:rPr>
          <w:rFonts w:hint="eastAsia"/>
        </w:rPr>
        <w:fldChar w:fldCharType="end"/>
      </w:r>
      <w:r>
        <w:fldChar w:fldCharType="end"/>
      </w:r>
    </w:p>
    <w:p w14:paraId="21DD124B">
      <w:pPr>
        <w:pStyle w:val="16"/>
        <w:tabs>
          <w:tab w:val="left" w:pos="1760"/>
          <w:tab w:val="right" w:leader="dot" w:pos="8296"/>
        </w:tabs>
        <w:rPr>
          <w:rFonts w:hint="eastAsia" w:ascii="等线" w:eastAsia="等线" w:cs="Arial"/>
          <w:kern w:val="2"/>
          <w:szCs w:val="24"/>
        </w:rPr>
      </w:pPr>
      <w:r>
        <w:fldChar w:fldCharType="begin"/>
      </w:r>
      <w:r>
        <w:instrText xml:space="preserve">Hyperlink \l "_Toc233624859"</w:instrText>
      </w:r>
      <w:r>
        <w:fldChar w:fldCharType="separate"/>
      </w:r>
      <w:r>
        <w:rPr>
          <w:rFonts w:hint="eastAsia"/>
          <w:color w:val="auto"/>
        </w:rPr>
        <w:t>第二十一条</w:t>
      </w:r>
      <w:r>
        <w:rPr>
          <w:rFonts w:hint="eastAsia" w:ascii="等线" w:eastAsia="等线" w:cs="Arial"/>
          <w:kern w:val="2"/>
          <w:szCs w:val="24"/>
        </w:rPr>
        <w:tab/>
      </w:r>
      <w:r>
        <w:rPr>
          <w:rFonts w:hint="eastAsia"/>
          <w:color w:val="auto"/>
        </w:rPr>
        <w:t>城镇自建房管控</w:t>
      </w:r>
      <w:r>
        <w:rPr>
          <w:rFonts w:hint="eastAsia"/>
        </w:rPr>
        <w:tab/>
      </w:r>
      <w:r>
        <w:fldChar w:fldCharType="begin"/>
      </w:r>
      <w:r>
        <w:rPr>
          <w:rFonts w:hint="eastAsia"/>
        </w:rPr>
        <w:instrText xml:space="preserve"> </w:instrText>
      </w:r>
      <w:r>
        <w:instrText xml:space="preserve">PAGEREF _Toc233624859 \h</w:instrText>
      </w:r>
      <w:r>
        <w:rPr>
          <w:rFonts w:hint="eastAsia"/>
        </w:rPr>
        <w:instrText xml:space="preserve"> </w:instrText>
      </w:r>
      <w:r>
        <w:rPr>
          <w:rFonts w:hint="eastAsia"/>
        </w:rPr>
        <w:fldChar w:fldCharType="separate"/>
      </w:r>
      <w:r>
        <w:t>17</w:t>
      </w:r>
      <w:r>
        <w:rPr>
          <w:rFonts w:hint="eastAsia"/>
        </w:rPr>
        <w:fldChar w:fldCharType="end"/>
      </w:r>
      <w:r>
        <w:fldChar w:fldCharType="end"/>
      </w:r>
    </w:p>
    <w:p w14:paraId="6B3BA475">
      <w:pPr>
        <w:pStyle w:val="16"/>
        <w:tabs>
          <w:tab w:val="left" w:pos="1760"/>
          <w:tab w:val="right" w:leader="dot" w:pos="8296"/>
        </w:tabs>
        <w:rPr>
          <w:rFonts w:hint="eastAsia" w:ascii="等线" w:eastAsia="等线" w:cs="Arial"/>
          <w:kern w:val="2"/>
          <w:szCs w:val="24"/>
        </w:rPr>
      </w:pPr>
      <w:r>
        <w:fldChar w:fldCharType="begin"/>
      </w:r>
      <w:r>
        <w:instrText xml:space="preserve">Hyperlink \l "_Toc233624860"</w:instrText>
      </w:r>
      <w:r>
        <w:fldChar w:fldCharType="separate"/>
      </w:r>
      <w:r>
        <w:rPr>
          <w:rFonts w:hint="eastAsia"/>
          <w:color w:val="auto"/>
        </w:rPr>
        <w:t>第二十二条</w:t>
      </w:r>
      <w:r>
        <w:rPr>
          <w:rFonts w:hint="eastAsia" w:ascii="等线" w:eastAsia="等线" w:cs="Arial"/>
          <w:kern w:val="2"/>
          <w:szCs w:val="24"/>
        </w:rPr>
        <w:tab/>
      </w:r>
      <w:r>
        <w:rPr>
          <w:rFonts w:hint="eastAsia"/>
          <w:color w:val="auto"/>
        </w:rPr>
        <w:t>职业技能人员培训</w:t>
      </w:r>
      <w:r>
        <w:rPr>
          <w:rFonts w:hint="eastAsia"/>
        </w:rPr>
        <w:tab/>
      </w:r>
      <w:r>
        <w:fldChar w:fldCharType="begin"/>
      </w:r>
      <w:r>
        <w:rPr>
          <w:rFonts w:hint="eastAsia"/>
        </w:rPr>
        <w:instrText xml:space="preserve"> </w:instrText>
      </w:r>
      <w:r>
        <w:instrText xml:space="preserve">PAGEREF _Toc233624860 \h</w:instrText>
      </w:r>
      <w:r>
        <w:rPr>
          <w:rFonts w:hint="eastAsia"/>
        </w:rPr>
        <w:instrText xml:space="preserve"> </w:instrText>
      </w:r>
      <w:r>
        <w:rPr>
          <w:rFonts w:hint="eastAsia"/>
        </w:rPr>
        <w:fldChar w:fldCharType="separate"/>
      </w:r>
      <w:r>
        <w:t>19</w:t>
      </w:r>
      <w:r>
        <w:rPr>
          <w:rFonts w:hint="eastAsia"/>
        </w:rPr>
        <w:fldChar w:fldCharType="end"/>
      </w:r>
      <w:r>
        <w:fldChar w:fldCharType="end"/>
      </w:r>
    </w:p>
    <w:p w14:paraId="7FB40D7D">
      <w:pPr>
        <w:pStyle w:val="16"/>
        <w:tabs>
          <w:tab w:val="left" w:pos="1760"/>
          <w:tab w:val="right" w:leader="dot" w:pos="8296"/>
        </w:tabs>
        <w:rPr>
          <w:rFonts w:hint="eastAsia" w:ascii="等线" w:eastAsia="等线" w:cs="Arial"/>
          <w:kern w:val="2"/>
          <w:szCs w:val="24"/>
        </w:rPr>
      </w:pPr>
      <w:r>
        <w:fldChar w:fldCharType="begin"/>
      </w:r>
      <w:r>
        <w:instrText xml:space="preserve">Hyperlink \l "_Toc233624861"</w:instrText>
      </w:r>
      <w:r>
        <w:fldChar w:fldCharType="separate"/>
      </w:r>
      <w:r>
        <w:rPr>
          <w:rFonts w:hint="eastAsia"/>
          <w:color w:val="auto"/>
        </w:rPr>
        <w:t>第二十三条</w:t>
      </w:r>
      <w:r>
        <w:rPr>
          <w:rFonts w:hint="eastAsia" w:ascii="等线" w:eastAsia="等线" w:cs="Arial"/>
          <w:kern w:val="2"/>
          <w:szCs w:val="24"/>
        </w:rPr>
        <w:tab/>
      </w:r>
      <w:r>
        <w:rPr>
          <w:rFonts w:hint="eastAsia"/>
          <w:color w:val="auto"/>
        </w:rPr>
        <w:t>加强下发技术文件执行情况检查</w:t>
      </w:r>
      <w:r>
        <w:rPr>
          <w:rFonts w:hint="eastAsia"/>
        </w:rPr>
        <w:tab/>
      </w:r>
      <w:r>
        <w:fldChar w:fldCharType="begin"/>
      </w:r>
      <w:r>
        <w:rPr>
          <w:rFonts w:hint="eastAsia"/>
        </w:rPr>
        <w:instrText xml:space="preserve"> </w:instrText>
      </w:r>
      <w:r>
        <w:instrText xml:space="preserve">PAGEREF _Toc233624861 \h</w:instrText>
      </w:r>
      <w:r>
        <w:rPr>
          <w:rFonts w:hint="eastAsia"/>
        </w:rPr>
        <w:instrText xml:space="preserve"> </w:instrText>
      </w:r>
      <w:r>
        <w:rPr>
          <w:rFonts w:hint="eastAsia"/>
        </w:rPr>
        <w:fldChar w:fldCharType="separate"/>
      </w:r>
      <w:r>
        <w:t>19</w:t>
      </w:r>
      <w:r>
        <w:rPr>
          <w:rFonts w:hint="eastAsia"/>
        </w:rPr>
        <w:fldChar w:fldCharType="end"/>
      </w:r>
      <w:r>
        <w:fldChar w:fldCharType="end"/>
      </w:r>
    </w:p>
    <w:p w14:paraId="20020A28">
      <w:pPr>
        <w:pStyle w:val="22"/>
        <w:tabs>
          <w:tab w:val="right" w:leader="dot" w:pos="8296"/>
        </w:tabs>
        <w:rPr>
          <w:rFonts w:hint="eastAsia" w:ascii="等线" w:eastAsia="等线" w:cs="Arial"/>
          <w:kern w:val="2"/>
          <w:szCs w:val="24"/>
        </w:rPr>
      </w:pPr>
      <w:r>
        <w:fldChar w:fldCharType="begin"/>
      </w:r>
      <w:r>
        <w:instrText xml:space="preserve">Hyperlink \l "_Toc233624862"</w:instrText>
      </w:r>
      <w:r>
        <w:fldChar w:fldCharType="separate"/>
      </w:r>
      <w:r>
        <w:rPr>
          <w:rFonts w:hint="eastAsia" w:ascii="Times New Roman" w:hAnsi="Times New Roman" w:eastAsia="黑体"/>
          <w:color w:val="auto"/>
        </w:rPr>
        <w:t>第三章 技术管理指引</w:t>
      </w:r>
      <w:r>
        <w:rPr>
          <w:rFonts w:hint="eastAsia"/>
        </w:rPr>
        <w:tab/>
      </w:r>
      <w:r>
        <w:fldChar w:fldCharType="begin"/>
      </w:r>
      <w:r>
        <w:rPr>
          <w:rFonts w:hint="eastAsia"/>
        </w:rPr>
        <w:instrText xml:space="preserve"> </w:instrText>
      </w:r>
      <w:r>
        <w:instrText xml:space="preserve">PAGEREF _Toc233624862 \h</w:instrText>
      </w:r>
      <w:r>
        <w:rPr>
          <w:rFonts w:hint="eastAsia"/>
        </w:rPr>
        <w:instrText xml:space="preserve"> </w:instrText>
      </w:r>
      <w:r>
        <w:rPr>
          <w:rFonts w:hint="eastAsia"/>
        </w:rPr>
        <w:fldChar w:fldCharType="separate"/>
      </w:r>
      <w:r>
        <w:t>20</w:t>
      </w:r>
      <w:r>
        <w:rPr>
          <w:rFonts w:hint="eastAsia"/>
        </w:rPr>
        <w:fldChar w:fldCharType="end"/>
      </w:r>
      <w:r>
        <w:fldChar w:fldCharType="end"/>
      </w:r>
    </w:p>
    <w:p w14:paraId="0F7D183C">
      <w:pPr>
        <w:pStyle w:val="25"/>
        <w:tabs>
          <w:tab w:val="left" w:pos="1200"/>
          <w:tab w:val="right" w:leader="dot" w:pos="8296"/>
        </w:tabs>
        <w:rPr>
          <w:rFonts w:hint="eastAsia" w:ascii="等线" w:eastAsia="等线" w:cs="Arial"/>
          <w:kern w:val="2"/>
          <w:szCs w:val="24"/>
        </w:rPr>
      </w:pPr>
      <w:r>
        <w:fldChar w:fldCharType="begin"/>
      </w:r>
      <w:r>
        <w:instrText xml:space="preserve">Hyperlink \l "_Toc233624863"</w:instrText>
      </w:r>
      <w:r>
        <w:fldChar w:fldCharType="separate"/>
      </w:r>
      <w:r>
        <w:rPr>
          <w:rFonts w:hint="eastAsia" w:ascii="Times New Roman" w:hAnsi="Times New Roman" w:eastAsia="黑体"/>
          <w:color w:val="auto"/>
        </w:rPr>
        <w:t>第一节</w:t>
      </w:r>
      <w:r>
        <w:rPr>
          <w:rFonts w:hint="eastAsia" w:ascii="等线" w:eastAsia="等线" w:cs="Arial"/>
          <w:kern w:val="2"/>
          <w:szCs w:val="24"/>
        </w:rPr>
        <w:tab/>
      </w:r>
      <w:r>
        <w:rPr>
          <w:rFonts w:hint="eastAsia" w:ascii="Times New Roman" w:hAnsi="Times New Roman" w:eastAsia="黑体"/>
          <w:color w:val="auto"/>
        </w:rPr>
        <w:t>规划设计</w:t>
      </w:r>
      <w:r>
        <w:rPr>
          <w:rFonts w:hint="eastAsia"/>
        </w:rPr>
        <w:tab/>
      </w:r>
      <w:r>
        <w:fldChar w:fldCharType="begin"/>
      </w:r>
      <w:r>
        <w:rPr>
          <w:rFonts w:hint="eastAsia"/>
        </w:rPr>
        <w:instrText xml:space="preserve"> </w:instrText>
      </w:r>
      <w:r>
        <w:instrText xml:space="preserve">PAGEREF _Toc233624863 \h</w:instrText>
      </w:r>
      <w:r>
        <w:rPr>
          <w:rFonts w:hint="eastAsia"/>
        </w:rPr>
        <w:instrText xml:space="preserve"> </w:instrText>
      </w:r>
      <w:r>
        <w:rPr>
          <w:rFonts w:hint="eastAsia"/>
        </w:rPr>
        <w:fldChar w:fldCharType="separate"/>
      </w:r>
      <w:r>
        <w:t>20</w:t>
      </w:r>
      <w:r>
        <w:rPr>
          <w:rFonts w:hint="eastAsia"/>
        </w:rPr>
        <w:fldChar w:fldCharType="end"/>
      </w:r>
      <w:r>
        <w:fldChar w:fldCharType="end"/>
      </w:r>
    </w:p>
    <w:p w14:paraId="44E9E097">
      <w:pPr>
        <w:pStyle w:val="16"/>
        <w:tabs>
          <w:tab w:val="left" w:pos="1760"/>
          <w:tab w:val="right" w:leader="dot" w:pos="8296"/>
        </w:tabs>
        <w:rPr>
          <w:rFonts w:hint="eastAsia" w:ascii="等线" w:eastAsia="等线" w:cs="Arial"/>
          <w:kern w:val="2"/>
          <w:szCs w:val="24"/>
        </w:rPr>
      </w:pPr>
      <w:r>
        <w:fldChar w:fldCharType="begin"/>
      </w:r>
      <w:r>
        <w:instrText xml:space="preserve">Hyperlink \l "_Toc233624864"</w:instrText>
      </w:r>
      <w:r>
        <w:fldChar w:fldCharType="separate"/>
      </w:r>
      <w:r>
        <w:rPr>
          <w:rFonts w:hint="eastAsia"/>
          <w:color w:val="auto"/>
        </w:rPr>
        <w:t>第二十四条</w:t>
      </w:r>
      <w:r>
        <w:rPr>
          <w:rFonts w:hint="eastAsia" w:ascii="等线" w:eastAsia="等线" w:cs="Arial"/>
          <w:kern w:val="2"/>
          <w:szCs w:val="24"/>
        </w:rPr>
        <w:tab/>
      </w:r>
      <w:r>
        <w:rPr>
          <w:rFonts w:hint="eastAsia"/>
          <w:color w:val="auto"/>
        </w:rPr>
        <w:t>人均城镇建设用地</w:t>
      </w:r>
      <w:r>
        <w:rPr>
          <w:rFonts w:hint="eastAsia"/>
        </w:rPr>
        <w:tab/>
      </w:r>
      <w:r>
        <w:fldChar w:fldCharType="begin"/>
      </w:r>
      <w:r>
        <w:rPr>
          <w:rFonts w:hint="eastAsia"/>
        </w:rPr>
        <w:instrText xml:space="preserve"> </w:instrText>
      </w:r>
      <w:r>
        <w:instrText xml:space="preserve">PAGEREF _Toc233624864 \h</w:instrText>
      </w:r>
      <w:r>
        <w:rPr>
          <w:rFonts w:hint="eastAsia"/>
        </w:rPr>
        <w:instrText xml:space="preserve"> </w:instrText>
      </w:r>
      <w:r>
        <w:rPr>
          <w:rFonts w:hint="eastAsia"/>
        </w:rPr>
        <w:fldChar w:fldCharType="separate"/>
      </w:r>
      <w:r>
        <w:t>20</w:t>
      </w:r>
      <w:r>
        <w:rPr>
          <w:rFonts w:hint="eastAsia"/>
        </w:rPr>
        <w:fldChar w:fldCharType="end"/>
      </w:r>
      <w:r>
        <w:fldChar w:fldCharType="end"/>
      </w:r>
    </w:p>
    <w:p w14:paraId="0D093041">
      <w:pPr>
        <w:pStyle w:val="16"/>
        <w:tabs>
          <w:tab w:val="left" w:pos="1760"/>
          <w:tab w:val="right" w:leader="dot" w:pos="8296"/>
        </w:tabs>
        <w:rPr>
          <w:rFonts w:hint="eastAsia" w:ascii="等线" w:eastAsia="等线" w:cs="Arial"/>
          <w:kern w:val="2"/>
          <w:szCs w:val="24"/>
        </w:rPr>
      </w:pPr>
      <w:r>
        <w:fldChar w:fldCharType="begin"/>
      </w:r>
      <w:r>
        <w:instrText xml:space="preserve">Hyperlink \l "_Toc233624865"</w:instrText>
      </w:r>
      <w:r>
        <w:fldChar w:fldCharType="separate"/>
      </w:r>
      <w:r>
        <w:rPr>
          <w:rFonts w:hint="eastAsia"/>
          <w:color w:val="auto"/>
        </w:rPr>
        <w:t>第二十五条</w:t>
      </w:r>
      <w:r>
        <w:rPr>
          <w:rFonts w:hint="eastAsia" w:ascii="等线" w:eastAsia="等线" w:cs="Arial"/>
          <w:kern w:val="2"/>
          <w:szCs w:val="24"/>
        </w:rPr>
        <w:tab/>
      </w:r>
      <w:r>
        <w:rPr>
          <w:rFonts w:hint="eastAsia"/>
          <w:color w:val="auto"/>
        </w:rPr>
        <w:t>城镇承载能力提升</w:t>
      </w:r>
      <w:r>
        <w:rPr>
          <w:rFonts w:hint="eastAsia"/>
        </w:rPr>
        <w:tab/>
      </w:r>
      <w:r>
        <w:fldChar w:fldCharType="begin"/>
      </w:r>
      <w:r>
        <w:rPr>
          <w:rFonts w:hint="eastAsia"/>
        </w:rPr>
        <w:instrText xml:space="preserve"> </w:instrText>
      </w:r>
      <w:r>
        <w:instrText xml:space="preserve">PAGEREF _Toc233624865 \h</w:instrText>
      </w:r>
      <w:r>
        <w:rPr>
          <w:rFonts w:hint="eastAsia"/>
        </w:rPr>
        <w:instrText xml:space="preserve"> </w:instrText>
      </w:r>
      <w:r>
        <w:rPr>
          <w:rFonts w:hint="eastAsia"/>
        </w:rPr>
        <w:fldChar w:fldCharType="separate"/>
      </w:r>
      <w:r>
        <w:t>20</w:t>
      </w:r>
      <w:r>
        <w:rPr>
          <w:rFonts w:hint="eastAsia"/>
        </w:rPr>
        <w:fldChar w:fldCharType="end"/>
      </w:r>
      <w:r>
        <w:fldChar w:fldCharType="end"/>
      </w:r>
    </w:p>
    <w:p w14:paraId="092617FF">
      <w:pPr>
        <w:pStyle w:val="16"/>
        <w:tabs>
          <w:tab w:val="left" w:pos="1760"/>
          <w:tab w:val="right" w:leader="dot" w:pos="8296"/>
        </w:tabs>
        <w:rPr>
          <w:rFonts w:hint="eastAsia" w:ascii="等线" w:eastAsia="等线" w:cs="Arial"/>
          <w:kern w:val="2"/>
          <w:szCs w:val="24"/>
        </w:rPr>
      </w:pPr>
      <w:r>
        <w:fldChar w:fldCharType="begin"/>
      </w:r>
      <w:r>
        <w:instrText xml:space="preserve">Hyperlink \l "_Toc233624866"</w:instrText>
      </w:r>
      <w:r>
        <w:fldChar w:fldCharType="separate"/>
      </w:r>
      <w:r>
        <w:rPr>
          <w:rFonts w:hint="eastAsia"/>
          <w:color w:val="auto"/>
        </w:rPr>
        <w:t>第二十六条</w:t>
      </w:r>
      <w:r>
        <w:rPr>
          <w:rFonts w:hint="eastAsia" w:ascii="等线" w:eastAsia="等线" w:cs="Arial"/>
          <w:kern w:val="2"/>
          <w:szCs w:val="24"/>
        </w:rPr>
        <w:tab/>
      </w:r>
      <w:r>
        <w:rPr>
          <w:rFonts w:hint="eastAsia"/>
          <w:color w:val="auto"/>
        </w:rPr>
        <w:t>规划选址</w:t>
      </w:r>
      <w:r>
        <w:rPr>
          <w:rFonts w:hint="eastAsia"/>
        </w:rPr>
        <w:tab/>
      </w:r>
      <w:r>
        <w:fldChar w:fldCharType="begin"/>
      </w:r>
      <w:r>
        <w:rPr>
          <w:rFonts w:hint="eastAsia"/>
        </w:rPr>
        <w:instrText xml:space="preserve"> </w:instrText>
      </w:r>
      <w:r>
        <w:instrText xml:space="preserve">PAGEREF _Toc233624866 \h</w:instrText>
      </w:r>
      <w:r>
        <w:rPr>
          <w:rFonts w:hint="eastAsia"/>
        </w:rPr>
        <w:instrText xml:space="preserve"> </w:instrText>
      </w:r>
      <w:r>
        <w:rPr>
          <w:rFonts w:hint="eastAsia"/>
        </w:rPr>
        <w:fldChar w:fldCharType="separate"/>
      </w:r>
      <w:r>
        <w:t>20</w:t>
      </w:r>
      <w:r>
        <w:rPr>
          <w:rFonts w:hint="eastAsia"/>
        </w:rPr>
        <w:fldChar w:fldCharType="end"/>
      </w:r>
      <w:r>
        <w:fldChar w:fldCharType="end"/>
      </w:r>
    </w:p>
    <w:p w14:paraId="0D2BB11E">
      <w:pPr>
        <w:pStyle w:val="16"/>
        <w:tabs>
          <w:tab w:val="left" w:pos="1760"/>
          <w:tab w:val="right" w:leader="dot" w:pos="8296"/>
        </w:tabs>
        <w:rPr>
          <w:rFonts w:hint="eastAsia" w:ascii="等线" w:eastAsia="等线" w:cs="Arial"/>
          <w:kern w:val="2"/>
          <w:szCs w:val="24"/>
        </w:rPr>
      </w:pPr>
      <w:r>
        <w:fldChar w:fldCharType="begin"/>
      </w:r>
      <w:r>
        <w:instrText xml:space="preserve">Hyperlink \l "_Toc233624867"</w:instrText>
      </w:r>
      <w:r>
        <w:fldChar w:fldCharType="separate"/>
      </w:r>
      <w:r>
        <w:rPr>
          <w:rFonts w:hint="eastAsia"/>
          <w:color w:val="auto"/>
        </w:rPr>
        <w:t>第二十七条</w:t>
      </w:r>
      <w:r>
        <w:rPr>
          <w:rFonts w:hint="eastAsia" w:ascii="等线" w:eastAsia="等线" w:cs="Arial"/>
          <w:kern w:val="2"/>
          <w:szCs w:val="24"/>
        </w:rPr>
        <w:tab/>
      </w:r>
      <w:r>
        <w:rPr>
          <w:rFonts w:hint="eastAsia"/>
          <w:color w:val="auto"/>
        </w:rPr>
        <w:t>传统风貌管控</w:t>
      </w:r>
      <w:r>
        <w:rPr>
          <w:rFonts w:hint="eastAsia"/>
        </w:rPr>
        <w:tab/>
      </w:r>
      <w:r>
        <w:fldChar w:fldCharType="begin"/>
      </w:r>
      <w:r>
        <w:rPr>
          <w:rFonts w:hint="eastAsia"/>
        </w:rPr>
        <w:instrText xml:space="preserve"> </w:instrText>
      </w:r>
      <w:r>
        <w:instrText xml:space="preserve">PAGEREF _Toc233624867 \h</w:instrText>
      </w:r>
      <w:r>
        <w:rPr>
          <w:rFonts w:hint="eastAsia"/>
        </w:rPr>
        <w:instrText xml:space="preserve"> </w:instrText>
      </w:r>
      <w:r>
        <w:rPr>
          <w:rFonts w:hint="eastAsia"/>
        </w:rPr>
        <w:fldChar w:fldCharType="separate"/>
      </w:r>
      <w:r>
        <w:t>21</w:t>
      </w:r>
      <w:r>
        <w:rPr>
          <w:rFonts w:hint="eastAsia"/>
        </w:rPr>
        <w:fldChar w:fldCharType="end"/>
      </w:r>
      <w:r>
        <w:fldChar w:fldCharType="end"/>
      </w:r>
    </w:p>
    <w:p w14:paraId="2F52686B">
      <w:pPr>
        <w:pStyle w:val="16"/>
        <w:tabs>
          <w:tab w:val="left" w:pos="1760"/>
          <w:tab w:val="right" w:leader="dot" w:pos="8296"/>
        </w:tabs>
        <w:rPr>
          <w:rFonts w:hint="eastAsia" w:ascii="等线" w:eastAsia="等线" w:cs="Arial"/>
          <w:kern w:val="2"/>
          <w:szCs w:val="24"/>
        </w:rPr>
      </w:pPr>
      <w:r>
        <w:fldChar w:fldCharType="begin"/>
      </w:r>
      <w:r>
        <w:instrText xml:space="preserve">Hyperlink \l "_Toc233624868"</w:instrText>
      </w:r>
      <w:r>
        <w:fldChar w:fldCharType="separate"/>
      </w:r>
      <w:r>
        <w:rPr>
          <w:rFonts w:hint="eastAsia"/>
          <w:color w:val="auto"/>
        </w:rPr>
        <w:t>第二十八条</w:t>
      </w:r>
      <w:r>
        <w:rPr>
          <w:rFonts w:hint="eastAsia" w:ascii="等线" w:eastAsia="等线" w:cs="Arial"/>
          <w:kern w:val="2"/>
          <w:szCs w:val="24"/>
        </w:rPr>
        <w:tab/>
      </w:r>
      <w:r>
        <w:rPr>
          <w:rFonts w:hint="eastAsia"/>
          <w:color w:val="auto"/>
        </w:rPr>
        <w:t>历史建筑保护修缮</w:t>
      </w:r>
      <w:r>
        <w:rPr>
          <w:rFonts w:hint="eastAsia"/>
        </w:rPr>
        <w:tab/>
      </w:r>
      <w:r>
        <w:fldChar w:fldCharType="begin"/>
      </w:r>
      <w:r>
        <w:rPr>
          <w:rFonts w:hint="eastAsia"/>
        </w:rPr>
        <w:instrText xml:space="preserve"> </w:instrText>
      </w:r>
      <w:r>
        <w:instrText xml:space="preserve">PAGEREF _Toc233624868 \h</w:instrText>
      </w:r>
      <w:r>
        <w:rPr>
          <w:rFonts w:hint="eastAsia"/>
        </w:rPr>
        <w:instrText xml:space="preserve"> </w:instrText>
      </w:r>
      <w:r>
        <w:rPr>
          <w:rFonts w:hint="eastAsia"/>
        </w:rPr>
        <w:fldChar w:fldCharType="separate"/>
      </w:r>
      <w:r>
        <w:t>21</w:t>
      </w:r>
      <w:r>
        <w:rPr>
          <w:rFonts w:hint="eastAsia"/>
        </w:rPr>
        <w:fldChar w:fldCharType="end"/>
      </w:r>
      <w:r>
        <w:fldChar w:fldCharType="end"/>
      </w:r>
    </w:p>
    <w:p w14:paraId="4E1D686A">
      <w:pPr>
        <w:pStyle w:val="25"/>
        <w:tabs>
          <w:tab w:val="left" w:pos="1200"/>
          <w:tab w:val="right" w:leader="dot" w:pos="8296"/>
        </w:tabs>
        <w:rPr>
          <w:rFonts w:hint="eastAsia" w:ascii="等线" w:eastAsia="等线" w:cs="Arial"/>
          <w:kern w:val="2"/>
          <w:szCs w:val="24"/>
        </w:rPr>
      </w:pPr>
      <w:r>
        <w:fldChar w:fldCharType="begin"/>
      </w:r>
      <w:r>
        <w:instrText xml:space="preserve">Hyperlink \l "_Toc233624869"</w:instrText>
      </w:r>
      <w:r>
        <w:fldChar w:fldCharType="separate"/>
      </w:r>
      <w:r>
        <w:rPr>
          <w:rFonts w:hint="eastAsia" w:ascii="Times New Roman" w:hAnsi="Times New Roman" w:eastAsia="黑体"/>
          <w:color w:val="auto"/>
        </w:rPr>
        <w:t>第二节</w:t>
      </w:r>
      <w:r>
        <w:rPr>
          <w:rFonts w:hint="eastAsia" w:ascii="等线" w:eastAsia="等线" w:cs="Arial"/>
          <w:kern w:val="2"/>
          <w:szCs w:val="24"/>
        </w:rPr>
        <w:tab/>
      </w:r>
      <w:r>
        <w:rPr>
          <w:rFonts w:hint="eastAsia" w:ascii="Times New Roman" w:hAnsi="Times New Roman" w:eastAsia="黑体"/>
          <w:color w:val="auto"/>
        </w:rPr>
        <w:t>地质勘察</w:t>
      </w:r>
      <w:r>
        <w:rPr>
          <w:rFonts w:hint="eastAsia"/>
        </w:rPr>
        <w:tab/>
      </w:r>
      <w:r>
        <w:fldChar w:fldCharType="begin"/>
      </w:r>
      <w:r>
        <w:rPr>
          <w:rFonts w:hint="eastAsia"/>
        </w:rPr>
        <w:instrText xml:space="preserve"> </w:instrText>
      </w:r>
      <w:r>
        <w:instrText xml:space="preserve">PAGEREF _Toc233624869 \h</w:instrText>
      </w:r>
      <w:r>
        <w:rPr>
          <w:rFonts w:hint="eastAsia"/>
        </w:rPr>
        <w:instrText xml:space="preserve"> </w:instrText>
      </w:r>
      <w:r>
        <w:rPr>
          <w:rFonts w:hint="eastAsia"/>
        </w:rPr>
        <w:fldChar w:fldCharType="separate"/>
      </w:r>
      <w:r>
        <w:t>22</w:t>
      </w:r>
      <w:r>
        <w:rPr>
          <w:rFonts w:hint="eastAsia"/>
        </w:rPr>
        <w:fldChar w:fldCharType="end"/>
      </w:r>
      <w:r>
        <w:fldChar w:fldCharType="end"/>
      </w:r>
    </w:p>
    <w:p w14:paraId="7753DEDE">
      <w:pPr>
        <w:pStyle w:val="16"/>
        <w:tabs>
          <w:tab w:val="left" w:pos="1760"/>
          <w:tab w:val="right" w:leader="dot" w:pos="8296"/>
        </w:tabs>
        <w:rPr>
          <w:rFonts w:hint="eastAsia" w:ascii="等线" w:eastAsia="等线" w:cs="Arial"/>
          <w:kern w:val="2"/>
          <w:szCs w:val="24"/>
        </w:rPr>
      </w:pPr>
      <w:r>
        <w:fldChar w:fldCharType="begin"/>
      </w:r>
      <w:r>
        <w:instrText xml:space="preserve">Hyperlink \l "_Toc233624870"</w:instrText>
      </w:r>
      <w:r>
        <w:fldChar w:fldCharType="separate"/>
      </w:r>
      <w:r>
        <w:rPr>
          <w:rFonts w:hint="eastAsia"/>
          <w:color w:val="auto"/>
        </w:rPr>
        <w:t>第二十九条</w:t>
      </w:r>
      <w:r>
        <w:rPr>
          <w:rFonts w:hint="eastAsia" w:ascii="等线" w:eastAsia="等线" w:cs="Arial"/>
          <w:kern w:val="2"/>
          <w:szCs w:val="24"/>
        </w:rPr>
        <w:tab/>
      </w:r>
      <w:r>
        <w:rPr>
          <w:rFonts w:hint="eastAsia"/>
          <w:color w:val="auto"/>
        </w:rPr>
        <w:t>地震断裂带的影响</w:t>
      </w:r>
      <w:r>
        <w:rPr>
          <w:rFonts w:hint="eastAsia"/>
        </w:rPr>
        <w:tab/>
      </w:r>
      <w:r>
        <w:fldChar w:fldCharType="begin"/>
      </w:r>
      <w:r>
        <w:rPr>
          <w:rFonts w:hint="eastAsia"/>
        </w:rPr>
        <w:instrText xml:space="preserve"> </w:instrText>
      </w:r>
      <w:r>
        <w:instrText xml:space="preserve">PAGEREF _Toc233624870 \h</w:instrText>
      </w:r>
      <w:r>
        <w:rPr>
          <w:rFonts w:hint="eastAsia"/>
        </w:rPr>
        <w:instrText xml:space="preserve"> </w:instrText>
      </w:r>
      <w:r>
        <w:rPr>
          <w:rFonts w:hint="eastAsia"/>
        </w:rPr>
        <w:fldChar w:fldCharType="separate"/>
      </w:r>
      <w:r>
        <w:t>22</w:t>
      </w:r>
      <w:r>
        <w:rPr>
          <w:rFonts w:hint="eastAsia"/>
        </w:rPr>
        <w:fldChar w:fldCharType="end"/>
      </w:r>
      <w:r>
        <w:fldChar w:fldCharType="end"/>
      </w:r>
    </w:p>
    <w:p w14:paraId="1E1BF20B">
      <w:pPr>
        <w:pStyle w:val="16"/>
        <w:tabs>
          <w:tab w:val="left" w:pos="1600"/>
          <w:tab w:val="right" w:leader="dot" w:pos="8296"/>
        </w:tabs>
        <w:rPr>
          <w:rFonts w:hint="eastAsia" w:ascii="等线" w:eastAsia="等线" w:cs="Arial"/>
          <w:kern w:val="2"/>
          <w:szCs w:val="24"/>
        </w:rPr>
      </w:pPr>
      <w:r>
        <w:fldChar w:fldCharType="begin"/>
      </w:r>
      <w:r>
        <w:instrText xml:space="preserve">Hyperlink \l "_Toc233624871"</w:instrText>
      </w:r>
      <w:r>
        <w:fldChar w:fldCharType="separate"/>
      </w:r>
      <w:r>
        <w:rPr>
          <w:rFonts w:hint="eastAsia"/>
          <w:color w:val="auto"/>
        </w:rPr>
        <w:t>第三十条</w:t>
      </w:r>
      <w:r>
        <w:rPr>
          <w:rFonts w:hint="eastAsia" w:ascii="等线" w:eastAsia="等线" w:cs="Arial"/>
          <w:kern w:val="2"/>
          <w:szCs w:val="24"/>
        </w:rPr>
        <w:tab/>
      </w:r>
      <w:r>
        <w:rPr>
          <w:rFonts w:hint="eastAsia"/>
          <w:color w:val="auto"/>
        </w:rPr>
        <w:t>探孔距偏大漏勘</w:t>
      </w:r>
      <w:r>
        <w:rPr>
          <w:rFonts w:hint="eastAsia"/>
        </w:rPr>
        <w:tab/>
      </w:r>
      <w:r>
        <w:fldChar w:fldCharType="begin"/>
      </w:r>
      <w:r>
        <w:rPr>
          <w:rFonts w:hint="eastAsia"/>
        </w:rPr>
        <w:instrText xml:space="preserve"> </w:instrText>
      </w:r>
      <w:r>
        <w:instrText xml:space="preserve">PAGEREF _Toc233624871 \h</w:instrText>
      </w:r>
      <w:r>
        <w:rPr>
          <w:rFonts w:hint="eastAsia"/>
        </w:rPr>
        <w:instrText xml:space="preserve"> </w:instrText>
      </w:r>
      <w:r>
        <w:rPr>
          <w:rFonts w:hint="eastAsia"/>
        </w:rPr>
        <w:fldChar w:fldCharType="separate"/>
      </w:r>
      <w:r>
        <w:t>22</w:t>
      </w:r>
      <w:r>
        <w:rPr>
          <w:rFonts w:hint="eastAsia"/>
        </w:rPr>
        <w:fldChar w:fldCharType="end"/>
      </w:r>
      <w:r>
        <w:fldChar w:fldCharType="end"/>
      </w:r>
    </w:p>
    <w:p w14:paraId="0606592D">
      <w:pPr>
        <w:pStyle w:val="16"/>
        <w:tabs>
          <w:tab w:val="left" w:pos="1760"/>
          <w:tab w:val="right" w:leader="dot" w:pos="8296"/>
        </w:tabs>
        <w:rPr>
          <w:rFonts w:hint="eastAsia" w:ascii="等线" w:eastAsia="等线" w:cs="Arial"/>
          <w:kern w:val="2"/>
          <w:szCs w:val="24"/>
        </w:rPr>
      </w:pPr>
      <w:r>
        <w:fldChar w:fldCharType="begin"/>
      </w:r>
      <w:r>
        <w:instrText xml:space="preserve">Hyperlink \l "_Toc233624872"</w:instrText>
      </w:r>
      <w:r>
        <w:fldChar w:fldCharType="separate"/>
      </w:r>
      <w:r>
        <w:rPr>
          <w:rFonts w:hint="eastAsia"/>
          <w:color w:val="auto"/>
        </w:rPr>
        <w:t>第三十一条</w:t>
      </w:r>
      <w:r>
        <w:rPr>
          <w:rFonts w:hint="eastAsia" w:ascii="等线" w:eastAsia="等线" w:cs="Arial"/>
          <w:kern w:val="2"/>
          <w:szCs w:val="24"/>
        </w:rPr>
        <w:tab/>
      </w:r>
      <w:r>
        <w:rPr>
          <w:rFonts w:hint="eastAsia"/>
          <w:color w:val="auto"/>
        </w:rPr>
        <w:t>施工勘察</w:t>
      </w:r>
      <w:r>
        <w:rPr>
          <w:rFonts w:hint="eastAsia"/>
        </w:rPr>
        <w:tab/>
      </w:r>
      <w:r>
        <w:fldChar w:fldCharType="begin"/>
      </w:r>
      <w:r>
        <w:rPr>
          <w:rFonts w:hint="eastAsia"/>
        </w:rPr>
        <w:instrText xml:space="preserve"> </w:instrText>
      </w:r>
      <w:r>
        <w:instrText xml:space="preserve">PAGEREF _Toc233624872 \h</w:instrText>
      </w:r>
      <w:r>
        <w:rPr>
          <w:rFonts w:hint="eastAsia"/>
        </w:rPr>
        <w:instrText xml:space="preserve"> </w:instrText>
      </w:r>
      <w:r>
        <w:rPr>
          <w:rFonts w:hint="eastAsia"/>
        </w:rPr>
        <w:fldChar w:fldCharType="separate"/>
      </w:r>
      <w:r>
        <w:t>23</w:t>
      </w:r>
      <w:r>
        <w:rPr>
          <w:rFonts w:hint="eastAsia"/>
        </w:rPr>
        <w:fldChar w:fldCharType="end"/>
      </w:r>
      <w:r>
        <w:fldChar w:fldCharType="end"/>
      </w:r>
    </w:p>
    <w:p w14:paraId="3C737821">
      <w:pPr>
        <w:pStyle w:val="16"/>
        <w:tabs>
          <w:tab w:val="left" w:pos="1760"/>
          <w:tab w:val="right" w:leader="dot" w:pos="8296"/>
        </w:tabs>
        <w:rPr>
          <w:rFonts w:hint="eastAsia" w:ascii="等线" w:eastAsia="等线" w:cs="Arial"/>
          <w:kern w:val="2"/>
          <w:szCs w:val="24"/>
        </w:rPr>
      </w:pPr>
      <w:r>
        <w:fldChar w:fldCharType="begin"/>
      </w:r>
      <w:r>
        <w:instrText xml:space="preserve">Hyperlink \l "_Toc233624873"</w:instrText>
      </w:r>
      <w:r>
        <w:fldChar w:fldCharType="separate"/>
      </w:r>
      <w:r>
        <w:rPr>
          <w:rFonts w:hint="eastAsia"/>
          <w:color w:val="auto"/>
        </w:rPr>
        <w:t>第三十二条</w:t>
      </w:r>
      <w:r>
        <w:rPr>
          <w:rFonts w:hint="eastAsia" w:ascii="等线" w:eastAsia="等线" w:cs="Arial"/>
          <w:kern w:val="2"/>
          <w:szCs w:val="24"/>
        </w:rPr>
        <w:tab/>
      </w:r>
      <w:r>
        <w:rPr>
          <w:rFonts w:hint="eastAsia"/>
          <w:color w:val="auto"/>
        </w:rPr>
        <w:t>地下水位季节性变化预警</w:t>
      </w:r>
      <w:r>
        <w:rPr>
          <w:rFonts w:hint="eastAsia"/>
        </w:rPr>
        <w:tab/>
      </w:r>
      <w:r>
        <w:fldChar w:fldCharType="begin"/>
      </w:r>
      <w:r>
        <w:rPr>
          <w:rFonts w:hint="eastAsia"/>
        </w:rPr>
        <w:instrText xml:space="preserve"> </w:instrText>
      </w:r>
      <w:r>
        <w:instrText xml:space="preserve">PAGEREF _Toc233624873 \h</w:instrText>
      </w:r>
      <w:r>
        <w:rPr>
          <w:rFonts w:hint="eastAsia"/>
        </w:rPr>
        <w:instrText xml:space="preserve"> </w:instrText>
      </w:r>
      <w:r>
        <w:rPr>
          <w:rFonts w:hint="eastAsia"/>
        </w:rPr>
        <w:fldChar w:fldCharType="separate"/>
      </w:r>
      <w:r>
        <w:t>23</w:t>
      </w:r>
      <w:r>
        <w:rPr>
          <w:rFonts w:hint="eastAsia"/>
        </w:rPr>
        <w:fldChar w:fldCharType="end"/>
      </w:r>
      <w:r>
        <w:fldChar w:fldCharType="end"/>
      </w:r>
    </w:p>
    <w:p w14:paraId="7FBF8F6F">
      <w:pPr>
        <w:pStyle w:val="25"/>
        <w:tabs>
          <w:tab w:val="left" w:pos="1200"/>
          <w:tab w:val="right" w:leader="dot" w:pos="8296"/>
        </w:tabs>
        <w:rPr>
          <w:rFonts w:hint="eastAsia" w:ascii="等线" w:eastAsia="等线" w:cs="Arial"/>
          <w:kern w:val="2"/>
          <w:szCs w:val="24"/>
        </w:rPr>
      </w:pPr>
      <w:r>
        <w:fldChar w:fldCharType="begin"/>
      </w:r>
      <w:r>
        <w:instrText xml:space="preserve">Hyperlink \l "_Toc233624874"</w:instrText>
      </w:r>
      <w:r>
        <w:fldChar w:fldCharType="separate"/>
      </w:r>
      <w:r>
        <w:rPr>
          <w:rFonts w:hint="eastAsia" w:ascii="Times New Roman" w:hAnsi="Times New Roman" w:eastAsia="黑体"/>
          <w:color w:val="auto"/>
        </w:rPr>
        <w:t>第三节</w:t>
      </w:r>
      <w:r>
        <w:rPr>
          <w:rFonts w:hint="eastAsia" w:ascii="等线" w:eastAsia="等线" w:cs="Arial"/>
          <w:kern w:val="2"/>
          <w:szCs w:val="24"/>
        </w:rPr>
        <w:tab/>
      </w:r>
      <w:r>
        <w:rPr>
          <w:rFonts w:hint="eastAsia" w:ascii="Times New Roman" w:hAnsi="Times New Roman" w:eastAsia="黑体"/>
          <w:color w:val="auto"/>
        </w:rPr>
        <w:t>建筑工程</w:t>
      </w:r>
      <w:r>
        <w:rPr>
          <w:rFonts w:hint="eastAsia"/>
        </w:rPr>
        <w:tab/>
      </w:r>
      <w:r>
        <w:fldChar w:fldCharType="begin"/>
      </w:r>
      <w:r>
        <w:rPr>
          <w:rFonts w:hint="eastAsia"/>
        </w:rPr>
        <w:instrText xml:space="preserve"> </w:instrText>
      </w:r>
      <w:r>
        <w:instrText xml:space="preserve">PAGEREF _Toc233624874 \h</w:instrText>
      </w:r>
      <w:r>
        <w:rPr>
          <w:rFonts w:hint="eastAsia"/>
        </w:rPr>
        <w:instrText xml:space="preserve"> </w:instrText>
      </w:r>
      <w:r>
        <w:rPr>
          <w:rFonts w:hint="eastAsia"/>
        </w:rPr>
        <w:fldChar w:fldCharType="separate"/>
      </w:r>
      <w:r>
        <w:t>23</w:t>
      </w:r>
      <w:r>
        <w:rPr>
          <w:rFonts w:hint="eastAsia"/>
        </w:rPr>
        <w:fldChar w:fldCharType="end"/>
      </w:r>
      <w:r>
        <w:fldChar w:fldCharType="end"/>
      </w:r>
    </w:p>
    <w:p w14:paraId="549B97AB">
      <w:pPr>
        <w:pStyle w:val="16"/>
        <w:tabs>
          <w:tab w:val="left" w:pos="1760"/>
          <w:tab w:val="right" w:leader="dot" w:pos="8296"/>
        </w:tabs>
        <w:rPr>
          <w:rFonts w:hint="eastAsia" w:ascii="等线" w:eastAsia="等线" w:cs="Arial"/>
          <w:kern w:val="2"/>
          <w:szCs w:val="24"/>
        </w:rPr>
      </w:pPr>
      <w:r>
        <w:fldChar w:fldCharType="begin"/>
      </w:r>
      <w:r>
        <w:instrText xml:space="preserve">Hyperlink \l "_Toc233624875"</w:instrText>
      </w:r>
      <w:r>
        <w:fldChar w:fldCharType="separate"/>
      </w:r>
      <w:r>
        <w:rPr>
          <w:rFonts w:hint="eastAsia"/>
          <w:color w:val="auto"/>
        </w:rPr>
        <w:t>第三十三条</w:t>
      </w:r>
      <w:r>
        <w:rPr>
          <w:rFonts w:hint="eastAsia" w:ascii="等线" w:eastAsia="等线" w:cs="Arial"/>
          <w:kern w:val="2"/>
          <w:szCs w:val="24"/>
        </w:rPr>
        <w:tab/>
      </w:r>
      <w:r>
        <w:rPr>
          <w:rFonts w:hint="eastAsia"/>
          <w:color w:val="auto"/>
        </w:rPr>
        <w:t>建筑总平面布局</w:t>
      </w:r>
      <w:r>
        <w:rPr>
          <w:rFonts w:hint="eastAsia"/>
        </w:rPr>
        <w:tab/>
      </w:r>
      <w:r>
        <w:fldChar w:fldCharType="begin"/>
      </w:r>
      <w:r>
        <w:rPr>
          <w:rFonts w:hint="eastAsia"/>
        </w:rPr>
        <w:instrText xml:space="preserve"> </w:instrText>
      </w:r>
      <w:r>
        <w:instrText xml:space="preserve">PAGEREF _Toc233624875 \h</w:instrText>
      </w:r>
      <w:r>
        <w:rPr>
          <w:rFonts w:hint="eastAsia"/>
        </w:rPr>
        <w:instrText xml:space="preserve"> </w:instrText>
      </w:r>
      <w:r>
        <w:rPr>
          <w:rFonts w:hint="eastAsia"/>
        </w:rPr>
        <w:fldChar w:fldCharType="separate"/>
      </w:r>
      <w:r>
        <w:t>23</w:t>
      </w:r>
      <w:r>
        <w:rPr>
          <w:rFonts w:hint="eastAsia"/>
        </w:rPr>
        <w:fldChar w:fldCharType="end"/>
      </w:r>
      <w:r>
        <w:fldChar w:fldCharType="end"/>
      </w:r>
    </w:p>
    <w:p w14:paraId="4E6B0139">
      <w:pPr>
        <w:pStyle w:val="16"/>
        <w:tabs>
          <w:tab w:val="left" w:pos="1760"/>
          <w:tab w:val="right" w:leader="dot" w:pos="8296"/>
        </w:tabs>
        <w:rPr>
          <w:rFonts w:hint="eastAsia" w:ascii="等线" w:eastAsia="等线" w:cs="Arial"/>
          <w:kern w:val="2"/>
          <w:szCs w:val="24"/>
        </w:rPr>
      </w:pPr>
      <w:r>
        <w:fldChar w:fldCharType="begin"/>
      </w:r>
      <w:r>
        <w:instrText xml:space="preserve">Hyperlink \l "_Toc233624876"</w:instrText>
      </w:r>
      <w:r>
        <w:fldChar w:fldCharType="separate"/>
      </w:r>
      <w:r>
        <w:rPr>
          <w:rFonts w:hint="eastAsia"/>
          <w:color w:val="auto"/>
        </w:rPr>
        <w:t>第三十四条</w:t>
      </w:r>
      <w:r>
        <w:rPr>
          <w:rFonts w:hint="eastAsia" w:ascii="等线" w:eastAsia="等线" w:cs="Arial"/>
          <w:kern w:val="2"/>
          <w:szCs w:val="24"/>
        </w:rPr>
        <w:tab/>
      </w:r>
      <w:r>
        <w:rPr>
          <w:rFonts w:hint="eastAsia"/>
          <w:color w:val="auto"/>
        </w:rPr>
        <w:t>建筑工程无障碍设施</w:t>
      </w:r>
      <w:r>
        <w:rPr>
          <w:rFonts w:hint="eastAsia"/>
        </w:rPr>
        <w:tab/>
      </w:r>
      <w:r>
        <w:fldChar w:fldCharType="begin"/>
      </w:r>
      <w:r>
        <w:rPr>
          <w:rFonts w:hint="eastAsia"/>
        </w:rPr>
        <w:instrText xml:space="preserve"> </w:instrText>
      </w:r>
      <w:r>
        <w:instrText xml:space="preserve">PAGEREF _Toc233624876 \h</w:instrText>
      </w:r>
      <w:r>
        <w:rPr>
          <w:rFonts w:hint="eastAsia"/>
        </w:rPr>
        <w:instrText xml:space="preserve"> </w:instrText>
      </w:r>
      <w:r>
        <w:rPr>
          <w:rFonts w:hint="eastAsia"/>
        </w:rPr>
        <w:fldChar w:fldCharType="separate"/>
      </w:r>
      <w:r>
        <w:t>24</w:t>
      </w:r>
      <w:r>
        <w:rPr>
          <w:rFonts w:hint="eastAsia"/>
        </w:rPr>
        <w:fldChar w:fldCharType="end"/>
      </w:r>
      <w:r>
        <w:fldChar w:fldCharType="end"/>
      </w:r>
    </w:p>
    <w:p w14:paraId="5C5DF9B9">
      <w:pPr>
        <w:pStyle w:val="16"/>
        <w:tabs>
          <w:tab w:val="left" w:pos="1760"/>
          <w:tab w:val="right" w:leader="dot" w:pos="8296"/>
        </w:tabs>
        <w:rPr>
          <w:rFonts w:hint="eastAsia" w:ascii="等线" w:eastAsia="等线" w:cs="Arial"/>
          <w:kern w:val="2"/>
          <w:szCs w:val="24"/>
        </w:rPr>
      </w:pPr>
      <w:r>
        <w:fldChar w:fldCharType="begin"/>
      </w:r>
      <w:r>
        <w:instrText xml:space="preserve">Hyperlink \l "_Toc233624877"</w:instrText>
      </w:r>
      <w:r>
        <w:fldChar w:fldCharType="separate"/>
      </w:r>
      <w:r>
        <w:rPr>
          <w:rFonts w:hint="eastAsia"/>
          <w:color w:val="auto"/>
        </w:rPr>
        <w:t>第三十五条</w:t>
      </w:r>
      <w:r>
        <w:rPr>
          <w:rFonts w:hint="eastAsia" w:ascii="等线" w:eastAsia="等线" w:cs="Arial"/>
          <w:kern w:val="2"/>
          <w:szCs w:val="24"/>
        </w:rPr>
        <w:tab/>
      </w:r>
      <w:r>
        <w:rPr>
          <w:rFonts w:hint="eastAsia"/>
          <w:color w:val="auto"/>
        </w:rPr>
        <w:t>散水及散水沟</w:t>
      </w:r>
      <w:r>
        <w:rPr>
          <w:rFonts w:hint="eastAsia"/>
        </w:rPr>
        <w:tab/>
      </w:r>
      <w:r>
        <w:fldChar w:fldCharType="begin"/>
      </w:r>
      <w:r>
        <w:rPr>
          <w:rFonts w:hint="eastAsia"/>
        </w:rPr>
        <w:instrText xml:space="preserve"> </w:instrText>
      </w:r>
      <w:r>
        <w:instrText xml:space="preserve">PAGEREF _Toc233624877 \h</w:instrText>
      </w:r>
      <w:r>
        <w:rPr>
          <w:rFonts w:hint="eastAsia"/>
        </w:rPr>
        <w:instrText xml:space="preserve"> </w:instrText>
      </w:r>
      <w:r>
        <w:rPr>
          <w:rFonts w:hint="eastAsia"/>
        </w:rPr>
        <w:fldChar w:fldCharType="separate"/>
      </w:r>
      <w:r>
        <w:t>24</w:t>
      </w:r>
      <w:r>
        <w:rPr>
          <w:rFonts w:hint="eastAsia"/>
        </w:rPr>
        <w:fldChar w:fldCharType="end"/>
      </w:r>
      <w:r>
        <w:fldChar w:fldCharType="end"/>
      </w:r>
    </w:p>
    <w:p w14:paraId="0BE22B70">
      <w:pPr>
        <w:pStyle w:val="16"/>
        <w:tabs>
          <w:tab w:val="left" w:pos="1760"/>
          <w:tab w:val="right" w:leader="dot" w:pos="8296"/>
        </w:tabs>
        <w:rPr>
          <w:rFonts w:hint="eastAsia" w:ascii="等线" w:eastAsia="等线" w:cs="Arial"/>
          <w:kern w:val="2"/>
          <w:szCs w:val="24"/>
        </w:rPr>
      </w:pPr>
      <w:r>
        <w:fldChar w:fldCharType="begin"/>
      </w:r>
      <w:r>
        <w:instrText xml:space="preserve">Hyperlink \l "_Toc233624878"</w:instrText>
      </w:r>
      <w:r>
        <w:fldChar w:fldCharType="separate"/>
      </w:r>
      <w:r>
        <w:rPr>
          <w:rFonts w:hint="eastAsia"/>
          <w:color w:val="auto"/>
        </w:rPr>
        <w:t>第三十六条</w:t>
      </w:r>
      <w:r>
        <w:rPr>
          <w:rFonts w:hint="eastAsia" w:ascii="等线" w:eastAsia="等线" w:cs="Arial"/>
          <w:kern w:val="2"/>
          <w:szCs w:val="24"/>
        </w:rPr>
        <w:tab/>
      </w:r>
      <w:r>
        <w:rPr>
          <w:rFonts w:hint="eastAsia"/>
          <w:color w:val="auto"/>
        </w:rPr>
        <w:t>外墙装饰装修</w:t>
      </w:r>
      <w:r>
        <w:rPr>
          <w:rFonts w:hint="eastAsia"/>
        </w:rPr>
        <w:tab/>
      </w:r>
      <w:r>
        <w:fldChar w:fldCharType="begin"/>
      </w:r>
      <w:r>
        <w:rPr>
          <w:rFonts w:hint="eastAsia"/>
        </w:rPr>
        <w:instrText xml:space="preserve"> </w:instrText>
      </w:r>
      <w:r>
        <w:instrText xml:space="preserve">PAGEREF _Toc233624878 \h</w:instrText>
      </w:r>
      <w:r>
        <w:rPr>
          <w:rFonts w:hint="eastAsia"/>
        </w:rPr>
        <w:instrText xml:space="preserve"> </w:instrText>
      </w:r>
      <w:r>
        <w:rPr>
          <w:rFonts w:hint="eastAsia"/>
        </w:rPr>
        <w:fldChar w:fldCharType="separate"/>
      </w:r>
      <w:r>
        <w:t>25</w:t>
      </w:r>
      <w:r>
        <w:rPr>
          <w:rFonts w:hint="eastAsia"/>
        </w:rPr>
        <w:fldChar w:fldCharType="end"/>
      </w:r>
      <w:r>
        <w:fldChar w:fldCharType="end"/>
      </w:r>
    </w:p>
    <w:p w14:paraId="75C6147B">
      <w:pPr>
        <w:pStyle w:val="16"/>
        <w:tabs>
          <w:tab w:val="left" w:pos="1760"/>
          <w:tab w:val="right" w:leader="dot" w:pos="8296"/>
        </w:tabs>
        <w:rPr>
          <w:rFonts w:hint="eastAsia" w:ascii="等线" w:eastAsia="等线" w:cs="Arial"/>
          <w:kern w:val="2"/>
          <w:szCs w:val="24"/>
        </w:rPr>
      </w:pPr>
      <w:r>
        <w:fldChar w:fldCharType="begin"/>
      </w:r>
      <w:r>
        <w:instrText xml:space="preserve">Hyperlink \l "_Toc233624879"</w:instrText>
      </w:r>
      <w:r>
        <w:fldChar w:fldCharType="separate"/>
      </w:r>
      <w:r>
        <w:rPr>
          <w:rFonts w:hint="eastAsia"/>
          <w:color w:val="auto"/>
        </w:rPr>
        <w:t>第三十七条</w:t>
      </w:r>
      <w:r>
        <w:rPr>
          <w:rFonts w:hint="eastAsia" w:ascii="等线" w:eastAsia="等线" w:cs="Arial"/>
          <w:kern w:val="2"/>
          <w:szCs w:val="24"/>
        </w:rPr>
        <w:tab/>
      </w:r>
      <w:r>
        <w:rPr>
          <w:rFonts w:hint="eastAsia"/>
          <w:color w:val="auto"/>
        </w:rPr>
        <w:t>防潮与隔汽</w:t>
      </w:r>
      <w:r>
        <w:rPr>
          <w:rFonts w:hint="eastAsia"/>
        </w:rPr>
        <w:tab/>
      </w:r>
      <w:r>
        <w:fldChar w:fldCharType="begin"/>
      </w:r>
      <w:r>
        <w:rPr>
          <w:rFonts w:hint="eastAsia"/>
        </w:rPr>
        <w:instrText xml:space="preserve"> </w:instrText>
      </w:r>
      <w:r>
        <w:instrText xml:space="preserve">PAGEREF _Toc233624879 \h</w:instrText>
      </w:r>
      <w:r>
        <w:rPr>
          <w:rFonts w:hint="eastAsia"/>
        </w:rPr>
        <w:instrText xml:space="preserve"> </w:instrText>
      </w:r>
      <w:r>
        <w:rPr>
          <w:rFonts w:hint="eastAsia"/>
        </w:rPr>
        <w:fldChar w:fldCharType="separate"/>
      </w:r>
      <w:r>
        <w:t>26</w:t>
      </w:r>
      <w:r>
        <w:rPr>
          <w:rFonts w:hint="eastAsia"/>
        </w:rPr>
        <w:fldChar w:fldCharType="end"/>
      </w:r>
      <w:r>
        <w:fldChar w:fldCharType="end"/>
      </w:r>
    </w:p>
    <w:p w14:paraId="295641A5">
      <w:pPr>
        <w:pStyle w:val="16"/>
        <w:tabs>
          <w:tab w:val="left" w:pos="1760"/>
          <w:tab w:val="right" w:leader="dot" w:pos="8296"/>
        </w:tabs>
        <w:rPr>
          <w:rFonts w:hint="eastAsia" w:ascii="等线" w:eastAsia="等线" w:cs="Arial"/>
          <w:kern w:val="2"/>
          <w:szCs w:val="24"/>
        </w:rPr>
      </w:pPr>
      <w:r>
        <w:fldChar w:fldCharType="begin"/>
      </w:r>
      <w:r>
        <w:instrText xml:space="preserve">Hyperlink \l "_Toc233624880"</w:instrText>
      </w:r>
      <w:r>
        <w:fldChar w:fldCharType="separate"/>
      </w:r>
      <w:r>
        <w:rPr>
          <w:rFonts w:hint="eastAsia"/>
          <w:color w:val="auto"/>
        </w:rPr>
        <w:t>第三十八条</w:t>
      </w:r>
      <w:r>
        <w:rPr>
          <w:rFonts w:hint="eastAsia" w:ascii="等线" w:eastAsia="等线" w:cs="Arial"/>
          <w:kern w:val="2"/>
          <w:szCs w:val="24"/>
        </w:rPr>
        <w:tab/>
      </w:r>
      <w:r>
        <w:rPr>
          <w:rFonts w:hint="eastAsia"/>
          <w:color w:val="auto"/>
        </w:rPr>
        <w:t>墙面及屋面渗漏修缮</w:t>
      </w:r>
      <w:r>
        <w:rPr>
          <w:rFonts w:hint="eastAsia"/>
        </w:rPr>
        <w:tab/>
      </w:r>
      <w:r>
        <w:fldChar w:fldCharType="begin"/>
      </w:r>
      <w:r>
        <w:rPr>
          <w:rFonts w:hint="eastAsia"/>
        </w:rPr>
        <w:instrText xml:space="preserve"> </w:instrText>
      </w:r>
      <w:r>
        <w:instrText xml:space="preserve">PAGEREF _Toc233624880 \h</w:instrText>
      </w:r>
      <w:r>
        <w:rPr>
          <w:rFonts w:hint="eastAsia"/>
        </w:rPr>
        <w:instrText xml:space="preserve"> </w:instrText>
      </w:r>
      <w:r>
        <w:rPr>
          <w:rFonts w:hint="eastAsia"/>
        </w:rPr>
        <w:fldChar w:fldCharType="separate"/>
      </w:r>
      <w:r>
        <w:t>27</w:t>
      </w:r>
      <w:r>
        <w:rPr>
          <w:rFonts w:hint="eastAsia"/>
        </w:rPr>
        <w:fldChar w:fldCharType="end"/>
      </w:r>
      <w:r>
        <w:fldChar w:fldCharType="end"/>
      </w:r>
    </w:p>
    <w:p w14:paraId="7A408272">
      <w:pPr>
        <w:pStyle w:val="16"/>
        <w:tabs>
          <w:tab w:val="left" w:pos="1760"/>
          <w:tab w:val="right" w:leader="dot" w:pos="8296"/>
        </w:tabs>
        <w:rPr>
          <w:rFonts w:hint="eastAsia" w:ascii="等线" w:eastAsia="等线" w:cs="Arial"/>
          <w:kern w:val="2"/>
          <w:szCs w:val="24"/>
        </w:rPr>
      </w:pPr>
      <w:r>
        <w:fldChar w:fldCharType="begin"/>
      </w:r>
      <w:r>
        <w:instrText xml:space="preserve">Hyperlink \l "_Toc233624881"</w:instrText>
      </w:r>
      <w:r>
        <w:fldChar w:fldCharType="separate"/>
      </w:r>
      <w:r>
        <w:rPr>
          <w:rFonts w:hint="eastAsia"/>
          <w:color w:val="auto"/>
        </w:rPr>
        <w:t>第三十九条</w:t>
      </w:r>
      <w:r>
        <w:rPr>
          <w:rFonts w:hint="eastAsia" w:ascii="等线" w:eastAsia="等线" w:cs="Arial"/>
          <w:kern w:val="2"/>
          <w:szCs w:val="24"/>
        </w:rPr>
        <w:tab/>
      </w:r>
      <w:r>
        <w:rPr>
          <w:rFonts w:hint="eastAsia"/>
          <w:color w:val="auto"/>
        </w:rPr>
        <w:t>屋面及天沟</w:t>
      </w:r>
      <w:r>
        <w:rPr>
          <w:rFonts w:hint="eastAsia"/>
        </w:rPr>
        <w:tab/>
      </w:r>
      <w:r>
        <w:fldChar w:fldCharType="begin"/>
      </w:r>
      <w:r>
        <w:rPr>
          <w:rFonts w:hint="eastAsia"/>
        </w:rPr>
        <w:instrText xml:space="preserve"> </w:instrText>
      </w:r>
      <w:r>
        <w:instrText xml:space="preserve">PAGEREF _Toc233624881 \h</w:instrText>
      </w:r>
      <w:r>
        <w:rPr>
          <w:rFonts w:hint="eastAsia"/>
        </w:rPr>
        <w:instrText xml:space="preserve"> </w:instrText>
      </w:r>
      <w:r>
        <w:rPr>
          <w:rFonts w:hint="eastAsia"/>
        </w:rPr>
        <w:fldChar w:fldCharType="separate"/>
      </w:r>
      <w:r>
        <w:t>27</w:t>
      </w:r>
      <w:r>
        <w:rPr>
          <w:rFonts w:hint="eastAsia"/>
        </w:rPr>
        <w:fldChar w:fldCharType="end"/>
      </w:r>
      <w:r>
        <w:fldChar w:fldCharType="end"/>
      </w:r>
    </w:p>
    <w:p w14:paraId="41D487BA">
      <w:pPr>
        <w:pStyle w:val="16"/>
        <w:tabs>
          <w:tab w:val="left" w:pos="1600"/>
          <w:tab w:val="right" w:leader="dot" w:pos="8296"/>
        </w:tabs>
        <w:rPr>
          <w:rFonts w:hint="eastAsia" w:ascii="等线" w:eastAsia="等线" w:cs="Arial"/>
          <w:kern w:val="2"/>
          <w:szCs w:val="24"/>
        </w:rPr>
      </w:pPr>
      <w:r>
        <w:fldChar w:fldCharType="begin"/>
      </w:r>
      <w:r>
        <w:instrText xml:space="preserve">Hyperlink \l "_Toc233624882"</w:instrText>
      </w:r>
      <w:r>
        <w:fldChar w:fldCharType="separate"/>
      </w:r>
      <w:r>
        <w:rPr>
          <w:rFonts w:hint="eastAsia"/>
          <w:color w:val="auto"/>
        </w:rPr>
        <w:t>第四十条</w:t>
      </w:r>
      <w:r>
        <w:rPr>
          <w:rFonts w:hint="eastAsia" w:ascii="等线" w:eastAsia="等线" w:cs="Arial"/>
          <w:kern w:val="2"/>
          <w:szCs w:val="24"/>
        </w:rPr>
        <w:tab/>
      </w:r>
      <w:r>
        <w:rPr>
          <w:rFonts w:hint="eastAsia"/>
          <w:color w:val="auto"/>
        </w:rPr>
        <w:t>门窗工程</w:t>
      </w:r>
      <w:r>
        <w:rPr>
          <w:rFonts w:hint="eastAsia"/>
        </w:rPr>
        <w:tab/>
      </w:r>
      <w:r>
        <w:fldChar w:fldCharType="begin"/>
      </w:r>
      <w:r>
        <w:rPr>
          <w:rFonts w:hint="eastAsia"/>
        </w:rPr>
        <w:instrText xml:space="preserve"> </w:instrText>
      </w:r>
      <w:r>
        <w:instrText xml:space="preserve">PAGEREF _Toc233624882 \h</w:instrText>
      </w:r>
      <w:r>
        <w:rPr>
          <w:rFonts w:hint="eastAsia"/>
        </w:rPr>
        <w:instrText xml:space="preserve"> </w:instrText>
      </w:r>
      <w:r>
        <w:rPr>
          <w:rFonts w:hint="eastAsia"/>
        </w:rPr>
        <w:fldChar w:fldCharType="separate"/>
      </w:r>
      <w:r>
        <w:t>29</w:t>
      </w:r>
      <w:r>
        <w:rPr>
          <w:rFonts w:hint="eastAsia"/>
        </w:rPr>
        <w:fldChar w:fldCharType="end"/>
      </w:r>
      <w:r>
        <w:fldChar w:fldCharType="end"/>
      </w:r>
    </w:p>
    <w:p w14:paraId="2F5127FD">
      <w:pPr>
        <w:pStyle w:val="16"/>
        <w:tabs>
          <w:tab w:val="left" w:pos="1760"/>
          <w:tab w:val="right" w:leader="dot" w:pos="8296"/>
        </w:tabs>
        <w:rPr>
          <w:rFonts w:hint="eastAsia" w:ascii="等线" w:eastAsia="等线" w:cs="Arial"/>
          <w:kern w:val="2"/>
          <w:szCs w:val="24"/>
        </w:rPr>
      </w:pPr>
      <w:r>
        <w:fldChar w:fldCharType="begin"/>
      </w:r>
      <w:r>
        <w:instrText xml:space="preserve">Hyperlink \l "_Toc233624883"</w:instrText>
      </w:r>
      <w:r>
        <w:fldChar w:fldCharType="separate"/>
      </w:r>
      <w:r>
        <w:rPr>
          <w:rFonts w:hint="eastAsia"/>
          <w:color w:val="auto"/>
        </w:rPr>
        <w:t>第四十一条</w:t>
      </w:r>
      <w:r>
        <w:rPr>
          <w:rFonts w:hint="eastAsia" w:ascii="等线" w:eastAsia="等线" w:cs="Arial"/>
          <w:kern w:val="2"/>
          <w:szCs w:val="24"/>
        </w:rPr>
        <w:tab/>
      </w:r>
      <w:r>
        <w:rPr>
          <w:rFonts w:hint="eastAsia"/>
          <w:color w:val="auto"/>
        </w:rPr>
        <w:t>建筑节能及构造</w:t>
      </w:r>
      <w:r>
        <w:rPr>
          <w:rFonts w:hint="eastAsia"/>
        </w:rPr>
        <w:tab/>
      </w:r>
      <w:r>
        <w:fldChar w:fldCharType="begin"/>
      </w:r>
      <w:r>
        <w:rPr>
          <w:rFonts w:hint="eastAsia"/>
        </w:rPr>
        <w:instrText xml:space="preserve"> </w:instrText>
      </w:r>
      <w:r>
        <w:instrText xml:space="preserve">PAGEREF _Toc233624883 \h</w:instrText>
      </w:r>
      <w:r>
        <w:rPr>
          <w:rFonts w:hint="eastAsia"/>
        </w:rPr>
        <w:instrText xml:space="preserve"> </w:instrText>
      </w:r>
      <w:r>
        <w:rPr>
          <w:rFonts w:hint="eastAsia"/>
        </w:rPr>
        <w:fldChar w:fldCharType="separate"/>
      </w:r>
      <w:r>
        <w:t>30</w:t>
      </w:r>
      <w:r>
        <w:rPr>
          <w:rFonts w:hint="eastAsia"/>
        </w:rPr>
        <w:fldChar w:fldCharType="end"/>
      </w:r>
      <w:r>
        <w:fldChar w:fldCharType="end"/>
      </w:r>
    </w:p>
    <w:p w14:paraId="29F77C12">
      <w:pPr>
        <w:pStyle w:val="16"/>
        <w:tabs>
          <w:tab w:val="left" w:pos="1760"/>
          <w:tab w:val="right" w:leader="dot" w:pos="8296"/>
        </w:tabs>
        <w:rPr>
          <w:rFonts w:hint="eastAsia" w:ascii="等线" w:eastAsia="等线" w:cs="Arial"/>
          <w:kern w:val="2"/>
          <w:szCs w:val="24"/>
        </w:rPr>
      </w:pPr>
      <w:r>
        <w:fldChar w:fldCharType="begin"/>
      </w:r>
      <w:r>
        <w:instrText xml:space="preserve">Hyperlink \l "_Toc233624884"</w:instrText>
      </w:r>
      <w:r>
        <w:fldChar w:fldCharType="separate"/>
      </w:r>
      <w:r>
        <w:rPr>
          <w:rFonts w:hint="eastAsia"/>
          <w:color w:val="auto"/>
        </w:rPr>
        <w:t>第四十二条</w:t>
      </w:r>
      <w:r>
        <w:rPr>
          <w:rFonts w:hint="eastAsia" w:ascii="等线" w:eastAsia="等线" w:cs="Arial"/>
          <w:kern w:val="2"/>
          <w:szCs w:val="24"/>
        </w:rPr>
        <w:tab/>
      </w:r>
      <w:r>
        <w:rPr>
          <w:rFonts w:hint="eastAsia"/>
          <w:color w:val="auto"/>
        </w:rPr>
        <w:t>保温材料</w:t>
      </w:r>
      <w:r>
        <w:rPr>
          <w:rFonts w:hint="eastAsia"/>
        </w:rPr>
        <w:tab/>
      </w:r>
      <w:r>
        <w:fldChar w:fldCharType="begin"/>
      </w:r>
      <w:r>
        <w:rPr>
          <w:rFonts w:hint="eastAsia"/>
        </w:rPr>
        <w:instrText xml:space="preserve"> </w:instrText>
      </w:r>
      <w:r>
        <w:instrText xml:space="preserve">PAGEREF _Toc233624884 \h</w:instrText>
      </w:r>
      <w:r>
        <w:rPr>
          <w:rFonts w:hint="eastAsia"/>
        </w:rPr>
        <w:instrText xml:space="preserve"> </w:instrText>
      </w:r>
      <w:r>
        <w:rPr>
          <w:rFonts w:hint="eastAsia"/>
        </w:rPr>
        <w:fldChar w:fldCharType="separate"/>
      </w:r>
      <w:r>
        <w:t>31</w:t>
      </w:r>
      <w:r>
        <w:rPr>
          <w:rFonts w:hint="eastAsia"/>
        </w:rPr>
        <w:fldChar w:fldCharType="end"/>
      </w:r>
      <w:r>
        <w:fldChar w:fldCharType="end"/>
      </w:r>
    </w:p>
    <w:p w14:paraId="6783F838">
      <w:pPr>
        <w:pStyle w:val="16"/>
        <w:tabs>
          <w:tab w:val="left" w:pos="1760"/>
          <w:tab w:val="right" w:leader="dot" w:pos="8296"/>
        </w:tabs>
        <w:rPr>
          <w:rFonts w:hint="eastAsia" w:ascii="等线" w:eastAsia="等线" w:cs="Arial"/>
          <w:kern w:val="2"/>
          <w:szCs w:val="24"/>
        </w:rPr>
      </w:pPr>
      <w:r>
        <w:fldChar w:fldCharType="begin"/>
      </w:r>
      <w:r>
        <w:instrText xml:space="preserve">Hyperlink \l "_Toc233624885"</w:instrText>
      </w:r>
      <w:r>
        <w:fldChar w:fldCharType="separate"/>
      </w:r>
      <w:r>
        <w:rPr>
          <w:rFonts w:hint="eastAsia"/>
          <w:color w:val="auto"/>
        </w:rPr>
        <w:t>第四十三条</w:t>
      </w:r>
      <w:r>
        <w:rPr>
          <w:rFonts w:hint="eastAsia" w:ascii="等线" w:eastAsia="等线" w:cs="Arial"/>
          <w:kern w:val="2"/>
          <w:szCs w:val="24"/>
        </w:rPr>
        <w:tab/>
      </w:r>
      <w:r>
        <w:rPr>
          <w:rFonts w:hint="eastAsia"/>
          <w:color w:val="auto"/>
        </w:rPr>
        <w:t>防水材料及防水构造</w:t>
      </w:r>
      <w:r>
        <w:rPr>
          <w:rFonts w:hint="eastAsia"/>
        </w:rPr>
        <w:tab/>
      </w:r>
      <w:r>
        <w:fldChar w:fldCharType="begin"/>
      </w:r>
      <w:r>
        <w:rPr>
          <w:rFonts w:hint="eastAsia"/>
        </w:rPr>
        <w:instrText xml:space="preserve"> </w:instrText>
      </w:r>
      <w:r>
        <w:instrText xml:space="preserve">PAGEREF _Toc233624885 \h</w:instrText>
      </w:r>
      <w:r>
        <w:rPr>
          <w:rFonts w:hint="eastAsia"/>
        </w:rPr>
        <w:instrText xml:space="preserve"> </w:instrText>
      </w:r>
      <w:r>
        <w:rPr>
          <w:rFonts w:hint="eastAsia"/>
        </w:rPr>
        <w:fldChar w:fldCharType="separate"/>
      </w:r>
      <w:r>
        <w:t>33</w:t>
      </w:r>
      <w:r>
        <w:rPr>
          <w:rFonts w:hint="eastAsia"/>
        </w:rPr>
        <w:fldChar w:fldCharType="end"/>
      </w:r>
      <w:r>
        <w:fldChar w:fldCharType="end"/>
      </w:r>
    </w:p>
    <w:p w14:paraId="44340D06">
      <w:pPr>
        <w:pStyle w:val="16"/>
        <w:tabs>
          <w:tab w:val="left" w:pos="1760"/>
          <w:tab w:val="right" w:leader="dot" w:pos="8296"/>
        </w:tabs>
        <w:rPr>
          <w:rFonts w:hint="eastAsia" w:ascii="等线" w:eastAsia="等线" w:cs="Arial"/>
          <w:kern w:val="2"/>
          <w:szCs w:val="24"/>
        </w:rPr>
      </w:pPr>
      <w:r>
        <w:fldChar w:fldCharType="begin"/>
      </w:r>
      <w:r>
        <w:instrText xml:space="preserve">Hyperlink \l "_Toc233624886"</w:instrText>
      </w:r>
      <w:r>
        <w:fldChar w:fldCharType="separate"/>
      </w:r>
      <w:r>
        <w:rPr>
          <w:rFonts w:hint="eastAsia"/>
          <w:color w:val="auto"/>
        </w:rPr>
        <w:t>第四十四条</w:t>
      </w:r>
      <w:r>
        <w:rPr>
          <w:rFonts w:hint="eastAsia" w:ascii="等线" w:eastAsia="等线" w:cs="Arial"/>
          <w:kern w:val="2"/>
          <w:szCs w:val="24"/>
        </w:rPr>
        <w:tab/>
      </w:r>
      <w:r>
        <w:rPr>
          <w:rFonts w:hint="eastAsia"/>
          <w:color w:val="auto"/>
        </w:rPr>
        <w:t>太阳能系统</w:t>
      </w:r>
      <w:r>
        <w:rPr>
          <w:rFonts w:hint="eastAsia"/>
        </w:rPr>
        <w:tab/>
      </w:r>
      <w:r>
        <w:fldChar w:fldCharType="begin"/>
      </w:r>
      <w:r>
        <w:rPr>
          <w:rFonts w:hint="eastAsia"/>
        </w:rPr>
        <w:instrText xml:space="preserve"> </w:instrText>
      </w:r>
      <w:r>
        <w:instrText xml:space="preserve">PAGEREF _Toc233624886 \h</w:instrText>
      </w:r>
      <w:r>
        <w:rPr>
          <w:rFonts w:hint="eastAsia"/>
        </w:rPr>
        <w:instrText xml:space="preserve"> </w:instrText>
      </w:r>
      <w:r>
        <w:rPr>
          <w:rFonts w:hint="eastAsia"/>
        </w:rPr>
        <w:fldChar w:fldCharType="separate"/>
      </w:r>
      <w:r>
        <w:t>35</w:t>
      </w:r>
      <w:r>
        <w:rPr>
          <w:rFonts w:hint="eastAsia"/>
        </w:rPr>
        <w:fldChar w:fldCharType="end"/>
      </w:r>
      <w:r>
        <w:fldChar w:fldCharType="end"/>
      </w:r>
    </w:p>
    <w:p w14:paraId="32A06E11">
      <w:pPr>
        <w:pStyle w:val="16"/>
        <w:tabs>
          <w:tab w:val="left" w:pos="1760"/>
          <w:tab w:val="right" w:leader="dot" w:pos="8296"/>
        </w:tabs>
        <w:rPr>
          <w:rFonts w:hint="eastAsia" w:ascii="等线" w:eastAsia="等线" w:cs="Arial"/>
          <w:kern w:val="2"/>
          <w:szCs w:val="24"/>
        </w:rPr>
      </w:pPr>
      <w:r>
        <w:fldChar w:fldCharType="begin"/>
      </w:r>
      <w:r>
        <w:instrText xml:space="preserve">Hyperlink \l "_Toc233624887"</w:instrText>
      </w:r>
      <w:r>
        <w:fldChar w:fldCharType="separate"/>
      </w:r>
      <w:r>
        <w:rPr>
          <w:rFonts w:hint="eastAsia"/>
          <w:color w:val="auto"/>
        </w:rPr>
        <w:t>第四十五条</w:t>
      </w:r>
      <w:r>
        <w:rPr>
          <w:rFonts w:hint="eastAsia" w:ascii="等线" w:eastAsia="等线" w:cs="Arial"/>
          <w:kern w:val="2"/>
          <w:szCs w:val="24"/>
        </w:rPr>
        <w:tab/>
      </w:r>
      <w:r>
        <w:rPr>
          <w:rFonts w:hint="eastAsia"/>
          <w:color w:val="auto"/>
        </w:rPr>
        <w:t>建筑供暖</w:t>
      </w:r>
      <w:r>
        <w:rPr>
          <w:rFonts w:hint="eastAsia"/>
        </w:rPr>
        <w:tab/>
      </w:r>
      <w:r>
        <w:fldChar w:fldCharType="begin"/>
      </w:r>
      <w:r>
        <w:rPr>
          <w:rFonts w:hint="eastAsia"/>
        </w:rPr>
        <w:instrText xml:space="preserve"> </w:instrText>
      </w:r>
      <w:r>
        <w:instrText xml:space="preserve">PAGEREF _Toc233624887 \h</w:instrText>
      </w:r>
      <w:r>
        <w:rPr>
          <w:rFonts w:hint="eastAsia"/>
        </w:rPr>
        <w:instrText xml:space="preserve"> </w:instrText>
      </w:r>
      <w:r>
        <w:rPr>
          <w:rFonts w:hint="eastAsia"/>
        </w:rPr>
        <w:fldChar w:fldCharType="separate"/>
      </w:r>
      <w:r>
        <w:t>36</w:t>
      </w:r>
      <w:r>
        <w:rPr>
          <w:rFonts w:hint="eastAsia"/>
        </w:rPr>
        <w:fldChar w:fldCharType="end"/>
      </w:r>
      <w:r>
        <w:fldChar w:fldCharType="end"/>
      </w:r>
    </w:p>
    <w:p w14:paraId="1B577C41">
      <w:pPr>
        <w:pStyle w:val="16"/>
        <w:tabs>
          <w:tab w:val="left" w:pos="1760"/>
          <w:tab w:val="right" w:leader="dot" w:pos="8296"/>
        </w:tabs>
        <w:rPr>
          <w:rFonts w:hint="eastAsia" w:ascii="等线" w:eastAsia="等线" w:cs="Arial"/>
          <w:kern w:val="2"/>
          <w:szCs w:val="24"/>
        </w:rPr>
      </w:pPr>
      <w:r>
        <w:fldChar w:fldCharType="begin"/>
      </w:r>
      <w:r>
        <w:instrText xml:space="preserve">Hyperlink \l "_Toc233624888"</w:instrText>
      </w:r>
      <w:r>
        <w:fldChar w:fldCharType="separate"/>
      </w:r>
      <w:r>
        <w:rPr>
          <w:rFonts w:hint="eastAsia"/>
          <w:color w:val="auto"/>
        </w:rPr>
        <w:t>第四十六条</w:t>
      </w:r>
      <w:r>
        <w:rPr>
          <w:rFonts w:hint="eastAsia" w:ascii="等线" w:eastAsia="等线" w:cs="Arial"/>
          <w:kern w:val="2"/>
          <w:szCs w:val="24"/>
        </w:rPr>
        <w:tab/>
      </w:r>
      <w:r>
        <w:rPr>
          <w:rFonts w:hint="eastAsia"/>
          <w:color w:val="auto"/>
        </w:rPr>
        <w:t>公厕防冻</w:t>
      </w:r>
      <w:r>
        <w:rPr>
          <w:rFonts w:hint="eastAsia"/>
        </w:rPr>
        <w:tab/>
      </w:r>
      <w:r>
        <w:fldChar w:fldCharType="begin"/>
      </w:r>
      <w:r>
        <w:rPr>
          <w:rFonts w:hint="eastAsia"/>
        </w:rPr>
        <w:instrText xml:space="preserve"> </w:instrText>
      </w:r>
      <w:r>
        <w:instrText xml:space="preserve">PAGEREF _Toc233624888 \h</w:instrText>
      </w:r>
      <w:r>
        <w:rPr>
          <w:rFonts w:hint="eastAsia"/>
        </w:rPr>
        <w:instrText xml:space="preserve"> </w:instrText>
      </w:r>
      <w:r>
        <w:rPr>
          <w:rFonts w:hint="eastAsia"/>
        </w:rPr>
        <w:fldChar w:fldCharType="separate"/>
      </w:r>
      <w:r>
        <w:t>36</w:t>
      </w:r>
      <w:r>
        <w:rPr>
          <w:rFonts w:hint="eastAsia"/>
        </w:rPr>
        <w:fldChar w:fldCharType="end"/>
      </w:r>
      <w:r>
        <w:fldChar w:fldCharType="end"/>
      </w:r>
    </w:p>
    <w:p w14:paraId="6C91F7D5">
      <w:pPr>
        <w:pStyle w:val="25"/>
        <w:tabs>
          <w:tab w:val="left" w:pos="1200"/>
          <w:tab w:val="right" w:leader="dot" w:pos="8296"/>
        </w:tabs>
        <w:rPr>
          <w:rFonts w:hint="eastAsia" w:ascii="等线" w:eastAsia="等线" w:cs="Arial"/>
          <w:kern w:val="2"/>
          <w:szCs w:val="24"/>
        </w:rPr>
      </w:pPr>
      <w:r>
        <w:fldChar w:fldCharType="begin"/>
      </w:r>
      <w:r>
        <w:instrText xml:space="preserve">Hyperlink \l "_Toc233624889"</w:instrText>
      </w:r>
      <w:r>
        <w:fldChar w:fldCharType="separate"/>
      </w:r>
      <w:r>
        <w:rPr>
          <w:rFonts w:hint="eastAsia" w:ascii="Times New Roman" w:hAnsi="Times New Roman" w:eastAsia="黑体"/>
          <w:color w:val="auto"/>
        </w:rPr>
        <w:t>第四节</w:t>
      </w:r>
      <w:r>
        <w:rPr>
          <w:rFonts w:hint="eastAsia" w:ascii="等线" w:eastAsia="等线" w:cs="Arial"/>
          <w:kern w:val="2"/>
          <w:szCs w:val="24"/>
        </w:rPr>
        <w:tab/>
      </w:r>
      <w:r>
        <w:rPr>
          <w:rFonts w:hint="eastAsia" w:ascii="Times New Roman" w:hAnsi="Times New Roman" w:eastAsia="黑体"/>
          <w:color w:val="auto"/>
        </w:rPr>
        <w:t>结构工程</w:t>
      </w:r>
      <w:r>
        <w:rPr>
          <w:rFonts w:hint="eastAsia"/>
        </w:rPr>
        <w:tab/>
      </w:r>
      <w:r>
        <w:fldChar w:fldCharType="begin"/>
      </w:r>
      <w:r>
        <w:rPr>
          <w:rFonts w:hint="eastAsia"/>
        </w:rPr>
        <w:instrText xml:space="preserve"> </w:instrText>
      </w:r>
      <w:r>
        <w:instrText xml:space="preserve">PAGEREF _Toc233624889 \h</w:instrText>
      </w:r>
      <w:r>
        <w:rPr>
          <w:rFonts w:hint="eastAsia"/>
        </w:rPr>
        <w:instrText xml:space="preserve"> </w:instrText>
      </w:r>
      <w:r>
        <w:rPr>
          <w:rFonts w:hint="eastAsia"/>
        </w:rPr>
        <w:fldChar w:fldCharType="separate"/>
      </w:r>
      <w:r>
        <w:t>37</w:t>
      </w:r>
      <w:r>
        <w:rPr>
          <w:rFonts w:hint="eastAsia"/>
        </w:rPr>
        <w:fldChar w:fldCharType="end"/>
      </w:r>
      <w:r>
        <w:fldChar w:fldCharType="end"/>
      </w:r>
    </w:p>
    <w:p w14:paraId="5AFB4DA7">
      <w:pPr>
        <w:pStyle w:val="16"/>
        <w:tabs>
          <w:tab w:val="left" w:pos="1760"/>
          <w:tab w:val="right" w:leader="dot" w:pos="8296"/>
        </w:tabs>
        <w:rPr>
          <w:rFonts w:hint="eastAsia" w:ascii="等线" w:eastAsia="等线" w:cs="Arial"/>
          <w:kern w:val="2"/>
          <w:szCs w:val="24"/>
        </w:rPr>
      </w:pPr>
      <w:r>
        <w:fldChar w:fldCharType="begin"/>
      </w:r>
      <w:r>
        <w:instrText xml:space="preserve">Hyperlink \l "_Toc233624890"</w:instrText>
      </w:r>
      <w:r>
        <w:fldChar w:fldCharType="separate"/>
      </w:r>
      <w:r>
        <w:rPr>
          <w:rFonts w:hint="eastAsia"/>
          <w:color w:val="auto"/>
        </w:rPr>
        <w:t>第四十七条</w:t>
      </w:r>
      <w:r>
        <w:rPr>
          <w:rFonts w:hint="eastAsia" w:ascii="等线" w:eastAsia="等线" w:cs="Arial"/>
          <w:kern w:val="2"/>
          <w:szCs w:val="24"/>
        </w:rPr>
        <w:tab/>
      </w:r>
      <w:r>
        <w:rPr>
          <w:rFonts w:hint="eastAsia"/>
          <w:color w:val="auto"/>
        </w:rPr>
        <w:t>季节冻土工程建设管控</w:t>
      </w:r>
      <w:r>
        <w:rPr>
          <w:rFonts w:hint="eastAsia"/>
        </w:rPr>
        <w:tab/>
      </w:r>
      <w:r>
        <w:fldChar w:fldCharType="begin"/>
      </w:r>
      <w:r>
        <w:rPr>
          <w:rFonts w:hint="eastAsia"/>
        </w:rPr>
        <w:instrText xml:space="preserve"> </w:instrText>
      </w:r>
      <w:r>
        <w:instrText xml:space="preserve">PAGEREF _Toc233624890 \h</w:instrText>
      </w:r>
      <w:r>
        <w:rPr>
          <w:rFonts w:hint="eastAsia"/>
        </w:rPr>
        <w:instrText xml:space="preserve"> </w:instrText>
      </w:r>
      <w:r>
        <w:rPr>
          <w:rFonts w:hint="eastAsia"/>
        </w:rPr>
        <w:fldChar w:fldCharType="separate"/>
      </w:r>
      <w:r>
        <w:t>37</w:t>
      </w:r>
      <w:r>
        <w:rPr>
          <w:rFonts w:hint="eastAsia"/>
        </w:rPr>
        <w:fldChar w:fldCharType="end"/>
      </w:r>
      <w:r>
        <w:fldChar w:fldCharType="end"/>
      </w:r>
    </w:p>
    <w:p w14:paraId="7D1EB936">
      <w:pPr>
        <w:pStyle w:val="16"/>
        <w:tabs>
          <w:tab w:val="left" w:pos="1760"/>
          <w:tab w:val="right" w:leader="dot" w:pos="8296"/>
        </w:tabs>
        <w:rPr>
          <w:rFonts w:hint="eastAsia" w:ascii="等线" w:eastAsia="等线" w:cs="Arial"/>
          <w:kern w:val="2"/>
          <w:szCs w:val="24"/>
        </w:rPr>
      </w:pPr>
      <w:r>
        <w:fldChar w:fldCharType="begin"/>
      </w:r>
      <w:r>
        <w:instrText xml:space="preserve">Hyperlink \l "_Toc233624891"</w:instrText>
      </w:r>
      <w:r>
        <w:fldChar w:fldCharType="separate"/>
      </w:r>
      <w:r>
        <w:rPr>
          <w:rFonts w:hint="eastAsia"/>
          <w:color w:val="auto"/>
        </w:rPr>
        <w:t>第四十八条</w:t>
      </w:r>
      <w:r>
        <w:rPr>
          <w:rFonts w:hint="eastAsia" w:ascii="等线" w:eastAsia="等线" w:cs="Arial"/>
          <w:kern w:val="2"/>
          <w:szCs w:val="24"/>
        </w:rPr>
        <w:tab/>
      </w:r>
      <w:r>
        <w:rPr>
          <w:rFonts w:hint="eastAsia"/>
          <w:color w:val="auto"/>
        </w:rPr>
        <w:t>季节冻土区地基基础设计要求</w:t>
      </w:r>
      <w:r>
        <w:rPr>
          <w:rFonts w:hint="eastAsia"/>
        </w:rPr>
        <w:tab/>
      </w:r>
      <w:r>
        <w:fldChar w:fldCharType="begin"/>
      </w:r>
      <w:r>
        <w:rPr>
          <w:rFonts w:hint="eastAsia"/>
        </w:rPr>
        <w:instrText xml:space="preserve"> </w:instrText>
      </w:r>
      <w:r>
        <w:instrText xml:space="preserve">PAGEREF _Toc233624891 \h</w:instrText>
      </w:r>
      <w:r>
        <w:rPr>
          <w:rFonts w:hint="eastAsia"/>
        </w:rPr>
        <w:instrText xml:space="preserve"> </w:instrText>
      </w:r>
      <w:r>
        <w:rPr>
          <w:rFonts w:hint="eastAsia"/>
        </w:rPr>
        <w:fldChar w:fldCharType="separate"/>
      </w:r>
      <w:r>
        <w:t>38</w:t>
      </w:r>
      <w:r>
        <w:rPr>
          <w:rFonts w:hint="eastAsia"/>
        </w:rPr>
        <w:fldChar w:fldCharType="end"/>
      </w:r>
      <w:r>
        <w:fldChar w:fldCharType="end"/>
      </w:r>
    </w:p>
    <w:p w14:paraId="4D7A8ABC">
      <w:pPr>
        <w:pStyle w:val="16"/>
        <w:tabs>
          <w:tab w:val="left" w:pos="1760"/>
          <w:tab w:val="right" w:leader="dot" w:pos="8296"/>
        </w:tabs>
        <w:rPr>
          <w:rFonts w:hint="eastAsia" w:ascii="等线" w:eastAsia="等线" w:cs="Arial"/>
          <w:kern w:val="2"/>
          <w:szCs w:val="24"/>
        </w:rPr>
      </w:pPr>
      <w:r>
        <w:fldChar w:fldCharType="begin"/>
      </w:r>
      <w:r>
        <w:instrText xml:space="preserve">Hyperlink \l "_Toc233624892"</w:instrText>
      </w:r>
      <w:r>
        <w:fldChar w:fldCharType="separate"/>
      </w:r>
      <w:r>
        <w:rPr>
          <w:rFonts w:hint="eastAsia"/>
          <w:color w:val="auto"/>
        </w:rPr>
        <w:t>第四十九条</w:t>
      </w:r>
      <w:r>
        <w:rPr>
          <w:rFonts w:hint="eastAsia" w:ascii="等线" w:eastAsia="等线" w:cs="Arial"/>
          <w:kern w:val="2"/>
          <w:szCs w:val="24"/>
        </w:rPr>
        <w:tab/>
      </w:r>
      <w:r>
        <w:rPr>
          <w:rFonts w:hint="eastAsia"/>
          <w:color w:val="auto"/>
        </w:rPr>
        <w:t>基本雪压补充</w:t>
      </w:r>
      <w:r>
        <w:rPr>
          <w:rFonts w:hint="eastAsia"/>
        </w:rPr>
        <w:tab/>
      </w:r>
      <w:r>
        <w:fldChar w:fldCharType="begin"/>
      </w:r>
      <w:r>
        <w:rPr>
          <w:rFonts w:hint="eastAsia"/>
        </w:rPr>
        <w:instrText xml:space="preserve"> </w:instrText>
      </w:r>
      <w:r>
        <w:instrText xml:space="preserve">PAGEREF _Toc233624892 \h</w:instrText>
      </w:r>
      <w:r>
        <w:rPr>
          <w:rFonts w:hint="eastAsia"/>
        </w:rPr>
        <w:instrText xml:space="preserve"> </w:instrText>
      </w:r>
      <w:r>
        <w:rPr>
          <w:rFonts w:hint="eastAsia"/>
        </w:rPr>
        <w:fldChar w:fldCharType="separate"/>
      </w:r>
      <w:r>
        <w:t>38</w:t>
      </w:r>
      <w:r>
        <w:rPr>
          <w:rFonts w:hint="eastAsia"/>
        </w:rPr>
        <w:fldChar w:fldCharType="end"/>
      </w:r>
      <w:r>
        <w:fldChar w:fldCharType="end"/>
      </w:r>
    </w:p>
    <w:p w14:paraId="3B5880B7">
      <w:pPr>
        <w:pStyle w:val="16"/>
        <w:tabs>
          <w:tab w:val="left" w:pos="1600"/>
          <w:tab w:val="right" w:leader="dot" w:pos="8296"/>
        </w:tabs>
        <w:rPr>
          <w:rFonts w:hint="eastAsia" w:ascii="等线" w:eastAsia="等线" w:cs="Arial"/>
          <w:kern w:val="2"/>
          <w:szCs w:val="24"/>
        </w:rPr>
      </w:pPr>
      <w:r>
        <w:fldChar w:fldCharType="begin"/>
      </w:r>
      <w:r>
        <w:instrText xml:space="preserve">Hyperlink \l "_Toc233624893"</w:instrText>
      </w:r>
      <w:r>
        <w:fldChar w:fldCharType="separate"/>
      </w:r>
      <w:r>
        <w:rPr>
          <w:rFonts w:hint="eastAsia"/>
          <w:color w:val="auto"/>
        </w:rPr>
        <w:t>第五十条</w:t>
      </w:r>
      <w:r>
        <w:rPr>
          <w:rFonts w:hint="eastAsia" w:ascii="等线" w:eastAsia="等线" w:cs="Arial"/>
          <w:kern w:val="2"/>
          <w:szCs w:val="24"/>
        </w:rPr>
        <w:tab/>
      </w:r>
      <w:r>
        <w:rPr>
          <w:rFonts w:hint="eastAsia"/>
          <w:color w:val="auto"/>
        </w:rPr>
        <w:t>危旧住房抗震加固管理</w:t>
      </w:r>
      <w:r>
        <w:rPr>
          <w:rFonts w:hint="eastAsia"/>
        </w:rPr>
        <w:tab/>
      </w:r>
      <w:r>
        <w:fldChar w:fldCharType="begin"/>
      </w:r>
      <w:r>
        <w:rPr>
          <w:rFonts w:hint="eastAsia"/>
        </w:rPr>
        <w:instrText xml:space="preserve"> </w:instrText>
      </w:r>
      <w:r>
        <w:instrText xml:space="preserve">PAGEREF _Toc233624893 \h</w:instrText>
      </w:r>
      <w:r>
        <w:rPr>
          <w:rFonts w:hint="eastAsia"/>
        </w:rPr>
        <w:instrText xml:space="preserve"> </w:instrText>
      </w:r>
      <w:r>
        <w:rPr>
          <w:rFonts w:hint="eastAsia"/>
        </w:rPr>
        <w:fldChar w:fldCharType="separate"/>
      </w:r>
      <w:r>
        <w:t>38</w:t>
      </w:r>
      <w:r>
        <w:rPr>
          <w:rFonts w:hint="eastAsia"/>
        </w:rPr>
        <w:fldChar w:fldCharType="end"/>
      </w:r>
      <w:r>
        <w:fldChar w:fldCharType="end"/>
      </w:r>
    </w:p>
    <w:p w14:paraId="5C560DF8">
      <w:pPr>
        <w:pStyle w:val="25"/>
        <w:tabs>
          <w:tab w:val="left" w:pos="1200"/>
          <w:tab w:val="right" w:leader="dot" w:pos="8296"/>
        </w:tabs>
        <w:rPr>
          <w:rFonts w:hint="eastAsia" w:ascii="等线" w:eastAsia="等线" w:cs="Arial"/>
          <w:kern w:val="2"/>
          <w:szCs w:val="24"/>
        </w:rPr>
      </w:pPr>
      <w:r>
        <w:fldChar w:fldCharType="begin"/>
      </w:r>
      <w:r>
        <w:instrText xml:space="preserve">Hyperlink \l "_Toc233624894"</w:instrText>
      </w:r>
      <w:r>
        <w:fldChar w:fldCharType="separate"/>
      </w:r>
      <w:r>
        <w:rPr>
          <w:rFonts w:hint="eastAsia" w:ascii="Times New Roman" w:hAnsi="Times New Roman" w:eastAsia="黑体"/>
          <w:color w:val="auto"/>
        </w:rPr>
        <w:t>第五节</w:t>
      </w:r>
      <w:r>
        <w:rPr>
          <w:rFonts w:hint="eastAsia" w:ascii="等线" w:eastAsia="等线" w:cs="Arial"/>
          <w:kern w:val="2"/>
          <w:szCs w:val="24"/>
        </w:rPr>
        <w:tab/>
      </w:r>
      <w:r>
        <w:rPr>
          <w:rFonts w:hint="eastAsia" w:ascii="Times New Roman" w:hAnsi="Times New Roman" w:eastAsia="黑体"/>
          <w:color w:val="auto"/>
        </w:rPr>
        <w:t>市政道路</w:t>
      </w:r>
      <w:r>
        <w:rPr>
          <w:rFonts w:hint="eastAsia"/>
        </w:rPr>
        <w:tab/>
      </w:r>
      <w:r>
        <w:fldChar w:fldCharType="begin"/>
      </w:r>
      <w:r>
        <w:rPr>
          <w:rFonts w:hint="eastAsia"/>
        </w:rPr>
        <w:instrText xml:space="preserve"> </w:instrText>
      </w:r>
      <w:r>
        <w:instrText xml:space="preserve">PAGEREF _Toc233624894 \h</w:instrText>
      </w:r>
      <w:r>
        <w:rPr>
          <w:rFonts w:hint="eastAsia"/>
        </w:rPr>
        <w:instrText xml:space="preserve"> </w:instrText>
      </w:r>
      <w:r>
        <w:rPr>
          <w:rFonts w:hint="eastAsia"/>
        </w:rPr>
        <w:fldChar w:fldCharType="separate"/>
      </w:r>
      <w:r>
        <w:t>39</w:t>
      </w:r>
      <w:r>
        <w:rPr>
          <w:rFonts w:hint="eastAsia"/>
        </w:rPr>
        <w:fldChar w:fldCharType="end"/>
      </w:r>
      <w:r>
        <w:fldChar w:fldCharType="end"/>
      </w:r>
    </w:p>
    <w:p w14:paraId="263318E3">
      <w:pPr>
        <w:pStyle w:val="16"/>
        <w:tabs>
          <w:tab w:val="left" w:pos="1760"/>
          <w:tab w:val="right" w:leader="dot" w:pos="8296"/>
        </w:tabs>
        <w:rPr>
          <w:rFonts w:hint="eastAsia" w:ascii="等线" w:eastAsia="等线" w:cs="Arial"/>
          <w:kern w:val="2"/>
          <w:szCs w:val="24"/>
        </w:rPr>
      </w:pPr>
      <w:r>
        <w:fldChar w:fldCharType="begin"/>
      </w:r>
      <w:r>
        <w:instrText xml:space="preserve">Hyperlink \l "_Toc233624895"</w:instrText>
      </w:r>
      <w:r>
        <w:fldChar w:fldCharType="separate"/>
      </w:r>
      <w:r>
        <w:rPr>
          <w:rFonts w:hint="eastAsia"/>
          <w:color w:val="auto"/>
        </w:rPr>
        <w:t>第五十一条</w:t>
      </w:r>
      <w:r>
        <w:rPr>
          <w:rFonts w:hint="eastAsia" w:ascii="等线" w:eastAsia="等线" w:cs="Arial"/>
          <w:kern w:val="2"/>
          <w:szCs w:val="24"/>
        </w:rPr>
        <w:tab/>
      </w:r>
      <w:r>
        <w:rPr>
          <w:rFonts w:hint="eastAsia"/>
          <w:color w:val="auto"/>
        </w:rPr>
        <w:t>道路建筑限界</w:t>
      </w:r>
      <w:r>
        <w:rPr>
          <w:rFonts w:hint="eastAsia"/>
        </w:rPr>
        <w:tab/>
      </w:r>
      <w:r>
        <w:fldChar w:fldCharType="begin"/>
      </w:r>
      <w:r>
        <w:rPr>
          <w:rFonts w:hint="eastAsia"/>
        </w:rPr>
        <w:instrText xml:space="preserve"> </w:instrText>
      </w:r>
      <w:r>
        <w:instrText xml:space="preserve">PAGEREF _Toc233624895 \h</w:instrText>
      </w:r>
      <w:r>
        <w:rPr>
          <w:rFonts w:hint="eastAsia"/>
        </w:rPr>
        <w:instrText xml:space="preserve"> </w:instrText>
      </w:r>
      <w:r>
        <w:rPr>
          <w:rFonts w:hint="eastAsia"/>
        </w:rPr>
        <w:fldChar w:fldCharType="separate"/>
      </w:r>
      <w:r>
        <w:t>39</w:t>
      </w:r>
      <w:r>
        <w:rPr>
          <w:rFonts w:hint="eastAsia"/>
        </w:rPr>
        <w:fldChar w:fldCharType="end"/>
      </w:r>
      <w:r>
        <w:fldChar w:fldCharType="end"/>
      </w:r>
    </w:p>
    <w:p w14:paraId="1E0D3B89">
      <w:pPr>
        <w:pStyle w:val="16"/>
        <w:tabs>
          <w:tab w:val="left" w:pos="1760"/>
          <w:tab w:val="right" w:leader="dot" w:pos="8296"/>
        </w:tabs>
        <w:rPr>
          <w:rFonts w:hint="eastAsia" w:ascii="等线" w:eastAsia="等线" w:cs="Arial"/>
          <w:kern w:val="2"/>
          <w:szCs w:val="24"/>
        </w:rPr>
      </w:pPr>
      <w:r>
        <w:fldChar w:fldCharType="begin"/>
      </w:r>
      <w:r>
        <w:instrText xml:space="preserve">Hyperlink \l "_Toc233624896"</w:instrText>
      </w:r>
      <w:r>
        <w:fldChar w:fldCharType="separate"/>
      </w:r>
      <w:r>
        <w:rPr>
          <w:rFonts w:hint="eastAsia"/>
          <w:color w:val="auto"/>
        </w:rPr>
        <w:t>第五十二条</w:t>
      </w:r>
      <w:r>
        <w:rPr>
          <w:rFonts w:hint="eastAsia" w:ascii="等线" w:eastAsia="等线" w:cs="Arial"/>
          <w:kern w:val="2"/>
          <w:szCs w:val="24"/>
        </w:rPr>
        <w:tab/>
      </w:r>
      <w:r>
        <w:rPr>
          <w:rFonts w:hint="eastAsia"/>
          <w:color w:val="auto"/>
        </w:rPr>
        <w:t>路面防冻层</w:t>
      </w:r>
      <w:r>
        <w:rPr>
          <w:rFonts w:hint="eastAsia"/>
        </w:rPr>
        <w:tab/>
      </w:r>
      <w:r>
        <w:fldChar w:fldCharType="begin"/>
      </w:r>
      <w:r>
        <w:rPr>
          <w:rFonts w:hint="eastAsia"/>
        </w:rPr>
        <w:instrText xml:space="preserve"> </w:instrText>
      </w:r>
      <w:r>
        <w:instrText xml:space="preserve">PAGEREF _Toc233624896 \h</w:instrText>
      </w:r>
      <w:r>
        <w:rPr>
          <w:rFonts w:hint="eastAsia"/>
        </w:rPr>
        <w:instrText xml:space="preserve"> </w:instrText>
      </w:r>
      <w:r>
        <w:rPr>
          <w:rFonts w:hint="eastAsia"/>
        </w:rPr>
        <w:fldChar w:fldCharType="separate"/>
      </w:r>
      <w:r>
        <w:t>39</w:t>
      </w:r>
      <w:r>
        <w:rPr>
          <w:rFonts w:hint="eastAsia"/>
        </w:rPr>
        <w:fldChar w:fldCharType="end"/>
      </w:r>
      <w:r>
        <w:fldChar w:fldCharType="end"/>
      </w:r>
    </w:p>
    <w:p w14:paraId="41672AE1">
      <w:pPr>
        <w:pStyle w:val="16"/>
        <w:tabs>
          <w:tab w:val="left" w:pos="1760"/>
          <w:tab w:val="right" w:leader="dot" w:pos="8296"/>
        </w:tabs>
        <w:rPr>
          <w:rFonts w:hint="eastAsia" w:ascii="等线" w:eastAsia="等线" w:cs="Arial"/>
          <w:kern w:val="2"/>
          <w:szCs w:val="24"/>
        </w:rPr>
      </w:pPr>
      <w:r>
        <w:fldChar w:fldCharType="begin"/>
      </w:r>
      <w:r>
        <w:instrText xml:space="preserve">Hyperlink \l "_Toc233624897"</w:instrText>
      </w:r>
      <w:r>
        <w:fldChar w:fldCharType="separate"/>
      </w:r>
      <w:r>
        <w:rPr>
          <w:rFonts w:hint="eastAsia"/>
          <w:color w:val="auto"/>
        </w:rPr>
        <w:t>第五十三条</w:t>
      </w:r>
      <w:r>
        <w:rPr>
          <w:rFonts w:hint="eastAsia" w:ascii="等线" w:eastAsia="等线" w:cs="Arial"/>
          <w:kern w:val="2"/>
          <w:szCs w:val="24"/>
        </w:rPr>
        <w:tab/>
      </w:r>
      <w:r>
        <w:rPr>
          <w:rFonts w:hint="eastAsia"/>
          <w:color w:val="auto"/>
        </w:rPr>
        <w:t>室外铺装</w:t>
      </w:r>
      <w:r>
        <w:rPr>
          <w:rFonts w:hint="eastAsia"/>
        </w:rPr>
        <w:tab/>
      </w:r>
      <w:r>
        <w:fldChar w:fldCharType="begin"/>
      </w:r>
      <w:r>
        <w:rPr>
          <w:rFonts w:hint="eastAsia"/>
        </w:rPr>
        <w:instrText xml:space="preserve"> </w:instrText>
      </w:r>
      <w:r>
        <w:instrText xml:space="preserve">PAGEREF _Toc233624897 \h</w:instrText>
      </w:r>
      <w:r>
        <w:rPr>
          <w:rFonts w:hint="eastAsia"/>
        </w:rPr>
        <w:instrText xml:space="preserve"> </w:instrText>
      </w:r>
      <w:r>
        <w:rPr>
          <w:rFonts w:hint="eastAsia"/>
        </w:rPr>
        <w:fldChar w:fldCharType="separate"/>
      </w:r>
      <w:r>
        <w:t>40</w:t>
      </w:r>
      <w:r>
        <w:rPr>
          <w:rFonts w:hint="eastAsia"/>
        </w:rPr>
        <w:fldChar w:fldCharType="end"/>
      </w:r>
      <w:r>
        <w:fldChar w:fldCharType="end"/>
      </w:r>
    </w:p>
    <w:p w14:paraId="4570CBDB">
      <w:pPr>
        <w:pStyle w:val="16"/>
        <w:tabs>
          <w:tab w:val="left" w:pos="1760"/>
          <w:tab w:val="right" w:leader="dot" w:pos="8296"/>
        </w:tabs>
        <w:rPr>
          <w:rFonts w:hint="eastAsia" w:ascii="等线" w:eastAsia="等线" w:cs="Arial"/>
          <w:kern w:val="2"/>
          <w:szCs w:val="24"/>
        </w:rPr>
      </w:pPr>
      <w:r>
        <w:fldChar w:fldCharType="begin"/>
      </w:r>
      <w:r>
        <w:instrText xml:space="preserve">Hyperlink \l "_Toc233624898"</w:instrText>
      </w:r>
      <w:r>
        <w:fldChar w:fldCharType="separate"/>
      </w:r>
      <w:r>
        <w:rPr>
          <w:rFonts w:hint="eastAsia"/>
          <w:color w:val="auto"/>
        </w:rPr>
        <w:t>第五十四条</w:t>
      </w:r>
      <w:r>
        <w:rPr>
          <w:rFonts w:hint="eastAsia" w:ascii="等线" w:eastAsia="等线" w:cs="Arial"/>
          <w:kern w:val="2"/>
          <w:szCs w:val="24"/>
        </w:rPr>
        <w:tab/>
      </w:r>
      <w:r>
        <w:rPr>
          <w:rFonts w:hint="eastAsia"/>
          <w:color w:val="auto"/>
        </w:rPr>
        <w:t>路面材料指标</w:t>
      </w:r>
      <w:r>
        <w:rPr>
          <w:rFonts w:hint="eastAsia"/>
        </w:rPr>
        <w:tab/>
      </w:r>
      <w:r>
        <w:fldChar w:fldCharType="begin"/>
      </w:r>
      <w:r>
        <w:rPr>
          <w:rFonts w:hint="eastAsia"/>
        </w:rPr>
        <w:instrText xml:space="preserve"> </w:instrText>
      </w:r>
      <w:r>
        <w:instrText xml:space="preserve">PAGEREF _Toc233624898 \h</w:instrText>
      </w:r>
      <w:r>
        <w:rPr>
          <w:rFonts w:hint="eastAsia"/>
        </w:rPr>
        <w:instrText xml:space="preserve"> </w:instrText>
      </w:r>
      <w:r>
        <w:rPr>
          <w:rFonts w:hint="eastAsia"/>
        </w:rPr>
        <w:fldChar w:fldCharType="separate"/>
      </w:r>
      <w:r>
        <w:t>41</w:t>
      </w:r>
      <w:r>
        <w:rPr>
          <w:rFonts w:hint="eastAsia"/>
        </w:rPr>
        <w:fldChar w:fldCharType="end"/>
      </w:r>
      <w:r>
        <w:fldChar w:fldCharType="end"/>
      </w:r>
    </w:p>
    <w:p w14:paraId="21B79703">
      <w:pPr>
        <w:pStyle w:val="16"/>
        <w:tabs>
          <w:tab w:val="left" w:pos="1760"/>
          <w:tab w:val="right" w:leader="dot" w:pos="8296"/>
        </w:tabs>
        <w:rPr>
          <w:rFonts w:hint="eastAsia" w:ascii="等线" w:eastAsia="等线" w:cs="Arial"/>
          <w:kern w:val="2"/>
          <w:szCs w:val="24"/>
        </w:rPr>
      </w:pPr>
      <w:r>
        <w:fldChar w:fldCharType="begin"/>
      </w:r>
      <w:r>
        <w:instrText xml:space="preserve">Hyperlink \l "_Toc233624899"</w:instrText>
      </w:r>
      <w:r>
        <w:fldChar w:fldCharType="separate"/>
      </w:r>
      <w:r>
        <w:rPr>
          <w:rFonts w:hint="eastAsia"/>
          <w:color w:val="auto"/>
        </w:rPr>
        <w:t>第五十五条</w:t>
      </w:r>
      <w:r>
        <w:rPr>
          <w:rFonts w:hint="eastAsia" w:ascii="等线" w:eastAsia="等线" w:cs="Arial"/>
          <w:kern w:val="2"/>
          <w:szCs w:val="24"/>
        </w:rPr>
        <w:tab/>
      </w:r>
      <w:r>
        <w:rPr>
          <w:rFonts w:hint="eastAsia"/>
          <w:color w:val="auto"/>
        </w:rPr>
        <w:t>检查井周边路面加强</w:t>
      </w:r>
      <w:r>
        <w:rPr>
          <w:rFonts w:hint="eastAsia"/>
        </w:rPr>
        <w:tab/>
      </w:r>
      <w:r>
        <w:fldChar w:fldCharType="begin"/>
      </w:r>
      <w:r>
        <w:rPr>
          <w:rFonts w:hint="eastAsia"/>
        </w:rPr>
        <w:instrText xml:space="preserve"> </w:instrText>
      </w:r>
      <w:r>
        <w:instrText xml:space="preserve">PAGEREF _Toc233624899 \h</w:instrText>
      </w:r>
      <w:r>
        <w:rPr>
          <w:rFonts w:hint="eastAsia"/>
        </w:rPr>
        <w:instrText xml:space="preserve"> </w:instrText>
      </w:r>
      <w:r>
        <w:rPr>
          <w:rFonts w:hint="eastAsia"/>
        </w:rPr>
        <w:fldChar w:fldCharType="separate"/>
      </w:r>
      <w:r>
        <w:t>41</w:t>
      </w:r>
      <w:r>
        <w:rPr>
          <w:rFonts w:hint="eastAsia"/>
        </w:rPr>
        <w:fldChar w:fldCharType="end"/>
      </w:r>
      <w:r>
        <w:fldChar w:fldCharType="end"/>
      </w:r>
    </w:p>
    <w:p w14:paraId="5CE57A4C">
      <w:pPr>
        <w:pStyle w:val="16"/>
        <w:tabs>
          <w:tab w:val="left" w:pos="1760"/>
          <w:tab w:val="right" w:leader="dot" w:pos="8296"/>
        </w:tabs>
        <w:rPr>
          <w:rFonts w:hint="eastAsia" w:ascii="等线" w:eastAsia="等线" w:cs="Arial"/>
          <w:kern w:val="2"/>
          <w:szCs w:val="24"/>
        </w:rPr>
      </w:pPr>
      <w:r>
        <w:fldChar w:fldCharType="begin"/>
      </w:r>
      <w:r>
        <w:instrText xml:space="preserve">Hyperlink \l "_Toc233624900"</w:instrText>
      </w:r>
      <w:r>
        <w:fldChar w:fldCharType="separate"/>
      </w:r>
      <w:r>
        <w:rPr>
          <w:rFonts w:hint="eastAsia"/>
          <w:color w:val="auto"/>
        </w:rPr>
        <w:t>第五十六条</w:t>
      </w:r>
      <w:r>
        <w:rPr>
          <w:rFonts w:hint="eastAsia" w:ascii="等线" w:eastAsia="等线" w:cs="Arial"/>
          <w:kern w:val="2"/>
          <w:szCs w:val="24"/>
        </w:rPr>
        <w:tab/>
      </w:r>
      <w:r>
        <w:rPr>
          <w:rFonts w:hint="eastAsia"/>
          <w:color w:val="auto"/>
        </w:rPr>
        <w:t>路面抗滑标准</w:t>
      </w:r>
      <w:r>
        <w:rPr>
          <w:rFonts w:hint="eastAsia"/>
        </w:rPr>
        <w:tab/>
      </w:r>
      <w:r>
        <w:fldChar w:fldCharType="begin"/>
      </w:r>
      <w:r>
        <w:rPr>
          <w:rFonts w:hint="eastAsia"/>
        </w:rPr>
        <w:instrText xml:space="preserve"> </w:instrText>
      </w:r>
      <w:r>
        <w:instrText xml:space="preserve">PAGEREF _Toc233624900 \h</w:instrText>
      </w:r>
      <w:r>
        <w:rPr>
          <w:rFonts w:hint="eastAsia"/>
        </w:rPr>
        <w:instrText xml:space="preserve"> </w:instrText>
      </w:r>
      <w:r>
        <w:rPr>
          <w:rFonts w:hint="eastAsia"/>
        </w:rPr>
        <w:fldChar w:fldCharType="separate"/>
      </w:r>
      <w:r>
        <w:t>41</w:t>
      </w:r>
      <w:r>
        <w:rPr>
          <w:rFonts w:hint="eastAsia"/>
        </w:rPr>
        <w:fldChar w:fldCharType="end"/>
      </w:r>
      <w:r>
        <w:fldChar w:fldCharType="end"/>
      </w:r>
    </w:p>
    <w:p w14:paraId="43D06FBA">
      <w:pPr>
        <w:pStyle w:val="16"/>
        <w:tabs>
          <w:tab w:val="left" w:pos="1760"/>
          <w:tab w:val="right" w:leader="dot" w:pos="8296"/>
        </w:tabs>
        <w:rPr>
          <w:rFonts w:hint="eastAsia" w:ascii="等线" w:eastAsia="等线" w:cs="Arial"/>
          <w:kern w:val="2"/>
          <w:szCs w:val="24"/>
        </w:rPr>
      </w:pPr>
      <w:r>
        <w:fldChar w:fldCharType="begin"/>
      </w:r>
      <w:r>
        <w:instrText xml:space="preserve">Hyperlink \l "_Toc233624901"</w:instrText>
      </w:r>
      <w:r>
        <w:fldChar w:fldCharType="separate"/>
      </w:r>
      <w:r>
        <w:rPr>
          <w:rFonts w:hint="eastAsia"/>
          <w:color w:val="auto"/>
        </w:rPr>
        <w:t>第五十七条</w:t>
      </w:r>
      <w:r>
        <w:rPr>
          <w:rFonts w:hint="eastAsia" w:ascii="等线" w:eastAsia="等线" w:cs="Arial"/>
          <w:kern w:val="2"/>
          <w:szCs w:val="24"/>
        </w:rPr>
        <w:tab/>
      </w:r>
      <w:r>
        <w:rPr>
          <w:rFonts w:hint="eastAsia"/>
          <w:color w:val="auto"/>
        </w:rPr>
        <w:t>路缘石</w:t>
      </w:r>
      <w:r>
        <w:rPr>
          <w:rFonts w:hint="eastAsia"/>
        </w:rPr>
        <w:tab/>
      </w:r>
      <w:r>
        <w:fldChar w:fldCharType="begin"/>
      </w:r>
      <w:r>
        <w:rPr>
          <w:rFonts w:hint="eastAsia"/>
        </w:rPr>
        <w:instrText xml:space="preserve"> </w:instrText>
      </w:r>
      <w:r>
        <w:instrText xml:space="preserve">PAGEREF _Toc233624901 \h</w:instrText>
      </w:r>
      <w:r>
        <w:rPr>
          <w:rFonts w:hint="eastAsia"/>
        </w:rPr>
        <w:instrText xml:space="preserve"> </w:instrText>
      </w:r>
      <w:r>
        <w:rPr>
          <w:rFonts w:hint="eastAsia"/>
        </w:rPr>
        <w:fldChar w:fldCharType="separate"/>
      </w:r>
      <w:r>
        <w:t>42</w:t>
      </w:r>
      <w:r>
        <w:rPr>
          <w:rFonts w:hint="eastAsia"/>
        </w:rPr>
        <w:fldChar w:fldCharType="end"/>
      </w:r>
      <w:r>
        <w:fldChar w:fldCharType="end"/>
      </w:r>
    </w:p>
    <w:p w14:paraId="5EC701DD">
      <w:pPr>
        <w:pStyle w:val="16"/>
        <w:tabs>
          <w:tab w:val="left" w:pos="1760"/>
          <w:tab w:val="right" w:leader="dot" w:pos="8296"/>
        </w:tabs>
        <w:rPr>
          <w:rFonts w:hint="eastAsia" w:ascii="等线" w:eastAsia="等线" w:cs="Arial"/>
          <w:kern w:val="2"/>
          <w:szCs w:val="24"/>
        </w:rPr>
      </w:pPr>
      <w:r>
        <w:fldChar w:fldCharType="begin"/>
      </w:r>
      <w:r>
        <w:instrText xml:space="preserve">Hyperlink \l "_Toc233624902"</w:instrText>
      </w:r>
      <w:r>
        <w:fldChar w:fldCharType="separate"/>
      </w:r>
      <w:r>
        <w:rPr>
          <w:rFonts w:hint="eastAsia"/>
          <w:color w:val="auto"/>
        </w:rPr>
        <w:t>第五十八条</w:t>
      </w:r>
      <w:r>
        <w:rPr>
          <w:rFonts w:hint="eastAsia" w:ascii="等线" w:eastAsia="等线" w:cs="Arial"/>
          <w:kern w:val="2"/>
          <w:szCs w:val="24"/>
        </w:rPr>
        <w:tab/>
      </w:r>
      <w:r>
        <w:rPr>
          <w:rFonts w:hint="eastAsia"/>
          <w:color w:val="auto"/>
        </w:rPr>
        <w:t>市政道路无障碍</w:t>
      </w:r>
      <w:r>
        <w:rPr>
          <w:rFonts w:hint="eastAsia"/>
        </w:rPr>
        <w:tab/>
      </w:r>
      <w:r>
        <w:fldChar w:fldCharType="begin"/>
      </w:r>
      <w:r>
        <w:rPr>
          <w:rFonts w:hint="eastAsia"/>
        </w:rPr>
        <w:instrText xml:space="preserve"> </w:instrText>
      </w:r>
      <w:r>
        <w:instrText xml:space="preserve">PAGEREF _Toc233624902 \h</w:instrText>
      </w:r>
      <w:r>
        <w:rPr>
          <w:rFonts w:hint="eastAsia"/>
        </w:rPr>
        <w:instrText xml:space="preserve"> </w:instrText>
      </w:r>
      <w:r>
        <w:rPr>
          <w:rFonts w:hint="eastAsia"/>
        </w:rPr>
        <w:fldChar w:fldCharType="separate"/>
      </w:r>
      <w:r>
        <w:t>43</w:t>
      </w:r>
      <w:r>
        <w:rPr>
          <w:rFonts w:hint="eastAsia"/>
        </w:rPr>
        <w:fldChar w:fldCharType="end"/>
      </w:r>
      <w:r>
        <w:fldChar w:fldCharType="end"/>
      </w:r>
    </w:p>
    <w:p w14:paraId="7AA260BC">
      <w:pPr>
        <w:pStyle w:val="16"/>
        <w:tabs>
          <w:tab w:val="left" w:pos="1760"/>
          <w:tab w:val="right" w:leader="dot" w:pos="8296"/>
        </w:tabs>
        <w:rPr>
          <w:rFonts w:hint="eastAsia" w:ascii="等线" w:eastAsia="等线" w:cs="Arial"/>
          <w:kern w:val="2"/>
          <w:szCs w:val="24"/>
        </w:rPr>
      </w:pPr>
      <w:r>
        <w:fldChar w:fldCharType="begin"/>
      </w:r>
      <w:r>
        <w:instrText xml:space="preserve">Hyperlink \l "_Toc233624903"</w:instrText>
      </w:r>
      <w:r>
        <w:fldChar w:fldCharType="separate"/>
      </w:r>
      <w:r>
        <w:rPr>
          <w:rFonts w:hint="eastAsia"/>
          <w:color w:val="auto"/>
        </w:rPr>
        <w:t>第五十九条</w:t>
      </w:r>
      <w:r>
        <w:rPr>
          <w:rFonts w:hint="eastAsia" w:ascii="等线" w:eastAsia="等线" w:cs="Arial"/>
          <w:kern w:val="2"/>
          <w:szCs w:val="24"/>
        </w:rPr>
        <w:tab/>
      </w:r>
      <w:r>
        <w:rPr>
          <w:rFonts w:hint="eastAsia"/>
          <w:color w:val="auto"/>
        </w:rPr>
        <w:t>城市道路路内停车管理</w:t>
      </w:r>
      <w:r>
        <w:rPr>
          <w:rFonts w:hint="eastAsia"/>
        </w:rPr>
        <w:tab/>
      </w:r>
      <w:r>
        <w:fldChar w:fldCharType="begin"/>
      </w:r>
      <w:r>
        <w:rPr>
          <w:rFonts w:hint="eastAsia"/>
        </w:rPr>
        <w:instrText xml:space="preserve"> </w:instrText>
      </w:r>
      <w:r>
        <w:instrText xml:space="preserve">PAGEREF _Toc233624903 \h</w:instrText>
      </w:r>
      <w:r>
        <w:rPr>
          <w:rFonts w:hint="eastAsia"/>
        </w:rPr>
        <w:instrText xml:space="preserve"> </w:instrText>
      </w:r>
      <w:r>
        <w:rPr>
          <w:rFonts w:hint="eastAsia"/>
        </w:rPr>
        <w:fldChar w:fldCharType="separate"/>
      </w:r>
      <w:r>
        <w:t>43</w:t>
      </w:r>
      <w:r>
        <w:rPr>
          <w:rFonts w:hint="eastAsia"/>
        </w:rPr>
        <w:fldChar w:fldCharType="end"/>
      </w:r>
      <w:r>
        <w:fldChar w:fldCharType="end"/>
      </w:r>
    </w:p>
    <w:p w14:paraId="5580927C">
      <w:pPr>
        <w:pStyle w:val="16"/>
        <w:tabs>
          <w:tab w:val="left" w:pos="1600"/>
          <w:tab w:val="right" w:leader="dot" w:pos="8296"/>
        </w:tabs>
        <w:rPr>
          <w:rFonts w:hint="eastAsia" w:ascii="等线" w:eastAsia="等线" w:cs="Arial"/>
          <w:kern w:val="2"/>
          <w:szCs w:val="24"/>
        </w:rPr>
      </w:pPr>
      <w:r>
        <w:fldChar w:fldCharType="begin"/>
      </w:r>
      <w:r>
        <w:instrText xml:space="preserve">Hyperlink \l "_Toc233624904"</w:instrText>
      </w:r>
      <w:r>
        <w:fldChar w:fldCharType="separate"/>
      </w:r>
      <w:r>
        <w:rPr>
          <w:rFonts w:hint="eastAsia"/>
          <w:color w:val="auto"/>
        </w:rPr>
        <w:t>第六十条</w:t>
      </w:r>
      <w:r>
        <w:rPr>
          <w:rFonts w:hint="eastAsia" w:ascii="等线" w:eastAsia="等线" w:cs="Arial"/>
          <w:kern w:val="2"/>
          <w:szCs w:val="24"/>
        </w:rPr>
        <w:tab/>
      </w:r>
      <w:r>
        <w:rPr>
          <w:rFonts w:hint="eastAsia"/>
          <w:color w:val="auto"/>
        </w:rPr>
        <w:t>道路附属设施杆体</w:t>
      </w:r>
      <w:r>
        <w:rPr>
          <w:rFonts w:hint="eastAsia"/>
        </w:rPr>
        <w:tab/>
      </w:r>
      <w:r>
        <w:fldChar w:fldCharType="begin"/>
      </w:r>
      <w:r>
        <w:rPr>
          <w:rFonts w:hint="eastAsia"/>
        </w:rPr>
        <w:instrText xml:space="preserve"> </w:instrText>
      </w:r>
      <w:r>
        <w:instrText xml:space="preserve">PAGEREF _Toc233624904 \h</w:instrText>
      </w:r>
      <w:r>
        <w:rPr>
          <w:rFonts w:hint="eastAsia"/>
        </w:rPr>
        <w:instrText xml:space="preserve"> </w:instrText>
      </w:r>
      <w:r>
        <w:rPr>
          <w:rFonts w:hint="eastAsia"/>
        </w:rPr>
        <w:fldChar w:fldCharType="separate"/>
      </w:r>
      <w:r>
        <w:t>44</w:t>
      </w:r>
      <w:r>
        <w:rPr>
          <w:rFonts w:hint="eastAsia"/>
        </w:rPr>
        <w:fldChar w:fldCharType="end"/>
      </w:r>
      <w:r>
        <w:fldChar w:fldCharType="end"/>
      </w:r>
    </w:p>
    <w:p w14:paraId="01377B6D">
      <w:pPr>
        <w:pStyle w:val="25"/>
        <w:tabs>
          <w:tab w:val="left" w:pos="1200"/>
          <w:tab w:val="right" w:leader="dot" w:pos="8296"/>
        </w:tabs>
        <w:rPr>
          <w:rFonts w:hint="eastAsia" w:ascii="等线" w:eastAsia="等线" w:cs="Arial"/>
          <w:kern w:val="2"/>
          <w:szCs w:val="24"/>
        </w:rPr>
      </w:pPr>
      <w:r>
        <w:fldChar w:fldCharType="begin"/>
      </w:r>
      <w:r>
        <w:instrText xml:space="preserve">Hyperlink \l "_Toc233624905"</w:instrText>
      </w:r>
      <w:r>
        <w:fldChar w:fldCharType="separate"/>
      </w:r>
      <w:r>
        <w:rPr>
          <w:rFonts w:hint="eastAsia" w:ascii="Times New Roman" w:hAnsi="Times New Roman" w:eastAsia="黑体"/>
          <w:color w:val="auto"/>
        </w:rPr>
        <w:t>第六节</w:t>
      </w:r>
      <w:r>
        <w:rPr>
          <w:rFonts w:hint="eastAsia" w:ascii="等线" w:eastAsia="等线" w:cs="Arial"/>
          <w:kern w:val="2"/>
          <w:szCs w:val="24"/>
        </w:rPr>
        <w:tab/>
      </w:r>
      <w:r>
        <w:rPr>
          <w:rFonts w:hint="eastAsia" w:ascii="Times New Roman" w:hAnsi="Times New Roman" w:eastAsia="黑体"/>
          <w:color w:val="auto"/>
        </w:rPr>
        <w:t>市政管线</w:t>
      </w:r>
      <w:r>
        <w:rPr>
          <w:rFonts w:hint="eastAsia"/>
        </w:rPr>
        <w:tab/>
      </w:r>
      <w:r>
        <w:fldChar w:fldCharType="begin"/>
      </w:r>
      <w:r>
        <w:rPr>
          <w:rFonts w:hint="eastAsia"/>
        </w:rPr>
        <w:instrText xml:space="preserve"> </w:instrText>
      </w:r>
      <w:r>
        <w:instrText xml:space="preserve">PAGEREF _Toc233624905 \h</w:instrText>
      </w:r>
      <w:r>
        <w:rPr>
          <w:rFonts w:hint="eastAsia"/>
        </w:rPr>
        <w:instrText xml:space="preserve"> </w:instrText>
      </w:r>
      <w:r>
        <w:rPr>
          <w:rFonts w:hint="eastAsia"/>
        </w:rPr>
        <w:fldChar w:fldCharType="separate"/>
      </w:r>
      <w:r>
        <w:t>44</w:t>
      </w:r>
      <w:r>
        <w:rPr>
          <w:rFonts w:hint="eastAsia"/>
        </w:rPr>
        <w:fldChar w:fldCharType="end"/>
      </w:r>
      <w:r>
        <w:fldChar w:fldCharType="end"/>
      </w:r>
    </w:p>
    <w:p w14:paraId="717DA75E">
      <w:pPr>
        <w:pStyle w:val="16"/>
        <w:tabs>
          <w:tab w:val="left" w:pos="1760"/>
          <w:tab w:val="right" w:leader="dot" w:pos="8296"/>
        </w:tabs>
        <w:rPr>
          <w:rFonts w:hint="eastAsia" w:ascii="等线" w:eastAsia="等线" w:cs="Arial"/>
          <w:kern w:val="2"/>
          <w:szCs w:val="24"/>
        </w:rPr>
      </w:pPr>
      <w:r>
        <w:fldChar w:fldCharType="begin"/>
      </w:r>
      <w:r>
        <w:instrText xml:space="preserve">Hyperlink \l "_Toc233624906"</w:instrText>
      </w:r>
      <w:r>
        <w:fldChar w:fldCharType="separate"/>
      </w:r>
      <w:r>
        <w:rPr>
          <w:rFonts w:hint="eastAsia"/>
          <w:color w:val="auto"/>
        </w:rPr>
        <w:t>第六十一条</w:t>
      </w:r>
      <w:r>
        <w:rPr>
          <w:rFonts w:hint="eastAsia" w:ascii="等线" w:eastAsia="等线" w:cs="Arial"/>
          <w:kern w:val="2"/>
          <w:szCs w:val="24"/>
        </w:rPr>
        <w:tab/>
      </w:r>
      <w:r>
        <w:rPr>
          <w:rFonts w:hint="eastAsia"/>
          <w:color w:val="auto"/>
        </w:rPr>
        <w:t>管线综合管控</w:t>
      </w:r>
      <w:r>
        <w:rPr>
          <w:rFonts w:hint="eastAsia"/>
        </w:rPr>
        <w:tab/>
      </w:r>
      <w:r>
        <w:fldChar w:fldCharType="begin"/>
      </w:r>
      <w:r>
        <w:rPr>
          <w:rFonts w:hint="eastAsia"/>
        </w:rPr>
        <w:instrText xml:space="preserve"> </w:instrText>
      </w:r>
      <w:r>
        <w:instrText xml:space="preserve">PAGEREF _Toc233624906 \h</w:instrText>
      </w:r>
      <w:r>
        <w:rPr>
          <w:rFonts w:hint="eastAsia"/>
        </w:rPr>
        <w:instrText xml:space="preserve"> </w:instrText>
      </w:r>
      <w:r>
        <w:rPr>
          <w:rFonts w:hint="eastAsia"/>
        </w:rPr>
        <w:fldChar w:fldCharType="separate"/>
      </w:r>
      <w:r>
        <w:t>44</w:t>
      </w:r>
      <w:r>
        <w:rPr>
          <w:rFonts w:hint="eastAsia"/>
        </w:rPr>
        <w:fldChar w:fldCharType="end"/>
      </w:r>
      <w:r>
        <w:fldChar w:fldCharType="end"/>
      </w:r>
    </w:p>
    <w:p w14:paraId="37D164C2">
      <w:pPr>
        <w:pStyle w:val="16"/>
        <w:tabs>
          <w:tab w:val="left" w:pos="1760"/>
          <w:tab w:val="right" w:leader="dot" w:pos="8296"/>
        </w:tabs>
        <w:rPr>
          <w:rFonts w:hint="eastAsia" w:ascii="等线" w:eastAsia="等线" w:cs="Arial"/>
          <w:kern w:val="2"/>
          <w:szCs w:val="24"/>
        </w:rPr>
      </w:pPr>
      <w:r>
        <w:fldChar w:fldCharType="begin"/>
      </w:r>
      <w:r>
        <w:instrText xml:space="preserve">Hyperlink \l "_Toc233624907"</w:instrText>
      </w:r>
      <w:r>
        <w:fldChar w:fldCharType="separate"/>
      </w:r>
      <w:r>
        <w:rPr>
          <w:rFonts w:hint="eastAsia"/>
          <w:color w:val="auto"/>
        </w:rPr>
        <w:t>第六十二条</w:t>
      </w:r>
      <w:r>
        <w:rPr>
          <w:rFonts w:hint="eastAsia" w:ascii="等线" w:eastAsia="等线" w:cs="Arial"/>
          <w:kern w:val="2"/>
          <w:szCs w:val="24"/>
        </w:rPr>
        <w:tab/>
      </w:r>
      <w:r>
        <w:rPr>
          <w:rFonts w:hint="eastAsia"/>
          <w:color w:val="auto"/>
        </w:rPr>
        <w:t>水表智能升级</w:t>
      </w:r>
      <w:r>
        <w:rPr>
          <w:rFonts w:hint="eastAsia"/>
        </w:rPr>
        <w:tab/>
      </w:r>
      <w:r>
        <w:fldChar w:fldCharType="begin"/>
      </w:r>
      <w:r>
        <w:rPr>
          <w:rFonts w:hint="eastAsia"/>
        </w:rPr>
        <w:instrText xml:space="preserve"> </w:instrText>
      </w:r>
      <w:r>
        <w:instrText xml:space="preserve">PAGEREF _Toc233624907 \h</w:instrText>
      </w:r>
      <w:r>
        <w:rPr>
          <w:rFonts w:hint="eastAsia"/>
        </w:rPr>
        <w:instrText xml:space="preserve"> </w:instrText>
      </w:r>
      <w:r>
        <w:rPr>
          <w:rFonts w:hint="eastAsia"/>
        </w:rPr>
        <w:fldChar w:fldCharType="separate"/>
      </w:r>
      <w:r>
        <w:t>44</w:t>
      </w:r>
      <w:r>
        <w:rPr>
          <w:rFonts w:hint="eastAsia"/>
        </w:rPr>
        <w:fldChar w:fldCharType="end"/>
      </w:r>
      <w:r>
        <w:fldChar w:fldCharType="end"/>
      </w:r>
    </w:p>
    <w:p w14:paraId="2E4854CF">
      <w:pPr>
        <w:pStyle w:val="16"/>
        <w:tabs>
          <w:tab w:val="left" w:pos="1760"/>
          <w:tab w:val="right" w:leader="dot" w:pos="8296"/>
        </w:tabs>
        <w:rPr>
          <w:rFonts w:hint="eastAsia" w:ascii="等线" w:eastAsia="等线" w:cs="Arial"/>
          <w:kern w:val="2"/>
          <w:szCs w:val="24"/>
        </w:rPr>
      </w:pPr>
      <w:r>
        <w:fldChar w:fldCharType="begin"/>
      </w:r>
      <w:r>
        <w:instrText xml:space="preserve">Hyperlink \l "_Toc233624908"</w:instrText>
      </w:r>
      <w:r>
        <w:fldChar w:fldCharType="separate"/>
      </w:r>
      <w:r>
        <w:rPr>
          <w:rFonts w:hint="eastAsia"/>
          <w:color w:val="auto"/>
        </w:rPr>
        <w:t>第六十三条</w:t>
      </w:r>
      <w:r>
        <w:rPr>
          <w:rFonts w:hint="eastAsia" w:ascii="等线" w:eastAsia="等线" w:cs="Arial"/>
          <w:kern w:val="2"/>
          <w:szCs w:val="24"/>
        </w:rPr>
        <w:tab/>
      </w:r>
      <w:r>
        <w:rPr>
          <w:rFonts w:hint="eastAsia"/>
          <w:color w:val="auto"/>
        </w:rPr>
        <w:t>管道埋深</w:t>
      </w:r>
      <w:r>
        <w:rPr>
          <w:rFonts w:hint="eastAsia"/>
        </w:rPr>
        <w:tab/>
      </w:r>
      <w:r>
        <w:fldChar w:fldCharType="begin"/>
      </w:r>
      <w:r>
        <w:rPr>
          <w:rFonts w:hint="eastAsia"/>
        </w:rPr>
        <w:instrText xml:space="preserve"> </w:instrText>
      </w:r>
      <w:r>
        <w:instrText xml:space="preserve">PAGEREF _Toc233624908 \h</w:instrText>
      </w:r>
      <w:r>
        <w:rPr>
          <w:rFonts w:hint="eastAsia"/>
        </w:rPr>
        <w:instrText xml:space="preserve"> </w:instrText>
      </w:r>
      <w:r>
        <w:rPr>
          <w:rFonts w:hint="eastAsia"/>
        </w:rPr>
        <w:fldChar w:fldCharType="separate"/>
      </w:r>
      <w:r>
        <w:t>44</w:t>
      </w:r>
      <w:r>
        <w:rPr>
          <w:rFonts w:hint="eastAsia"/>
        </w:rPr>
        <w:fldChar w:fldCharType="end"/>
      </w:r>
      <w:r>
        <w:fldChar w:fldCharType="end"/>
      </w:r>
    </w:p>
    <w:p w14:paraId="5B2E2A71">
      <w:pPr>
        <w:pStyle w:val="16"/>
        <w:tabs>
          <w:tab w:val="left" w:pos="1760"/>
          <w:tab w:val="right" w:leader="dot" w:pos="8296"/>
        </w:tabs>
        <w:rPr>
          <w:rFonts w:hint="eastAsia" w:ascii="等线" w:eastAsia="等线" w:cs="Arial"/>
          <w:kern w:val="2"/>
          <w:szCs w:val="24"/>
        </w:rPr>
      </w:pPr>
      <w:r>
        <w:fldChar w:fldCharType="begin"/>
      </w:r>
      <w:r>
        <w:instrText xml:space="preserve">Hyperlink \l "_Toc233624909"</w:instrText>
      </w:r>
      <w:r>
        <w:fldChar w:fldCharType="separate"/>
      </w:r>
      <w:r>
        <w:rPr>
          <w:rFonts w:hint="eastAsia"/>
          <w:color w:val="auto"/>
        </w:rPr>
        <w:t>第六十四条</w:t>
      </w:r>
      <w:r>
        <w:rPr>
          <w:rFonts w:hint="eastAsia" w:ascii="等线" w:eastAsia="等线" w:cs="Arial"/>
          <w:kern w:val="2"/>
          <w:szCs w:val="24"/>
        </w:rPr>
        <w:tab/>
      </w:r>
      <w:r>
        <w:rPr>
          <w:rFonts w:hint="eastAsia"/>
          <w:color w:val="auto"/>
        </w:rPr>
        <w:t>管道防冻</w:t>
      </w:r>
      <w:r>
        <w:rPr>
          <w:rFonts w:hint="eastAsia"/>
        </w:rPr>
        <w:tab/>
      </w:r>
      <w:r>
        <w:fldChar w:fldCharType="begin"/>
      </w:r>
      <w:r>
        <w:rPr>
          <w:rFonts w:hint="eastAsia"/>
        </w:rPr>
        <w:instrText xml:space="preserve"> </w:instrText>
      </w:r>
      <w:r>
        <w:instrText xml:space="preserve">PAGEREF _Toc233624909 \h</w:instrText>
      </w:r>
      <w:r>
        <w:rPr>
          <w:rFonts w:hint="eastAsia"/>
        </w:rPr>
        <w:instrText xml:space="preserve"> </w:instrText>
      </w:r>
      <w:r>
        <w:rPr>
          <w:rFonts w:hint="eastAsia"/>
        </w:rPr>
        <w:fldChar w:fldCharType="separate"/>
      </w:r>
      <w:r>
        <w:t>45</w:t>
      </w:r>
      <w:r>
        <w:rPr>
          <w:rFonts w:hint="eastAsia"/>
        </w:rPr>
        <w:fldChar w:fldCharType="end"/>
      </w:r>
      <w:r>
        <w:fldChar w:fldCharType="end"/>
      </w:r>
    </w:p>
    <w:p w14:paraId="6BF79E9E">
      <w:pPr>
        <w:pStyle w:val="16"/>
        <w:tabs>
          <w:tab w:val="left" w:pos="1760"/>
          <w:tab w:val="right" w:leader="dot" w:pos="8296"/>
        </w:tabs>
        <w:rPr>
          <w:rFonts w:hint="eastAsia" w:ascii="等线" w:eastAsia="等线" w:cs="Arial"/>
          <w:kern w:val="2"/>
          <w:szCs w:val="24"/>
        </w:rPr>
      </w:pPr>
      <w:r>
        <w:fldChar w:fldCharType="begin"/>
      </w:r>
      <w:r>
        <w:instrText xml:space="preserve">Hyperlink \l "_Toc233624910"</w:instrText>
      </w:r>
      <w:r>
        <w:fldChar w:fldCharType="separate"/>
      </w:r>
      <w:r>
        <w:rPr>
          <w:rFonts w:hint="eastAsia"/>
          <w:color w:val="auto"/>
        </w:rPr>
        <w:t>第六十五条</w:t>
      </w:r>
      <w:r>
        <w:rPr>
          <w:rFonts w:hint="eastAsia" w:ascii="等线" w:eastAsia="等线" w:cs="Arial"/>
          <w:kern w:val="2"/>
          <w:szCs w:val="24"/>
        </w:rPr>
        <w:tab/>
      </w:r>
      <w:r>
        <w:rPr>
          <w:rFonts w:hint="eastAsia"/>
          <w:color w:val="auto"/>
        </w:rPr>
        <w:t>排水管道修复</w:t>
      </w:r>
      <w:r>
        <w:rPr>
          <w:rFonts w:hint="eastAsia"/>
        </w:rPr>
        <w:tab/>
      </w:r>
      <w:r>
        <w:fldChar w:fldCharType="begin"/>
      </w:r>
      <w:r>
        <w:rPr>
          <w:rFonts w:hint="eastAsia"/>
        </w:rPr>
        <w:instrText xml:space="preserve"> </w:instrText>
      </w:r>
      <w:r>
        <w:instrText xml:space="preserve">PAGEREF _Toc233624910 \h</w:instrText>
      </w:r>
      <w:r>
        <w:rPr>
          <w:rFonts w:hint="eastAsia"/>
        </w:rPr>
        <w:instrText xml:space="preserve"> </w:instrText>
      </w:r>
      <w:r>
        <w:rPr>
          <w:rFonts w:hint="eastAsia"/>
        </w:rPr>
        <w:fldChar w:fldCharType="separate"/>
      </w:r>
      <w:r>
        <w:t>45</w:t>
      </w:r>
      <w:r>
        <w:rPr>
          <w:rFonts w:hint="eastAsia"/>
        </w:rPr>
        <w:fldChar w:fldCharType="end"/>
      </w:r>
      <w:r>
        <w:fldChar w:fldCharType="end"/>
      </w:r>
    </w:p>
    <w:p w14:paraId="4798E109">
      <w:pPr>
        <w:pStyle w:val="16"/>
        <w:tabs>
          <w:tab w:val="left" w:pos="1760"/>
          <w:tab w:val="right" w:leader="dot" w:pos="8296"/>
        </w:tabs>
        <w:rPr>
          <w:rFonts w:hint="eastAsia" w:ascii="等线" w:eastAsia="等线" w:cs="Arial"/>
          <w:kern w:val="2"/>
          <w:szCs w:val="24"/>
        </w:rPr>
      </w:pPr>
      <w:r>
        <w:fldChar w:fldCharType="begin"/>
      </w:r>
      <w:r>
        <w:instrText xml:space="preserve">Hyperlink \l "_Toc233624911"</w:instrText>
      </w:r>
      <w:r>
        <w:fldChar w:fldCharType="separate"/>
      </w:r>
      <w:r>
        <w:rPr>
          <w:rFonts w:hint="eastAsia"/>
          <w:color w:val="auto"/>
        </w:rPr>
        <w:t>第六十六条</w:t>
      </w:r>
      <w:r>
        <w:rPr>
          <w:rFonts w:hint="eastAsia" w:ascii="等线" w:eastAsia="等线" w:cs="Arial"/>
          <w:kern w:val="2"/>
          <w:szCs w:val="24"/>
        </w:rPr>
        <w:tab/>
      </w:r>
      <w:r>
        <w:rPr>
          <w:rFonts w:hint="eastAsia"/>
          <w:color w:val="auto"/>
        </w:rPr>
        <w:t>检查井设置</w:t>
      </w:r>
      <w:r>
        <w:rPr>
          <w:rFonts w:hint="eastAsia"/>
        </w:rPr>
        <w:tab/>
      </w:r>
      <w:r>
        <w:fldChar w:fldCharType="begin"/>
      </w:r>
      <w:r>
        <w:rPr>
          <w:rFonts w:hint="eastAsia"/>
        </w:rPr>
        <w:instrText xml:space="preserve"> </w:instrText>
      </w:r>
      <w:r>
        <w:instrText xml:space="preserve">PAGEREF _Toc233624911 \h</w:instrText>
      </w:r>
      <w:r>
        <w:rPr>
          <w:rFonts w:hint="eastAsia"/>
        </w:rPr>
        <w:instrText xml:space="preserve"> </w:instrText>
      </w:r>
      <w:r>
        <w:rPr>
          <w:rFonts w:hint="eastAsia"/>
        </w:rPr>
        <w:fldChar w:fldCharType="separate"/>
      </w:r>
      <w:r>
        <w:t>45</w:t>
      </w:r>
      <w:r>
        <w:rPr>
          <w:rFonts w:hint="eastAsia"/>
        </w:rPr>
        <w:fldChar w:fldCharType="end"/>
      </w:r>
      <w:r>
        <w:fldChar w:fldCharType="end"/>
      </w:r>
    </w:p>
    <w:p w14:paraId="7EBFCDE0">
      <w:pPr>
        <w:pStyle w:val="16"/>
        <w:tabs>
          <w:tab w:val="left" w:pos="1760"/>
          <w:tab w:val="right" w:leader="dot" w:pos="8296"/>
        </w:tabs>
        <w:rPr>
          <w:rFonts w:hint="eastAsia" w:ascii="等线" w:eastAsia="等线" w:cs="Arial"/>
          <w:kern w:val="2"/>
          <w:szCs w:val="24"/>
        </w:rPr>
      </w:pPr>
      <w:r>
        <w:fldChar w:fldCharType="begin"/>
      </w:r>
      <w:r>
        <w:instrText xml:space="preserve">Hyperlink \l "_Toc233624912"</w:instrText>
      </w:r>
      <w:r>
        <w:fldChar w:fldCharType="separate"/>
      </w:r>
      <w:r>
        <w:rPr>
          <w:rFonts w:hint="eastAsia"/>
          <w:color w:val="auto"/>
        </w:rPr>
        <w:t>第六十七条</w:t>
      </w:r>
      <w:r>
        <w:rPr>
          <w:rFonts w:hint="eastAsia" w:ascii="等线" w:eastAsia="等线" w:cs="Arial"/>
          <w:kern w:val="2"/>
          <w:szCs w:val="24"/>
        </w:rPr>
        <w:tab/>
      </w:r>
      <w:r>
        <w:rPr>
          <w:rFonts w:hint="eastAsia"/>
          <w:color w:val="auto"/>
        </w:rPr>
        <w:t>检查井井盖选取标准</w:t>
      </w:r>
      <w:r>
        <w:rPr>
          <w:rFonts w:hint="eastAsia"/>
        </w:rPr>
        <w:tab/>
      </w:r>
      <w:r>
        <w:fldChar w:fldCharType="begin"/>
      </w:r>
      <w:r>
        <w:rPr>
          <w:rFonts w:hint="eastAsia"/>
        </w:rPr>
        <w:instrText xml:space="preserve"> </w:instrText>
      </w:r>
      <w:r>
        <w:instrText xml:space="preserve">PAGEREF _Toc233624912 \h</w:instrText>
      </w:r>
      <w:r>
        <w:rPr>
          <w:rFonts w:hint="eastAsia"/>
        </w:rPr>
        <w:instrText xml:space="preserve"> </w:instrText>
      </w:r>
      <w:r>
        <w:rPr>
          <w:rFonts w:hint="eastAsia"/>
        </w:rPr>
        <w:fldChar w:fldCharType="separate"/>
      </w:r>
      <w:r>
        <w:t>45</w:t>
      </w:r>
      <w:r>
        <w:rPr>
          <w:rFonts w:hint="eastAsia"/>
        </w:rPr>
        <w:fldChar w:fldCharType="end"/>
      </w:r>
      <w:r>
        <w:fldChar w:fldCharType="end"/>
      </w:r>
    </w:p>
    <w:p w14:paraId="236AA215">
      <w:pPr>
        <w:pStyle w:val="16"/>
        <w:tabs>
          <w:tab w:val="left" w:pos="1760"/>
          <w:tab w:val="right" w:leader="dot" w:pos="8296"/>
        </w:tabs>
        <w:rPr>
          <w:rFonts w:hint="eastAsia" w:ascii="等线" w:eastAsia="等线" w:cs="Arial"/>
          <w:kern w:val="2"/>
          <w:szCs w:val="24"/>
        </w:rPr>
      </w:pPr>
      <w:r>
        <w:fldChar w:fldCharType="begin"/>
      </w:r>
      <w:r>
        <w:instrText xml:space="preserve">Hyperlink \l "_Toc233624913"</w:instrText>
      </w:r>
      <w:r>
        <w:fldChar w:fldCharType="separate"/>
      </w:r>
      <w:r>
        <w:rPr>
          <w:rFonts w:hint="eastAsia"/>
          <w:color w:val="auto"/>
        </w:rPr>
        <w:t>第六十八条</w:t>
      </w:r>
      <w:r>
        <w:rPr>
          <w:rFonts w:hint="eastAsia" w:ascii="等线" w:eastAsia="等线" w:cs="Arial"/>
          <w:kern w:val="2"/>
          <w:szCs w:val="24"/>
        </w:rPr>
        <w:tab/>
      </w:r>
      <w:r>
        <w:rPr>
          <w:rFonts w:hint="eastAsia"/>
          <w:color w:val="auto"/>
        </w:rPr>
        <w:t>污水处理构筑物保温防冻</w:t>
      </w:r>
      <w:r>
        <w:rPr>
          <w:rFonts w:hint="eastAsia"/>
        </w:rPr>
        <w:tab/>
      </w:r>
      <w:r>
        <w:fldChar w:fldCharType="begin"/>
      </w:r>
      <w:r>
        <w:rPr>
          <w:rFonts w:hint="eastAsia"/>
        </w:rPr>
        <w:instrText xml:space="preserve"> </w:instrText>
      </w:r>
      <w:r>
        <w:instrText xml:space="preserve">PAGEREF _Toc233624913 \h</w:instrText>
      </w:r>
      <w:r>
        <w:rPr>
          <w:rFonts w:hint="eastAsia"/>
        </w:rPr>
        <w:instrText xml:space="preserve"> </w:instrText>
      </w:r>
      <w:r>
        <w:rPr>
          <w:rFonts w:hint="eastAsia"/>
        </w:rPr>
        <w:fldChar w:fldCharType="separate"/>
      </w:r>
      <w:r>
        <w:t>46</w:t>
      </w:r>
      <w:r>
        <w:rPr>
          <w:rFonts w:hint="eastAsia"/>
        </w:rPr>
        <w:fldChar w:fldCharType="end"/>
      </w:r>
      <w:r>
        <w:fldChar w:fldCharType="end"/>
      </w:r>
    </w:p>
    <w:p w14:paraId="3CEFA371">
      <w:pPr>
        <w:pStyle w:val="25"/>
        <w:tabs>
          <w:tab w:val="left" w:pos="1200"/>
          <w:tab w:val="right" w:leader="dot" w:pos="8296"/>
        </w:tabs>
        <w:rPr>
          <w:rFonts w:hint="eastAsia" w:ascii="等线" w:eastAsia="等线" w:cs="Arial"/>
          <w:kern w:val="2"/>
          <w:szCs w:val="24"/>
        </w:rPr>
      </w:pPr>
      <w:r>
        <w:fldChar w:fldCharType="begin"/>
      </w:r>
      <w:r>
        <w:instrText xml:space="preserve">Hyperlink \l "_Toc233624914"</w:instrText>
      </w:r>
      <w:r>
        <w:fldChar w:fldCharType="separate"/>
      </w:r>
      <w:r>
        <w:rPr>
          <w:rFonts w:hint="eastAsia" w:ascii="Times New Roman" w:hAnsi="Times New Roman" w:eastAsia="黑体"/>
          <w:color w:val="auto"/>
        </w:rPr>
        <w:t>第七节</w:t>
      </w:r>
      <w:r>
        <w:rPr>
          <w:rFonts w:hint="eastAsia" w:ascii="等线" w:eastAsia="等线" w:cs="Arial"/>
          <w:kern w:val="2"/>
          <w:szCs w:val="24"/>
        </w:rPr>
        <w:tab/>
      </w:r>
      <w:r>
        <w:rPr>
          <w:rFonts w:hint="eastAsia" w:ascii="Times New Roman" w:hAnsi="Times New Roman" w:eastAsia="黑体"/>
          <w:color w:val="auto"/>
        </w:rPr>
        <w:t>城镇绿化和公用设施</w:t>
      </w:r>
      <w:r>
        <w:rPr>
          <w:rFonts w:hint="eastAsia"/>
        </w:rPr>
        <w:tab/>
      </w:r>
      <w:r>
        <w:fldChar w:fldCharType="begin"/>
      </w:r>
      <w:r>
        <w:rPr>
          <w:rFonts w:hint="eastAsia"/>
        </w:rPr>
        <w:instrText xml:space="preserve"> </w:instrText>
      </w:r>
      <w:r>
        <w:instrText xml:space="preserve">PAGEREF _Toc233624914 \h</w:instrText>
      </w:r>
      <w:r>
        <w:rPr>
          <w:rFonts w:hint="eastAsia"/>
        </w:rPr>
        <w:instrText xml:space="preserve"> </w:instrText>
      </w:r>
      <w:r>
        <w:rPr>
          <w:rFonts w:hint="eastAsia"/>
        </w:rPr>
        <w:fldChar w:fldCharType="separate"/>
      </w:r>
      <w:r>
        <w:t>46</w:t>
      </w:r>
      <w:r>
        <w:rPr>
          <w:rFonts w:hint="eastAsia"/>
        </w:rPr>
        <w:fldChar w:fldCharType="end"/>
      </w:r>
      <w:r>
        <w:fldChar w:fldCharType="end"/>
      </w:r>
    </w:p>
    <w:p w14:paraId="1A3E408A">
      <w:pPr>
        <w:pStyle w:val="16"/>
        <w:tabs>
          <w:tab w:val="left" w:pos="1760"/>
          <w:tab w:val="right" w:leader="dot" w:pos="8296"/>
        </w:tabs>
        <w:rPr>
          <w:rFonts w:hint="eastAsia" w:ascii="等线" w:eastAsia="等线" w:cs="Arial"/>
          <w:kern w:val="2"/>
          <w:szCs w:val="24"/>
        </w:rPr>
      </w:pPr>
      <w:r>
        <w:fldChar w:fldCharType="begin"/>
      </w:r>
      <w:r>
        <w:instrText xml:space="preserve">Hyperlink \l "_Toc233624915"</w:instrText>
      </w:r>
      <w:r>
        <w:fldChar w:fldCharType="separate"/>
      </w:r>
      <w:r>
        <w:rPr>
          <w:rFonts w:hint="eastAsia"/>
          <w:color w:val="auto"/>
        </w:rPr>
        <w:t>第六十九条</w:t>
      </w:r>
      <w:r>
        <w:rPr>
          <w:rFonts w:hint="eastAsia" w:ascii="等线" w:eastAsia="等线" w:cs="Arial"/>
          <w:kern w:val="2"/>
          <w:szCs w:val="24"/>
        </w:rPr>
        <w:tab/>
      </w:r>
      <w:r>
        <w:rPr>
          <w:rFonts w:hint="eastAsia"/>
          <w:color w:val="auto"/>
        </w:rPr>
        <w:t>绿地系统与公园建设</w:t>
      </w:r>
      <w:r>
        <w:rPr>
          <w:rFonts w:hint="eastAsia"/>
        </w:rPr>
        <w:tab/>
      </w:r>
      <w:r>
        <w:fldChar w:fldCharType="begin"/>
      </w:r>
      <w:r>
        <w:rPr>
          <w:rFonts w:hint="eastAsia"/>
        </w:rPr>
        <w:instrText xml:space="preserve"> </w:instrText>
      </w:r>
      <w:r>
        <w:instrText xml:space="preserve">PAGEREF _Toc233624915 \h</w:instrText>
      </w:r>
      <w:r>
        <w:rPr>
          <w:rFonts w:hint="eastAsia"/>
        </w:rPr>
        <w:instrText xml:space="preserve"> </w:instrText>
      </w:r>
      <w:r>
        <w:rPr>
          <w:rFonts w:hint="eastAsia"/>
        </w:rPr>
        <w:fldChar w:fldCharType="separate"/>
      </w:r>
      <w:r>
        <w:t>46</w:t>
      </w:r>
      <w:r>
        <w:rPr>
          <w:rFonts w:hint="eastAsia"/>
        </w:rPr>
        <w:fldChar w:fldCharType="end"/>
      </w:r>
      <w:r>
        <w:fldChar w:fldCharType="end"/>
      </w:r>
    </w:p>
    <w:p w14:paraId="65F96A58">
      <w:pPr>
        <w:pStyle w:val="16"/>
        <w:tabs>
          <w:tab w:val="left" w:pos="1600"/>
          <w:tab w:val="right" w:leader="dot" w:pos="8296"/>
        </w:tabs>
        <w:rPr>
          <w:rFonts w:hint="eastAsia" w:ascii="等线" w:eastAsia="等线" w:cs="Arial"/>
          <w:kern w:val="2"/>
          <w:szCs w:val="24"/>
        </w:rPr>
      </w:pPr>
      <w:r>
        <w:fldChar w:fldCharType="begin"/>
      </w:r>
      <w:r>
        <w:instrText xml:space="preserve">Hyperlink \l "_Toc233624916"</w:instrText>
      </w:r>
      <w:r>
        <w:fldChar w:fldCharType="separate"/>
      </w:r>
      <w:r>
        <w:rPr>
          <w:rFonts w:hint="eastAsia"/>
          <w:color w:val="auto"/>
        </w:rPr>
        <w:t>第七十条</w:t>
      </w:r>
      <w:r>
        <w:rPr>
          <w:rFonts w:hint="eastAsia" w:ascii="等线" w:eastAsia="等线" w:cs="Arial"/>
          <w:kern w:val="2"/>
          <w:szCs w:val="24"/>
        </w:rPr>
        <w:tab/>
      </w:r>
      <w:r>
        <w:rPr>
          <w:rFonts w:hint="eastAsia"/>
          <w:color w:val="auto"/>
        </w:rPr>
        <w:t>植物选育与配置</w:t>
      </w:r>
      <w:r>
        <w:rPr>
          <w:rFonts w:hint="eastAsia"/>
        </w:rPr>
        <w:tab/>
      </w:r>
      <w:r>
        <w:fldChar w:fldCharType="begin"/>
      </w:r>
      <w:r>
        <w:rPr>
          <w:rFonts w:hint="eastAsia"/>
        </w:rPr>
        <w:instrText xml:space="preserve"> </w:instrText>
      </w:r>
      <w:r>
        <w:instrText xml:space="preserve">PAGEREF _Toc233624916 \h</w:instrText>
      </w:r>
      <w:r>
        <w:rPr>
          <w:rFonts w:hint="eastAsia"/>
        </w:rPr>
        <w:instrText xml:space="preserve"> </w:instrText>
      </w:r>
      <w:r>
        <w:rPr>
          <w:rFonts w:hint="eastAsia"/>
        </w:rPr>
        <w:fldChar w:fldCharType="separate"/>
      </w:r>
      <w:r>
        <w:t>47</w:t>
      </w:r>
      <w:r>
        <w:rPr>
          <w:rFonts w:hint="eastAsia"/>
        </w:rPr>
        <w:fldChar w:fldCharType="end"/>
      </w:r>
      <w:r>
        <w:fldChar w:fldCharType="end"/>
      </w:r>
    </w:p>
    <w:p w14:paraId="7DC82FF7">
      <w:pPr>
        <w:pStyle w:val="16"/>
        <w:tabs>
          <w:tab w:val="left" w:pos="1760"/>
          <w:tab w:val="right" w:leader="dot" w:pos="8296"/>
        </w:tabs>
        <w:rPr>
          <w:rFonts w:hint="eastAsia" w:ascii="等线" w:eastAsia="等线" w:cs="Arial"/>
          <w:kern w:val="2"/>
          <w:szCs w:val="24"/>
        </w:rPr>
      </w:pPr>
      <w:r>
        <w:fldChar w:fldCharType="begin"/>
      </w:r>
      <w:r>
        <w:instrText xml:space="preserve">Hyperlink \l "_Toc233624917"</w:instrText>
      </w:r>
      <w:r>
        <w:fldChar w:fldCharType="separate"/>
      </w:r>
      <w:r>
        <w:rPr>
          <w:rFonts w:hint="eastAsia"/>
          <w:color w:val="auto"/>
        </w:rPr>
        <w:t>第七十一条</w:t>
      </w:r>
      <w:r>
        <w:rPr>
          <w:rFonts w:hint="eastAsia" w:ascii="等线" w:eastAsia="等线" w:cs="Arial"/>
          <w:kern w:val="2"/>
          <w:szCs w:val="24"/>
        </w:rPr>
        <w:tab/>
      </w:r>
      <w:r>
        <w:rPr>
          <w:rFonts w:hint="eastAsia"/>
          <w:color w:val="auto"/>
        </w:rPr>
        <w:t>城市家具、室外雕塑、园林小品</w:t>
      </w:r>
      <w:r>
        <w:rPr>
          <w:rFonts w:hint="eastAsia"/>
        </w:rPr>
        <w:tab/>
      </w:r>
      <w:r>
        <w:fldChar w:fldCharType="begin"/>
      </w:r>
      <w:r>
        <w:rPr>
          <w:rFonts w:hint="eastAsia"/>
        </w:rPr>
        <w:instrText xml:space="preserve"> </w:instrText>
      </w:r>
      <w:r>
        <w:instrText xml:space="preserve">PAGEREF _Toc233624917 \h</w:instrText>
      </w:r>
      <w:r>
        <w:rPr>
          <w:rFonts w:hint="eastAsia"/>
        </w:rPr>
        <w:instrText xml:space="preserve"> </w:instrText>
      </w:r>
      <w:r>
        <w:rPr>
          <w:rFonts w:hint="eastAsia"/>
        </w:rPr>
        <w:fldChar w:fldCharType="separate"/>
      </w:r>
      <w:r>
        <w:t>48</w:t>
      </w:r>
      <w:r>
        <w:rPr>
          <w:rFonts w:hint="eastAsia"/>
        </w:rPr>
        <w:fldChar w:fldCharType="end"/>
      </w:r>
      <w:r>
        <w:fldChar w:fldCharType="end"/>
      </w:r>
    </w:p>
    <w:p w14:paraId="6DC79769">
      <w:pPr>
        <w:pStyle w:val="16"/>
        <w:tabs>
          <w:tab w:val="left" w:pos="1760"/>
          <w:tab w:val="right" w:leader="dot" w:pos="8296"/>
        </w:tabs>
        <w:rPr>
          <w:rFonts w:hint="eastAsia" w:ascii="等线" w:eastAsia="等线" w:cs="Arial"/>
          <w:kern w:val="2"/>
          <w:szCs w:val="24"/>
        </w:rPr>
      </w:pPr>
      <w:r>
        <w:fldChar w:fldCharType="begin"/>
      </w:r>
      <w:r>
        <w:instrText xml:space="preserve">Hyperlink \l "_Toc233624918"</w:instrText>
      </w:r>
      <w:r>
        <w:fldChar w:fldCharType="separate"/>
      </w:r>
      <w:r>
        <w:rPr>
          <w:rFonts w:hint="eastAsia"/>
          <w:color w:val="auto"/>
        </w:rPr>
        <w:t>第七十二条</w:t>
      </w:r>
      <w:r>
        <w:rPr>
          <w:rFonts w:hint="eastAsia" w:ascii="等线" w:eastAsia="等线" w:cs="Arial"/>
          <w:kern w:val="2"/>
          <w:szCs w:val="24"/>
        </w:rPr>
        <w:tab/>
      </w:r>
      <w:r>
        <w:rPr>
          <w:rFonts w:hint="eastAsia"/>
          <w:color w:val="auto"/>
        </w:rPr>
        <w:t>户外广告和牌匾标识</w:t>
      </w:r>
      <w:r>
        <w:rPr>
          <w:rFonts w:hint="eastAsia"/>
        </w:rPr>
        <w:tab/>
      </w:r>
      <w:r>
        <w:fldChar w:fldCharType="begin"/>
      </w:r>
      <w:r>
        <w:rPr>
          <w:rFonts w:hint="eastAsia"/>
        </w:rPr>
        <w:instrText xml:space="preserve"> </w:instrText>
      </w:r>
      <w:r>
        <w:instrText xml:space="preserve">PAGEREF _Toc233624918 \h</w:instrText>
      </w:r>
      <w:r>
        <w:rPr>
          <w:rFonts w:hint="eastAsia"/>
        </w:rPr>
        <w:instrText xml:space="preserve"> </w:instrText>
      </w:r>
      <w:r>
        <w:rPr>
          <w:rFonts w:hint="eastAsia"/>
        </w:rPr>
        <w:fldChar w:fldCharType="separate"/>
      </w:r>
      <w:r>
        <w:t>48</w:t>
      </w:r>
      <w:r>
        <w:rPr>
          <w:rFonts w:hint="eastAsia"/>
        </w:rPr>
        <w:fldChar w:fldCharType="end"/>
      </w:r>
      <w:r>
        <w:fldChar w:fldCharType="end"/>
      </w:r>
    </w:p>
    <w:p w14:paraId="0336D61B">
      <w:pPr>
        <w:pStyle w:val="16"/>
        <w:tabs>
          <w:tab w:val="left" w:pos="1760"/>
          <w:tab w:val="right" w:leader="dot" w:pos="8296"/>
        </w:tabs>
        <w:rPr>
          <w:rFonts w:hint="eastAsia" w:ascii="等线" w:eastAsia="等线" w:cs="Arial"/>
          <w:kern w:val="2"/>
          <w:szCs w:val="24"/>
        </w:rPr>
      </w:pPr>
      <w:r>
        <w:fldChar w:fldCharType="begin"/>
      </w:r>
      <w:r>
        <w:instrText xml:space="preserve">Hyperlink \l "_Toc233624919"</w:instrText>
      </w:r>
      <w:r>
        <w:fldChar w:fldCharType="separate"/>
      </w:r>
      <w:r>
        <w:rPr>
          <w:rFonts w:hint="eastAsia"/>
          <w:color w:val="auto"/>
        </w:rPr>
        <w:t>第七十三条</w:t>
      </w:r>
      <w:r>
        <w:rPr>
          <w:rFonts w:hint="eastAsia" w:ascii="等线" w:eastAsia="等线" w:cs="Arial"/>
          <w:kern w:val="2"/>
          <w:szCs w:val="24"/>
        </w:rPr>
        <w:tab/>
      </w:r>
      <w:r>
        <w:rPr>
          <w:rFonts w:hint="eastAsia"/>
          <w:color w:val="auto"/>
        </w:rPr>
        <w:t>充电设施布局和设计</w:t>
      </w:r>
      <w:r>
        <w:rPr>
          <w:rFonts w:hint="eastAsia"/>
        </w:rPr>
        <w:tab/>
      </w:r>
      <w:r>
        <w:fldChar w:fldCharType="begin"/>
      </w:r>
      <w:r>
        <w:rPr>
          <w:rFonts w:hint="eastAsia"/>
        </w:rPr>
        <w:instrText xml:space="preserve"> </w:instrText>
      </w:r>
      <w:r>
        <w:instrText xml:space="preserve">PAGEREF _Toc233624919 \h</w:instrText>
      </w:r>
      <w:r>
        <w:rPr>
          <w:rFonts w:hint="eastAsia"/>
        </w:rPr>
        <w:instrText xml:space="preserve"> </w:instrText>
      </w:r>
      <w:r>
        <w:rPr>
          <w:rFonts w:hint="eastAsia"/>
        </w:rPr>
        <w:fldChar w:fldCharType="separate"/>
      </w:r>
      <w:r>
        <w:t>49</w:t>
      </w:r>
      <w:r>
        <w:rPr>
          <w:rFonts w:hint="eastAsia"/>
        </w:rPr>
        <w:fldChar w:fldCharType="end"/>
      </w:r>
      <w:r>
        <w:fldChar w:fldCharType="end"/>
      </w:r>
    </w:p>
    <w:p w14:paraId="684D2F85">
      <w:pPr>
        <w:pStyle w:val="25"/>
        <w:tabs>
          <w:tab w:val="left" w:pos="1200"/>
          <w:tab w:val="right" w:leader="dot" w:pos="8296"/>
        </w:tabs>
        <w:rPr>
          <w:rFonts w:hint="eastAsia" w:ascii="等线" w:eastAsia="等线" w:cs="Arial"/>
          <w:kern w:val="2"/>
          <w:szCs w:val="24"/>
        </w:rPr>
      </w:pPr>
      <w:r>
        <w:fldChar w:fldCharType="begin"/>
      </w:r>
      <w:r>
        <w:instrText xml:space="preserve">Hyperlink \l "_Toc233624920"</w:instrText>
      </w:r>
      <w:r>
        <w:fldChar w:fldCharType="separate"/>
      </w:r>
      <w:r>
        <w:rPr>
          <w:rFonts w:hint="eastAsia" w:ascii="Times New Roman" w:hAnsi="Times New Roman" w:eastAsia="黑体"/>
          <w:color w:val="auto"/>
        </w:rPr>
        <w:t>第八节</w:t>
      </w:r>
      <w:r>
        <w:rPr>
          <w:rFonts w:hint="eastAsia" w:ascii="等线" w:eastAsia="等线" w:cs="Arial"/>
          <w:kern w:val="2"/>
          <w:szCs w:val="24"/>
        </w:rPr>
        <w:tab/>
      </w:r>
      <w:r>
        <w:rPr>
          <w:rFonts w:hint="eastAsia" w:ascii="Times New Roman" w:hAnsi="Times New Roman" w:eastAsia="黑体"/>
          <w:color w:val="auto"/>
        </w:rPr>
        <w:t>城镇照明</w:t>
      </w:r>
      <w:r>
        <w:rPr>
          <w:rFonts w:hint="eastAsia"/>
        </w:rPr>
        <w:tab/>
      </w:r>
      <w:r>
        <w:fldChar w:fldCharType="begin"/>
      </w:r>
      <w:r>
        <w:rPr>
          <w:rFonts w:hint="eastAsia"/>
        </w:rPr>
        <w:instrText xml:space="preserve"> </w:instrText>
      </w:r>
      <w:r>
        <w:instrText xml:space="preserve">PAGEREF _Toc233624920 \h</w:instrText>
      </w:r>
      <w:r>
        <w:rPr>
          <w:rFonts w:hint="eastAsia"/>
        </w:rPr>
        <w:instrText xml:space="preserve"> </w:instrText>
      </w:r>
      <w:r>
        <w:rPr>
          <w:rFonts w:hint="eastAsia"/>
        </w:rPr>
        <w:fldChar w:fldCharType="separate"/>
      </w:r>
      <w:r>
        <w:t>50</w:t>
      </w:r>
      <w:r>
        <w:rPr>
          <w:rFonts w:hint="eastAsia"/>
        </w:rPr>
        <w:fldChar w:fldCharType="end"/>
      </w:r>
      <w:r>
        <w:fldChar w:fldCharType="end"/>
      </w:r>
    </w:p>
    <w:p w14:paraId="799B2BD7">
      <w:pPr>
        <w:pStyle w:val="16"/>
        <w:tabs>
          <w:tab w:val="left" w:pos="1760"/>
          <w:tab w:val="right" w:leader="dot" w:pos="8296"/>
        </w:tabs>
        <w:rPr>
          <w:rFonts w:hint="eastAsia" w:ascii="等线" w:eastAsia="等线" w:cs="Arial"/>
          <w:kern w:val="2"/>
          <w:szCs w:val="24"/>
        </w:rPr>
      </w:pPr>
      <w:r>
        <w:fldChar w:fldCharType="begin"/>
      </w:r>
      <w:r>
        <w:instrText xml:space="preserve">Hyperlink \l "_Toc233624921"</w:instrText>
      </w:r>
      <w:r>
        <w:fldChar w:fldCharType="separate"/>
      </w:r>
      <w:r>
        <w:rPr>
          <w:rFonts w:hint="eastAsia"/>
          <w:color w:val="auto"/>
        </w:rPr>
        <w:t>第七十四条</w:t>
      </w:r>
      <w:r>
        <w:rPr>
          <w:rFonts w:hint="eastAsia" w:ascii="等线" w:eastAsia="等线" w:cs="Arial"/>
          <w:kern w:val="2"/>
          <w:szCs w:val="24"/>
        </w:rPr>
        <w:tab/>
      </w:r>
      <w:r>
        <w:rPr>
          <w:rFonts w:hint="eastAsia"/>
          <w:color w:val="auto"/>
        </w:rPr>
        <w:t>道路照明设计</w:t>
      </w:r>
      <w:r>
        <w:rPr>
          <w:rFonts w:hint="eastAsia"/>
        </w:rPr>
        <w:tab/>
      </w:r>
      <w:r>
        <w:fldChar w:fldCharType="begin"/>
      </w:r>
      <w:r>
        <w:rPr>
          <w:rFonts w:hint="eastAsia"/>
        </w:rPr>
        <w:instrText xml:space="preserve"> </w:instrText>
      </w:r>
      <w:r>
        <w:instrText xml:space="preserve">PAGEREF _Toc233624921 \h</w:instrText>
      </w:r>
      <w:r>
        <w:rPr>
          <w:rFonts w:hint="eastAsia"/>
        </w:rPr>
        <w:instrText xml:space="preserve"> </w:instrText>
      </w:r>
      <w:r>
        <w:rPr>
          <w:rFonts w:hint="eastAsia"/>
        </w:rPr>
        <w:fldChar w:fldCharType="separate"/>
      </w:r>
      <w:r>
        <w:t>50</w:t>
      </w:r>
      <w:r>
        <w:rPr>
          <w:rFonts w:hint="eastAsia"/>
        </w:rPr>
        <w:fldChar w:fldCharType="end"/>
      </w:r>
      <w:r>
        <w:fldChar w:fldCharType="end"/>
      </w:r>
    </w:p>
    <w:p w14:paraId="65E02D7F">
      <w:pPr>
        <w:pStyle w:val="16"/>
        <w:tabs>
          <w:tab w:val="left" w:pos="1760"/>
          <w:tab w:val="right" w:leader="dot" w:pos="8296"/>
        </w:tabs>
        <w:rPr>
          <w:rFonts w:hint="eastAsia" w:ascii="等线" w:eastAsia="等线" w:cs="Arial"/>
          <w:kern w:val="2"/>
          <w:szCs w:val="24"/>
        </w:rPr>
      </w:pPr>
      <w:r>
        <w:fldChar w:fldCharType="begin"/>
      </w:r>
      <w:r>
        <w:instrText xml:space="preserve">Hyperlink \l "_Toc233624922"</w:instrText>
      </w:r>
      <w:r>
        <w:fldChar w:fldCharType="separate"/>
      </w:r>
      <w:r>
        <w:rPr>
          <w:rFonts w:hint="eastAsia"/>
          <w:color w:val="auto"/>
        </w:rPr>
        <w:t>第七十五条</w:t>
      </w:r>
      <w:r>
        <w:rPr>
          <w:rFonts w:hint="eastAsia" w:ascii="等线" w:eastAsia="等线" w:cs="Arial"/>
          <w:kern w:val="2"/>
          <w:szCs w:val="24"/>
        </w:rPr>
        <w:tab/>
      </w:r>
      <w:r>
        <w:rPr>
          <w:rFonts w:hint="eastAsia"/>
          <w:color w:val="auto"/>
        </w:rPr>
        <w:t>道路照明灯杆选型</w:t>
      </w:r>
      <w:r>
        <w:rPr>
          <w:rFonts w:hint="eastAsia"/>
        </w:rPr>
        <w:tab/>
      </w:r>
      <w:r>
        <w:fldChar w:fldCharType="begin"/>
      </w:r>
      <w:r>
        <w:rPr>
          <w:rFonts w:hint="eastAsia"/>
        </w:rPr>
        <w:instrText xml:space="preserve"> </w:instrText>
      </w:r>
      <w:r>
        <w:instrText xml:space="preserve">PAGEREF _Toc233624922 \h</w:instrText>
      </w:r>
      <w:r>
        <w:rPr>
          <w:rFonts w:hint="eastAsia"/>
        </w:rPr>
        <w:instrText xml:space="preserve"> </w:instrText>
      </w:r>
      <w:r>
        <w:rPr>
          <w:rFonts w:hint="eastAsia"/>
        </w:rPr>
        <w:fldChar w:fldCharType="separate"/>
      </w:r>
      <w:r>
        <w:t>50</w:t>
      </w:r>
      <w:r>
        <w:rPr>
          <w:rFonts w:hint="eastAsia"/>
        </w:rPr>
        <w:fldChar w:fldCharType="end"/>
      </w:r>
      <w:r>
        <w:fldChar w:fldCharType="end"/>
      </w:r>
    </w:p>
    <w:p w14:paraId="65137A42">
      <w:pPr>
        <w:pStyle w:val="16"/>
        <w:tabs>
          <w:tab w:val="left" w:pos="1760"/>
          <w:tab w:val="right" w:leader="dot" w:pos="8296"/>
        </w:tabs>
        <w:rPr>
          <w:rFonts w:hint="eastAsia" w:ascii="等线" w:eastAsia="等线" w:cs="Arial"/>
          <w:kern w:val="2"/>
          <w:szCs w:val="24"/>
        </w:rPr>
      </w:pPr>
      <w:r>
        <w:fldChar w:fldCharType="begin"/>
      </w:r>
      <w:r>
        <w:instrText xml:space="preserve">Hyperlink \l "_Toc233624923"</w:instrText>
      </w:r>
      <w:r>
        <w:fldChar w:fldCharType="separate"/>
      </w:r>
      <w:r>
        <w:rPr>
          <w:rFonts w:hint="eastAsia"/>
          <w:color w:val="auto"/>
        </w:rPr>
        <w:t>第七十六条</w:t>
      </w:r>
      <w:r>
        <w:rPr>
          <w:rFonts w:hint="eastAsia" w:ascii="等线" w:eastAsia="等线" w:cs="Arial"/>
          <w:kern w:val="2"/>
          <w:szCs w:val="24"/>
        </w:rPr>
        <w:tab/>
      </w:r>
      <w:r>
        <w:rPr>
          <w:rFonts w:hint="eastAsia"/>
          <w:color w:val="auto"/>
        </w:rPr>
        <w:t>道路照明灯具选型</w:t>
      </w:r>
      <w:r>
        <w:rPr>
          <w:rFonts w:hint="eastAsia"/>
        </w:rPr>
        <w:tab/>
      </w:r>
      <w:r>
        <w:fldChar w:fldCharType="begin"/>
      </w:r>
      <w:r>
        <w:rPr>
          <w:rFonts w:hint="eastAsia"/>
        </w:rPr>
        <w:instrText xml:space="preserve"> </w:instrText>
      </w:r>
      <w:r>
        <w:instrText xml:space="preserve">PAGEREF _Toc233624923 \h</w:instrText>
      </w:r>
      <w:r>
        <w:rPr>
          <w:rFonts w:hint="eastAsia"/>
        </w:rPr>
        <w:instrText xml:space="preserve"> </w:instrText>
      </w:r>
      <w:r>
        <w:rPr>
          <w:rFonts w:hint="eastAsia"/>
        </w:rPr>
        <w:fldChar w:fldCharType="separate"/>
      </w:r>
      <w:r>
        <w:t>51</w:t>
      </w:r>
      <w:r>
        <w:rPr>
          <w:rFonts w:hint="eastAsia"/>
        </w:rPr>
        <w:fldChar w:fldCharType="end"/>
      </w:r>
      <w:r>
        <w:fldChar w:fldCharType="end"/>
      </w:r>
    </w:p>
    <w:p w14:paraId="757ECA3A">
      <w:pPr>
        <w:pStyle w:val="16"/>
        <w:tabs>
          <w:tab w:val="left" w:pos="1760"/>
          <w:tab w:val="right" w:leader="dot" w:pos="8296"/>
        </w:tabs>
        <w:rPr>
          <w:rFonts w:hint="eastAsia" w:ascii="等线" w:eastAsia="等线" w:cs="Arial"/>
          <w:kern w:val="2"/>
          <w:szCs w:val="24"/>
        </w:rPr>
      </w:pPr>
      <w:r>
        <w:fldChar w:fldCharType="begin"/>
      </w:r>
      <w:r>
        <w:instrText xml:space="preserve">Hyperlink \l "_Toc233624924"</w:instrText>
      </w:r>
      <w:r>
        <w:fldChar w:fldCharType="separate"/>
      </w:r>
      <w:r>
        <w:rPr>
          <w:rFonts w:hint="eastAsia"/>
          <w:color w:val="auto"/>
        </w:rPr>
        <w:t>第七十七条</w:t>
      </w:r>
      <w:r>
        <w:rPr>
          <w:rFonts w:hint="eastAsia" w:ascii="等线" w:eastAsia="等线" w:cs="Arial"/>
          <w:kern w:val="2"/>
          <w:szCs w:val="24"/>
        </w:rPr>
        <w:tab/>
      </w:r>
      <w:r>
        <w:rPr>
          <w:rFonts w:hint="eastAsia"/>
          <w:color w:val="auto"/>
        </w:rPr>
        <w:t>绿化照明</w:t>
      </w:r>
      <w:r>
        <w:rPr>
          <w:rFonts w:hint="eastAsia"/>
        </w:rPr>
        <w:tab/>
      </w:r>
      <w:r>
        <w:fldChar w:fldCharType="begin"/>
      </w:r>
      <w:r>
        <w:rPr>
          <w:rFonts w:hint="eastAsia"/>
        </w:rPr>
        <w:instrText xml:space="preserve"> </w:instrText>
      </w:r>
      <w:r>
        <w:instrText xml:space="preserve">PAGEREF _Toc233624924 \h</w:instrText>
      </w:r>
      <w:r>
        <w:rPr>
          <w:rFonts w:hint="eastAsia"/>
        </w:rPr>
        <w:instrText xml:space="preserve"> </w:instrText>
      </w:r>
      <w:r>
        <w:rPr>
          <w:rFonts w:hint="eastAsia"/>
        </w:rPr>
        <w:fldChar w:fldCharType="separate"/>
      </w:r>
      <w:r>
        <w:t>51</w:t>
      </w:r>
      <w:r>
        <w:rPr>
          <w:rFonts w:hint="eastAsia"/>
        </w:rPr>
        <w:fldChar w:fldCharType="end"/>
      </w:r>
      <w:r>
        <w:fldChar w:fldCharType="end"/>
      </w:r>
    </w:p>
    <w:p w14:paraId="2C088ADC">
      <w:pPr>
        <w:pStyle w:val="25"/>
        <w:tabs>
          <w:tab w:val="left" w:pos="1200"/>
          <w:tab w:val="right" w:leader="dot" w:pos="8296"/>
        </w:tabs>
        <w:rPr>
          <w:rFonts w:hint="eastAsia" w:ascii="等线" w:eastAsia="等线" w:cs="Arial"/>
          <w:kern w:val="2"/>
          <w:szCs w:val="24"/>
        </w:rPr>
      </w:pPr>
      <w:r>
        <w:fldChar w:fldCharType="begin"/>
      </w:r>
      <w:r>
        <w:instrText xml:space="preserve">Hyperlink \l "_Toc233624925"</w:instrText>
      </w:r>
      <w:r>
        <w:fldChar w:fldCharType="separate"/>
      </w:r>
      <w:r>
        <w:rPr>
          <w:rFonts w:hint="eastAsia" w:ascii="Times New Roman" w:hAnsi="Times New Roman" w:eastAsia="黑体"/>
          <w:color w:val="auto"/>
        </w:rPr>
        <w:t>第九节</w:t>
      </w:r>
      <w:r>
        <w:rPr>
          <w:rFonts w:hint="eastAsia" w:ascii="等线" w:eastAsia="等线" w:cs="Arial"/>
          <w:kern w:val="2"/>
          <w:szCs w:val="24"/>
        </w:rPr>
        <w:tab/>
      </w:r>
      <w:r>
        <w:rPr>
          <w:rFonts w:hint="eastAsia" w:ascii="Times New Roman" w:hAnsi="Times New Roman" w:eastAsia="黑体"/>
          <w:color w:val="auto"/>
        </w:rPr>
        <w:t>工程施工</w:t>
      </w:r>
      <w:r>
        <w:rPr>
          <w:rFonts w:hint="eastAsia"/>
        </w:rPr>
        <w:tab/>
      </w:r>
      <w:r>
        <w:fldChar w:fldCharType="begin"/>
      </w:r>
      <w:r>
        <w:rPr>
          <w:rFonts w:hint="eastAsia"/>
        </w:rPr>
        <w:instrText xml:space="preserve"> </w:instrText>
      </w:r>
      <w:r>
        <w:instrText xml:space="preserve">PAGEREF _Toc233624925 \h</w:instrText>
      </w:r>
      <w:r>
        <w:rPr>
          <w:rFonts w:hint="eastAsia"/>
        </w:rPr>
        <w:instrText xml:space="preserve"> </w:instrText>
      </w:r>
      <w:r>
        <w:rPr>
          <w:rFonts w:hint="eastAsia"/>
        </w:rPr>
        <w:fldChar w:fldCharType="separate"/>
      </w:r>
      <w:r>
        <w:t>52</w:t>
      </w:r>
      <w:r>
        <w:rPr>
          <w:rFonts w:hint="eastAsia"/>
        </w:rPr>
        <w:fldChar w:fldCharType="end"/>
      </w:r>
      <w:r>
        <w:fldChar w:fldCharType="end"/>
      </w:r>
    </w:p>
    <w:p w14:paraId="035CDDD7">
      <w:pPr>
        <w:pStyle w:val="16"/>
        <w:tabs>
          <w:tab w:val="left" w:pos="1760"/>
          <w:tab w:val="right" w:leader="dot" w:pos="8296"/>
        </w:tabs>
        <w:rPr>
          <w:rFonts w:hint="eastAsia" w:ascii="等线" w:eastAsia="等线" w:cs="Arial"/>
          <w:kern w:val="2"/>
          <w:szCs w:val="24"/>
        </w:rPr>
      </w:pPr>
      <w:r>
        <w:fldChar w:fldCharType="begin"/>
      </w:r>
      <w:r>
        <w:instrText xml:space="preserve">Hyperlink \l "_Toc233624926"</w:instrText>
      </w:r>
      <w:r>
        <w:fldChar w:fldCharType="separate"/>
      </w:r>
      <w:r>
        <w:rPr>
          <w:rFonts w:hint="eastAsia"/>
          <w:color w:val="auto"/>
        </w:rPr>
        <w:t>第七十八条</w:t>
      </w:r>
      <w:r>
        <w:rPr>
          <w:rFonts w:hint="eastAsia" w:ascii="等线" w:eastAsia="等线" w:cs="Arial"/>
          <w:kern w:val="2"/>
          <w:szCs w:val="24"/>
        </w:rPr>
        <w:tab/>
      </w:r>
      <w:r>
        <w:rPr>
          <w:rFonts w:hint="eastAsia"/>
          <w:color w:val="auto"/>
        </w:rPr>
        <w:t>专项施工方案编制</w:t>
      </w:r>
      <w:r>
        <w:rPr>
          <w:rFonts w:hint="eastAsia"/>
        </w:rPr>
        <w:tab/>
      </w:r>
      <w:r>
        <w:fldChar w:fldCharType="begin"/>
      </w:r>
      <w:r>
        <w:rPr>
          <w:rFonts w:hint="eastAsia"/>
        </w:rPr>
        <w:instrText xml:space="preserve"> </w:instrText>
      </w:r>
      <w:r>
        <w:instrText xml:space="preserve">PAGEREF _Toc233624926 \h</w:instrText>
      </w:r>
      <w:r>
        <w:rPr>
          <w:rFonts w:hint="eastAsia"/>
        </w:rPr>
        <w:instrText xml:space="preserve"> </w:instrText>
      </w:r>
      <w:r>
        <w:rPr>
          <w:rFonts w:hint="eastAsia"/>
        </w:rPr>
        <w:fldChar w:fldCharType="separate"/>
      </w:r>
      <w:r>
        <w:t>52</w:t>
      </w:r>
      <w:r>
        <w:rPr>
          <w:rFonts w:hint="eastAsia"/>
        </w:rPr>
        <w:fldChar w:fldCharType="end"/>
      </w:r>
      <w:r>
        <w:fldChar w:fldCharType="end"/>
      </w:r>
    </w:p>
    <w:p w14:paraId="4FEDF671">
      <w:pPr>
        <w:pStyle w:val="16"/>
        <w:tabs>
          <w:tab w:val="left" w:pos="1760"/>
          <w:tab w:val="right" w:leader="dot" w:pos="8296"/>
        </w:tabs>
        <w:rPr>
          <w:rFonts w:hint="eastAsia" w:ascii="等线" w:eastAsia="等线" w:cs="Arial"/>
          <w:kern w:val="2"/>
          <w:szCs w:val="24"/>
        </w:rPr>
      </w:pPr>
      <w:r>
        <w:fldChar w:fldCharType="begin"/>
      </w:r>
      <w:r>
        <w:instrText xml:space="preserve">Hyperlink \l "_Toc233624927"</w:instrText>
      </w:r>
      <w:r>
        <w:fldChar w:fldCharType="separate"/>
      </w:r>
      <w:r>
        <w:rPr>
          <w:rFonts w:hint="eastAsia"/>
          <w:color w:val="auto"/>
        </w:rPr>
        <w:t>第七十九条</w:t>
      </w:r>
      <w:r>
        <w:rPr>
          <w:rFonts w:hint="eastAsia" w:ascii="等线" w:eastAsia="等线" w:cs="Arial"/>
          <w:kern w:val="2"/>
          <w:szCs w:val="24"/>
        </w:rPr>
        <w:tab/>
      </w:r>
      <w:r>
        <w:rPr>
          <w:rFonts w:hint="eastAsia"/>
          <w:color w:val="auto"/>
        </w:rPr>
        <w:t>施工项目营地</w:t>
      </w:r>
      <w:r>
        <w:rPr>
          <w:rFonts w:hint="eastAsia"/>
        </w:rPr>
        <w:tab/>
      </w:r>
      <w:r>
        <w:fldChar w:fldCharType="begin"/>
      </w:r>
      <w:r>
        <w:rPr>
          <w:rFonts w:hint="eastAsia"/>
        </w:rPr>
        <w:instrText xml:space="preserve"> </w:instrText>
      </w:r>
      <w:r>
        <w:instrText xml:space="preserve">PAGEREF _Toc233624927 \h</w:instrText>
      </w:r>
      <w:r>
        <w:rPr>
          <w:rFonts w:hint="eastAsia"/>
        </w:rPr>
        <w:instrText xml:space="preserve"> </w:instrText>
      </w:r>
      <w:r>
        <w:rPr>
          <w:rFonts w:hint="eastAsia"/>
        </w:rPr>
        <w:fldChar w:fldCharType="separate"/>
      </w:r>
      <w:r>
        <w:t>52</w:t>
      </w:r>
      <w:r>
        <w:rPr>
          <w:rFonts w:hint="eastAsia"/>
        </w:rPr>
        <w:fldChar w:fldCharType="end"/>
      </w:r>
      <w:r>
        <w:fldChar w:fldCharType="end"/>
      </w:r>
    </w:p>
    <w:p w14:paraId="068ABD28">
      <w:pPr>
        <w:pStyle w:val="16"/>
        <w:tabs>
          <w:tab w:val="left" w:pos="1600"/>
          <w:tab w:val="right" w:leader="dot" w:pos="8296"/>
        </w:tabs>
        <w:rPr>
          <w:rFonts w:hint="eastAsia" w:ascii="等线" w:eastAsia="等线" w:cs="Arial"/>
          <w:kern w:val="2"/>
          <w:szCs w:val="24"/>
        </w:rPr>
      </w:pPr>
      <w:r>
        <w:fldChar w:fldCharType="begin"/>
      </w:r>
      <w:r>
        <w:instrText xml:space="preserve">Hyperlink \l "_Toc233624928"</w:instrText>
      </w:r>
      <w:r>
        <w:fldChar w:fldCharType="separate"/>
      </w:r>
      <w:r>
        <w:rPr>
          <w:rFonts w:hint="eastAsia"/>
          <w:color w:val="auto"/>
        </w:rPr>
        <w:t>第八十条</w:t>
      </w:r>
      <w:r>
        <w:rPr>
          <w:rFonts w:hint="eastAsia" w:ascii="等线" w:eastAsia="等线" w:cs="Arial"/>
          <w:kern w:val="2"/>
          <w:szCs w:val="24"/>
        </w:rPr>
        <w:tab/>
      </w:r>
      <w:r>
        <w:rPr>
          <w:rFonts w:hint="eastAsia"/>
          <w:color w:val="auto"/>
        </w:rPr>
        <w:t>有限</w:t>
      </w:r>
      <w:r>
        <w:rPr>
          <w:rFonts w:hint="eastAsia" w:ascii="Times New Roman" w:hAnsi="Times New Roman"/>
          <w:color w:val="auto"/>
        </w:rPr>
        <w:t>空间作业</w:t>
      </w:r>
      <w:r>
        <w:rPr>
          <w:rFonts w:hint="eastAsia"/>
        </w:rPr>
        <w:tab/>
      </w:r>
      <w:r>
        <w:fldChar w:fldCharType="begin"/>
      </w:r>
      <w:r>
        <w:rPr>
          <w:rFonts w:hint="eastAsia"/>
        </w:rPr>
        <w:instrText xml:space="preserve"> </w:instrText>
      </w:r>
      <w:r>
        <w:instrText xml:space="preserve">PAGEREF _Toc233624928 \h</w:instrText>
      </w:r>
      <w:r>
        <w:rPr>
          <w:rFonts w:hint="eastAsia"/>
        </w:rPr>
        <w:instrText xml:space="preserve"> </w:instrText>
      </w:r>
      <w:r>
        <w:rPr>
          <w:rFonts w:hint="eastAsia"/>
        </w:rPr>
        <w:fldChar w:fldCharType="separate"/>
      </w:r>
      <w:r>
        <w:t>53</w:t>
      </w:r>
      <w:r>
        <w:rPr>
          <w:rFonts w:hint="eastAsia"/>
        </w:rPr>
        <w:fldChar w:fldCharType="end"/>
      </w:r>
      <w:r>
        <w:fldChar w:fldCharType="end"/>
      </w:r>
    </w:p>
    <w:p w14:paraId="0711EC6B">
      <w:pPr>
        <w:pStyle w:val="16"/>
        <w:tabs>
          <w:tab w:val="left" w:pos="1760"/>
          <w:tab w:val="right" w:leader="dot" w:pos="8296"/>
        </w:tabs>
        <w:rPr>
          <w:rFonts w:hint="eastAsia" w:ascii="等线" w:eastAsia="等线" w:cs="Arial"/>
          <w:kern w:val="2"/>
          <w:szCs w:val="24"/>
        </w:rPr>
      </w:pPr>
      <w:r>
        <w:fldChar w:fldCharType="begin"/>
      </w:r>
      <w:r>
        <w:instrText xml:space="preserve">Hyperlink \l "_Toc233624929"</w:instrText>
      </w:r>
      <w:r>
        <w:fldChar w:fldCharType="separate"/>
      </w:r>
      <w:r>
        <w:rPr>
          <w:rFonts w:hint="eastAsia"/>
          <w:color w:val="auto"/>
        </w:rPr>
        <w:t>第八十一条</w:t>
      </w:r>
      <w:r>
        <w:rPr>
          <w:rFonts w:hint="eastAsia" w:ascii="等线" w:eastAsia="等线" w:cs="Arial"/>
          <w:kern w:val="2"/>
          <w:szCs w:val="24"/>
        </w:rPr>
        <w:tab/>
      </w:r>
      <w:r>
        <w:rPr>
          <w:rFonts w:hint="eastAsia"/>
          <w:color w:val="auto"/>
        </w:rPr>
        <w:t>隐蔽工程影像</w:t>
      </w:r>
      <w:r>
        <w:rPr>
          <w:rFonts w:hint="eastAsia"/>
        </w:rPr>
        <w:tab/>
      </w:r>
      <w:r>
        <w:fldChar w:fldCharType="begin"/>
      </w:r>
      <w:r>
        <w:rPr>
          <w:rFonts w:hint="eastAsia"/>
        </w:rPr>
        <w:instrText xml:space="preserve"> </w:instrText>
      </w:r>
      <w:r>
        <w:instrText xml:space="preserve">PAGEREF _Toc233624929 \h</w:instrText>
      </w:r>
      <w:r>
        <w:rPr>
          <w:rFonts w:hint="eastAsia"/>
        </w:rPr>
        <w:instrText xml:space="preserve"> </w:instrText>
      </w:r>
      <w:r>
        <w:rPr>
          <w:rFonts w:hint="eastAsia"/>
        </w:rPr>
        <w:fldChar w:fldCharType="separate"/>
      </w:r>
      <w:r>
        <w:t>54</w:t>
      </w:r>
      <w:r>
        <w:rPr>
          <w:rFonts w:hint="eastAsia"/>
        </w:rPr>
        <w:fldChar w:fldCharType="end"/>
      </w:r>
      <w:r>
        <w:fldChar w:fldCharType="end"/>
      </w:r>
    </w:p>
    <w:p w14:paraId="0978EE3A">
      <w:pPr>
        <w:pStyle w:val="16"/>
        <w:tabs>
          <w:tab w:val="left" w:pos="1760"/>
          <w:tab w:val="right" w:leader="dot" w:pos="8296"/>
        </w:tabs>
        <w:rPr>
          <w:rFonts w:hint="eastAsia" w:ascii="等线" w:eastAsia="等线" w:cs="Arial"/>
          <w:kern w:val="2"/>
          <w:szCs w:val="24"/>
        </w:rPr>
      </w:pPr>
      <w:r>
        <w:fldChar w:fldCharType="begin"/>
      </w:r>
      <w:r>
        <w:instrText xml:space="preserve">Hyperlink \l "_Toc233624930"</w:instrText>
      </w:r>
      <w:r>
        <w:fldChar w:fldCharType="separate"/>
      </w:r>
      <w:r>
        <w:rPr>
          <w:rFonts w:hint="eastAsia"/>
          <w:color w:val="auto"/>
        </w:rPr>
        <w:t>第八十二条</w:t>
      </w:r>
      <w:r>
        <w:rPr>
          <w:rFonts w:hint="eastAsia" w:ascii="等线" w:eastAsia="等线" w:cs="Arial"/>
          <w:kern w:val="2"/>
          <w:szCs w:val="24"/>
        </w:rPr>
        <w:tab/>
      </w:r>
      <w:r>
        <w:rPr>
          <w:rFonts w:hint="eastAsia"/>
          <w:color w:val="auto"/>
        </w:rPr>
        <w:t>顶管作业沉降控制</w:t>
      </w:r>
      <w:r>
        <w:rPr>
          <w:rFonts w:hint="eastAsia"/>
        </w:rPr>
        <w:tab/>
      </w:r>
      <w:r>
        <w:fldChar w:fldCharType="begin"/>
      </w:r>
      <w:r>
        <w:rPr>
          <w:rFonts w:hint="eastAsia"/>
        </w:rPr>
        <w:instrText xml:space="preserve"> </w:instrText>
      </w:r>
      <w:r>
        <w:instrText xml:space="preserve">PAGEREF _Toc233624930 \h</w:instrText>
      </w:r>
      <w:r>
        <w:rPr>
          <w:rFonts w:hint="eastAsia"/>
        </w:rPr>
        <w:instrText xml:space="preserve"> </w:instrText>
      </w:r>
      <w:r>
        <w:rPr>
          <w:rFonts w:hint="eastAsia"/>
        </w:rPr>
        <w:fldChar w:fldCharType="separate"/>
      </w:r>
      <w:r>
        <w:t>54</w:t>
      </w:r>
      <w:r>
        <w:rPr>
          <w:rFonts w:hint="eastAsia"/>
        </w:rPr>
        <w:fldChar w:fldCharType="end"/>
      </w:r>
      <w:r>
        <w:fldChar w:fldCharType="end"/>
      </w:r>
    </w:p>
    <w:p w14:paraId="5A5391DF">
      <w:pPr>
        <w:pStyle w:val="16"/>
        <w:tabs>
          <w:tab w:val="left" w:pos="1760"/>
          <w:tab w:val="right" w:leader="dot" w:pos="8296"/>
        </w:tabs>
        <w:rPr>
          <w:rFonts w:hint="eastAsia" w:ascii="等线" w:eastAsia="等线" w:cs="Arial"/>
          <w:kern w:val="2"/>
          <w:szCs w:val="24"/>
        </w:rPr>
      </w:pPr>
      <w:r>
        <w:fldChar w:fldCharType="begin"/>
      </w:r>
      <w:r>
        <w:instrText xml:space="preserve">Hyperlink \l "_Toc233624931"</w:instrText>
      </w:r>
      <w:r>
        <w:fldChar w:fldCharType="separate"/>
      </w:r>
      <w:r>
        <w:rPr>
          <w:rFonts w:hint="eastAsia"/>
          <w:color w:val="auto"/>
        </w:rPr>
        <w:t>第八十三条</w:t>
      </w:r>
      <w:r>
        <w:rPr>
          <w:rFonts w:hint="eastAsia" w:ascii="等线" w:eastAsia="等线" w:cs="Arial"/>
          <w:kern w:val="2"/>
          <w:szCs w:val="24"/>
        </w:rPr>
        <w:tab/>
      </w:r>
      <w:r>
        <w:rPr>
          <w:rFonts w:hint="eastAsia"/>
          <w:color w:val="auto"/>
        </w:rPr>
        <w:t>边坡与建筑安全距离</w:t>
      </w:r>
      <w:r>
        <w:rPr>
          <w:rFonts w:hint="eastAsia"/>
        </w:rPr>
        <w:tab/>
      </w:r>
      <w:r>
        <w:fldChar w:fldCharType="begin"/>
      </w:r>
      <w:r>
        <w:rPr>
          <w:rFonts w:hint="eastAsia"/>
        </w:rPr>
        <w:instrText xml:space="preserve"> </w:instrText>
      </w:r>
      <w:r>
        <w:instrText xml:space="preserve">PAGEREF _Toc233624931 \h</w:instrText>
      </w:r>
      <w:r>
        <w:rPr>
          <w:rFonts w:hint="eastAsia"/>
        </w:rPr>
        <w:instrText xml:space="preserve"> </w:instrText>
      </w:r>
      <w:r>
        <w:rPr>
          <w:rFonts w:hint="eastAsia"/>
        </w:rPr>
        <w:fldChar w:fldCharType="separate"/>
      </w:r>
      <w:r>
        <w:t>54</w:t>
      </w:r>
      <w:r>
        <w:rPr>
          <w:rFonts w:hint="eastAsia"/>
        </w:rPr>
        <w:fldChar w:fldCharType="end"/>
      </w:r>
      <w:r>
        <w:fldChar w:fldCharType="end"/>
      </w:r>
    </w:p>
    <w:p w14:paraId="266014BA">
      <w:pPr>
        <w:pStyle w:val="16"/>
        <w:tabs>
          <w:tab w:val="left" w:pos="1760"/>
          <w:tab w:val="right" w:leader="dot" w:pos="8296"/>
        </w:tabs>
        <w:rPr>
          <w:rFonts w:hint="eastAsia" w:ascii="等线" w:eastAsia="等线" w:cs="Arial"/>
          <w:kern w:val="2"/>
          <w:szCs w:val="24"/>
        </w:rPr>
      </w:pPr>
      <w:r>
        <w:fldChar w:fldCharType="begin"/>
      </w:r>
      <w:r>
        <w:instrText xml:space="preserve">Hyperlink \l "_Toc233624932"</w:instrText>
      </w:r>
      <w:r>
        <w:fldChar w:fldCharType="separate"/>
      </w:r>
      <w:r>
        <w:rPr>
          <w:rFonts w:hint="eastAsia"/>
          <w:color w:val="auto"/>
        </w:rPr>
        <w:t>第八十四条</w:t>
      </w:r>
      <w:r>
        <w:rPr>
          <w:rFonts w:hint="eastAsia" w:ascii="等线" w:eastAsia="等线" w:cs="Arial"/>
          <w:kern w:val="2"/>
          <w:szCs w:val="24"/>
        </w:rPr>
        <w:tab/>
      </w:r>
      <w:r>
        <w:rPr>
          <w:rFonts w:hint="eastAsia"/>
          <w:color w:val="auto"/>
        </w:rPr>
        <w:t>施工时行道树保护及安全</w:t>
      </w:r>
      <w:r>
        <w:rPr>
          <w:rFonts w:hint="eastAsia"/>
        </w:rPr>
        <w:tab/>
      </w:r>
      <w:r>
        <w:fldChar w:fldCharType="begin"/>
      </w:r>
      <w:r>
        <w:rPr>
          <w:rFonts w:hint="eastAsia"/>
        </w:rPr>
        <w:instrText xml:space="preserve"> </w:instrText>
      </w:r>
      <w:r>
        <w:instrText xml:space="preserve">PAGEREF _Toc233624932 \h</w:instrText>
      </w:r>
      <w:r>
        <w:rPr>
          <w:rFonts w:hint="eastAsia"/>
        </w:rPr>
        <w:instrText xml:space="preserve"> </w:instrText>
      </w:r>
      <w:r>
        <w:rPr>
          <w:rFonts w:hint="eastAsia"/>
        </w:rPr>
        <w:fldChar w:fldCharType="separate"/>
      </w:r>
      <w:r>
        <w:t>55</w:t>
      </w:r>
      <w:r>
        <w:rPr>
          <w:rFonts w:hint="eastAsia"/>
        </w:rPr>
        <w:fldChar w:fldCharType="end"/>
      </w:r>
      <w:r>
        <w:fldChar w:fldCharType="end"/>
      </w:r>
    </w:p>
    <w:p w14:paraId="210440A7">
      <w:pPr>
        <w:pStyle w:val="16"/>
        <w:tabs>
          <w:tab w:val="left" w:pos="1760"/>
          <w:tab w:val="right" w:leader="dot" w:pos="8296"/>
        </w:tabs>
        <w:rPr>
          <w:rFonts w:hint="eastAsia" w:ascii="等线" w:eastAsia="等线" w:cs="Arial"/>
          <w:kern w:val="2"/>
          <w:szCs w:val="24"/>
        </w:rPr>
      </w:pPr>
      <w:r>
        <w:fldChar w:fldCharType="begin"/>
      </w:r>
      <w:r>
        <w:instrText xml:space="preserve">Hyperlink \l "_Toc233624933"</w:instrText>
      </w:r>
      <w:r>
        <w:fldChar w:fldCharType="separate"/>
      </w:r>
      <w:r>
        <w:rPr>
          <w:rFonts w:hint="eastAsia"/>
          <w:color w:val="auto"/>
        </w:rPr>
        <w:t>第八十五条</w:t>
      </w:r>
      <w:r>
        <w:rPr>
          <w:rFonts w:hint="eastAsia" w:ascii="等线" w:eastAsia="等线" w:cs="Arial"/>
          <w:kern w:val="2"/>
          <w:szCs w:val="24"/>
        </w:rPr>
        <w:tab/>
      </w:r>
      <w:r>
        <w:rPr>
          <w:rFonts w:hint="eastAsia"/>
          <w:color w:val="auto"/>
        </w:rPr>
        <w:t>检查井施工</w:t>
      </w:r>
      <w:r>
        <w:rPr>
          <w:rFonts w:hint="eastAsia"/>
        </w:rPr>
        <w:tab/>
      </w:r>
      <w:r>
        <w:fldChar w:fldCharType="begin"/>
      </w:r>
      <w:r>
        <w:rPr>
          <w:rFonts w:hint="eastAsia"/>
        </w:rPr>
        <w:instrText xml:space="preserve"> </w:instrText>
      </w:r>
      <w:r>
        <w:instrText xml:space="preserve">PAGEREF _Toc233624933 \h</w:instrText>
      </w:r>
      <w:r>
        <w:rPr>
          <w:rFonts w:hint="eastAsia"/>
        </w:rPr>
        <w:instrText xml:space="preserve"> </w:instrText>
      </w:r>
      <w:r>
        <w:rPr>
          <w:rFonts w:hint="eastAsia"/>
        </w:rPr>
        <w:fldChar w:fldCharType="separate"/>
      </w:r>
      <w:r>
        <w:t>55</w:t>
      </w:r>
      <w:r>
        <w:rPr>
          <w:rFonts w:hint="eastAsia"/>
        </w:rPr>
        <w:fldChar w:fldCharType="end"/>
      </w:r>
      <w:r>
        <w:fldChar w:fldCharType="end"/>
      </w:r>
    </w:p>
    <w:p w14:paraId="3C9F4AFF">
      <w:pPr>
        <w:pStyle w:val="16"/>
        <w:tabs>
          <w:tab w:val="left" w:pos="1760"/>
          <w:tab w:val="right" w:leader="dot" w:pos="8296"/>
        </w:tabs>
        <w:rPr>
          <w:rFonts w:hint="eastAsia" w:ascii="等线" w:eastAsia="等线" w:cs="Arial"/>
          <w:kern w:val="2"/>
          <w:szCs w:val="24"/>
        </w:rPr>
      </w:pPr>
      <w:r>
        <w:fldChar w:fldCharType="begin"/>
      </w:r>
      <w:r>
        <w:instrText xml:space="preserve">Hyperlink \l "_Toc233624934"</w:instrText>
      </w:r>
      <w:r>
        <w:fldChar w:fldCharType="separate"/>
      </w:r>
      <w:r>
        <w:rPr>
          <w:rFonts w:hint="eastAsia"/>
          <w:color w:val="auto"/>
        </w:rPr>
        <w:t>第八十六条</w:t>
      </w:r>
      <w:r>
        <w:rPr>
          <w:rFonts w:hint="eastAsia" w:ascii="等线" w:eastAsia="等线" w:cs="Arial"/>
          <w:kern w:val="2"/>
          <w:szCs w:val="24"/>
        </w:rPr>
        <w:tab/>
      </w:r>
      <w:r>
        <w:rPr>
          <w:rFonts w:hint="eastAsia"/>
          <w:color w:val="auto"/>
        </w:rPr>
        <w:t>水泥混凝土冬期施工</w:t>
      </w:r>
      <w:r>
        <w:rPr>
          <w:rFonts w:hint="eastAsia"/>
        </w:rPr>
        <w:tab/>
      </w:r>
      <w:r>
        <w:fldChar w:fldCharType="begin"/>
      </w:r>
      <w:r>
        <w:rPr>
          <w:rFonts w:hint="eastAsia"/>
        </w:rPr>
        <w:instrText xml:space="preserve"> </w:instrText>
      </w:r>
      <w:r>
        <w:instrText xml:space="preserve">PAGEREF _Toc233624934 \h</w:instrText>
      </w:r>
      <w:r>
        <w:rPr>
          <w:rFonts w:hint="eastAsia"/>
        </w:rPr>
        <w:instrText xml:space="preserve"> </w:instrText>
      </w:r>
      <w:r>
        <w:rPr>
          <w:rFonts w:hint="eastAsia"/>
        </w:rPr>
        <w:fldChar w:fldCharType="separate"/>
      </w:r>
      <w:r>
        <w:t>55</w:t>
      </w:r>
      <w:r>
        <w:rPr>
          <w:rFonts w:hint="eastAsia"/>
        </w:rPr>
        <w:fldChar w:fldCharType="end"/>
      </w:r>
      <w:r>
        <w:fldChar w:fldCharType="end"/>
      </w:r>
    </w:p>
    <w:p w14:paraId="544755E6">
      <w:pPr>
        <w:pStyle w:val="16"/>
        <w:tabs>
          <w:tab w:val="left" w:pos="1760"/>
          <w:tab w:val="right" w:leader="dot" w:pos="8296"/>
        </w:tabs>
        <w:rPr>
          <w:rFonts w:hint="eastAsia" w:ascii="等线" w:eastAsia="等线" w:cs="Arial"/>
          <w:kern w:val="2"/>
          <w:szCs w:val="24"/>
        </w:rPr>
      </w:pPr>
      <w:r>
        <w:fldChar w:fldCharType="begin"/>
      </w:r>
      <w:r>
        <w:instrText xml:space="preserve">Hyperlink \l "_Toc233624935"</w:instrText>
      </w:r>
      <w:r>
        <w:fldChar w:fldCharType="separate"/>
      </w:r>
      <w:r>
        <w:rPr>
          <w:rFonts w:hint="eastAsia"/>
          <w:color w:val="auto"/>
        </w:rPr>
        <w:t>第八十七条</w:t>
      </w:r>
      <w:r>
        <w:rPr>
          <w:rFonts w:hint="eastAsia" w:ascii="等线" w:eastAsia="等线" w:cs="Arial"/>
          <w:kern w:val="2"/>
          <w:szCs w:val="24"/>
        </w:rPr>
        <w:tab/>
      </w:r>
      <w:r>
        <w:rPr>
          <w:rFonts w:hint="eastAsia"/>
          <w:color w:val="auto"/>
        </w:rPr>
        <w:t>沥青路面摊铺温度管控</w:t>
      </w:r>
      <w:r>
        <w:rPr>
          <w:rFonts w:hint="eastAsia"/>
        </w:rPr>
        <w:tab/>
      </w:r>
      <w:r>
        <w:fldChar w:fldCharType="begin"/>
      </w:r>
      <w:r>
        <w:rPr>
          <w:rFonts w:hint="eastAsia"/>
        </w:rPr>
        <w:instrText xml:space="preserve"> </w:instrText>
      </w:r>
      <w:r>
        <w:instrText xml:space="preserve">PAGEREF _Toc233624935 \h</w:instrText>
      </w:r>
      <w:r>
        <w:rPr>
          <w:rFonts w:hint="eastAsia"/>
        </w:rPr>
        <w:instrText xml:space="preserve"> </w:instrText>
      </w:r>
      <w:r>
        <w:rPr>
          <w:rFonts w:hint="eastAsia"/>
        </w:rPr>
        <w:fldChar w:fldCharType="separate"/>
      </w:r>
      <w:r>
        <w:t>55</w:t>
      </w:r>
      <w:r>
        <w:rPr>
          <w:rFonts w:hint="eastAsia"/>
        </w:rPr>
        <w:fldChar w:fldCharType="end"/>
      </w:r>
      <w:r>
        <w:fldChar w:fldCharType="end"/>
      </w:r>
    </w:p>
    <w:p w14:paraId="1EBDA921">
      <w:pPr>
        <w:pStyle w:val="16"/>
        <w:tabs>
          <w:tab w:val="left" w:pos="1760"/>
          <w:tab w:val="right" w:leader="dot" w:pos="8296"/>
        </w:tabs>
        <w:rPr>
          <w:rFonts w:hint="eastAsia" w:ascii="等线" w:eastAsia="等线" w:cs="Arial"/>
          <w:kern w:val="2"/>
          <w:szCs w:val="24"/>
        </w:rPr>
      </w:pPr>
      <w:r>
        <w:fldChar w:fldCharType="begin"/>
      </w:r>
      <w:r>
        <w:instrText xml:space="preserve">Hyperlink \l "_Toc233624936"</w:instrText>
      </w:r>
      <w:r>
        <w:fldChar w:fldCharType="separate"/>
      </w:r>
      <w:r>
        <w:rPr>
          <w:rFonts w:hint="eastAsia"/>
          <w:color w:val="auto"/>
        </w:rPr>
        <w:t>第八十八条</w:t>
      </w:r>
      <w:r>
        <w:rPr>
          <w:rFonts w:hint="eastAsia" w:ascii="等线" w:eastAsia="等线" w:cs="Arial"/>
          <w:kern w:val="2"/>
          <w:szCs w:val="24"/>
        </w:rPr>
        <w:tab/>
      </w:r>
      <w:r>
        <w:rPr>
          <w:rFonts w:hint="eastAsia"/>
          <w:color w:val="auto"/>
        </w:rPr>
        <w:t>冻土地区沥青混凝土设计和施工</w:t>
      </w:r>
      <w:r>
        <w:rPr>
          <w:rFonts w:hint="eastAsia"/>
        </w:rPr>
        <w:tab/>
      </w:r>
      <w:r>
        <w:fldChar w:fldCharType="begin"/>
      </w:r>
      <w:r>
        <w:rPr>
          <w:rFonts w:hint="eastAsia"/>
        </w:rPr>
        <w:instrText xml:space="preserve"> </w:instrText>
      </w:r>
      <w:r>
        <w:instrText xml:space="preserve">PAGEREF _Toc233624936 \h</w:instrText>
      </w:r>
      <w:r>
        <w:rPr>
          <w:rFonts w:hint="eastAsia"/>
        </w:rPr>
        <w:instrText xml:space="preserve"> </w:instrText>
      </w:r>
      <w:r>
        <w:rPr>
          <w:rFonts w:hint="eastAsia"/>
        </w:rPr>
        <w:fldChar w:fldCharType="separate"/>
      </w:r>
      <w:r>
        <w:t>56</w:t>
      </w:r>
      <w:r>
        <w:rPr>
          <w:rFonts w:hint="eastAsia"/>
        </w:rPr>
        <w:fldChar w:fldCharType="end"/>
      </w:r>
      <w:r>
        <w:fldChar w:fldCharType="end"/>
      </w:r>
    </w:p>
    <w:p w14:paraId="0FE32CCD">
      <w:pPr>
        <w:pStyle w:val="16"/>
        <w:tabs>
          <w:tab w:val="left" w:pos="1760"/>
          <w:tab w:val="right" w:leader="dot" w:pos="8296"/>
        </w:tabs>
        <w:rPr>
          <w:rFonts w:hint="eastAsia" w:ascii="等线" w:eastAsia="等线" w:cs="Arial"/>
          <w:kern w:val="2"/>
          <w:szCs w:val="24"/>
        </w:rPr>
      </w:pPr>
      <w:r>
        <w:fldChar w:fldCharType="begin"/>
      </w:r>
      <w:r>
        <w:instrText xml:space="preserve">Hyperlink \l "_Toc233624937"</w:instrText>
      </w:r>
      <w:r>
        <w:fldChar w:fldCharType="separate"/>
      </w:r>
      <w:r>
        <w:rPr>
          <w:rFonts w:hint="eastAsia"/>
          <w:color w:val="auto"/>
        </w:rPr>
        <w:t>第八十九条</w:t>
      </w:r>
      <w:r>
        <w:rPr>
          <w:rFonts w:hint="eastAsia" w:ascii="等线" w:eastAsia="等线" w:cs="Arial"/>
          <w:kern w:val="2"/>
          <w:szCs w:val="24"/>
        </w:rPr>
        <w:tab/>
      </w:r>
      <w:r>
        <w:rPr>
          <w:rFonts w:hint="eastAsia"/>
          <w:color w:val="auto"/>
        </w:rPr>
        <w:t>金属管道焊接</w:t>
      </w:r>
      <w:r>
        <w:rPr>
          <w:rFonts w:hint="eastAsia"/>
        </w:rPr>
        <w:tab/>
      </w:r>
      <w:r>
        <w:fldChar w:fldCharType="begin"/>
      </w:r>
      <w:r>
        <w:rPr>
          <w:rFonts w:hint="eastAsia"/>
        </w:rPr>
        <w:instrText xml:space="preserve"> </w:instrText>
      </w:r>
      <w:r>
        <w:instrText xml:space="preserve">PAGEREF _Toc233624937 \h</w:instrText>
      </w:r>
      <w:r>
        <w:rPr>
          <w:rFonts w:hint="eastAsia"/>
        </w:rPr>
        <w:instrText xml:space="preserve"> </w:instrText>
      </w:r>
      <w:r>
        <w:rPr>
          <w:rFonts w:hint="eastAsia"/>
        </w:rPr>
        <w:fldChar w:fldCharType="separate"/>
      </w:r>
      <w:r>
        <w:t>56</w:t>
      </w:r>
      <w:r>
        <w:rPr>
          <w:rFonts w:hint="eastAsia"/>
        </w:rPr>
        <w:fldChar w:fldCharType="end"/>
      </w:r>
      <w:r>
        <w:fldChar w:fldCharType="end"/>
      </w:r>
    </w:p>
    <w:p w14:paraId="6E1FA46C">
      <w:pPr>
        <w:pStyle w:val="16"/>
        <w:tabs>
          <w:tab w:val="left" w:pos="1600"/>
          <w:tab w:val="right" w:leader="dot" w:pos="8296"/>
        </w:tabs>
        <w:rPr>
          <w:rFonts w:hint="eastAsia" w:ascii="等线" w:eastAsia="等线" w:cs="Arial"/>
          <w:kern w:val="2"/>
          <w:szCs w:val="24"/>
        </w:rPr>
      </w:pPr>
      <w:r>
        <w:fldChar w:fldCharType="begin"/>
      </w:r>
      <w:r>
        <w:instrText xml:space="preserve">Hyperlink \l "_Toc233624938"</w:instrText>
      </w:r>
      <w:r>
        <w:fldChar w:fldCharType="separate"/>
      </w:r>
      <w:r>
        <w:rPr>
          <w:rFonts w:hint="eastAsia"/>
          <w:color w:val="auto"/>
        </w:rPr>
        <w:t>第九十条</w:t>
      </w:r>
      <w:r>
        <w:rPr>
          <w:rFonts w:hint="eastAsia" w:ascii="等线" w:eastAsia="等线" w:cs="Arial"/>
          <w:kern w:val="2"/>
          <w:szCs w:val="24"/>
        </w:rPr>
        <w:tab/>
      </w:r>
      <w:r>
        <w:rPr>
          <w:rFonts w:hint="eastAsia"/>
          <w:color w:val="auto"/>
        </w:rPr>
        <w:t>高寒地区管道焊缝检测</w:t>
      </w:r>
      <w:r>
        <w:rPr>
          <w:rFonts w:hint="eastAsia"/>
        </w:rPr>
        <w:tab/>
      </w:r>
      <w:r>
        <w:fldChar w:fldCharType="begin"/>
      </w:r>
      <w:r>
        <w:rPr>
          <w:rFonts w:hint="eastAsia"/>
        </w:rPr>
        <w:instrText xml:space="preserve"> </w:instrText>
      </w:r>
      <w:r>
        <w:instrText xml:space="preserve">PAGEREF _Toc233624938 \h</w:instrText>
      </w:r>
      <w:r>
        <w:rPr>
          <w:rFonts w:hint="eastAsia"/>
        </w:rPr>
        <w:instrText xml:space="preserve"> </w:instrText>
      </w:r>
      <w:r>
        <w:rPr>
          <w:rFonts w:hint="eastAsia"/>
        </w:rPr>
        <w:fldChar w:fldCharType="separate"/>
      </w:r>
      <w:r>
        <w:t>56</w:t>
      </w:r>
      <w:r>
        <w:rPr>
          <w:rFonts w:hint="eastAsia"/>
        </w:rPr>
        <w:fldChar w:fldCharType="end"/>
      </w:r>
      <w:r>
        <w:fldChar w:fldCharType="end"/>
      </w:r>
    </w:p>
    <w:p w14:paraId="672CF3F6">
      <w:pPr>
        <w:pStyle w:val="16"/>
        <w:tabs>
          <w:tab w:val="left" w:pos="1760"/>
          <w:tab w:val="right" w:leader="dot" w:pos="8296"/>
        </w:tabs>
        <w:rPr>
          <w:rFonts w:hint="eastAsia" w:ascii="等线" w:eastAsia="等线" w:cs="Arial"/>
          <w:kern w:val="2"/>
          <w:szCs w:val="24"/>
        </w:rPr>
      </w:pPr>
      <w:r>
        <w:fldChar w:fldCharType="begin"/>
      </w:r>
      <w:r>
        <w:instrText xml:space="preserve">Hyperlink \l "_Toc233624939"</w:instrText>
      </w:r>
      <w:r>
        <w:fldChar w:fldCharType="separate"/>
      </w:r>
      <w:r>
        <w:rPr>
          <w:rFonts w:hint="eastAsia"/>
          <w:color w:val="auto"/>
        </w:rPr>
        <w:t>第九十一条</w:t>
      </w:r>
      <w:r>
        <w:rPr>
          <w:rFonts w:hint="eastAsia" w:ascii="等线" w:eastAsia="等线" w:cs="Arial"/>
          <w:kern w:val="2"/>
          <w:szCs w:val="24"/>
        </w:rPr>
        <w:tab/>
      </w:r>
      <w:r>
        <w:rPr>
          <w:rFonts w:hint="eastAsia"/>
          <w:color w:val="auto"/>
        </w:rPr>
        <w:t>冻融循环检测</w:t>
      </w:r>
      <w:r>
        <w:rPr>
          <w:rFonts w:hint="eastAsia"/>
        </w:rPr>
        <w:tab/>
      </w:r>
      <w:r>
        <w:fldChar w:fldCharType="begin"/>
      </w:r>
      <w:r>
        <w:rPr>
          <w:rFonts w:hint="eastAsia"/>
        </w:rPr>
        <w:instrText xml:space="preserve"> </w:instrText>
      </w:r>
      <w:r>
        <w:instrText xml:space="preserve">PAGEREF _Toc233624939 \h</w:instrText>
      </w:r>
      <w:r>
        <w:rPr>
          <w:rFonts w:hint="eastAsia"/>
        </w:rPr>
        <w:instrText xml:space="preserve"> </w:instrText>
      </w:r>
      <w:r>
        <w:rPr>
          <w:rFonts w:hint="eastAsia"/>
        </w:rPr>
        <w:fldChar w:fldCharType="separate"/>
      </w:r>
      <w:r>
        <w:t>57</w:t>
      </w:r>
      <w:r>
        <w:rPr>
          <w:rFonts w:hint="eastAsia"/>
        </w:rPr>
        <w:fldChar w:fldCharType="end"/>
      </w:r>
      <w:r>
        <w:fldChar w:fldCharType="end"/>
      </w:r>
    </w:p>
    <w:p w14:paraId="3A267E08">
      <w:pPr>
        <w:pStyle w:val="16"/>
        <w:tabs>
          <w:tab w:val="left" w:pos="1760"/>
          <w:tab w:val="right" w:leader="dot" w:pos="8296"/>
        </w:tabs>
        <w:rPr>
          <w:rFonts w:hint="eastAsia" w:ascii="等线" w:eastAsia="等线" w:cs="Arial"/>
          <w:kern w:val="2"/>
          <w:szCs w:val="24"/>
        </w:rPr>
      </w:pPr>
      <w:r>
        <w:fldChar w:fldCharType="begin"/>
      </w:r>
      <w:r>
        <w:instrText xml:space="preserve">Hyperlink \l "_Toc233624940"</w:instrText>
      </w:r>
      <w:r>
        <w:fldChar w:fldCharType="separate"/>
      </w:r>
      <w:r>
        <w:rPr>
          <w:rFonts w:hint="eastAsia"/>
          <w:color w:val="auto"/>
        </w:rPr>
        <w:t>第九十二条</w:t>
      </w:r>
      <w:r>
        <w:rPr>
          <w:rFonts w:hint="eastAsia" w:ascii="等线" w:eastAsia="等线" w:cs="Arial"/>
          <w:kern w:val="2"/>
          <w:szCs w:val="24"/>
        </w:rPr>
        <w:tab/>
      </w:r>
      <w:r>
        <w:rPr>
          <w:rFonts w:hint="eastAsia"/>
          <w:color w:val="auto"/>
        </w:rPr>
        <w:t>地下管线定位资料</w:t>
      </w:r>
      <w:r>
        <w:rPr>
          <w:rFonts w:hint="eastAsia"/>
        </w:rPr>
        <w:tab/>
      </w:r>
      <w:r>
        <w:fldChar w:fldCharType="begin"/>
      </w:r>
      <w:r>
        <w:rPr>
          <w:rFonts w:hint="eastAsia"/>
        </w:rPr>
        <w:instrText xml:space="preserve"> </w:instrText>
      </w:r>
      <w:r>
        <w:instrText xml:space="preserve">PAGEREF _Toc233624940 \h</w:instrText>
      </w:r>
      <w:r>
        <w:rPr>
          <w:rFonts w:hint="eastAsia"/>
        </w:rPr>
        <w:instrText xml:space="preserve"> </w:instrText>
      </w:r>
      <w:r>
        <w:rPr>
          <w:rFonts w:hint="eastAsia"/>
        </w:rPr>
        <w:fldChar w:fldCharType="separate"/>
      </w:r>
      <w:r>
        <w:t>57</w:t>
      </w:r>
      <w:r>
        <w:rPr>
          <w:rFonts w:hint="eastAsia"/>
        </w:rPr>
        <w:fldChar w:fldCharType="end"/>
      </w:r>
      <w:r>
        <w:fldChar w:fldCharType="end"/>
      </w:r>
    </w:p>
    <w:p w14:paraId="778713D2">
      <w:pPr>
        <w:pStyle w:val="22"/>
        <w:tabs>
          <w:tab w:val="right" w:leader="dot" w:pos="8296"/>
        </w:tabs>
        <w:rPr>
          <w:rFonts w:hint="eastAsia" w:ascii="等线" w:eastAsia="等线" w:cs="Arial"/>
          <w:kern w:val="2"/>
          <w:szCs w:val="24"/>
        </w:rPr>
      </w:pPr>
      <w:r>
        <w:fldChar w:fldCharType="begin"/>
      </w:r>
      <w:r>
        <w:instrText xml:space="preserve">Hyperlink \l "_Toc233624941"</w:instrText>
      </w:r>
      <w:r>
        <w:fldChar w:fldCharType="separate"/>
      </w:r>
      <w:r>
        <w:rPr>
          <w:rFonts w:hint="eastAsia" w:ascii="Times New Roman" w:hAnsi="Times New Roman" w:eastAsia="黑体"/>
          <w:color w:val="auto"/>
        </w:rPr>
        <w:t>附录</w:t>
      </w:r>
      <w:r>
        <w:rPr>
          <w:rFonts w:hint="eastAsia"/>
        </w:rPr>
        <w:tab/>
      </w:r>
      <w:r>
        <w:fldChar w:fldCharType="begin"/>
      </w:r>
      <w:r>
        <w:rPr>
          <w:rFonts w:hint="eastAsia"/>
        </w:rPr>
        <w:instrText xml:space="preserve"> </w:instrText>
      </w:r>
      <w:r>
        <w:instrText xml:space="preserve">PAGEREF _Toc233624941 \h</w:instrText>
      </w:r>
      <w:r>
        <w:rPr>
          <w:rFonts w:hint="eastAsia"/>
        </w:rPr>
        <w:instrText xml:space="preserve"> </w:instrText>
      </w:r>
      <w:r>
        <w:rPr>
          <w:rFonts w:hint="eastAsia"/>
        </w:rPr>
        <w:fldChar w:fldCharType="separate"/>
      </w:r>
      <w:r>
        <w:t>58</w:t>
      </w:r>
      <w:r>
        <w:rPr>
          <w:rFonts w:hint="eastAsia"/>
        </w:rPr>
        <w:fldChar w:fldCharType="end"/>
      </w:r>
      <w:r>
        <w:fldChar w:fldCharType="end"/>
      </w:r>
    </w:p>
    <w:p w14:paraId="4EE7BB00">
      <w:pPr>
        <w:pStyle w:val="25"/>
        <w:tabs>
          <w:tab w:val="right" w:leader="dot" w:pos="8306"/>
        </w:tabs>
        <w:ind w:left="216"/>
        <w:rPr>
          <w:rFonts w:ascii="Times New Roman" w:hAnsi="Times New Roman"/>
        </w:rPr>
        <w:sectPr>
          <w:pgSz w:w="11906" w:h="16838"/>
          <w:pgMar w:top="1440" w:right="1800" w:bottom="1440" w:left="1800" w:header="851" w:footer="992" w:gutter="0"/>
          <w:pgNumType w:start="1"/>
          <w:cols w:space="720" w:num="1"/>
          <w:docGrid w:type="lines" w:linePitch="312" w:charSpace="0"/>
        </w:sectPr>
      </w:pPr>
      <w:r>
        <w:rPr>
          <w:rFonts w:ascii="Times New Roman" w:hAnsi="Times New Roman"/>
        </w:rPr>
        <w:fldChar w:fldCharType="end"/>
      </w:r>
    </w:p>
    <w:p w14:paraId="469B74F8">
      <w:pPr>
        <w:pStyle w:val="2"/>
        <w:numPr>
          <w:ilvl w:val="0"/>
          <w:numId w:val="0"/>
        </w:numPr>
        <w:jc w:val="center"/>
        <w:rPr>
          <w:rFonts w:hint="eastAsia" w:ascii="黑体" w:eastAsia="黑体"/>
        </w:rPr>
      </w:pPr>
      <w:bookmarkStart w:id="6" w:name="_Toc233624833"/>
      <w:bookmarkStart w:id="7" w:name="OLE_LINK12"/>
      <w:bookmarkStart w:id="8" w:name="OLE_LINK13"/>
      <w:r>
        <w:rPr>
          <w:rFonts w:hint="eastAsia" w:ascii="黑体" w:eastAsia="黑体"/>
        </w:rPr>
        <w:t>前 言</w:t>
      </w:r>
      <w:bookmarkEnd w:id="6"/>
    </w:p>
    <w:p w14:paraId="19CD6104">
      <w:pPr>
        <w:spacing w:line="560" w:lineRule="exact"/>
        <w:ind w:firstLine="640" w:firstLineChars="200"/>
        <w:rPr>
          <w:rFonts w:ascii="Times New Roman" w:hAnsi="Times New Roman" w:eastAsia="仿宋_GB2312"/>
          <w:bCs/>
          <w:sz w:val="32"/>
          <w:szCs w:val="32"/>
        </w:rPr>
      </w:pPr>
      <w:r>
        <w:rPr>
          <w:rFonts w:hint="eastAsia" w:ascii="Times New Roman" w:hAnsi="Times New Roman" w:eastAsia="仿宋_GB2312"/>
          <w:bCs/>
          <w:sz w:val="32"/>
          <w:szCs w:val="32"/>
        </w:rPr>
        <w:t>为认真落实2025年中央、省委城市工作会议精神及州委、州政府决策部署，推动城乡建设实现功能完善、风貌协调、安全韧性、绿色低碳，为民族地区高质量发展阿坝典范建设提供坚实支撑。依据《阿坝藏族羌族自治州城乡建设指导意见》（以下简称：指导意见），从行政管理和技术管理两个方面，针对本州城乡建设领域系统谋划不足、设计不接地气、建筑材料把控不严、工程质量缺陷频发等突出问题，特制定</w:t>
      </w:r>
      <w:bookmarkStart w:id="9" w:name="OLE_LINK11"/>
      <w:bookmarkStart w:id="10" w:name="OLE_LINK8"/>
      <w:bookmarkStart w:id="11" w:name="OLE_LINK5"/>
      <w:r>
        <w:rPr>
          <w:rFonts w:hint="eastAsia" w:ascii="Times New Roman" w:hAnsi="Times New Roman" w:eastAsia="仿宋_GB2312"/>
          <w:bCs/>
          <w:sz w:val="32"/>
          <w:szCs w:val="32"/>
        </w:rPr>
        <w:t>《阿坝藏族羌族自治州城乡建设指引（2026）》</w:t>
      </w:r>
      <w:bookmarkEnd w:id="9"/>
      <w:bookmarkEnd w:id="10"/>
      <w:bookmarkEnd w:id="11"/>
      <w:r>
        <w:rPr>
          <w:rFonts w:hint="eastAsia" w:ascii="Times New Roman" w:hAnsi="Times New Roman" w:eastAsia="仿宋_GB2312"/>
          <w:bCs/>
          <w:sz w:val="32"/>
          <w:szCs w:val="32"/>
        </w:rPr>
        <w:t xml:space="preserve">（以下简称：建设指引）和《阿坝藏族羌族自治州城乡建设指导手册（2026）》（以下简称：指导手册），便于城乡建设管理工作者在实际工作中参考应用。 </w:t>
      </w:r>
    </w:p>
    <w:p w14:paraId="11FBF2AB">
      <w:pPr>
        <w:pStyle w:val="2"/>
        <w:spacing w:line="560" w:lineRule="exact"/>
        <w:jc w:val="center"/>
        <w:rPr>
          <w:rFonts w:ascii="Times New Roman" w:hAnsi="Times New Roman" w:eastAsia="黑体"/>
        </w:rPr>
      </w:pPr>
      <w:r>
        <w:rPr>
          <w:rFonts w:hint="eastAsia" w:ascii="Times New Roman" w:hAnsi="Times New Roman" w:eastAsia="黑体"/>
        </w:rPr>
        <w:t xml:space="preserve"> </w:t>
      </w:r>
      <w:bookmarkStart w:id="12" w:name="_Toc233624834"/>
      <w:r>
        <w:rPr>
          <w:rFonts w:ascii="Times New Roman" w:hAnsi="Times New Roman" w:eastAsia="黑体"/>
        </w:rPr>
        <w:t>总 则</w:t>
      </w:r>
      <w:bookmarkEnd w:id="12"/>
    </w:p>
    <w:bookmarkEnd w:id="7"/>
    <w:bookmarkEnd w:id="8"/>
    <w:p w14:paraId="21492608">
      <w:pPr>
        <w:pStyle w:val="4"/>
      </w:pPr>
      <w:r>
        <w:t xml:space="preserve"> </w:t>
      </w:r>
      <w:bookmarkStart w:id="13" w:name="_Toc233624835"/>
      <w:r>
        <w:rPr>
          <w:rFonts w:hint="eastAsia"/>
        </w:rPr>
        <w:t>指导</w:t>
      </w:r>
      <w:r>
        <w:t>意见、建设指引和指导手册</w:t>
      </w:r>
      <w:bookmarkEnd w:id="13"/>
    </w:p>
    <w:p w14:paraId="4A3B0805">
      <w:pPr>
        <w:spacing w:line="560" w:lineRule="exact"/>
        <w:ind w:firstLine="640" w:firstLineChars="200"/>
        <w:rPr>
          <w:rFonts w:ascii="Times New Roman" w:hAnsi="Times New Roman" w:eastAsia="仿宋_GB2312"/>
          <w:bCs/>
          <w:sz w:val="32"/>
          <w:szCs w:val="32"/>
        </w:rPr>
      </w:pPr>
      <w:r>
        <w:rPr>
          <w:rFonts w:hint="eastAsia" w:ascii="Times New Roman" w:hAnsi="Times New Roman" w:eastAsia="仿宋_GB2312"/>
          <w:bCs/>
          <w:sz w:val="32"/>
          <w:szCs w:val="32"/>
        </w:rPr>
        <w:t>指导意见是建设指引和指导手册的总纲和要求；建设指引是从行政管理和技术管理两个方面，结合地方实际细化指导意见；指导手册是以“问题导向—解决问题”的逻辑形成可操作、可查阅的实用工具手册</w:t>
      </w:r>
      <w:r>
        <w:rPr>
          <w:rFonts w:ascii="Times New Roman" w:hAnsi="Times New Roman" w:eastAsia="仿宋_GB2312"/>
          <w:bCs/>
          <w:sz w:val="32"/>
          <w:szCs w:val="32"/>
        </w:rPr>
        <w:t>。三者</w:t>
      </w:r>
      <w:r>
        <w:rPr>
          <w:rFonts w:hint="eastAsia" w:ascii="Times New Roman" w:hAnsi="Times New Roman" w:eastAsia="仿宋_GB2312"/>
          <w:bCs/>
          <w:sz w:val="32"/>
          <w:szCs w:val="32"/>
        </w:rPr>
        <w:t>是</w:t>
      </w:r>
      <w:r>
        <w:rPr>
          <w:rFonts w:ascii="Times New Roman" w:hAnsi="Times New Roman" w:eastAsia="仿宋_GB2312"/>
          <w:bCs/>
          <w:sz w:val="32"/>
          <w:szCs w:val="32"/>
        </w:rPr>
        <w:t>从不同层次、不同维度、层层递进、层层细化</w:t>
      </w:r>
      <w:r>
        <w:rPr>
          <w:rFonts w:hint="eastAsia" w:ascii="Times New Roman" w:hAnsi="Times New Roman" w:eastAsia="仿宋_GB2312"/>
          <w:bCs/>
          <w:sz w:val="32"/>
          <w:szCs w:val="32"/>
        </w:rPr>
        <w:t>的</w:t>
      </w:r>
      <w:r>
        <w:rPr>
          <w:rFonts w:ascii="Times New Roman" w:hAnsi="Times New Roman" w:eastAsia="仿宋_GB2312"/>
          <w:bCs/>
          <w:sz w:val="32"/>
          <w:szCs w:val="32"/>
        </w:rPr>
        <w:t>。</w:t>
      </w:r>
    </w:p>
    <w:p w14:paraId="652A3309">
      <w:pPr>
        <w:pStyle w:val="4"/>
      </w:pPr>
      <w:r>
        <w:t xml:space="preserve"> </w:t>
      </w:r>
      <w:bookmarkStart w:id="14" w:name="_Toc233624836"/>
      <w:r>
        <w:t>适用范围</w:t>
      </w:r>
      <w:bookmarkEnd w:id="14"/>
    </w:p>
    <w:p w14:paraId="3298A8EB">
      <w:pPr>
        <w:spacing w:line="560" w:lineRule="exact"/>
        <w:ind w:firstLine="640" w:firstLineChars="200"/>
        <w:rPr>
          <w:rFonts w:ascii="Times New Roman" w:hAnsi="Times New Roman" w:eastAsia="仿宋_GB2312"/>
          <w:bCs/>
          <w:sz w:val="32"/>
          <w:szCs w:val="32"/>
        </w:rPr>
      </w:pPr>
      <w:r>
        <w:rPr>
          <w:rFonts w:hint="eastAsia" w:ascii="Times New Roman" w:hAnsi="Times New Roman" w:eastAsia="仿宋_GB2312"/>
          <w:bCs/>
          <w:sz w:val="32"/>
          <w:szCs w:val="32"/>
        </w:rPr>
        <w:t>本建设</w:t>
      </w:r>
      <w:r>
        <w:rPr>
          <w:rFonts w:ascii="Times New Roman" w:hAnsi="Times New Roman" w:eastAsia="仿宋_GB2312"/>
          <w:bCs/>
          <w:sz w:val="32"/>
          <w:szCs w:val="32"/>
        </w:rPr>
        <w:t>指引</w:t>
      </w:r>
      <w:r>
        <w:rPr>
          <w:rFonts w:hint="eastAsia" w:ascii="Times New Roman" w:hAnsi="Times New Roman" w:eastAsia="仿宋_GB2312"/>
          <w:bCs/>
          <w:sz w:val="32"/>
          <w:szCs w:val="32"/>
        </w:rPr>
        <w:t>适用于阿坝藏族羌族自治州行政区域内所有城乡规划、建设、管理及相关活动，重点指导城镇开发边界内的建设活动（以外的广大乡村地区可参照执行）。行政管理指引针对现存问题从项目前期、建设阶段和其他相关三个环节提出需要进一步明确的管理办法建议；技术管理指引针对现存问题</w:t>
      </w:r>
      <w:r>
        <w:rPr>
          <w:rFonts w:hint="eastAsia" w:ascii="仿宋" w:eastAsia="仿宋"/>
          <w:b/>
          <w:sz w:val="32"/>
          <w:szCs w:val="32"/>
        </w:rPr>
        <w:t>从规划、设计、施工三方面提出具体技术措施建议</w:t>
      </w:r>
      <w:r>
        <w:rPr>
          <w:rFonts w:hint="eastAsia" w:ascii="Times New Roman" w:hAnsi="Times New Roman" w:eastAsia="仿宋_GB2312"/>
          <w:bCs/>
          <w:sz w:val="32"/>
          <w:szCs w:val="32"/>
        </w:rPr>
        <w:t>。</w:t>
      </w:r>
    </w:p>
    <w:p w14:paraId="41DB5DC6">
      <w:pPr>
        <w:pStyle w:val="4"/>
      </w:pPr>
      <w:r>
        <w:t xml:space="preserve"> </w:t>
      </w:r>
      <w:bookmarkStart w:id="15" w:name="_Toc233624837"/>
      <w:r>
        <w:t>时效</w:t>
      </w:r>
      <w:bookmarkEnd w:id="15"/>
      <w:r>
        <w:t xml:space="preserve"> </w:t>
      </w:r>
    </w:p>
    <w:p w14:paraId="34909AAF">
      <w:pPr>
        <w:spacing w:line="560" w:lineRule="exact"/>
        <w:ind w:firstLine="640" w:firstLineChars="200"/>
        <w:rPr>
          <w:rFonts w:ascii="Times New Roman" w:hAnsi="Times New Roman" w:eastAsia="仿宋"/>
          <w:sz w:val="30"/>
          <w:szCs w:val="30"/>
        </w:rPr>
      </w:pPr>
      <w:r>
        <w:rPr>
          <w:rFonts w:hint="eastAsia" w:ascii="Times New Roman" w:hAnsi="Times New Roman" w:eastAsia="仿宋_GB2312"/>
          <w:bCs/>
          <w:sz w:val="32"/>
          <w:szCs w:val="32"/>
        </w:rPr>
        <w:t>本建设</w:t>
      </w:r>
      <w:r>
        <w:rPr>
          <w:rFonts w:ascii="Times New Roman" w:hAnsi="Times New Roman" w:eastAsia="仿宋_GB2312"/>
          <w:bCs/>
          <w:sz w:val="32"/>
          <w:szCs w:val="32"/>
        </w:rPr>
        <w:t>指引</w:t>
      </w:r>
      <w:r>
        <w:rPr>
          <w:rFonts w:hint="eastAsia" w:ascii="Times New Roman" w:hAnsi="Times New Roman" w:eastAsia="仿宋_GB2312"/>
          <w:bCs/>
          <w:sz w:val="32"/>
          <w:szCs w:val="32"/>
        </w:rPr>
        <w:t>自发布之日起施行。州住房和城乡建设局可根据国家、省、州最新政策要求及城乡建设发展实际，适时组织评估和修订工作。</w:t>
      </w:r>
    </w:p>
    <w:p w14:paraId="0602BDE1">
      <w:pPr>
        <w:pStyle w:val="2"/>
        <w:spacing w:line="560" w:lineRule="exact"/>
        <w:jc w:val="center"/>
        <w:rPr>
          <w:rFonts w:ascii="Times New Roman" w:hAnsi="Times New Roman" w:eastAsia="黑体"/>
        </w:rPr>
        <w:sectPr>
          <w:pgSz w:w="11906" w:h="16838"/>
          <w:pgMar w:top="1440" w:right="1800" w:bottom="1440" w:left="1800" w:header="851" w:footer="992" w:gutter="0"/>
          <w:cols w:space="720" w:num="1"/>
          <w:docGrid w:type="lines" w:linePitch="312" w:charSpace="0"/>
        </w:sectPr>
      </w:pPr>
    </w:p>
    <w:p w14:paraId="72A515D4">
      <w:pPr>
        <w:pStyle w:val="2"/>
        <w:spacing w:line="560" w:lineRule="exact"/>
        <w:jc w:val="center"/>
        <w:rPr>
          <w:rFonts w:ascii="Times New Roman" w:hAnsi="Times New Roman" w:eastAsia="黑体"/>
        </w:rPr>
      </w:pPr>
      <w:r>
        <w:rPr>
          <w:rFonts w:hint="eastAsia" w:ascii="Times New Roman" w:hAnsi="Times New Roman" w:eastAsia="黑体"/>
        </w:rPr>
        <w:t xml:space="preserve"> </w:t>
      </w:r>
      <w:bookmarkStart w:id="16" w:name="_Toc233624838"/>
      <w:r>
        <w:rPr>
          <w:rFonts w:ascii="Times New Roman" w:hAnsi="Times New Roman" w:eastAsia="黑体"/>
        </w:rPr>
        <w:t>行政管理指引</w:t>
      </w:r>
      <w:bookmarkEnd w:id="16"/>
    </w:p>
    <w:p w14:paraId="75A59CCE">
      <w:pPr>
        <w:pStyle w:val="3"/>
        <w:numPr>
          <w:ilvl w:val="0"/>
          <w:numId w:val="3"/>
        </w:numPr>
        <w:spacing w:line="560" w:lineRule="exact"/>
        <w:jc w:val="center"/>
        <w:rPr>
          <w:rFonts w:ascii="Times New Roman" w:hAnsi="Times New Roman" w:eastAsia="黑体"/>
          <w:b w:val="0"/>
          <w:sz w:val="36"/>
          <w:szCs w:val="36"/>
        </w:rPr>
      </w:pPr>
      <w:bookmarkStart w:id="17" w:name="_Toc233624839"/>
      <w:r>
        <w:rPr>
          <w:rFonts w:hint="eastAsia" w:ascii="Times New Roman" w:hAnsi="Times New Roman" w:eastAsia="黑体"/>
          <w:b w:val="0"/>
          <w:sz w:val="36"/>
          <w:szCs w:val="36"/>
        </w:rPr>
        <w:t>项目前期管理</w:t>
      </w:r>
      <w:bookmarkEnd w:id="17"/>
    </w:p>
    <w:p w14:paraId="6BEF784E">
      <w:pPr>
        <w:pStyle w:val="4"/>
      </w:pPr>
      <w:bookmarkStart w:id="18" w:name="_Toc233624840"/>
      <w:r>
        <w:t>县（市）总体规划目标再审视</w:t>
      </w:r>
      <w:bookmarkEnd w:id="18"/>
    </w:p>
    <w:p w14:paraId="3B619CFD">
      <w:pPr>
        <w:spacing w:line="560" w:lineRule="exact"/>
        <w:ind w:firstLine="707" w:firstLineChars="221"/>
        <w:rPr>
          <w:rFonts w:ascii="Times New Roman" w:hAnsi="Times New Roman" w:eastAsia="仿宋_GB2312"/>
          <w:bCs/>
          <w:sz w:val="32"/>
          <w:szCs w:val="32"/>
        </w:rPr>
      </w:pPr>
      <w:r>
        <w:rPr>
          <w:rFonts w:ascii="Times New Roman" w:hAnsi="Times New Roman" w:eastAsia="仿宋_GB2312"/>
          <w:bCs/>
          <w:sz w:val="32"/>
          <w:szCs w:val="32"/>
        </w:rPr>
        <w:t>各县（市）须立足国家赋予四川的战略腹地定位，紧紧围绕“川西北生态示范区”功能定位，加快建成“国际生态文化旅游目的地”的总体目标，以州发展规划和国土空间总体规划为指导，依据近年来人口变动趋势、资源禀赋和开发利用情况，科学审视县（市）域镇村体系和空间布局，进一步完善县城、小城镇、中心村职能定位、主导产业、人口规模、开发边界、用途管制，经评估论证后保证城乡建设科学发展。</w:t>
      </w:r>
    </w:p>
    <w:p w14:paraId="48A38D00">
      <w:pPr>
        <w:pStyle w:val="4"/>
      </w:pPr>
      <w:bookmarkStart w:id="19" w:name="_Toc233624841"/>
      <w:r>
        <w:rPr>
          <w:rFonts w:hint="eastAsia"/>
        </w:rPr>
        <w:t>城市</w:t>
      </w:r>
      <w:r>
        <w:t>体检评估</w:t>
      </w:r>
      <w:r>
        <w:rPr>
          <w:rFonts w:hint="eastAsia"/>
        </w:rPr>
        <w:t>、</w:t>
      </w:r>
      <w:r>
        <w:t>更新规划</w:t>
      </w:r>
      <w:r>
        <w:rPr>
          <w:rFonts w:hint="eastAsia"/>
        </w:rPr>
        <w:t>和实施方案</w:t>
      </w:r>
      <w:bookmarkEnd w:id="19"/>
    </w:p>
    <w:p w14:paraId="184CC931">
      <w:pPr>
        <w:spacing w:line="560" w:lineRule="exact"/>
        <w:ind w:right="84" w:rightChars="40" w:firstLine="707" w:firstLineChars="221"/>
        <w:rPr>
          <w:rFonts w:ascii="Times New Roman" w:hAnsi="Times New Roman" w:eastAsia="仿宋_GB2312"/>
          <w:bCs/>
          <w:sz w:val="32"/>
          <w:szCs w:val="32"/>
        </w:rPr>
      </w:pPr>
      <w:r>
        <w:rPr>
          <w:rFonts w:hint="eastAsia" w:ascii="Times New Roman" w:hAnsi="Times New Roman" w:eastAsia="仿宋_GB2312"/>
          <w:bCs/>
          <w:sz w:val="32"/>
          <w:szCs w:val="32"/>
        </w:rPr>
        <w:t>按照《中共中央国务院关于推动城市高质量发展的意见》（2025年8月），依据《住房和城乡建设部等部门关于深入推进城市更新工作的通知》《城市体检工作手册（试行）》（2025年5月）开展城市体检评估工作，精准查找城市建设短板，解决当地群众“急难愁盼”的民生问题，也可针对性形成如旅游公服、环卫设施、文教卫生等“小专项”体检，提高体检工作的实际转化效果。根据城市体检结果，按住建部《城市更新规划编制导则》（2025年7月）高质量编制城市更新专项规划和实施方案，指导各县（市）以建设创新、宜居、美丽、韧性、文明、智慧的现代化人民城市为目标，在城市结构优化、动能转换、品质提升、绿色转型、文脉赓续、治理增效，牢牢守住城市安全底线等方面精准施策。</w:t>
      </w:r>
    </w:p>
    <w:p w14:paraId="1F6077AF">
      <w:pPr>
        <w:spacing w:line="560" w:lineRule="exact"/>
        <w:ind w:right="84" w:rightChars="40" w:firstLine="707" w:firstLineChars="221"/>
        <w:rPr>
          <w:rFonts w:ascii="Times New Roman" w:hAnsi="Times New Roman" w:eastAsia="仿宋_GB2312"/>
          <w:bCs/>
          <w:sz w:val="32"/>
          <w:szCs w:val="32"/>
        </w:rPr>
      </w:pPr>
      <w:r>
        <w:rPr>
          <w:rFonts w:hint="eastAsia" w:ascii="Times New Roman" w:hAnsi="Times New Roman" w:eastAsia="仿宋_GB2312"/>
          <w:bCs/>
          <w:sz w:val="32"/>
          <w:szCs w:val="32"/>
        </w:rPr>
        <w:t>鼓励和支持各县（市）在严格遵守国家强制性标准和规范的前提下，结合《民用建筑通用规范》（GB 55031—2022）、《住宅项目规范》（GB 55038—2025）科学审视、合理突破部分非强制性的通用技术条款，结合阿坝州高原高寒、民族聚居、地形复杂、生态敏感等特点，积极探索研究并适时制定适用于峡谷地区、高海拔地区的《XX县（市）城市更新设计技术管理规定》或《XX县（市）规划技术管理规定补充细则》，纳入县（市）规划技术管理规定，重点研究在确保安全前提下的建筑间距、容积率、建筑限高、建筑密度、绿地率等控制指标的适应性调整，推动紧凑集约、绿色生态的建设模式。</w:t>
      </w:r>
    </w:p>
    <w:p w14:paraId="749FAEF2">
      <w:pPr>
        <w:pStyle w:val="4"/>
      </w:pPr>
      <w:bookmarkStart w:id="20" w:name="_Toc233624842"/>
      <w:r>
        <w:t>其他专项</w:t>
      </w:r>
      <w:r>
        <w:rPr>
          <w:rFonts w:hint="eastAsia"/>
        </w:rPr>
        <w:t>实施方案</w:t>
      </w:r>
      <w:bookmarkEnd w:id="20"/>
    </w:p>
    <w:p w14:paraId="73381FF6">
      <w:pPr>
        <w:spacing w:line="560" w:lineRule="exact"/>
        <w:ind w:right="84" w:rightChars="40" w:firstLine="707" w:firstLineChars="221"/>
        <w:rPr>
          <w:rFonts w:ascii="Times New Roman" w:hAnsi="Times New Roman" w:eastAsia="仿宋_GB2312"/>
          <w:bCs/>
          <w:sz w:val="32"/>
          <w:szCs w:val="32"/>
        </w:rPr>
      </w:pPr>
      <w:r>
        <w:rPr>
          <w:rFonts w:hint="eastAsia" w:ascii="Times New Roman" w:hAnsi="Times New Roman" w:eastAsia="仿宋_GB2312"/>
          <w:bCs/>
          <w:sz w:val="32"/>
          <w:szCs w:val="32"/>
        </w:rPr>
        <w:t>根据2025年7月中央城市工作会议精神和《国家发展改革委等部门关于推动“平急两用”公共基础设施建设的指导意见》，推动各县（市）有序编制和完善市政基础设施各专项实施方案，包括但不限于：电力、给水、排水（污水、雨水、再生水）、饮用水源及保护、配电网、燃气、通信、有线电视、供热（根据需要）、供氧（根据需要）、环境卫生工程、城镇照明、市政工程管线综合等规划。</w:t>
      </w:r>
    </w:p>
    <w:p w14:paraId="237278DC">
      <w:pPr>
        <w:spacing w:line="560" w:lineRule="exact"/>
        <w:ind w:right="84" w:rightChars="40" w:firstLine="707" w:firstLineChars="221"/>
        <w:rPr>
          <w:rFonts w:ascii="Times New Roman" w:hAnsi="Times New Roman" w:eastAsia="仿宋_GB2312"/>
          <w:bCs/>
          <w:sz w:val="32"/>
          <w:szCs w:val="32"/>
        </w:rPr>
      </w:pPr>
      <w:r>
        <w:rPr>
          <w:rFonts w:hint="eastAsia" w:ascii="Times New Roman" w:hAnsi="Times New Roman" w:eastAsia="仿宋_GB2312"/>
          <w:bCs/>
          <w:sz w:val="32"/>
          <w:szCs w:val="32"/>
        </w:rPr>
        <w:t>推动各县（市）有序编制和完善城市综合防灾减灾专项实施方案，重点涵盖抗震防灾、防洪防涝、消防、人防、气象灾害防御等五大类综合性专项实施方案，以及重大危险源布局与安全防护实施方案、应急避难场所建设实施方案、地质灾害防治实施方案等。在项目选址和布局中充分考虑灾害风险规避，合理设置防灾分区和疏散救援通道。在建设中严格执行防灾减灾标准，提升关键基础设施和重要建筑的设防标准。保障充足的应急空间供给，构建平灾结合、快速转换的韧性空间结构。推动智慧城市和海绵城市建设，建立城市安全运行监测预警机制。</w:t>
      </w:r>
    </w:p>
    <w:p w14:paraId="08767D88">
      <w:pPr>
        <w:pStyle w:val="4"/>
      </w:pPr>
      <w:bookmarkStart w:id="21" w:name="_Toc233624843"/>
      <w:r>
        <w:t>建立</w:t>
      </w:r>
      <w:bookmarkStart w:id="22" w:name="_Hlk228433113"/>
      <w:r>
        <w:t>重大项目协同管理工作机制</w:t>
      </w:r>
      <w:bookmarkEnd w:id="21"/>
      <w:bookmarkEnd w:id="22"/>
    </w:p>
    <w:p w14:paraId="4F5E38B7">
      <w:pPr>
        <w:spacing w:line="560" w:lineRule="exact"/>
        <w:ind w:firstLine="707" w:firstLineChars="221"/>
        <w:rPr>
          <w:rFonts w:ascii="Times New Roman" w:hAnsi="Times New Roman" w:eastAsia="仿宋_GB2312"/>
          <w:bCs/>
          <w:sz w:val="32"/>
          <w:szCs w:val="32"/>
        </w:rPr>
      </w:pPr>
      <w:r>
        <w:rPr>
          <w:rFonts w:ascii="Times New Roman" w:hAnsi="Times New Roman" w:eastAsia="仿宋_GB2312"/>
          <w:bCs/>
          <w:sz w:val="32"/>
          <w:szCs w:val="32"/>
        </w:rPr>
        <w:t>围绕“精城优镇、美村靓户”工作目标，州、县（市）住房和城乡建设主管部门会同发改、财政、自然资源、林草、生态环境、交通运输、水利、金融等部门共同建立完善重大项目协同管理工作机制。明确各部门在项目生成、前期审批、建设实施、资金保障等环节的职责分工与衔接方式。重点强化在项目策划包装、建筑方案设计（含风貌审查）等阶段的统筹联动。住房和城乡建设主管部门应积极主动参与国土空间规划、详细规划及其他相关专项规划的编制与审查；探索开发边界内城市更新和建设实施方案由住建和自然资源部门联合技术审查许可机制。</w:t>
      </w:r>
    </w:p>
    <w:p w14:paraId="34818071">
      <w:pPr>
        <w:pStyle w:val="3"/>
        <w:numPr>
          <w:ilvl w:val="0"/>
          <w:numId w:val="3"/>
        </w:numPr>
        <w:spacing w:line="560" w:lineRule="exact"/>
        <w:jc w:val="center"/>
        <w:rPr>
          <w:rFonts w:ascii="Times New Roman" w:hAnsi="Times New Roman" w:eastAsia="黑体"/>
          <w:b w:val="0"/>
          <w:sz w:val="36"/>
          <w:szCs w:val="36"/>
        </w:rPr>
      </w:pPr>
      <w:bookmarkStart w:id="23" w:name="_Toc233624844"/>
      <w:r>
        <w:rPr>
          <w:rFonts w:hint="eastAsia" w:ascii="Times New Roman" w:hAnsi="Times New Roman" w:eastAsia="黑体"/>
          <w:b w:val="0"/>
          <w:sz w:val="36"/>
          <w:szCs w:val="36"/>
        </w:rPr>
        <w:t>建设阶段管理</w:t>
      </w:r>
      <w:bookmarkEnd w:id="23"/>
    </w:p>
    <w:p w14:paraId="10D67798">
      <w:pPr>
        <w:pStyle w:val="4"/>
      </w:pPr>
      <w:bookmarkStart w:id="24" w:name="_Toc233624845"/>
      <w:r>
        <w:rPr>
          <w:rFonts w:hint="eastAsia"/>
        </w:rPr>
        <w:t>“数字住建”工作推进</w:t>
      </w:r>
      <w:bookmarkEnd w:id="24"/>
    </w:p>
    <w:p w14:paraId="37152F9B">
      <w:pPr>
        <w:spacing w:line="560" w:lineRule="exact"/>
        <w:ind w:right="84" w:rightChars="40" w:firstLine="707" w:firstLineChars="221"/>
      </w:pPr>
      <w:r>
        <w:rPr>
          <w:rFonts w:hint="eastAsia" w:ascii="Times New Roman" w:hAnsi="Times New Roman" w:eastAsia="仿宋_GB2312"/>
          <w:bCs/>
          <w:sz w:val="32"/>
          <w:szCs w:val="32"/>
        </w:rPr>
        <w:t>各级住房城乡建设行政主管部门应按照住房城乡建设部发布的《“数字住建”建设整体布局规划》（建办〔2024〕12号）加强“数字住建”整体布局，深入推进“数字住建”建设，打造宜居、韧性、智慧城市。</w:t>
      </w:r>
    </w:p>
    <w:p w14:paraId="104504FB">
      <w:pPr>
        <w:pStyle w:val="4"/>
      </w:pPr>
      <w:bookmarkStart w:id="25" w:name="_Toc233624846"/>
      <w:r>
        <w:t>装配式建筑及BIM技术</w:t>
      </w:r>
      <w:r>
        <w:rPr>
          <w:rFonts w:hint="eastAsia"/>
        </w:rPr>
        <w:t>管理</w:t>
      </w:r>
      <w:bookmarkEnd w:id="25"/>
    </w:p>
    <w:p w14:paraId="2EE3F916">
      <w:pPr>
        <w:spacing w:line="560" w:lineRule="exact"/>
        <w:ind w:right="84" w:rightChars="40" w:firstLine="707" w:firstLineChars="221"/>
        <w:rPr>
          <w:rFonts w:ascii="Times New Roman" w:hAnsi="Times New Roman" w:eastAsia="仿宋_GB2312"/>
          <w:sz w:val="32"/>
          <w:szCs w:val="32"/>
        </w:rPr>
      </w:pPr>
      <w:r>
        <w:rPr>
          <w:rFonts w:ascii="Times New Roman" w:hAnsi="Times New Roman" w:eastAsia="仿宋_GB2312"/>
          <w:sz w:val="32"/>
          <w:szCs w:val="32"/>
        </w:rPr>
        <w:t>在满足抗震设计的前提下</w:t>
      </w:r>
      <w:r>
        <w:rPr>
          <w:rFonts w:hint="eastAsia" w:ascii="Times New Roman" w:hAnsi="Times New Roman" w:eastAsia="仿宋_GB2312"/>
          <w:sz w:val="32"/>
          <w:szCs w:val="32"/>
        </w:rPr>
        <w:t>，</w:t>
      </w:r>
      <w:r>
        <w:rPr>
          <w:rFonts w:ascii="Times New Roman" w:hAnsi="Times New Roman" w:eastAsia="仿宋_GB2312"/>
          <w:sz w:val="32"/>
          <w:szCs w:val="32"/>
        </w:rPr>
        <w:t>按</w:t>
      </w:r>
      <w:r>
        <w:rPr>
          <w:rFonts w:hint="eastAsia" w:ascii="Times New Roman" w:hAnsi="Times New Roman" w:eastAsia="仿宋_GB2312"/>
          <w:sz w:val="32"/>
          <w:szCs w:val="32"/>
        </w:rPr>
        <w:t>照</w:t>
      </w:r>
      <w:r>
        <w:rPr>
          <w:rFonts w:ascii="Times New Roman" w:hAnsi="Times New Roman" w:eastAsia="仿宋_GB2312"/>
          <w:sz w:val="32"/>
          <w:szCs w:val="32"/>
        </w:rPr>
        <w:t>《四川省人民政府关于推进建筑产业现代化发展的指导意见》（川府发〔2016〕12号）及</w:t>
      </w:r>
      <w:r>
        <w:rPr>
          <w:rFonts w:hint="eastAsia" w:ascii="Times New Roman" w:hAnsi="Times New Roman" w:eastAsia="仿宋_GB2312"/>
          <w:sz w:val="32"/>
          <w:szCs w:val="32"/>
        </w:rPr>
        <w:t>《四川省人民政府办公厅关于促进建筑业持续健康发展的实施意见》（川办发〔2018〕9号）</w:t>
      </w:r>
      <w:r>
        <w:rPr>
          <w:rFonts w:ascii="Times New Roman" w:hAnsi="Times New Roman" w:eastAsia="仿宋_GB2312"/>
          <w:sz w:val="32"/>
          <w:szCs w:val="32"/>
        </w:rPr>
        <w:t>逐步推行装配式建筑，积极推广建筑信息模型（BIM）技术在规划、勘察、设计、施工、运营维护全过程的集成应用，强化省级智能建造试点项目申报，提升工程建设和管理信息化、智慧化水平。</w:t>
      </w:r>
    </w:p>
    <w:p w14:paraId="6D8F24F0">
      <w:pPr>
        <w:pStyle w:val="4"/>
      </w:pPr>
      <w:bookmarkStart w:id="26" w:name="_Toc233624847"/>
      <w:r>
        <w:t>绿色建筑全过程管理</w:t>
      </w:r>
      <w:bookmarkEnd w:id="26"/>
    </w:p>
    <w:p w14:paraId="5653AE23">
      <w:pPr>
        <w:spacing w:line="560" w:lineRule="exact"/>
        <w:ind w:right="84" w:rightChars="40" w:firstLine="707" w:firstLineChars="221"/>
        <w:rPr>
          <w:rFonts w:ascii="Times New Roman" w:hAnsi="Times New Roman" w:eastAsia="仿宋_GB2312"/>
          <w:sz w:val="32"/>
          <w:szCs w:val="32"/>
        </w:rPr>
      </w:pPr>
      <w:r>
        <w:rPr>
          <w:rFonts w:hint="eastAsia" w:ascii="Times New Roman" w:hAnsi="Times New Roman" w:eastAsia="仿宋_GB2312"/>
          <w:sz w:val="32"/>
          <w:szCs w:val="32"/>
        </w:rPr>
        <w:t>绿色建筑全过程管理应</w:t>
      </w:r>
      <w:r>
        <w:rPr>
          <w:rFonts w:ascii="Times New Roman" w:hAnsi="Times New Roman" w:eastAsia="仿宋_GB2312"/>
          <w:sz w:val="32"/>
          <w:szCs w:val="32"/>
        </w:rPr>
        <w:t>深入贯彻落实《关于加强绿色建筑全过程质量管理的通知》（川建勘设科发〔2024〕113号）要求，绿色建筑设计应严格执行《绿色建筑评价标准》</w:t>
      </w:r>
      <w:r>
        <w:rPr>
          <w:rFonts w:hint="eastAsia" w:ascii="Times New Roman" w:hAnsi="Times New Roman" w:eastAsia="仿宋_GB2312"/>
          <w:sz w:val="32"/>
          <w:szCs w:val="32"/>
        </w:rPr>
        <w:t>（</w:t>
      </w:r>
      <w:r>
        <w:rPr>
          <w:rFonts w:ascii="Times New Roman" w:hAnsi="Times New Roman" w:eastAsia="仿宋_GB2312"/>
          <w:sz w:val="32"/>
          <w:szCs w:val="32"/>
        </w:rPr>
        <w:t>GB/T 50378—2019</w:t>
      </w:r>
      <w:r>
        <w:rPr>
          <w:rFonts w:hint="eastAsia" w:ascii="Times New Roman" w:hAnsi="Times New Roman" w:eastAsia="仿宋_GB2312"/>
          <w:sz w:val="32"/>
          <w:szCs w:val="32"/>
        </w:rPr>
        <w:t>）</w:t>
      </w:r>
      <w:r>
        <w:rPr>
          <w:rFonts w:ascii="Times New Roman" w:hAnsi="Times New Roman" w:eastAsia="仿宋_GB2312"/>
          <w:sz w:val="32"/>
          <w:szCs w:val="32"/>
        </w:rPr>
        <w:t>（2024版）、《绿色工业建筑评价标准》</w:t>
      </w:r>
      <w:r>
        <w:rPr>
          <w:rFonts w:hint="eastAsia" w:ascii="Times New Roman" w:hAnsi="Times New Roman" w:eastAsia="仿宋_GB2312"/>
          <w:sz w:val="32"/>
          <w:szCs w:val="32"/>
        </w:rPr>
        <w:t>（</w:t>
      </w:r>
      <w:r>
        <w:rPr>
          <w:rFonts w:ascii="Times New Roman" w:hAnsi="Times New Roman" w:eastAsia="仿宋_GB2312"/>
          <w:sz w:val="32"/>
          <w:szCs w:val="32"/>
        </w:rPr>
        <w:t xml:space="preserve">GB/T </w:t>
      </w:r>
      <w:r>
        <w:rPr>
          <w:rFonts w:hint="eastAsia" w:ascii="Times New Roman" w:hAnsi="Times New Roman" w:eastAsia="仿宋_GB2312"/>
          <w:sz w:val="32"/>
          <w:szCs w:val="32"/>
        </w:rPr>
        <w:t>5</w:t>
      </w:r>
      <w:r>
        <w:rPr>
          <w:rFonts w:ascii="Times New Roman" w:hAnsi="Times New Roman" w:eastAsia="仿宋_GB2312"/>
          <w:sz w:val="32"/>
          <w:szCs w:val="32"/>
        </w:rPr>
        <w:t>0878—2013</w:t>
      </w:r>
      <w:r>
        <w:rPr>
          <w:rFonts w:hint="eastAsia" w:ascii="Times New Roman" w:hAnsi="Times New Roman" w:eastAsia="仿宋_GB2312"/>
          <w:sz w:val="32"/>
          <w:szCs w:val="32"/>
        </w:rPr>
        <w:t>）</w:t>
      </w:r>
      <w:r>
        <w:rPr>
          <w:rFonts w:ascii="Times New Roman" w:hAnsi="Times New Roman" w:eastAsia="仿宋_GB2312"/>
          <w:sz w:val="32"/>
          <w:szCs w:val="32"/>
        </w:rPr>
        <w:t>、《四川省民用绿色建筑设计施工图审查要点》（2024版），加强绿色建筑设计、施工、验收、运行等全过程质量管理，建立绿色建筑验收制度，建设项目在单位工程竣工验收前，</w:t>
      </w:r>
      <w:r>
        <w:rPr>
          <w:rFonts w:hint="eastAsia" w:ascii="Times New Roman" w:hAnsi="Times New Roman" w:eastAsia="仿宋_GB2312"/>
          <w:sz w:val="32"/>
          <w:szCs w:val="32"/>
        </w:rPr>
        <w:t>相关部门</w:t>
      </w:r>
      <w:r>
        <w:rPr>
          <w:rFonts w:ascii="Times New Roman" w:hAnsi="Times New Roman" w:eastAsia="仿宋_GB2312"/>
          <w:sz w:val="32"/>
          <w:szCs w:val="32"/>
        </w:rPr>
        <w:t>应对照现行《四川省绿色建筑工程专项验收标准》</w:t>
      </w:r>
      <w:r>
        <w:rPr>
          <w:rFonts w:hint="eastAsia" w:ascii="Times New Roman" w:hAnsi="Times New Roman" w:eastAsia="仿宋_GB2312"/>
          <w:sz w:val="32"/>
          <w:szCs w:val="32"/>
        </w:rPr>
        <w:t>（</w:t>
      </w:r>
      <w:r>
        <w:rPr>
          <w:rFonts w:ascii="Times New Roman" w:hAnsi="Times New Roman" w:eastAsia="仿宋_GB2312"/>
          <w:sz w:val="32"/>
          <w:szCs w:val="32"/>
        </w:rPr>
        <w:t>DBJ51/T208</w:t>
      </w:r>
      <w:r>
        <w:rPr>
          <w:rFonts w:hint="eastAsia" w:ascii="Times New Roman" w:hAnsi="Times New Roman" w:eastAsia="仿宋_GB2312"/>
          <w:sz w:val="32"/>
          <w:szCs w:val="32"/>
        </w:rPr>
        <w:t>）</w:t>
      </w:r>
      <w:r>
        <w:rPr>
          <w:rFonts w:ascii="Times New Roman" w:hAnsi="Times New Roman" w:eastAsia="仿宋_GB2312"/>
          <w:sz w:val="32"/>
          <w:szCs w:val="32"/>
        </w:rPr>
        <w:t>开展绿色建筑专项验收。</w:t>
      </w:r>
    </w:p>
    <w:p w14:paraId="297723EA">
      <w:pPr>
        <w:pStyle w:val="4"/>
      </w:pPr>
      <w:bookmarkStart w:id="27" w:name="_Toc207091310"/>
      <w:bookmarkStart w:id="28" w:name="_Toc233624848"/>
      <w:r>
        <w:t>本地建材</w:t>
      </w:r>
      <w:bookmarkEnd w:id="27"/>
      <w:r>
        <w:t>发展</w:t>
      </w:r>
      <w:bookmarkEnd w:id="28"/>
    </w:p>
    <w:p w14:paraId="6FE1C690">
      <w:pPr>
        <w:spacing w:line="560" w:lineRule="exact"/>
        <w:ind w:right="84" w:rightChars="40" w:firstLine="707" w:firstLineChars="221"/>
        <w:rPr>
          <w:rFonts w:ascii="Times New Roman" w:hAnsi="Times New Roman" w:eastAsia="仿宋_GB2312"/>
          <w:sz w:val="32"/>
          <w:szCs w:val="32"/>
        </w:rPr>
      </w:pPr>
      <w:r>
        <w:rPr>
          <w:rFonts w:ascii="Times New Roman" w:hAnsi="Times New Roman" w:eastAsia="仿宋_GB2312"/>
          <w:sz w:val="32"/>
          <w:szCs w:val="32"/>
        </w:rPr>
        <w:t>各县（市）应结合本地实际，深入贯彻落实《四川省绿色建材产业发展规划（2025</w:t>
      </w:r>
      <w:r>
        <w:rPr>
          <w:rFonts w:hint="eastAsia" w:ascii="Times New Roman" w:hAnsi="Times New Roman" w:eastAsia="仿宋_GB2312"/>
          <w:sz w:val="32"/>
          <w:szCs w:val="32"/>
        </w:rPr>
        <w:t>-</w:t>
      </w:r>
      <w:r>
        <w:rPr>
          <w:rFonts w:ascii="Times New Roman" w:hAnsi="Times New Roman" w:eastAsia="仿宋_GB2312"/>
          <w:sz w:val="32"/>
          <w:szCs w:val="32"/>
        </w:rPr>
        <w:t>2027）》《四川省绿色建材产业链发展推进实施方案（2025</w:t>
      </w:r>
      <w:r>
        <w:rPr>
          <w:rFonts w:hint="eastAsia" w:ascii="Times New Roman" w:hAnsi="Times New Roman" w:eastAsia="仿宋_GB2312"/>
          <w:sz w:val="32"/>
          <w:szCs w:val="32"/>
        </w:rPr>
        <w:t>-</w:t>
      </w:r>
      <w:r>
        <w:rPr>
          <w:rFonts w:ascii="Times New Roman" w:hAnsi="Times New Roman" w:eastAsia="仿宋_GB2312"/>
          <w:sz w:val="32"/>
          <w:szCs w:val="32"/>
        </w:rPr>
        <w:t>2027）》要求，优化产业布局，加快既有建材厂改造升级，强化重点企业培育，</w:t>
      </w:r>
      <w:r>
        <w:rPr>
          <w:rFonts w:hint="eastAsia" w:ascii="Times New Roman" w:hAnsi="Times New Roman" w:eastAsia="仿宋_GB2312"/>
          <w:sz w:val="32"/>
          <w:szCs w:val="32"/>
        </w:rPr>
        <w:t>通过</w:t>
      </w:r>
      <w:r>
        <w:rPr>
          <w:rFonts w:ascii="Times New Roman" w:hAnsi="Times New Roman" w:eastAsia="仿宋_GB2312"/>
          <w:sz w:val="32"/>
          <w:szCs w:val="32"/>
        </w:rPr>
        <w:t>政策性支持和市场竞争等方式，降低绿色建材产品认证费用。落实绿色电价政策，用好用足工业领域大规模技术改造和设备更新资金支持政策。加快推进本地绿色建材、装配式构件、建筑垃圾再生利用等企业发展。</w:t>
      </w:r>
    </w:p>
    <w:p w14:paraId="3D51CA47">
      <w:pPr>
        <w:pStyle w:val="4"/>
      </w:pPr>
      <w:bookmarkStart w:id="29" w:name="_Toc233624849"/>
      <w:r>
        <w:t>地方砂石建材质量管控</w:t>
      </w:r>
      <w:bookmarkEnd w:id="29"/>
    </w:p>
    <w:p w14:paraId="391FA6A9">
      <w:pPr>
        <w:pStyle w:val="14"/>
        <w:rPr>
          <w:rFonts w:ascii="Times New Roman" w:hAnsi="Times New Roman"/>
        </w:rPr>
      </w:pPr>
      <w:r>
        <w:rPr>
          <w:rFonts w:ascii="Times New Roman" w:hAnsi="Times New Roman"/>
          <w:bCs/>
          <w:szCs w:val="32"/>
        </w:rPr>
        <w:t>各县（市）质量监督站</w:t>
      </w:r>
      <w:r>
        <w:rPr>
          <w:rFonts w:ascii="Times New Roman" w:hAnsi="Times New Roman"/>
        </w:rPr>
        <w:t>应按</w:t>
      </w:r>
      <w:r>
        <w:rPr>
          <w:rFonts w:ascii="Times New Roman" w:hAnsi="Times New Roman"/>
        </w:rPr>
        <w:fldChar w:fldCharType="begin"/>
      </w:r>
      <w:r>
        <w:instrText xml:space="preserve">HYPERLINK "https://pan.baidu.com/s/1deKf3VQVyla8J7dkORqJaQ?pwd=mgsy"</w:instrText>
      </w:r>
      <w:r>
        <w:rPr>
          <w:rFonts w:ascii="Times New Roman" w:hAnsi="Times New Roman"/>
        </w:rPr>
        <w:fldChar w:fldCharType="separate"/>
      </w:r>
      <w:r>
        <w:rPr>
          <w:rFonts w:ascii="Times New Roman" w:hAnsi="Times New Roman"/>
        </w:rPr>
        <w:t>《建设用砂</w:t>
      </w:r>
      <w:r>
        <w:rPr>
          <w:rFonts w:ascii="Times New Roman" w:hAnsi="Times New Roman"/>
        </w:rPr>
        <w:fldChar w:fldCharType="end"/>
      </w:r>
      <w:r>
        <w:rPr>
          <w:rFonts w:ascii="Times New Roman" w:hAnsi="Times New Roman"/>
        </w:rPr>
        <w:t>》（GB</w:t>
      </w:r>
      <w:r>
        <w:rPr>
          <w:rFonts w:hint="eastAsia" w:ascii="Times New Roman" w:hAnsi="Times New Roman"/>
        </w:rPr>
        <w:t>/</w:t>
      </w:r>
      <w:r>
        <w:rPr>
          <w:rFonts w:ascii="Times New Roman" w:hAnsi="Times New Roman"/>
        </w:rPr>
        <w:t>T</w:t>
      </w:r>
      <w:r>
        <w:rPr>
          <w:rFonts w:hint="eastAsia" w:ascii="Times New Roman" w:hAnsi="Times New Roman"/>
        </w:rPr>
        <w:t xml:space="preserve"> </w:t>
      </w:r>
      <w:r>
        <w:rPr>
          <w:rFonts w:ascii="Times New Roman" w:hAnsi="Times New Roman"/>
        </w:rPr>
        <w:t>14684—2022）第6.3条和《建设用卵石、碎石》（GB</w:t>
      </w:r>
      <w:r>
        <w:rPr>
          <w:rFonts w:hint="eastAsia" w:ascii="Times New Roman" w:hAnsi="Times New Roman"/>
        </w:rPr>
        <w:t>/</w:t>
      </w:r>
      <w:r>
        <w:rPr>
          <w:rFonts w:ascii="Times New Roman" w:hAnsi="Times New Roman"/>
        </w:rPr>
        <w:t>T</w:t>
      </w:r>
      <w:r>
        <w:rPr>
          <w:rFonts w:hint="eastAsia" w:ascii="Times New Roman" w:hAnsi="Times New Roman"/>
        </w:rPr>
        <w:t xml:space="preserve"> </w:t>
      </w:r>
      <w:r>
        <w:rPr>
          <w:rFonts w:ascii="Times New Roman" w:hAnsi="Times New Roman"/>
        </w:rPr>
        <w:t>14685</w:t>
      </w:r>
      <w:r>
        <w:rPr>
          <w:rFonts w:hint="eastAsia" w:ascii="Times New Roman" w:hAnsi="Times New Roman"/>
        </w:rPr>
        <w:t>—</w:t>
      </w:r>
      <w:r>
        <w:rPr>
          <w:rFonts w:ascii="Times New Roman" w:hAnsi="Times New Roman"/>
        </w:rPr>
        <w:t>2022）第6.2条严格管控地方砂石含泥量。</w:t>
      </w:r>
    </w:p>
    <w:p w14:paraId="2D149ECD">
      <w:pPr>
        <w:pStyle w:val="14"/>
        <w:rPr>
          <w:szCs w:val="32"/>
        </w:rPr>
      </w:pPr>
      <w:r>
        <w:rPr>
          <w:rFonts w:hint="eastAsia"/>
          <w:szCs w:val="32"/>
        </w:rPr>
        <w:t>市场监督管理部门应加强对砂石生产经营企业的监督管理，加强对产品质量抽检，保障产品质量。</w:t>
      </w:r>
      <w:r>
        <w:rPr>
          <w:szCs w:val="32"/>
        </w:rPr>
        <w:t>住房城乡建设主管部门</w:t>
      </w:r>
      <w:r>
        <w:rPr>
          <w:rFonts w:hint="eastAsia"/>
          <w:szCs w:val="32"/>
        </w:rPr>
        <w:t>应加强对商品混凝土生产企业在生产环节使用砂石原材料的材料性能质量控制，以及在房屋市政工程施工现场砂石原材料使用环节的质量抽检管理。</w:t>
      </w:r>
    </w:p>
    <w:p w14:paraId="07F7F61B">
      <w:pPr>
        <w:pStyle w:val="4"/>
      </w:pPr>
      <w:bookmarkStart w:id="30" w:name="_Toc207091329"/>
      <w:bookmarkStart w:id="31" w:name="_Toc233624850"/>
      <w:r>
        <w:t>地方商品砼、沥青砼提质</w:t>
      </w:r>
      <w:bookmarkEnd w:id="30"/>
      <w:bookmarkEnd w:id="31"/>
    </w:p>
    <w:p w14:paraId="296C906F">
      <w:pPr>
        <w:spacing w:line="560" w:lineRule="exact"/>
        <w:ind w:right="84" w:rightChars="40" w:firstLine="707" w:firstLineChars="221"/>
        <w:rPr>
          <w:rFonts w:ascii="Times New Roman" w:hAnsi="Times New Roman" w:eastAsia="仿宋_GB2312"/>
          <w:bCs/>
          <w:sz w:val="32"/>
          <w:szCs w:val="32"/>
        </w:rPr>
      </w:pPr>
      <w:r>
        <w:rPr>
          <w:rFonts w:ascii="Times New Roman" w:hAnsi="Times New Roman" w:eastAsia="仿宋_GB2312"/>
          <w:bCs/>
          <w:sz w:val="32"/>
          <w:szCs w:val="32"/>
        </w:rPr>
        <w:t>各县（市）住房城乡建设主管部门应督促本地商品混凝土、沥青混凝土生产企业依据《四川省绿色环保搅拌站建设、管理和评价标准》（DBJ</w:t>
      </w:r>
      <w:r>
        <w:rPr>
          <w:rFonts w:hint="eastAsia" w:ascii="Times New Roman" w:hAnsi="Times New Roman" w:eastAsia="仿宋_GB2312"/>
          <w:bCs/>
          <w:sz w:val="32"/>
          <w:szCs w:val="32"/>
        </w:rPr>
        <w:t xml:space="preserve"> </w:t>
      </w:r>
      <w:r>
        <w:rPr>
          <w:rFonts w:ascii="Times New Roman" w:hAnsi="Times New Roman" w:eastAsia="仿宋_GB2312"/>
          <w:bCs/>
          <w:sz w:val="32"/>
          <w:szCs w:val="32"/>
        </w:rPr>
        <w:t>51</w:t>
      </w:r>
      <w:r>
        <w:rPr>
          <w:rFonts w:hint="eastAsia" w:ascii="Times New Roman" w:hAnsi="Times New Roman" w:eastAsia="仿宋_GB2312"/>
          <w:bCs/>
          <w:sz w:val="32"/>
          <w:szCs w:val="32"/>
        </w:rPr>
        <w:t>/</w:t>
      </w:r>
      <w:r>
        <w:rPr>
          <w:rFonts w:ascii="Times New Roman" w:hAnsi="Times New Roman" w:eastAsia="仿宋_GB2312"/>
          <w:bCs/>
          <w:sz w:val="32"/>
          <w:szCs w:val="32"/>
        </w:rPr>
        <w:t>T104</w:t>
      </w:r>
      <w:r>
        <w:rPr>
          <w:rFonts w:hint="eastAsia" w:ascii="Times New Roman" w:hAnsi="Times New Roman" w:eastAsia="仿宋_GB2312"/>
          <w:bCs/>
          <w:sz w:val="32"/>
          <w:szCs w:val="32"/>
        </w:rPr>
        <w:t>—</w:t>
      </w:r>
      <w:r>
        <w:rPr>
          <w:rFonts w:ascii="Times New Roman" w:hAnsi="Times New Roman" w:eastAsia="仿宋_GB2312"/>
          <w:bCs/>
          <w:sz w:val="32"/>
          <w:szCs w:val="32"/>
        </w:rPr>
        <w:t>2018）和《沥青混合料搅拌站绿色生产技术要求》（JT</w:t>
      </w:r>
      <w:r>
        <w:rPr>
          <w:rFonts w:hint="eastAsia" w:ascii="Times New Roman" w:hAnsi="Times New Roman" w:eastAsia="仿宋_GB2312"/>
          <w:bCs/>
          <w:sz w:val="32"/>
          <w:szCs w:val="32"/>
        </w:rPr>
        <w:t>/</w:t>
      </w:r>
      <w:r>
        <w:rPr>
          <w:rFonts w:ascii="Times New Roman" w:hAnsi="Times New Roman" w:eastAsia="仿宋_GB2312"/>
          <w:bCs/>
          <w:sz w:val="32"/>
          <w:szCs w:val="32"/>
        </w:rPr>
        <w:t>T</w:t>
      </w:r>
      <w:r>
        <w:rPr>
          <w:rFonts w:hint="eastAsia" w:ascii="Times New Roman" w:hAnsi="Times New Roman" w:eastAsia="仿宋_GB2312"/>
          <w:bCs/>
          <w:sz w:val="32"/>
          <w:szCs w:val="32"/>
        </w:rPr>
        <w:t xml:space="preserve"> </w:t>
      </w:r>
      <w:r>
        <w:rPr>
          <w:rFonts w:ascii="Times New Roman" w:hAnsi="Times New Roman" w:eastAsia="仿宋_GB2312"/>
          <w:bCs/>
          <w:sz w:val="32"/>
          <w:szCs w:val="32"/>
        </w:rPr>
        <w:t>1539—2025）设置标准化搅拌站，获得绿色搅拌站评价，推进混凝土产品获得绿色建材认证。绿色建材认证应向具备资质的认证机构申请</w:t>
      </w:r>
      <w:r>
        <w:rPr>
          <w:rFonts w:hint="eastAsia" w:ascii="Times New Roman" w:hAnsi="Times New Roman" w:eastAsia="仿宋_GB2312"/>
          <w:bCs/>
          <w:sz w:val="32"/>
          <w:szCs w:val="32"/>
        </w:rPr>
        <w:t>，</w:t>
      </w:r>
      <w:r>
        <w:rPr>
          <w:rFonts w:ascii="Times New Roman" w:hAnsi="Times New Roman" w:eastAsia="仿宋_GB2312"/>
          <w:bCs/>
          <w:sz w:val="32"/>
          <w:szCs w:val="32"/>
        </w:rPr>
        <w:t>认证机构</w:t>
      </w:r>
      <w:r>
        <w:rPr>
          <w:rFonts w:hint="eastAsia" w:ascii="Times New Roman" w:hAnsi="Times New Roman" w:eastAsia="仿宋_GB2312"/>
          <w:bCs/>
          <w:sz w:val="32"/>
          <w:szCs w:val="32"/>
        </w:rPr>
        <w:t>可在</w:t>
      </w:r>
      <w:r>
        <w:rPr>
          <w:rFonts w:ascii="Times New Roman" w:hAnsi="Times New Roman" w:eastAsia="仿宋_GB2312"/>
          <w:bCs/>
          <w:sz w:val="32"/>
          <w:szCs w:val="32"/>
        </w:rPr>
        <w:t>全国认证认可信息公共服务平台查询</w:t>
      </w:r>
      <w:r>
        <w:rPr>
          <w:rFonts w:hint="eastAsia" w:ascii="Times New Roman" w:hAnsi="Times New Roman" w:eastAsia="仿宋_GB2312"/>
          <w:bCs/>
          <w:sz w:val="32"/>
          <w:szCs w:val="32"/>
        </w:rPr>
        <w:t>。</w:t>
      </w:r>
    </w:p>
    <w:p w14:paraId="131B3D34">
      <w:pPr>
        <w:spacing w:line="560" w:lineRule="exact"/>
        <w:ind w:right="84" w:rightChars="40" w:firstLine="707" w:firstLineChars="221"/>
        <w:rPr>
          <w:rFonts w:ascii="Times New Roman" w:hAnsi="Times New Roman" w:eastAsia="仿宋_GB2312"/>
          <w:bCs/>
          <w:sz w:val="32"/>
          <w:szCs w:val="32"/>
        </w:rPr>
      </w:pPr>
      <w:r>
        <w:rPr>
          <w:rFonts w:ascii="Times New Roman" w:hAnsi="Times New Roman" w:eastAsia="仿宋_GB2312"/>
          <w:bCs/>
          <w:sz w:val="32"/>
          <w:szCs w:val="32"/>
        </w:rPr>
        <w:t>混凝土产品质量必须满足《预拌混凝土》</w:t>
      </w:r>
      <w:r>
        <w:rPr>
          <w:rFonts w:hint="eastAsia" w:ascii="Times New Roman" w:hAnsi="Times New Roman" w:eastAsia="仿宋_GB2312"/>
          <w:bCs/>
          <w:sz w:val="32"/>
          <w:szCs w:val="32"/>
        </w:rPr>
        <w:t>（</w:t>
      </w:r>
      <w:r>
        <w:rPr>
          <w:rFonts w:ascii="Times New Roman" w:hAnsi="Times New Roman" w:eastAsia="仿宋_GB2312"/>
          <w:bCs/>
          <w:sz w:val="32"/>
          <w:szCs w:val="32"/>
        </w:rPr>
        <w:t>GB</w:t>
      </w:r>
      <w:r>
        <w:rPr>
          <w:rFonts w:hint="eastAsia" w:ascii="Times New Roman" w:hAnsi="Times New Roman" w:eastAsia="仿宋_GB2312"/>
          <w:bCs/>
          <w:sz w:val="32"/>
          <w:szCs w:val="32"/>
        </w:rPr>
        <w:t>/</w:t>
      </w:r>
      <w:r>
        <w:rPr>
          <w:rFonts w:ascii="Times New Roman" w:hAnsi="Times New Roman" w:eastAsia="仿宋_GB2312"/>
          <w:bCs/>
          <w:sz w:val="32"/>
          <w:szCs w:val="32"/>
        </w:rPr>
        <w:t>T</w:t>
      </w:r>
      <w:r>
        <w:rPr>
          <w:rFonts w:hint="eastAsia" w:ascii="Times New Roman" w:hAnsi="Times New Roman" w:eastAsia="仿宋_GB2312"/>
          <w:bCs/>
          <w:sz w:val="32"/>
          <w:szCs w:val="32"/>
        </w:rPr>
        <w:t xml:space="preserve"> </w:t>
      </w:r>
      <w:r>
        <w:rPr>
          <w:rFonts w:ascii="Times New Roman" w:hAnsi="Times New Roman" w:eastAsia="仿宋_GB2312"/>
          <w:bCs/>
          <w:sz w:val="32"/>
          <w:szCs w:val="32"/>
        </w:rPr>
        <w:t>14902—</w:t>
      </w:r>
      <w:r>
        <w:rPr>
          <w:rFonts w:hint="eastAsia" w:ascii="Times New Roman" w:hAnsi="Times New Roman" w:eastAsia="仿宋_GB2312"/>
          <w:bCs/>
          <w:sz w:val="32"/>
          <w:szCs w:val="32"/>
        </w:rPr>
        <w:t>2012）</w:t>
      </w:r>
      <w:r>
        <w:rPr>
          <w:rFonts w:ascii="Times New Roman" w:hAnsi="Times New Roman" w:eastAsia="仿宋_GB2312"/>
          <w:bCs/>
          <w:sz w:val="32"/>
          <w:szCs w:val="32"/>
        </w:rPr>
        <w:t>的相关要求，提高技术水平，扩大产品种类（如：高标号砼、抗渗砼、抗冻砼）。</w:t>
      </w:r>
    </w:p>
    <w:p w14:paraId="720B85B7">
      <w:pPr>
        <w:pStyle w:val="14"/>
        <w:rPr>
          <w:rFonts w:ascii="Times New Roman" w:hAnsi="Times New Roman"/>
        </w:rPr>
      </w:pPr>
      <w:r>
        <w:rPr>
          <w:rFonts w:ascii="Times New Roman" w:hAnsi="Times New Roman"/>
        </w:rPr>
        <w:t>沥青路面设计</w:t>
      </w:r>
      <w:r>
        <w:rPr>
          <w:rFonts w:ascii="Times New Roman" w:hAnsi="Times New Roman"/>
          <w:bCs/>
          <w:szCs w:val="32"/>
        </w:rPr>
        <w:t>必须满足《</w:t>
      </w:r>
      <w:r>
        <w:rPr>
          <w:rFonts w:ascii="Times New Roman" w:hAnsi="Times New Roman"/>
        </w:rPr>
        <w:t>公路沥青路面设计规范》（JTG</w:t>
      </w:r>
      <w:r>
        <w:rPr>
          <w:rFonts w:hint="eastAsia" w:ascii="Times New Roman" w:hAnsi="Times New Roman"/>
        </w:rPr>
        <w:t xml:space="preserve"> </w:t>
      </w:r>
      <w:r>
        <w:rPr>
          <w:rFonts w:ascii="Times New Roman" w:hAnsi="Times New Roman"/>
        </w:rPr>
        <w:t>D</w:t>
      </w:r>
      <w:r>
        <w:rPr>
          <w:rFonts w:hint="eastAsia" w:ascii="Times New Roman" w:hAnsi="Times New Roman"/>
        </w:rPr>
        <w:t xml:space="preserve"> </w:t>
      </w:r>
      <w:r>
        <w:rPr>
          <w:rFonts w:ascii="Times New Roman" w:hAnsi="Times New Roman"/>
        </w:rPr>
        <w:t>50—2017）中的相关要求，施工中严格执行《公路沥青路面施工技术规范》（JTG</w:t>
      </w:r>
      <w:r>
        <w:rPr>
          <w:rFonts w:hint="eastAsia" w:ascii="Times New Roman" w:hAnsi="Times New Roman"/>
        </w:rPr>
        <w:t xml:space="preserve"> </w:t>
      </w:r>
      <w:r>
        <w:rPr>
          <w:rFonts w:ascii="Times New Roman" w:hAnsi="Times New Roman"/>
        </w:rPr>
        <w:t>F40—2004）中相关规定。沥青及沥青混合料试验时，应根据实际用途和相关标准的要求，执行</w:t>
      </w:r>
      <w:r>
        <w:rPr>
          <w:rFonts w:hint="eastAsia" w:ascii="Times New Roman" w:hAnsi="Times New Roman"/>
        </w:rPr>
        <w:t>《公路工程沥青及沥青混合料试验规程》（JTG 3410</w:t>
      </w:r>
      <w:r>
        <w:rPr>
          <w:rFonts w:ascii="Times New Roman" w:hAnsi="Times New Roman"/>
        </w:rPr>
        <w:t>—</w:t>
      </w:r>
      <w:r>
        <w:rPr>
          <w:rFonts w:hint="eastAsia" w:ascii="Times New Roman" w:hAnsi="Times New Roman"/>
        </w:rPr>
        <w:t>2025）</w:t>
      </w:r>
      <w:r>
        <w:rPr>
          <w:rFonts w:ascii="Times New Roman" w:hAnsi="Times New Roman"/>
        </w:rPr>
        <w:t>中的相关规定。</w:t>
      </w:r>
    </w:p>
    <w:p w14:paraId="3CED2A66">
      <w:pPr>
        <w:pStyle w:val="4"/>
      </w:pPr>
      <w:bookmarkStart w:id="32" w:name="_Toc233624851"/>
      <w:r>
        <w:t>工程检测费使用</w:t>
      </w:r>
      <w:r>
        <w:rPr>
          <w:rFonts w:hint="eastAsia"/>
        </w:rPr>
        <w:t>管理</w:t>
      </w:r>
      <w:bookmarkEnd w:id="32"/>
    </w:p>
    <w:p w14:paraId="347989EF">
      <w:pPr>
        <w:pStyle w:val="14"/>
        <w:rPr>
          <w:rFonts w:ascii="Times New Roman" w:hAnsi="Times New Roman"/>
        </w:rPr>
      </w:pPr>
      <w:r>
        <w:rPr>
          <w:rFonts w:ascii="Times New Roman" w:hAnsi="Times New Roman"/>
        </w:rPr>
        <w:t>根据《建设工程质量检测管理办法》（住建部令第57号）第十七条和《四川省建设工程质量检测管理实施细则》第十八条，建设单位编制工程概预算时，应合理核算建设工程质量检测费用，单独列支并按合同约定及时支付。</w:t>
      </w:r>
      <w:r>
        <w:rPr>
          <w:rFonts w:hint="eastAsia" w:ascii="Times New Roman" w:hAnsi="Times New Roman"/>
        </w:rPr>
        <w:t>工程质量检测因工程类别、结构形式等因素而异，若因项目施工技术、工程内容发生变更等特殊情况，需要增加或调整工程检测费用，建设单位应将工程检测费报概算审批部门调整。</w:t>
      </w:r>
      <w:r>
        <w:rPr>
          <w:rFonts w:ascii="Times New Roman" w:hAnsi="Times New Roman"/>
        </w:rPr>
        <w:t xml:space="preserve"> </w:t>
      </w:r>
    </w:p>
    <w:p w14:paraId="58F7B032">
      <w:pPr>
        <w:pStyle w:val="14"/>
        <w:rPr>
          <w:rFonts w:ascii="Times New Roman" w:hAnsi="Times New Roman"/>
        </w:rPr>
      </w:pPr>
      <w:r>
        <w:rPr>
          <w:rFonts w:ascii="Times New Roman" w:hAnsi="Times New Roman"/>
        </w:rPr>
        <w:t>依据《四川省建设工程质量检测管理实施细则》第十七条，建设单位应直接与具</w:t>
      </w:r>
      <w:r>
        <w:rPr>
          <w:rFonts w:hint="eastAsia" w:ascii="Times New Roman" w:hAnsi="Times New Roman"/>
        </w:rPr>
        <w:t>备</w:t>
      </w:r>
      <w:r>
        <w:rPr>
          <w:rFonts w:ascii="Times New Roman" w:hAnsi="Times New Roman"/>
        </w:rPr>
        <w:t>相应资质的检测单位签订合同。依据《建设工程质量检测管理办法》第二十一条及《建筑与市政工程施工质量控制通用规范》</w:t>
      </w:r>
      <w:r>
        <w:rPr>
          <w:rFonts w:hint="eastAsia" w:ascii="Times New Roman" w:hAnsi="Times New Roman"/>
        </w:rPr>
        <w:t>（</w:t>
      </w:r>
      <w:r>
        <w:rPr>
          <w:rFonts w:ascii="Times New Roman" w:hAnsi="Times New Roman"/>
        </w:rPr>
        <w:t>GB 55032</w:t>
      </w:r>
      <w:r>
        <w:rPr>
          <w:rFonts w:hint="eastAsia" w:ascii="Times New Roman" w:hAnsi="Times New Roman"/>
        </w:rPr>
        <w:t>—</w:t>
      </w:r>
      <w:r>
        <w:rPr>
          <w:rFonts w:ascii="Times New Roman" w:hAnsi="Times New Roman"/>
        </w:rPr>
        <w:t>2022</w:t>
      </w:r>
      <w:r>
        <w:rPr>
          <w:rFonts w:hint="eastAsia" w:ascii="Times New Roman" w:hAnsi="Times New Roman"/>
        </w:rPr>
        <w:t>）</w:t>
      </w:r>
      <w:r>
        <w:rPr>
          <w:rFonts w:ascii="Times New Roman" w:hAnsi="Times New Roman"/>
        </w:rPr>
        <w:t xml:space="preserve">第3.4.1条，检测报告需经检测人员、审核人员、检测机构法定代表人或其授权签字人签署，并加盖检测专用章方可生效。非建设单位委托的检测机构出具的报告，不得作为工程质量验收资料。 </w:t>
      </w:r>
    </w:p>
    <w:p w14:paraId="784D38EF">
      <w:pPr>
        <w:pStyle w:val="4"/>
      </w:pPr>
      <w:bookmarkStart w:id="33" w:name="_Toc233624852"/>
      <w:r>
        <w:t>冬</w:t>
      </w:r>
      <w:r>
        <w:rPr>
          <w:rFonts w:hint="eastAsia"/>
        </w:rPr>
        <w:t>期</w:t>
      </w:r>
      <w:r>
        <w:t>施工温控措施成本管理</w:t>
      </w:r>
      <w:bookmarkEnd w:id="33"/>
    </w:p>
    <w:p w14:paraId="6ACB698E">
      <w:pPr>
        <w:pStyle w:val="14"/>
        <w:rPr>
          <w:rFonts w:ascii="Times New Roman" w:hAnsi="Times New Roman"/>
          <w:szCs w:val="32"/>
        </w:rPr>
      </w:pPr>
      <w:r>
        <w:rPr>
          <w:rFonts w:hint="eastAsia" w:ascii="Times New Roman" w:hAnsi="Times New Roman"/>
          <w:szCs w:val="32"/>
        </w:rPr>
        <w:t>有冬期施工要求的项目，建设单位应按照《建设工程工程量清单计价标准》、《四川省工程工程量清单计价定额》的规定，在措施费用中计算相应费用，施工单位投标时根据工程情况对该部分费用自行报价；工程冬季施工前，施工单位应严格按照《阿坝州政府投资管理办法》的规定执行。</w:t>
      </w:r>
    </w:p>
    <w:p w14:paraId="3BEE55FF">
      <w:pPr>
        <w:pStyle w:val="4"/>
      </w:pPr>
      <w:bookmarkStart w:id="34" w:name="_Toc233624853"/>
      <w:r>
        <w:rPr>
          <w:rFonts w:hint="eastAsia"/>
        </w:rPr>
        <w:t>强化工程监理检测管理</w:t>
      </w:r>
      <w:bookmarkEnd w:id="34"/>
    </w:p>
    <w:p w14:paraId="2D82499F">
      <w:pPr>
        <w:spacing w:line="620" w:lineRule="exact"/>
        <w:ind w:firstLine="480" w:firstLineChars="150"/>
        <w:rPr>
          <w:rFonts w:ascii="黑体" w:eastAsia="黑体" w:cs="黑体"/>
          <w:sz w:val="32"/>
          <w:szCs w:val="32"/>
        </w:rPr>
      </w:pPr>
      <w:r>
        <w:rPr>
          <w:rFonts w:hint="eastAsia" w:ascii="仿宋_GB2312" w:eastAsia="仿宋_GB2312" w:cs="仿宋_GB2312"/>
          <w:sz w:val="32"/>
          <w:szCs w:val="32"/>
        </w:rPr>
        <w:t>监理单位应严格执行《建设工程质量管理条例》《建设工程安全生产管理条例》</w:t>
      </w:r>
      <w:bookmarkStart w:id="167" w:name="_GoBack"/>
      <w:bookmarkEnd w:id="167"/>
      <w:r>
        <w:rPr>
          <w:rFonts w:hint="eastAsia" w:ascii="仿宋_GB2312" w:eastAsia="仿宋_GB2312" w:cs="仿宋_GB2312"/>
          <w:sz w:val="32"/>
          <w:szCs w:val="32"/>
        </w:rPr>
        <w:t>《建设工程监理管理规范》（GB/T 50319</w:t>
      </w:r>
      <w:r>
        <w:rPr>
          <w:rFonts w:ascii="Times New Roman" w:hAnsi="Times New Roman" w:eastAsia="仿宋_GB2312"/>
          <w:sz w:val="32"/>
          <w:szCs w:val="32"/>
        </w:rPr>
        <w:t>—</w:t>
      </w:r>
      <w:r>
        <w:rPr>
          <w:rFonts w:hint="eastAsia" w:ascii="仿宋_GB2312" w:eastAsia="仿宋_GB2312" w:cs="仿宋_GB2312"/>
          <w:sz w:val="32"/>
          <w:szCs w:val="32"/>
        </w:rPr>
        <w:t>2013）等法律法规及国家、行业标准，监理人员每天至少巡视施工现场2次，对土方工程、深基坑支护、梁柱钢筋隐蔽工程、混凝土浇筑、钢结构安装、外墙保温施工、脚手架安拆、大型机械设备安拆等关键工序、隐蔽工程等进行旁站、巡视和平行检验工作，监理指令、通知单、日志、月报等监理资料填写应真实、规范，对发现的重大隐患，应立即责令停工，并向建设单位和属地住房城乡建设主管部门报告；对预拌混凝土、装配式建筑、钢结构工程推行驻场监理、驻厂监造；监理单位的见证人员应认真履行见证取样流程，建设单位、施工单位及监理单位在见证取样时，应同步在检测样品上绑定由省检测监管平台生成的二维码标识，并将绑定了二维码的检测样品照片等信息实时上传省检测监管平台，监理单位要建立检测结果不合格项目台账，将情况及时通知建设单位和住房城乡建设主管部门质量监督机构，确保工程质量检测可回溯和避免虚假报告；监理单位应当指导建设单位规范签订《工程质量检测合同》，非建设单位委托的检测机构出具的检测报告不得作为工程质量验收资料。</w:t>
      </w:r>
    </w:p>
    <w:p w14:paraId="75C41F57">
      <w:pPr>
        <w:pStyle w:val="4"/>
        <w:rPr>
          <w:rFonts w:cs="仿宋_GB2312"/>
        </w:rPr>
      </w:pPr>
      <w:bookmarkStart w:id="35" w:name="_Toc233624854"/>
      <w:r>
        <w:rPr>
          <w:rFonts w:hint="eastAsia"/>
        </w:rPr>
        <w:t>强化勘察设计质量管理</w:t>
      </w:r>
      <w:bookmarkEnd w:id="35"/>
    </w:p>
    <w:p w14:paraId="25DBD877">
      <w:pPr>
        <w:spacing w:line="620" w:lineRule="exact"/>
        <w:ind w:firstLine="640" w:firstLineChars="200"/>
        <w:rPr>
          <w:rFonts w:ascii="仿宋_GB2312" w:eastAsia="仿宋_GB2312" w:cs="仿宋_GB2312"/>
          <w:sz w:val="32"/>
          <w:szCs w:val="32"/>
        </w:rPr>
      </w:pPr>
      <w:r>
        <w:rPr>
          <w:rFonts w:hint="eastAsia" w:ascii="仿宋_GB2312" w:eastAsia="仿宋_GB2312" w:cs="仿宋_GB2312"/>
          <w:sz w:val="32"/>
          <w:szCs w:val="32"/>
        </w:rPr>
        <w:t>正式施工图纸应</w:t>
      </w:r>
      <w:r>
        <w:rPr>
          <w:rFonts w:ascii="仿宋_GB2312" w:eastAsia="仿宋_GB2312" w:cs="仿宋_GB2312"/>
          <w:sz w:val="32"/>
          <w:szCs w:val="32"/>
        </w:rPr>
        <w:t>依据《勘察设计注册工程师管理规定》落实执业签章制度</w:t>
      </w:r>
      <w:r>
        <w:rPr>
          <w:rFonts w:hint="eastAsia" w:ascii="仿宋_GB2312" w:eastAsia="仿宋_GB2312" w:cs="仿宋_GB2312"/>
          <w:sz w:val="32"/>
          <w:szCs w:val="32"/>
        </w:rPr>
        <w:t>。施工前应将审查合格的设计文件，向施工及监理单位做出设计交底。涉及结构安全、使用功能以及消防的设计变更参照重大设计变更管理，建设单位应当将修改后的施工图送原施工图审查机构审查，并通过“四川一体化政务服务平台”（简称“四川政务网”）实行在线变更，办理完成后及时到住房城乡建设行政主管部门进行备案登记。禁止在违反强制性标准或不满足设计规范的设计文件上签字，在分部验收、竣工验收时，必须按设计文件查验后签字。</w:t>
      </w:r>
    </w:p>
    <w:p w14:paraId="4B27FFCA">
      <w:pPr>
        <w:pStyle w:val="4"/>
      </w:pPr>
      <w:bookmarkStart w:id="36" w:name="_Toc233624855"/>
      <w:r>
        <w:rPr>
          <w:rFonts w:hint="eastAsia"/>
        </w:rPr>
        <w:t>施工</w:t>
      </w:r>
      <w:r>
        <w:t>质量安全监督</w:t>
      </w:r>
      <w:bookmarkEnd w:id="36"/>
    </w:p>
    <w:p w14:paraId="11A9408C">
      <w:pPr>
        <w:pStyle w:val="14"/>
        <w:rPr>
          <w:rStyle w:val="37"/>
          <w:rFonts w:ascii="Times New Roman" w:hAnsi="Times New Roman" w:eastAsia="仿宋_GB2312"/>
        </w:rPr>
      </w:pPr>
      <w:r>
        <w:rPr>
          <w:rStyle w:val="37"/>
          <w:rFonts w:ascii="Times New Roman" w:hAnsi="Times New Roman" w:eastAsia="仿宋_GB2312"/>
        </w:rPr>
        <w:t>房屋建筑和市政基础设施工程质量监督应严格执行《房屋建筑和市政基础设施工程质量监督管理规定》（中华人民共和国住房和城乡建设部令</w:t>
      </w:r>
      <w:bookmarkStart w:id="37" w:name="_Hlk219881215"/>
      <w:r>
        <w:rPr>
          <w:rStyle w:val="37"/>
          <w:rFonts w:hint="eastAsia" w:ascii="Times New Roman" w:hAnsi="Times New Roman"/>
        </w:rPr>
        <w:t>〔2010〕5号</w:t>
      </w:r>
      <w:bookmarkEnd w:id="37"/>
      <w:r>
        <w:rPr>
          <w:rStyle w:val="37"/>
          <w:rFonts w:ascii="Times New Roman" w:hAnsi="Times New Roman" w:eastAsia="仿宋_GB2312"/>
        </w:rPr>
        <w:t>）及《四川省房屋建筑和市政基础设施工程质量监督管理办法》（川建行规</w:t>
      </w:r>
      <w:r>
        <w:rPr>
          <w:rFonts w:hint="eastAsia" w:ascii="Times New Roman" w:hAnsi="Times New Roman"/>
          <w:bCs/>
          <w:szCs w:val="32"/>
        </w:rPr>
        <w:t>〔</w:t>
      </w:r>
      <w:r>
        <w:rPr>
          <w:rStyle w:val="37"/>
          <w:rFonts w:ascii="Times New Roman" w:hAnsi="Times New Roman"/>
        </w:rPr>
        <w:t>2025</w:t>
      </w:r>
      <w:r>
        <w:rPr>
          <w:rFonts w:hint="eastAsia" w:ascii="Times New Roman" w:hAnsi="Times New Roman"/>
          <w:bCs/>
          <w:szCs w:val="32"/>
        </w:rPr>
        <w:t>〕</w:t>
      </w:r>
      <w:r>
        <w:rPr>
          <w:rStyle w:val="37"/>
          <w:rFonts w:ascii="Times New Roman" w:hAnsi="Times New Roman"/>
        </w:rPr>
        <w:t>3号</w:t>
      </w:r>
      <w:r>
        <w:rPr>
          <w:rStyle w:val="37"/>
          <w:rFonts w:ascii="Times New Roman" w:hAnsi="Times New Roman" w:eastAsia="仿宋_GB2312"/>
        </w:rPr>
        <w:t>）。工程投资额在100万元以下（含100万元）或者建筑面积在500平方米以下（含500平方米）的房屋建筑和市政基础设施工程质量监督管理严格按照</w:t>
      </w:r>
      <w:r>
        <w:rPr>
          <w:rFonts w:ascii="Times New Roman" w:hAnsi="Times New Roman"/>
          <w:szCs w:val="32"/>
        </w:rPr>
        <w:t>《四川省住房和城乡建设厅关于转发</w:t>
      </w:r>
      <w:r>
        <w:rPr>
          <w:rFonts w:hint="eastAsia" w:ascii="Times New Roman" w:hAnsi="Times New Roman"/>
          <w:szCs w:val="32"/>
        </w:rPr>
        <w:t>〈</w:t>
      </w:r>
      <w:r>
        <w:rPr>
          <w:rFonts w:ascii="Times New Roman" w:hAnsi="Times New Roman"/>
          <w:szCs w:val="32"/>
        </w:rPr>
        <w:t>住房和城乡建设部办公厅关于四川省调整房屋建筑和市政基础设施工程施工许可证办理限额意见的函</w:t>
      </w:r>
      <w:r>
        <w:rPr>
          <w:rFonts w:hint="eastAsia" w:ascii="Times New Roman" w:hAnsi="Times New Roman"/>
          <w:szCs w:val="32"/>
        </w:rPr>
        <w:t>〉的通知</w:t>
      </w:r>
      <w:r>
        <w:rPr>
          <w:rFonts w:ascii="Times New Roman" w:hAnsi="Times New Roman"/>
          <w:szCs w:val="32"/>
        </w:rPr>
        <w:t>》</w:t>
      </w:r>
      <w:r>
        <w:rPr>
          <w:rStyle w:val="37"/>
          <w:rFonts w:ascii="Times New Roman" w:hAnsi="Times New Roman" w:eastAsia="仿宋_GB2312"/>
        </w:rPr>
        <w:t>（2021年3月5日）执行。</w:t>
      </w:r>
    </w:p>
    <w:p w14:paraId="26500368">
      <w:pPr>
        <w:pStyle w:val="14"/>
        <w:rPr>
          <w:rStyle w:val="37"/>
          <w:rFonts w:ascii="Times New Roman" w:hAnsi="Times New Roman" w:eastAsia="仿宋_GB2312"/>
        </w:rPr>
      </w:pPr>
      <w:r>
        <w:rPr>
          <w:rStyle w:val="37"/>
          <w:rFonts w:ascii="Times New Roman" w:hAnsi="Times New Roman" w:eastAsia="仿宋_GB2312"/>
        </w:rPr>
        <w:t>建设工程消防设计审查验收应严格执行《建设工程消防设计审查验收管理暂行规定》（中华人民共和国住房和城乡建设部令第58号）、《四川省建设工程消防设计审查验收工作实施细则》（川建行规〔2025〕6号）</w:t>
      </w:r>
      <w:r>
        <w:rPr>
          <w:rStyle w:val="37"/>
          <w:rFonts w:hint="eastAsia" w:ascii="Times New Roman" w:hAnsi="Times New Roman" w:eastAsia="仿宋_GB2312"/>
        </w:rPr>
        <w:t>、《</w:t>
      </w:r>
      <w:r>
        <w:rPr>
          <w:rStyle w:val="37"/>
          <w:rFonts w:ascii="Times New Roman" w:hAnsi="Times New Roman" w:eastAsia="仿宋_GB2312"/>
        </w:rPr>
        <w:t>阿坝州住房和城乡建设局关于明确州、县（市）建设工程消防设计审查验收工作权限及有关事项的通知</w:t>
      </w:r>
      <w:r>
        <w:rPr>
          <w:rStyle w:val="37"/>
          <w:rFonts w:hint="eastAsia" w:ascii="Times New Roman" w:hAnsi="Times New Roman" w:eastAsia="仿宋_GB2312"/>
        </w:rPr>
        <w:t>》（</w:t>
      </w:r>
      <w:r>
        <w:rPr>
          <w:rStyle w:val="37"/>
          <w:rFonts w:ascii="Times New Roman" w:hAnsi="Times New Roman" w:eastAsia="仿宋_GB2312"/>
        </w:rPr>
        <w:t>阿州住建发〔2022〕32号</w:t>
      </w:r>
      <w:r>
        <w:rPr>
          <w:rStyle w:val="37"/>
          <w:rFonts w:hint="eastAsia" w:ascii="Times New Roman" w:hAnsi="Times New Roman" w:eastAsia="仿宋_GB2312"/>
        </w:rPr>
        <w:t>）</w:t>
      </w:r>
      <w:r>
        <w:rPr>
          <w:rStyle w:val="37"/>
          <w:rFonts w:ascii="Times New Roman" w:hAnsi="Times New Roman" w:eastAsia="仿宋_GB2312"/>
        </w:rPr>
        <w:t>，老旧小区改造还应执行《四川省城镇老旧小区改造消防设计指南（试行）》（川建行规〔2022〕2号），历史文化街区和历史建筑还应执行《四川省历史文化街区和历史建筑活化利用消防设计指南（试行）》（2023年1月）。</w:t>
      </w:r>
      <w:r>
        <w:rPr>
          <w:rStyle w:val="37"/>
          <w:rFonts w:hint="eastAsia" w:ascii="Times New Roman" w:hAnsi="Times New Roman" w:eastAsia="仿宋_GB2312"/>
        </w:rPr>
        <w:t>限额以下小型工程应执行</w:t>
      </w:r>
      <w:r>
        <w:rPr>
          <w:rFonts w:hint="eastAsia" w:ascii="Times New Roman" w:hAnsi="Times New Roman"/>
          <w:szCs w:val="32"/>
        </w:rPr>
        <w:t>《四川省住房和城乡建设厅、应急管理厅、消防救援局关于印发〈关于加强限额以下小型工程安全生产管理的指导意见（试行）〉的通知》（川建质安发〔2025〕139号）</w:t>
      </w:r>
      <w:r>
        <w:rPr>
          <w:rStyle w:val="37"/>
          <w:rFonts w:hint="eastAsia" w:ascii="Times New Roman" w:hAnsi="Times New Roman" w:eastAsia="仿宋_GB2312"/>
        </w:rPr>
        <w:t>。</w:t>
      </w:r>
    </w:p>
    <w:p w14:paraId="705698E9">
      <w:pPr>
        <w:pStyle w:val="4"/>
      </w:pPr>
      <w:bookmarkStart w:id="38" w:name="_Toc233624856"/>
      <w:r>
        <w:t>造价信息价的收集与发布</w:t>
      </w:r>
      <w:bookmarkEnd w:id="38"/>
    </w:p>
    <w:p w14:paraId="0AE3B761">
      <w:pPr>
        <w:pStyle w:val="14"/>
        <w:rPr>
          <w:rFonts w:ascii="Times New Roman" w:hAnsi="Times New Roman"/>
          <w:szCs w:val="32"/>
        </w:rPr>
      </w:pPr>
      <w:r>
        <w:rPr>
          <w:rFonts w:ascii="Times New Roman" w:hAnsi="Times New Roman"/>
          <w:kern w:val="44"/>
          <w:szCs w:val="32"/>
        </w:rPr>
        <w:t>住房城乡建设主管部门</w:t>
      </w:r>
      <w:r>
        <w:rPr>
          <w:rStyle w:val="37"/>
          <w:rFonts w:hint="eastAsia" w:ascii="Times New Roman" w:hAnsi="Times New Roman" w:eastAsia="仿宋_GB2312"/>
        </w:rPr>
        <w:t>应当加强阿坝州房屋市政工程材料价格的数据收集和计算工作，在采集本地价材的基础上，调查其他地市（州）及材料价格信息网站发布的价格信息，特别是材料价格中的运输费用（尤其是高海拔长距离运输费用）的数据收集，按照四川省住房和城乡建设厅《关于重新调整</w:t>
      </w:r>
      <w:r>
        <w:rPr>
          <w:rFonts w:hint="eastAsia" w:ascii="Times New Roman" w:hAnsi="Times New Roman"/>
          <w:szCs w:val="32"/>
        </w:rPr>
        <w:t>〈</w:t>
      </w:r>
      <w:r>
        <w:rPr>
          <w:rStyle w:val="37"/>
          <w:rFonts w:hint="eastAsia" w:ascii="Times New Roman" w:hAnsi="Times New Roman" w:eastAsia="仿宋_GB2312"/>
        </w:rPr>
        <w:t>建筑业营业税改征增值税四川省建设工程计价依据调整办法</w:t>
      </w:r>
      <w:r>
        <w:rPr>
          <w:rFonts w:hint="eastAsia" w:ascii="Times New Roman" w:hAnsi="Times New Roman"/>
          <w:szCs w:val="32"/>
        </w:rPr>
        <w:t>〉</w:t>
      </w:r>
      <w:r>
        <w:rPr>
          <w:rStyle w:val="37"/>
          <w:rFonts w:hint="eastAsia" w:ascii="Times New Roman" w:hAnsi="Times New Roman" w:eastAsia="仿宋_GB2312"/>
        </w:rPr>
        <w:t>的通知》（川建造价发</w:t>
      </w:r>
      <w:r>
        <w:rPr>
          <w:rStyle w:val="37"/>
          <w:rFonts w:hint="eastAsia" w:ascii="Times New Roman" w:hAnsi="Times New Roman"/>
        </w:rPr>
        <w:t>〔2019〕181号</w:t>
      </w:r>
      <w:r>
        <w:rPr>
          <w:rStyle w:val="37"/>
          <w:rFonts w:hint="eastAsia" w:ascii="Times New Roman" w:hAnsi="Times New Roman" w:eastAsia="仿宋_GB2312"/>
        </w:rPr>
        <w:t>）的规定，计算工程建筑材料价格，并定期予以发布。</w:t>
      </w:r>
    </w:p>
    <w:p w14:paraId="4954FD1D">
      <w:pPr>
        <w:pStyle w:val="3"/>
        <w:numPr>
          <w:ilvl w:val="0"/>
          <w:numId w:val="3"/>
        </w:numPr>
        <w:spacing w:line="560" w:lineRule="exact"/>
        <w:jc w:val="center"/>
        <w:rPr>
          <w:rFonts w:ascii="Times New Roman" w:hAnsi="Times New Roman" w:eastAsia="黑体"/>
          <w:b w:val="0"/>
          <w:sz w:val="36"/>
          <w:szCs w:val="36"/>
        </w:rPr>
      </w:pPr>
      <w:bookmarkStart w:id="39" w:name="_Toc233624857"/>
      <w:bookmarkStart w:id="40" w:name="_Toc207091328"/>
      <w:r>
        <w:rPr>
          <w:rFonts w:hint="eastAsia" w:ascii="Times New Roman" w:hAnsi="Times New Roman" w:eastAsia="黑体"/>
          <w:b w:val="0"/>
          <w:sz w:val="36"/>
          <w:szCs w:val="36"/>
        </w:rPr>
        <w:t>其他相关管理</w:t>
      </w:r>
      <w:bookmarkEnd w:id="39"/>
    </w:p>
    <w:bookmarkEnd w:id="40"/>
    <w:p w14:paraId="0549D6C8">
      <w:pPr>
        <w:pStyle w:val="4"/>
      </w:pPr>
      <w:bookmarkStart w:id="41" w:name="_Toc233624858"/>
      <w:r>
        <w:t>农村自建房管控</w:t>
      </w:r>
      <w:bookmarkEnd w:id="41"/>
    </w:p>
    <w:p w14:paraId="367DF48D">
      <w:pPr>
        <w:spacing w:line="560" w:lineRule="exact"/>
        <w:ind w:firstLine="707" w:firstLineChars="221"/>
        <w:rPr>
          <w:rFonts w:ascii="Times New Roman" w:hAnsi="Times New Roman" w:eastAsia="仿宋_GB2312"/>
          <w:sz w:val="32"/>
          <w:szCs w:val="32"/>
        </w:rPr>
      </w:pPr>
      <w:r>
        <w:rPr>
          <w:rFonts w:hint="eastAsia" w:ascii="Times New Roman" w:hAnsi="Times New Roman" w:eastAsia="仿宋_GB2312"/>
          <w:sz w:val="32"/>
          <w:szCs w:val="32"/>
        </w:rPr>
        <w:t>各县（市）住房城乡建设行政主管部门、农业农村行政主管部门、自然资源行政主管部门及乡镇人民政府应严格按照国家、省、州农村宅基地及农村住房建设管理相关规定:严格按照职责分工履职尽责，住房城乡建设部门负责农房建设质量</w:t>
      </w:r>
      <w:r>
        <w:rPr>
          <w:rFonts w:hint="eastAsia" w:ascii="仿宋_GB2312" w:eastAsia="仿宋_GB2312" w:cs="仿宋_GB2312"/>
          <w:sz w:val="32"/>
          <w:szCs w:val="32"/>
        </w:rPr>
        <w:t>安全监管、技术指导等工作</w:t>
      </w:r>
      <w:r>
        <w:rPr>
          <w:rFonts w:hint="eastAsia" w:ascii="Times New Roman" w:hAnsi="Times New Roman" w:eastAsia="仿宋_GB2312"/>
          <w:sz w:val="32"/>
          <w:szCs w:val="32"/>
        </w:rPr>
        <w:t>；农业农村部门负责农村宅基地范围、用地面积标准审核审批，以及宅基地分配、使用和违法用地行为监管；自然资源部门负责农房用地规划、农用地转用、规划许可等审批工作，压实建设单位或产权人主体责任，将质量安全监管贯穿于农房建设全过程，依法依规开展农房用地、规划、建设行政审批，将行政审批和安全监管有效衔接</w:t>
      </w:r>
      <w:r>
        <w:rPr>
          <w:rFonts w:ascii="Times New Roman" w:hAnsi="Times New Roman" w:eastAsia="仿宋_GB2312"/>
          <w:sz w:val="32"/>
          <w:szCs w:val="32"/>
        </w:rPr>
        <w:t>。</w:t>
      </w:r>
    </w:p>
    <w:p w14:paraId="337AB662">
      <w:pPr>
        <w:spacing w:line="560" w:lineRule="exact"/>
        <w:ind w:firstLine="707" w:firstLineChars="221"/>
        <w:rPr>
          <w:rFonts w:ascii="Times New Roman" w:hAnsi="Times New Roman" w:eastAsia="仿宋_GB2312"/>
          <w:sz w:val="32"/>
          <w:szCs w:val="32"/>
        </w:rPr>
      </w:pPr>
      <w:r>
        <w:rPr>
          <w:rFonts w:hint="eastAsia" w:ascii="Times New Roman" w:hAnsi="Times New Roman" w:eastAsia="仿宋_GB2312"/>
          <w:sz w:val="32"/>
          <w:szCs w:val="32"/>
        </w:rPr>
        <w:t>住房城乡建设部门常态化开展农房质量安全隐患排查整治，建立农房安全信息台账，动态监测农房安全状况；农业农村部门常态化开展农村宅基地违法建设排查整治，建立宅基地监管台账，动态巡查管控宅基地使用情况，依法查处未批先建、超占面积等违法违规行为；</w:t>
      </w:r>
      <w:r>
        <w:rPr>
          <w:rFonts w:ascii="Times New Roman" w:hAnsi="Times New Roman" w:eastAsia="仿宋_GB2312"/>
          <w:sz w:val="32"/>
          <w:szCs w:val="32"/>
        </w:rPr>
        <w:t>自然资源部门负责定期实地核对建房四至、占地面积、地类属性，严防超占、移位、占用耕地及生态红线；同步依托卫片遥感、村级土地协管员线索上报，做到早发现、早劝阻违规占地行为，建立巡查台账留存影像记录，发现违法用地及时制止整改并移交执法处置。</w:t>
      </w:r>
      <w:r>
        <w:rPr>
          <w:rFonts w:hint="eastAsia" w:ascii="Times New Roman" w:hAnsi="Times New Roman" w:eastAsia="仿宋_GB2312"/>
          <w:sz w:val="32"/>
          <w:szCs w:val="32"/>
        </w:rPr>
        <w:t>对于存量危房，引导产权人、使用人通过工程措施彻底消除安全隐患；采取管控措施的要保证持续有效，确保危房不住人，坚决防范农房安全事故，切实保障农房建造安全</w:t>
      </w:r>
      <w:r>
        <w:rPr>
          <w:rFonts w:ascii="Times New Roman" w:hAnsi="Times New Roman" w:eastAsia="仿宋_GB2312"/>
          <w:sz w:val="32"/>
          <w:szCs w:val="32"/>
        </w:rPr>
        <w:t>。</w:t>
      </w:r>
    </w:p>
    <w:p w14:paraId="7D2F97AA">
      <w:pPr>
        <w:pStyle w:val="4"/>
      </w:pPr>
      <w:bookmarkStart w:id="42" w:name="_Toc233624859"/>
      <w:r>
        <w:t>城镇自建房管控</w:t>
      </w:r>
      <w:bookmarkEnd w:id="42"/>
    </w:p>
    <w:p w14:paraId="193C258F">
      <w:pPr>
        <w:spacing w:line="560" w:lineRule="exact"/>
        <w:ind w:right="84" w:rightChars="40" w:firstLine="707" w:firstLineChars="221"/>
        <w:rPr>
          <w:rFonts w:ascii="Times New Roman" w:hAnsi="Times New Roman" w:eastAsia="仿宋_GB2312"/>
          <w:sz w:val="32"/>
          <w:szCs w:val="32"/>
        </w:rPr>
      </w:pPr>
      <w:r>
        <w:rPr>
          <w:rFonts w:ascii="Times New Roman" w:hAnsi="Times New Roman" w:eastAsia="仿宋_GB2312"/>
          <w:sz w:val="32"/>
          <w:szCs w:val="32"/>
        </w:rPr>
        <w:t>对城镇开发边界内的自建房，严格按照国土空间规划及《</w:t>
      </w:r>
      <w:r>
        <w:rPr>
          <w:rFonts w:hint="eastAsia" w:ascii="Times New Roman" w:hAnsi="Times New Roman" w:eastAsia="仿宋_GB2312"/>
          <w:sz w:val="32"/>
          <w:szCs w:val="32"/>
        </w:rPr>
        <w:t>中华人民共和国城乡规划法</w:t>
      </w:r>
      <w:r>
        <w:rPr>
          <w:rFonts w:ascii="Times New Roman" w:hAnsi="Times New Roman" w:eastAsia="仿宋_GB2312"/>
          <w:sz w:val="32"/>
          <w:szCs w:val="32"/>
        </w:rPr>
        <w:t>》《</w:t>
      </w:r>
      <w:r>
        <w:rPr>
          <w:rFonts w:hint="eastAsia" w:ascii="Times New Roman" w:hAnsi="Times New Roman" w:eastAsia="仿宋_GB2312"/>
          <w:sz w:val="32"/>
          <w:szCs w:val="32"/>
        </w:rPr>
        <w:t>中华人民共和国土地管理法</w:t>
      </w:r>
      <w:r>
        <w:rPr>
          <w:rFonts w:ascii="Times New Roman" w:hAnsi="Times New Roman" w:eastAsia="仿宋_GB2312"/>
          <w:sz w:val="32"/>
          <w:szCs w:val="32"/>
        </w:rPr>
        <w:t>》《四川省建筑管理条例》（四川省第十三届人民代表大会常务委员会公告第97号）进行选址、设计、施工、验收，对违规建设的自建房按照《城乡规划法》《四川省城乡规划条例》</w:t>
      </w:r>
      <w:r>
        <w:rPr>
          <w:rFonts w:hint="eastAsia" w:ascii="Times New Roman" w:hAnsi="Times New Roman" w:eastAsia="仿宋_GB2312"/>
          <w:sz w:val="32"/>
          <w:szCs w:val="32"/>
        </w:rPr>
        <w:t>（</w:t>
      </w:r>
      <w:r>
        <w:rPr>
          <w:rFonts w:ascii="Times New Roman" w:hAnsi="Times New Roman" w:eastAsia="仿宋_GB2312"/>
          <w:sz w:val="32"/>
          <w:szCs w:val="32"/>
        </w:rPr>
        <w:t>2011年9月29日四川省第十一届人民代表大会常务委员会第二十五次会议通过）、《四川省人民代表大会常务委员会关于制止和查处违法建设的决定》（四川省第十二届人民代表大会常务委员会公告第49号）相关规定由属地城乡规划主管部门依法依规查处。</w:t>
      </w:r>
    </w:p>
    <w:p w14:paraId="1E84F610">
      <w:pPr>
        <w:spacing w:line="560" w:lineRule="exact"/>
        <w:ind w:right="84" w:rightChars="40" w:firstLine="707" w:firstLineChars="221"/>
        <w:rPr>
          <w:rFonts w:ascii="Times New Roman" w:hAnsi="Times New Roman" w:eastAsia="仿宋_GB2312"/>
          <w:sz w:val="32"/>
          <w:szCs w:val="32"/>
        </w:rPr>
      </w:pPr>
      <w:bookmarkStart w:id="43" w:name="OLE_LINK17"/>
      <w:r>
        <w:rPr>
          <w:rFonts w:ascii="Times New Roman" w:hAnsi="Times New Roman" w:eastAsia="仿宋_GB2312"/>
          <w:sz w:val="32"/>
          <w:szCs w:val="32"/>
        </w:rPr>
        <w:t>城镇自建房应严格按照《四川省住房和城乡建设厅关于转发</w:t>
      </w:r>
      <w:r>
        <w:rPr>
          <w:rFonts w:hint="eastAsia" w:ascii="Times New Roman" w:hAnsi="Times New Roman" w:eastAsia="仿宋_GB2312"/>
          <w:sz w:val="32"/>
          <w:szCs w:val="32"/>
        </w:rPr>
        <w:t>〈</w:t>
      </w:r>
      <w:r>
        <w:rPr>
          <w:rFonts w:ascii="Times New Roman" w:hAnsi="Times New Roman" w:eastAsia="仿宋_GB2312"/>
          <w:sz w:val="32"/>
          <w:szCs w:val="32"/>
        </w:rPr>
        <w:t>住房和城乡建设部办公厅关于四川省调整房屋建筑和市政基础设施工程施工许可证办理限额意见的函</w:t>
      </w:r>
      <w:r>
        <w:rPr>
          <w:rFonts w:hint="eastAsia" w:ascii="Times New Roman" w:hAnsi="Times New Roman" w:eastAsia="仿宋_GB2312"/>
          <w:sz w:val="32"/>
          <w:szCs w:val="32"/>
        </w:rPr>
        <w:t>〉的通知</w:t>
      </w:r>
      <w:r>
        <w:rPr>
          <w:rFonts w:ascii="Times New Roman" w:hAnsi="Times New Roman" w:eastAsia="仿宋_GB2312"/>
          <w:sz w:val="32"/>
          <w:szCs w:val="32"/>
        </w:rPr>
        <w:t>》（2021年3月5日）办理施工许可证，各县（市）住房城乡建设行政主管部门应当依法加强对限额以下的自建房的监督管理，落实属地监管责任，督促建设单位或产权人切实履行工程质量安全首要责任，督促有关单位及人员履行质量安全责任，严格执行有关工程建设标准，确保工程质量安全。</w:t>
      </w:r>
    </w:p>
    <w:p w14:paraId="541E2B55">
      <w:pPr>
        <w:spacing w:line="560" w:lineRule="exact"/>
        <w:ind w:right="84" w:rightChars="40" w:firstLine="707" w:firstLineChars="221"/>
        <w:rPr>
          <w:rFonts w:ascii="Times New Roman" w:hAnsi="Times New Roman" w:eastAsia="仿宋_GB2312"/>
          <w:sz w:val="32"/>
          <w:szCs w:val="32"/>
        </w:rPr>
      </w:pPr>
      <w:r>
        <w:rPr>
          <w:rFonts w:hint="eastAsia" w:ascii="Times New Roman" w:hAnsi="Times New Roman" w:eastAsia="仿宋_GB2312"/>
          <w:sz w:val="32"/>
          <w:szCs w:val="32"/>
        </w:rPr>
        <w:t>限额以下</w:t>
      </w:r>
      <w:r>
        <w:rPr>
          <w:rFonts w:ascii="Times New Roman" w:hAnsi="Times New Roman" w:eastAsia="仿宋_GB2312"/>
          <w:sz w:val="32"/>
          <w:szCs w:val="32"/>
        </w:rPr>
        <w:t>的自建房</w:t>
      </w:r>
      <w:r>
        <w:rPr>
          <w:rFonts w:hint="eastAsia" w:ascii="Times New Roman" w:hAnsi="Times New Roman" w:eastAsia="仿宋_GB2312"/>
          <w:sz w:val="32"/>
          <w:szCs w:val="32"/>
        </w:rPr>
        <w:t>应执行《四川省住房和城乡建设厅、应急管理厅、消防救援局关于印发〈关于加强限额以下小型工程安全生产管理的指导意见（试行）〉的通知》（川建质安发〔2025〕139号）。</w:t>
      </w:r>
    </w:p>
    <w:bookmarkEnd w:id="43"/>
    <w:p w14:paraId="077F85F7">
      <w:pPr>
        <w:spacing w:line="560" w:lineRule="exact"/>
        <w:ind w:right="84" w:rightChars="40" w:firstLine="707" w:firstLineChars="221"/>
        <w:rPr>
          <w:rFonts w:ascii="Times New Roman" w:hAnsi="Times New Roman" w:eastAsia="仿宋_GB2312"/>
          <w:sz w:val="32"/>
          <w:szCs w:val="32"/>
        </w:rPr>
      </w:pPr>
      <w:r>
        <w:rPr>
          <w:rFonts w:ascii="Times New Roman" w:hAnsi="Times New Roman" w:eastAsia="仿宋_GB2312"/>
          <w:sz w:val="32"/>
          <w:szCs w:val="32"/>
        </w:rPr>
        <w:t>限额以下的自建房消防设计审查验收应按照《四川省住房和城乡建设厅关于转发</w:t>
      </w:r>
      <w:r>
        <w:rPr>
          <w:rFonts w:hint="eastAsia" w:ascii="Times New Roman" w:hAnsi="Times New Roman" w:eastAsia="仿宋_GB2312"/>
          <w:sz w:val="32"/>
          <w:szCs w:val="32"/>
        </w:rPr>
        <w:t>〈</w:t>
      </w:r>
      <w:r>
        <w:rPr>
          <w:rFonts w:ascii="Times New Roman" w:hAnsi="Times New Roman" w:eastAsia="仿宋_GB2312"/>
          <w:sz w:val="32"/>
          <w:szCs w:val="32"/>
        </w:rPr>
        <w:t>住房和城乡建设部办公厅关于四川省调整房屋建筑和市政基础设施工程施工许可证办理限额意见的函</w:t>
      </w:r>
      <w:r>
        <w:rPr>
          <w:rFonts w:hint="eastAsia" w:ascii="Times New Roman" w:hAnsi="Times New Roman" w:eastAsia="仿宋_GB2312"/>
          <w:sz w:val="32"/>
          <w:szCs w:val="32"/>
        </w:rPr>
        <w:t>〉的通知</w:t>
      </w:r>
      <w:r>
        <w:rPr>
          <w:rFonts w:ascii="Times New Roman" w:hAnsi="Times New Roman" w:eastAsia="仿宋_GB2312"/>
          <w:sz w:val="32"/>
          <w:szCs w:val="32"/>
        </w:rPr>
        <w:t>》（2021年3月5日）</w:t>
      </w:r>
      <w:r>
        <w:rPr>
          <w:rFonts w:hint="eastAsia" w:ascii="Times New Roman" w:hAnsi="Times New Roman" w:eastAsia="仿宋_GB2312"/>
          <w:sz w:val="32"/>
          <w:szCs w:val="32"/>
        </w:rPr>
        <w:t>执行。</w:t>
      </w:r>
    </w:p>
    <w:p w14:paraId="07701F62">
      <w:pPr>
        <w:spacing w:line="560" w:lineRule="exact"/>
        <w:ind w:right="84" w:rightChars="40" w:firstLine="663" w:firstLineChars="221"/>
        <w:rPr>
          <w:rFonts w:ascii="Times New Roman" w:hAnsi="Times New Roman" w:eastAsia="仿宋"/>
          <w:sz w:val="30"/>
          <w:szCs w:val="30"/>
        </w:rPr>
      </w:pPr>
    </w:p>
    <w:p w14:paraId="23D57E94">
      <w:pPr>
        <w:pStyle w:val="2"/>
        <w:spacing w:line="560" w:lineRule="exact"/>
        <w:jc w:val="center"/>
        <w:rPr>
          <w:rFonts w:ascii="Times New Roman" w:hAnsi="Times New Roman" w:eastAsia="黑体"/>
        </w:rPr>
        <w:sectPr>
          <w:pgSz w:w="11906" w:h="16838"/>
          <w:pgMar w:top="1440" w:right="1800" w:bottom="1440" w:left="1800" w:header="851" w:footer="992" w:gutter="0"/>
          <w:cols w:space="720" w:num="1"/>
          <w:docGrid w:type="lines" w:linePitch="312" w:charSpace="0"/>
        </w:sectPr>
      </w:pPr>
    </w:p>
    <w:p w14:paraId="3265B4A6">
      <w:pPr>
        <w:pStyle w:val="4"/>
      </w:pPr>
      <w:bookmarkStart w:id="44" w:name="_Toc233624860"/>
      <w:r>
        <w:t>职业技能人员培训</w:t>
      </w:r>
      <w:bookmarkEnd w:id="44"/>
    </w:p>
    <w:p w14:paraId="3C1A7A0E">
      <w:pPr>
        <w:pStyle w:val="14"/>
        <w:rPr>
          <w:rStyle w:val="37"/>
          <w:rFonts w:ascii="Times New Roman" w:hAnsi="Times New Roman" w:eastAsia="仿宋_GB2312"/>
        </w:rPr>
      </w:pPr>
      <w:r>
        <w:rPr>
          <w:rStyle w:val="37"/>
          <w:rFonts w:ascii="Times New Roman" w:hAnsi="Times New Roman" w:eastAsia="仿宋_GB2312"/>
        </w:rPr>
        <w:t>深入贯彻《四川省大规模职业技能提升培训行动方案（2025－2027年）》，聚焦建筑全产业链条，特别是土建工程、市政基础设施建设、装饰装修、设备智能化安装、智能楼宇管理等重点领域，结合川西特色建筑修缮需求，推动传统建筑技艺传承与现代建造技术融合、传统物业管理向智能化转型，组织开展建筑从业者和物业管理人员培训，提升一线岗位实操技能、安全施工水平和职业素养。按照《乡村建设工匠国家职业标准（2024年版）》要求，通过政策激励农村自建房施工人员每季度参加规范工艺培训，内容包括地基处理、砌体工程、抗震构造等。</w:t>
      </w:r>
    </w:p>
    <w:p w14:paraId="2801F301">
      <w:pPr>
        <w:pStyle w:val="4"/>
      </w:pPr>
      <w:bookmarkStart w:id="45" w:name="_Toc207091330"/>
      <w:bookmarkStart w:id="46" w:name="_Toc233624861"/>
      <w:r>
        <w:t>加强下发技术文件</w:t>
      </w:r>
      <w:bookmarkEnd w:id="45"/>
      <w:r>
        <w:t>执行情况检查</w:t>
      </w:r>
      <w:bookmarkEnd w:id="46"/>
    </w:p>
    <w:p w14:paraId="12F783CE">
      <w:pPr>
        <w:spacing w:line="560" w:lineRule="exact"/>
        <w:ind w:right="84" w:rightChars="40" w:firstLine="707" w:firstLineChars="221"/>
        <w:rPr>
          <w:rFonts w:ascii="Times New Roman" w:hAnsi="Times New Roman" w:eastAsia="仿宋_GB2312"/>
          <w:bCs/>
          <w:sz w:val="32"/>
          <w:szCs w:val="32"/>
        </w:rPr>
      </w:pPr>
      <w:r>
        <w:rPr>
          <w:rFonts w:ascii="Times New Roman" w:hAnsi="Times New Roman" w:eastAsia="仿宋_GB2312"/>
          <w:bCs/>
          <w:sz w:val="32"/>
          <w:szCs w:val="32"/>
        </w:rPr>
        <w:t>各县（市）住房城乡建设主管部门应认真推广执行州住房和城乡建设局下发的各类技术指导手册、指南等技术文件，应将本指导意见内容纳入初步设计技术审查及施工图审查内容，确保指引落地见效。州住房和城乡建设局应做好宣贯、督促、检查和考评工作。</w:t>
      </w:r>
    </w:p>
    <w:p w14:paraId="6824D935">
      <w:pPr>
        <w:pStyle w:val="2"/>
        <w:spacing w:line="560" w:lineRule="exact"/>
        <w:jc w:val="center"/>
        <w:rPr>
          <w:rFonts w:ascii="Times New Roman" w:hAnsi="Times New Roman" w:eastAsia="黑体"/>
        </w:rPr>
        <w:sectPr>
          <w:pgSz w:w="11906" w:h="16838"/>
          <w:pgMar w:top="1440" w:right="1800" w:bottom="1440" w:left="1800" w:header="851" w:footer="992" w:gutter="0"/>
          <w:cols w:space="720" w:num="1"/>
          <w:docGrid w:type="lines" w:linePitch="312" w:charSpace="0"/>
        </w:sectPr>
      </w:pPr>
    </w:p>
    <w:p w14:paraId="4D978FDF">
      <w:pPr>
        <w:pStyle w:val="2"/>
        <w:spacing w:line="560" w:lineRule="exact"/>
        <w:jc w:val="center"/>
        <w:rPr>
          <w:rFonts w:ascii="Times New Roman" w:hAnsi="Times New Roman" w:eastAsia="黑体"/>
        </w:rPr>
      </w:pPr>
      <w:bookmarkStart w:id="47" w:name="_Toc233624862"/>
      <w:r>
        <w:rPr>
          <w:rFonts w:ascii="Times New Roman" w:hAnsi="Times New Roman" w:eastAsia="黑体"/>
        </w:rPr>
        <w:t>技术管理</w:t>
      </w:r>
      <w:r>
        <w:rPr>
          <w:rFonts w:hint="eastAsia" w:ascii="Times New Roman" w:hAnsi="Times New Roman" w:eastAsia="黑体"/>
        </w:rPr>
        <w:t>指引</w:t>
      </w:r>
      <w:bookmarkEnd w:id="47"/>
    </w:p>
    <w:p w14:paraId="205A9278">
      <w:pPr>
        <w:pStyle w:val="3"/>
        <w:numPr>
          <w:ilvl w:val="0"/>
          <w:numId w:val="4"/>
        </w:numPr>
        <w:spacing w:line="560" w:lineRule="exact"/>
        <w:jc w:val="center"/>
        <w:rPr>
          <w:rFonts w:ascii="Times New Roman" w:hAnsi="Times New Roman" w:eastAsia="黑体"/>
          <w:b w:val="0"/>
          <w:sz w:val="36"/>
          <w:szCs w:val="36"/>
        </w:rPr>
      </w:pPr>
      <w:r>
        <w:rPr>
          <w:rFonts w:ascii="Times New Roman" w:hAnsi="Times New Roman" w:eastAsia="黑体"/>
          <w:b w:val="0"/>
          <w:sz w:val="36"/>
          <w:szCs w:val="36"/>
        </w:rPr>
        <w:t xml:space="preserve"> </w:t>
      </w:r>
      <w:bookmarkStart w:id="48" w:name="_Toc233624863"/>
      <w:r>
        <w:rPr>
          <w:rFonts w:ascii="Times New Roman" w:hAnsi="Times New Roman" w:eastAsia="黑体"/>
          <w:b w:val="0"/>
          <w:sz w:val="36"/>
          <w:szCs w:val="36"/>
        </w:rPr>
        <w:t>规划</w:t>
      </w:r>
      <w:r>
        <w:rPr>
          <w:rFonts w:hint="eastAsia" w:ascii="Times New Roman" w:hAnsi="Times New Roman" w:eastAsia="黑体"/>
          <w:b w:val="0"/>
          <w:sz w:val="36"/>
          <w:szCs w:val="36"/>
        </w:rPr>
        <w:t>设计</w:t>
      </w:r>
      <w:bookmarkEnd w:id="48"/>
    </w:p>
    <w:p w14:paraId="41F1DBCB">
      <w:pPr>
        <w:pStyle w:val="4"/>
      </w:pPr>
      <w:bookmarkStart w:id="49" w:name="_Toc233624864"/>
      <w:r>
        <w:t>人均城镇建设用地</w:t>
      </w:r>
      <w:bookmarkEnd w:id="49"/>
    </w:p>
    <w:p w14:paraId="08DBB182">
      <w:pPr>
        <w:spacing w:line="560" w:lineRule="exact"/>
        <w:ind w:right="84" w:rightChars="40" w:firstLine="707" w:firstLineChars="221"/>
        <w:rPr>
          <w:rFonts w:ascii="Times New Roman" w:hAnsi="Times New Roman" w:eastAsia="仿宋_GB2312"/>
          <w:bCs/>
          <w:sz w:val="32"/>
          <w:szCs w:val="32"/>
        </w:rPr>
      </w:pPr>
      <w:r>
        <w:rPr>
          <w:rFonts w:ascii="Times New Roman" w:hAnsi="Times New Roman" w:eastAsia="仿宋_GB2312"/>
          <w:bCs/>
          <w:sz w:val="32"/>
          <w:szCs w:val="32"/>
        </w:rPr>
        <w:t>根据《国土空间调查、规划、用途管制用地用海分类指南》（</w:t>
      </w:r>
      <w:r>
        <w:rPr>
          <w:rFonts w:hint="eastAsia" w:ascii="Times New Roman" w:hAnsi="Times New Roman" w:eastAsia="仿宋_GB2312"/>
          <w:bCs/>
          <w:sz w:val="32"/>
          <w:szCs w:val="32"/>
        </w:rPr>
        <w:t>自然资源</w:t>
      </w:r>
      <w:r>
        <w:rPr>
          <w:rFonts w:ascii="Times New Roman" w:hAnsi="Times New Roman" w:eastAsia="仿宋_GB2312"/>
          <w:bCs/>
          <w:sz w:val="32"/>
          <w:szCs w:val="32"/>
        </w:rPr>
        <w:t>部2023</w:t>
      </w:r>
      <w:r>
        <w:rPr>
          <w:rFonts w:hint="eastAsia" w:ascii="Times New Roman" w:hAnsi="Times New Roman" w:eastAsia="仿宋_GB2312"/>
          <w:bCs/>
          <w:sz w:val="32"/>
          <w:szCs w:val="32"/>
        </w:rPr>
        <w:t>年</w:t>
      </w:r>
      <w:r>
        <w:rPr>
          <w:rFonts w:ascii="Times New Roman" w:hAnsi="Times New Roman" w:eastAsia="仿宋_GB2312"/>
          <w:bCs/>
          <w:sz w:val="32"/>
          <w:szCs w:val="32"/>
        </w:rPr>
        <w:t>11</w:t>
      </w:r>
      <w:r>
        <w:rPr>
          <w:rFonts w:hint="eastAsia" w:ascii="Times New Roman" w:hAnsi="Times New Roman" w:eastAsia="仿宋_GB2312"/>
          <w:bCs/>
          <w:sz w:val="32"/>
          <w:szCs w:val="32"/>
        </w:rPr>
        <w:t>月</w:t>
      </w:r>
      <w:r>
        <w:rPr>
          <w:rFonts w:ascii="Times New Roman" w:hAnsi="Times New Roman" w:eastAsia="仿宋_GB2312"/>
          <w:bCs/>
          <w:sz w:val="32"/>
          <w:szCs w:val="32"/>
        </w:rPr>
        <w:t>），参照《城市用地分类与规划建设用地标准》（GB</w:t>
      </w:r>
      <w:r>
        <w:rPr>
          <w:rFonts w:hint="eastAsia" w:ascii="Times New Roman" w:hAnsi="Times New Roman" w:eastAsia="仿宋_GB2312"/>
          <w:bCs/>
          <w:sz w:val="32"/>
          <w:szCs w:val="32"/>
        </w:rPr>
        <w:t xml:space="preserve"> </w:t>
      </w:r>
      <w:r>
        <w:rPr>
          <w:rFonts w:ascii="Times New Roman" w:hAnsi="Times New Roman" w:eastAsia="仿宋_GB2312"/>
          <w:bCs/>
          <w:sz w:val="32"/>
          <w:szCs w:val="32"/>
        </w:rPr>
        <w:t>50137—2011）和《镇规划标准》（GB 50188—2007），人均城镇建设用地宜取值在65</w:t>
      </w:r>
      <w:r>
        <w:rPr>
          <w:rFonts w:hint="eastAsia" w:ascii="Times New Roman" w:hAnsi="Times New Roman" w:eastAsia="仿宋_GB2312"/>
          <w:sz w:val="32"/>
          <w:szCs w:val="32"/>
        </w:rPr>
        <w:t>~</w:t>
      </w:r>
      <w:r>
        <w:rPr>
          <w:rFonts w:ascii="Times New Roman" w:hAnsi="Times New Roman" w:eastAsia="仿宋_GB2312"/>
          <w:bCs/>
          <w:sz w:val="32"/>
          <w:szCs w:val="32"/>
        </w:rPr>
        <w:t>150平方米，建设紧凑集约型城镇</w:t>
      </w:r>
      <w:r>
        <w:rPr>
          <w:rFonts w:hint="eastAsia" w:ascii="Times New Roman" w:hAnsi="Times New Roman" w:eastAsia="仿宋_GB2312"/>
          <w:bCs/>
          <w:sz w:val="32"/>
          <w:szCs w:val="32"/>
        </w:rPr>
        <w:t>，高山峡谷地区宜采用底线保障，高原平坝地区应采用上</w:t>
      </w:r>
      <w:bookmarkStart w:id="50" w:name="OLE_LINK23"/>
      <w:bookmarkStart w:id="51" w:name="OLE_LINK22"/>
      <w:r>
        <w:rPr>
          <w:rFonts w:hint="eastAsia" w:ascii="Times New Roman" w:hAnsi="Times New Roman" w:eastAsia="仿宋_GB2312"/>
          <w:bCs/>
          <w:sz w:val="32"/>
          <w:szCs w:val="32"/>
        </w:rPr>
        <w:t>限</w:t>
      </w:r>
      <w:bookmarkEnd w:id="50"/>
      <w:bookmarkEnd w:id="51"/>
      <w:r>
        <w:rPr>
          <w:rFonts w:hint="eastAsia" w:ascii="Times New Roman" w:hAnsi="Times New Roman" w:eastAsia="仿宋_GB2312"/>
          <w:bCs/>
          <w:sz w:val="32"/>
          <w:szCs w:val="32"/>
        </w:rPr>
        <w:t>控制</w:t>
      </w:r>
      <w:r>
        <w:rPr>
          <w:rFonts w:ascii="Times New Roman" w:hAnsi="Times New Roman" w:eastAsia="仿宋_GB2312"/>
          <w:bCs/>
          <w:sz w:val="32"/>
          <w:szCs w:val="32"/>
        </w:rPr>
        <w:t>。特殊情况下，如县（市）城镇发展受地理区位、地形条件和</w:t>
      </w:r>
      <w:r>
        <w:rPr>
          <w:rFonts w:hint="eastAsia" w:ascii="Times New Roman" w:hAnsi="Times New Roman" w:eastAsia="仿宋_GB2312"/>
          <w:bCs/>
          <w:sz w:val="32"/>
          <w:szCs w:val="32"/>
        </w:rPr>
        <w:t>自然</w:t>
      </w:r>
      <w:r>
        <w:rPr>
          <w:rFonts w:ascii="Times New Roman" w:hAnsi="Times New Roman" w:eastAsia="仿宋_GB2312"/>
          <w:bCs/>
          <w:sz w:val="32"/>
          <w:szCs w:val="32"/>
        </w:rPr>
        <w:t>资源主管部门</w:t>
      </w:r>
      <w:r>
        <w:rPr>
          <w:rFonts w:hint="eastAsia" w:ascii="Times New Roman" w:hAnsi="Times New Roman" w:eastAsia="仿宋_GB2312"/>
          <w:bCs/>
          <w:sz w:val="32"/>
          <w:szCs w:val="32"/>
        </w:rPr>
        <w:t>划定的开</w:t>
      </w:r>
      <w:r>
        <w:rPr>
          <w:rFonts w:ascii="Times New Roman" w:hAnsi="Times New Roman" w:eastAsia="仿宋_GB2312"/>
          <w:bCs/>
          <w:sz w:val="32"/>
          <w:szCs w:val="32"/>
        </w:rPr>
        <w:t>发边界的限制，可探索采用飞地经济模式。</w:t>
      </w:r>
    </w:p>
    <w:p w14:paraId="152F4E0C">
      <w:pPr>
        <w:pStyle w:val="4"/>
      </w:pPr>
      <w:bookmarkStart w:id="52" w:name="_Toc233624865"/>
      <w:bookmarkStart w:id="53" w:name="OLE_LINK15"/>
      <w:bookmarkStart w:id="54" w:name="OLE_LINK14"/>
      <w:r>
        <w:t>城镇承载能力提升</w:t>
      </w:r>
      <w:bookmarkEnd w:id="52"/>
    </w:p>
    <w:bookmarkEnd w:id="53"/>
    <w:bookmarkEnd w:id="54"/>
    <w:p w14:paraId="408D48BF">
      <w:pPr>
        <w:spacing w:line="560" w:lineRule="exact"/>
        <w:ind w:right="84" w:rightChars="40" w:firstLine="707" w:firstLineChars="221"/>
        <w:rPr>
          <w:rFonts w:ascii="Times New Roman" w:hAnsi="Times New Roman" w:eastAsia="仿宋_GB2312"/>
          <w:bCs/>
          <w:sz w:val="32"/>
          <w:szCs w:val="32"/>
        </w:rPr>
      </w:pPr>
      <w:r>
        <w:rPr>
          <w:rFonts w:hint="eastAsia" w:ascii="Times New Roman" w:hAnsi="Times New Roman" w:eastAsia="仿宋_GB2312"/>
          <w:bCs/>
          <w:sz w:val="32"/>
          <w:szCs w:val="32"/>
        </w:rPr>
        <w:t>依据县（市）国土空间总体规划，按照《国土空间调查、规划、用途管制用地用海分类指南》（自然资源部2023年11月）《城市公共设施规划规范》（GB 50442—2008）、《城市居住区规划设计标准》（GB 50180—2018）、《完整社区建设标准》（GB/T 41831—2022）及相关试点文件，科学合理编制详细规划，配套完善公共服务设施和市政基础设施，提升县（市）域城市（镇）发展综合承载能力。</w:t>
      </w:r>
    </w:p>
    <w:p w14:paraId="1F5EECB9">
      <w:pPr>
        <w:pStyle w:val="4"/>
      </w:pPr>
      <w:bookmarkStart w:id="55" w:name="_Toc233624866"/>
      <w:r>
        <w:rPr>
          <w:rFonts w:hint="eastAsia"/>
        </w:rPr>
        <w:t>规划选址</w:t>
      </w:r>
      <w:bookmarkEnd w:id="55"/>
    </w:p>
    <w:p w14:paraId="3F9CD1ED">
      <w:pPr>
        <w:spacing w:line="560" w:lineRule="exact"/>
        <w:ind w:right="84" w:rightChars="40" w:firstLine="707" w:firstLineChars="221"/>
        <w:rPr>
          <w:rFonts w:ascii="Times New Roman" w:hAnsi="Times New Roman" w:eastAsia="仿宋_GB2312"/>
          <w:bCs/>
          <w:sz w:val="32"/>
          <w:szCs w:val="32"/>
        </w:rPr>
      </w:pPr>
      <w:r>
        <w:rPr>
          <w:rFonts w:hint="eastAsia" w:ascii="Times New Roman" w:hAnsi="Times New Roman" w:eastAsia="仿宋_GB2312"/>
          <w:bCs/>
          <w:sz w:val="32"/>
          <w:szCs w:val="32"/>
        </w:rPr>
        <w:t>针对地质灾害易发区内所有单独选址项目（公路、铁路、水利、工矿、城镇建设等），必须进行地质灾害危险性评估（可研阶段）。评估超过2年，地质环境大变，方案重大调整时必须重评。评估结果作为可研报告组成部分，未评估通过的，住房和城乡建设主管部门不得组织初步设计方案审查。农村自建房须符合乡村地区详细规划，按相应程序审查批准。</w:t>
      </w:r>
    </w:p>
    <w:p w14:paraId="6E563864">
      <w:pPr>
        <w:pStyle w:val="4"/>
      </w:pPr>
      <w:bookmarkStart w:id="56" w:name="_Toc233624867"/>
      <w:r>
        <w:t>传统风貌管控</w:t>
      </w:r>
      <w:bookmarkEnd w:id="56"/>
    </w:p>
    <w:p w14:paraId="12FE05EE">
      <w:pPr>
        <w:spacing w:line="560" w:lineRule="exact"/>
        <w:ind w:right="84" w:rightChars="40" w:firstLine="707" w:firstLineChars="221"/>
        <w:rPr>
          <w:rFonts w:ascii="Times New Roman" w:hAnsi="Times New Roman" w:eastAsia="仿宋_GB2312"/>
          <w:bCs/>
          <w:sz w:val="32"/>
          <w:szCs w:val="32"/>
        </w:rPr>
      </w:pPr>
      <w:r>
        <w:rPr>
          <w:rFonts w:hint="eastAsia" w:ascii="Times New Roman" w:hAnsi="Times New Roman" w:eastAsia="仿宋_GB2312"/>
          <w:bCs/>
          <w:sz w:val="32"/>
          <w:szCs w:val="32"/>
        </w:rPr>
        <w:t>重点关注历史名城、名镇、名村、传统村落的历史文化传承和风貌特色保护。按照《住房和城乡建设部关于加强城市设计工作的指导意见》结合《国土空间规划城市设计指南》（TD/T 1065—2021）及时修编《阿坝藏族羌族自治州藏羌建筑风貌导则》（2012版）。</w:t>
      </w:r>
    </w:p>
    <w:p w14:paraId="75446535">
      <w:pPr>
        <w:spacing w:line="560" w:lineRule="exact"/>
        <w:ind w:firstLine="707" w:firstLineChars="221"/>
        <w:rPr>
          <w:rFonts w:ascii="Times New Roman" w:hAnsi="Times New Roman" w:eastAsia="仿宋_GB2312"/>
          <w:sz w:val="32"/>
          <w:szCs w:val="32"/>
        </w:rPr>
      </w:pPr>
      <w:r>
        <w:rPr>
          <w:rFonts w:ascii="Times New Roman" w:hAnsi="Times New Roman" w:eastAsia="仿宋_GB2312"/>
          <w:sz w:val="32"/>
          <w:szCs w:val="32"/>
        </w:rPr>
        <w:t>加强传统建筑及传统建筑技艺保护利用研究，</w:t>
      </w:r>
      <w:r>
        <w:rPr>
          <w:rFonts w:hint="eastAsia" w:ascii="Times New Roman" w:hAnsi="Times New Roman" w:eastAsia="仿宋_GB2312"/>
          <w:sz w:val="32"/>
          <w:szCs w:val="32"/>
        </w:rPr>
        <w:t>处理好传统与现代、继承与发展的关系。切实保护村落的传统格局、街巷肌理、历史风貌与自然本底。新建建筑体现地域特征、民族特色和时代风貌，杜绝“贪大、媚洋、求怪”。</w:t>
      </w:r>
      <w:r>
        <w:rPr>
          <w:rFonts w:ascii="Times New Roman" w:hAnsi="Times New Roman" w:eastAsia="仿宋_GB2312"/>
          <w:sz w:val="32"/>
          <w:szCs w:val="32"/>
        </w:rPr>
        <w:t>研究传统技艺营造方式，挖掘传统技艺传承人，培养传统技艺人才，在历史建筑、保护建筑及传统村落建设中切实采用传统技艺营造方式。住房和城乡建设部门应深度参与房屋建筑与市政基础设施工程设计方案审查，提出技术审查意见，审查意见作为工程设计方案</w:t>
      </w:r>
      <w:r>
        <w:rPr>
          <w:rFonts w:hint="eastAsia" w:ascii="Times New Roman" w:hAnsi="Times New Roman" w:eastAsia="仿宋_GB2312"/>
          <w:sz w:val="32"/>
          <w:szCs w:val="32"/>
        </w:rPr>
        <w:t>审批</w:t>
      </w:r>
      <w:r>
        <w:rPr>
          <w:rFonts w:ascii="Times New Roman" w:hAnsi="Times New Roman" w:eastAsia="仿宋_GB2312"/>
          <w:sz w:val="32"/>
          <w:szCs w:val="32"/>
        </w:rPr>
        <w:t>依据。</w:t>
      </w:r>
    </w:p>
    <w:p w14:paraId="1A670C1D">
      <w:pPr>
        <w:pStyle w:val="4"/>
      </w:pPr>
      <w:bookmarkStart w:id="57" w:name="_Toc233624868"/>
      <w:r>
        <w:rPr>
          <w:rFonts w:hint="eastAsia"/>
        </w:rPr>
        <w:t>历史建筑保护修缮</w:t>
      </w:r>
      <w:bookmarkEnd w:id="57"/>
    </w:p>
    <w:p w14:paraId="720B9E10">
      <w:pPr>
        <w:spacing w:line="560" w:lineRule="exact"/>
        <w:ind w:right="84" w:rightChars="40" w:firstLine="707" w:firstLineChars="221"/>
      </w:pPr>
      <w:r>
        <w:rPr>
          <w:rFonts w:hint="eastAsia" w:ascii="Times New Roman" w:hAnsi="Times New Roman" w:eastAsia="仿宋_GB2312"/>
          <w:bCs/>
          <w:sz w:val="32"/>
          <w:szCs w:val="32"/>
        </w:rPr>
        <w:t>历史建筑保护修缮应</w:t>
      </w:r>
      <w:r>
        <w:rPr>
          <w:rFonts w:ascii="Times New Roman" w:hAnsi="Times New Roman" w:eastAsia="仿宋_GB2312"/>
          <w:bCs/>
          <w:sz w:val="32"/>
          <w:szCs w:val="32"/>
        </w:rPr>
        <w:t>依据</w:t>
      </w:r>
      <w:r>
        <w:rPr>
          <w:rFonts w:hint="eastAsia" w:ascii="Times New Roman" w:hAnsi="Times New Roman" w:eastAsia="仿宋_GB2312"/>
          <w:bCs/>
          <w:sz w:val="32"/>
          <w:szCs w:val="32"/>
        </w:rPr>
        <w:t>《历史文化名城和街区等保护提升项目建设指南（试行）》</w:t>
      </w:r>
      <w:r>
        <w:rPr>
          <w:rFonts w:ascii="Times New Roman" w:hAnsi="Times New Roman" w:eastAsia="仿宋_GB2312"/>
          <w:bCs/>
          <w:sz w:val="32"/>
          <w:szCs w:val="32"/>
        </w:rPr>
        <w:t>《历史文化名城名镇名村保护条例》《四川省传统村落保护条例》</w:t>
      </w:r>
      <w:r>
        <w:rPr>
          <w:rFonts w:hint="eastAsia" w:ascii="Times New Roman" w:hAnsi="Times New Roman" w:eastAsia="仿宋_GB2312"/>
          <w:bCs/>
          <w:sz w:val="32"/>
          <w:szCs w:val="32"/>
        </w:rPr>
        <w:t>《四川省历史建筑修缮技术标准》（DBJ51/T 270</w:t>
      </w:r>
      <w:r>
        <w:rPr>
          <w:rFonts w:ascii="Times New Roman" w:hAnsi="Times New Roman" w:eastAsia="仿宋_GB2312"/>
          <w:sz w:val="32"/>
          <w:szCs w:val="32"/>
        </w:rPr>
        <w:t>—</w:t>
      </w:r>
      <w:r>
        <w:rPr>
          <w:rFonts w:hint="eastAsia" w:ascii="Times New Roman" w:hAnsi="Times New Roman" w:eastAsia="仿宋_GB2312"/>
          <w:bCs/>
          <w:sz w:val="32"/>
          <w:szCs w:val="32"/>
        </w:rPr>
        <w:t>2024）、《四川省历史文化街区和历史建筑活化利用消防设计指南（试行）》，切实保护历史建筑风貌与自然本底。</w:t>
      </w:r>
    </w:p>
    <w:p w14:paraId="584224CE">
      <w:pPr>
        <w:pStyle w:val="3"/>
        <w:numPr>
          <w:ilvl w:val="0"/>
          <w:numId w:val="4"/>
        </w:numPr>
        <w:spacing w:line="560" w:lineRule="exact"/>
        <w:jc w:val="center"/>
        <w:rPr>
          <w:rFonts w:ascii="Times New Roman" w:hAnsi="Times New Roman" w:eastAsia="黑体"/>
          <w:b w:val="0"/>
          <w:sz w:val="36"/>
          <w:szCs w:val="36"/>
        </w:rPr>
      </w:pPr>
      <w:bookmarkStart w:id="58" w:name="_Toc233624869"/>
      <w:r>
        <w:rPr>
          <w:rFonts w:ascii="Times New Roman" w:hAnsi="Times New Roman" w:eastAsia="黑体"/>
          <w:b w:val="0"/>
          <w:sz w:val="36"/>
          <w:szCs w:val="36"/>
        </w:rPr>
        <w:t>地质勘察</w:t>
      </w:r>
      <w:bookmarkEnd w:id="58"/>
    </w:p>
    <w:p w14:paraId="6A23ABBC">
      <w:pPr>
        <w:pStyle w:val="4"/>
      </w:pPr>
      <w:bookmarkStart w:id="59" w:name="_Toc233624870"/>
      <w:r>
        <w:t>地震断裂带的影响</w:t>
      </w:r>
      <w:bookmarkEnd w:id="59"/>
    </w:p>
    <w:p w14:paraId="498B6446">
      <w:pPr>
        <w:spacing w:line="560" w:lineRule="exact"/>
        <w:ind w:right="84" w:rightChars="40" w:firstLine="707" w:firstLineChars="221"/>
        <w:rPr>
          <w:rFonts w:ascii="Times New Roman" w:hAnsi="Times New Roman" w:eastAsia="仿宋_GB2312"/>
          <w:bCs/>
          <w:sz w:val="32"/>
          <w:szCs w:val="32"/>
        </w:rPr>
      </w:pPr>
      <w:r>
        <w:rPr>
          <w:rFonts w:ascii="Times New Roman" w:hAnsi="Times New Roman" w:eastAsia="仿宋_GB2312"/>
          <w:sz w:val="32"/>
          <w:szCs w:val="32"/>
        </w:rPr>
        <w:t>《工程地质勘察报告》中场地抗震勘察应严格执行《建筑与市政工程抗震通用规范》（GB</w:t>
      </w:r>
      <w:r>
        <w:rPr>
          <w:rFonts w:hint="eastAsia" w:ascii="Times New Roman" w:hAnsi="Times New Roman" w:eastAsia="仿宋_GB2312"/>
          <w:sz w:val="32"/>
          <w:szCs w:val="32"/>
        </w:rPr>
        <w:t xml:space="preserve"> </w:t>
      </w:r>
      <w:r>
        <w:rPr>
          <w:rFonts w:ascii="Times New Roman" w:hAnsi="Times New Roman" w:eastAsia="仿宋_GB2312"/>
          <w:sz w:val="32"/>
          <w:szCs w:val="32"/>
        </w:rPr>
        <w:t>55002—2021）第3.1.1条，明确建设场地距断裂带距离和断裂带分布特征；工程设计中应严格执行</w:t>
      </w:r>
      <w:r>
        <w:rPr>
          <w:rFonts w:hint="eastAsia" w:ascii="Times New Roman" w:hAnsi="Times New Roman" w:eastAsia="仿宋_GB2312"/>
          <w:sz w:val="32"/>
          <w:szCs w:val="32"/>
        </w:rPr>
        <w:t>《建筑抗震设计标准》（GB/T 50011</w:t>
      </w:r>
      <w:r>
        <w:rPr>
          <w:rFonts w:ascii="Times New Roman" w:hAnsi="Times New Roman" w:eastAsia="仿宋_GB2312"/>
          <w:sz w:val="32"/>
          <w:szCs w:val="32"/>
        </w:rPr>
        <w:t>—</w:t>
      </w:r>
      <w:r>
        <w:rPr>
          <w:rFonts w:hint="eastAsia" w:ascii="Times New Roman" w:hAnsi="Times New Roman" w:eastAsia="仿宋_GB2312"/>
          <w:sz w:val="32"/>
          <w:szCs w:val="32"/>
        </w:rPr>
        <w:t>2010</w:t>
      </w:r>
      <w:r>
        <w:rPr>
          <w:rFonts w:hint="eastAsia" w:ascii="Times New Roman" w:hAnsi="Times New Roman" w:eastAsia="仿宋_GB2312"/>
          <w:kern w:val="44"/>
          <w:sz w:val="32"/>
          <w:szCs w:val="32"/>
        </w:rPr>
        <w:t>〔</w:t>
      </w:r>
      <w:r>
        <w:rPr>
          <w:rFonts w:hint="eastAsia" w:ascii="Times New Roman" w:hAnsi="Times New Roman" w:eastAsia="仿宋_GB2312"/>
          <w:bCs/>
          <w:sz w:val="32"/>
          <w:szCs w:val="32"/>
        </w:rPr>
        <w:t>2024年版〕</w:t>
      </w:r>
      <w:r>
        <w:rPr>
          <w:rFonts w:hint="eastAsia" w:ascii="Times New Roman" w:hAnsi="Times New Roman" w:eastAsia="仿宋_GB2312"/>
          <w:sz w:val="32"/>
          <w:szCs w:val="32"/>
        </w:rPr>
        <w:t>）</w:t>
      </w:r>
      <w:r>
        <w:rPr>
          <w:rFonts w:ascii="Times New Roman" w:hAnsi="Times New Roman" w:eastAsia="仿宋_GB2312"/>
          <w:sz w:val="32"/>
          <w:szCs w:val="32"/>
        </w:rPr>
        <w:t>第3.10.3条，</w:t>
      </w:r>
      <w:r>
        <w:rPr>
          <w:rFonts w:hint="eastAsia" w:ascii="Times New Roman" w:hAnsi="Times New Roman" w:eastAsia="仿宋_GB2312"/>
          <w:sz w:val="32"/>
          <w:szCs w:val="32"/>
        </w:rPr>
        <w:t>计入近场效应对设计地震动参数的影响。将其纳入阿坝州初步设计审查和施工图审查要点，同时检查有无前置审查通过的地灾评估报告</w:t>
      </w:r>
      <w:r>
        <w:rPr>
          <w:rFonts w:ascii="Times New Roman" w:hAnsi="Times New Roman" w:eastAsia="仿宋_GB2312"/>
          <w:sz w:val="32"/>
          <w:szCs w:val="32"/>
        </w:rPr>
        <w:t>。</w:t>
      </w:r>
    </w:p>
    <w:p w14:paraId="0EEC58EB">
      <w:pPr>
        <w:pStyle w:val="4"/>
      </w:pPr>
      <w:bookmarkStart w:id="60" w:name="_Toc233624871"/>
      <w:r>
        <w:t>探孔距偏大漏勘</w:t>
      </w:r>
      <w:bookmarkEnd w:id="60"/>
    </w:p>
    <w:p w14:paraId="77B6F1A6">
      <w:pPr>
        <w:spacing w:line="560" w:lineRule="exact"/>
        <w:ind w:firstLine="745" w:firstLineChars="233"/>
        <w:rPr>
          <w:rFonts w:ascii="Times New Roman" w:hAnsi="Times New Roman" w:eastAsia="仿宋_GB2312"/>
          <w:sz w:val="32"/>
          <w:szCs w:val="32"/>
        </w:rPr>
      </w:pPr>
      <w:r>
        <w:rPr>
          <w:rFonts w:hint="eastAsia" w:ascii="Times New Roman" w:hAnsi="Times New Roman" w:eastAsia="仿宋_GB2312"/>
          <w:sz w:val="32"/>
          <w:szCs w:val="32"/>
        </w:rPr>
        <w:t>根据</w:t>
      </w:r>
      <w:r>
        <w:rPr>
          <w:rFonts w:ascii="Times New Roman" w:hAnsi="Times New Roman" w:eastAsia="仿宋_GB2312"/>
          <w:sz w:val="32"/>
          <w:szCs w:val="32"/>
        </w:rPr>
        <w:t>《岩土工程勘察规范》（GB</w:t>
      </w:r>
      <w:r>
        <w:rPr>
          <w:rFonts w:hint="eastAsia" w:ascii="Times New Roman" w:hAnsi="Times New Roman" w:eastAsia="仿宋_GB2312"/>
          <w:sz w:val="32"/>
          <w:szCs w:val="32"/>
        </w:rPr>
        <w:t xml:space="preserve"> </w:t>
      </w:r>
      <w:r>
        <w:rPr>
          <w:rFonts w:ascii="Times New Roman" w:hAnsi="Times New Roman" w:eastAsia="仿宋_GB2312"/>
          <w:sz w:val="32"/>
          <w:szCs w:val="32"/>
        </w:rPr>
        <w:t>50021—2001</w:t>
      </w:r>
      <w:r>
        <w:rPr>
          <w:rFonts w:hint="eastAsia" w:ascii="Times New Roman" w:hAnsi="Times New Roman" w:eastAsia="仿宋_GB2312"/>
          <w:kern w:val="44"/>
          <w:sz w:val="32"/>
          <w:szCs w:val="32"/>
        </w:rPr>
        <w:t>〔</w:t>
      </w:r>
      <w:r>
        <w:rPr>
          <w:rFonts w:hint="eastAsia" w:ascii="Times New Roman" w:hAnsi="Times New Roman" w:eastAsia="仿宋_GB2312"/>
          <w:bCs/>
          <w:sz w:val="32"/>
          <w:szCs w:val="32"/>
        </w:rPr>
        <w:t>2009年版〕</w:t>
      </w:r>
      <w:r>
        <w:rPr>
          <w:rFonts w:ascii="Times New Roman" w:hAnsi="Times New Roman" w:eastAsia="仿宋_GB2312"/>
          <w:sz w:val="32"/>
          <w:szCs w:val="32"/>
        </w:rPr>
        <w:t>）</w:t>
      </w:r>
      <w:r>
        <w:rPr>
          <w:rFonts w:hint="eastAsia" w:ascii="Times New Roman" w:hAnsi="Times New Roman" w:eastAsia="仿宋_GB2312"/>
          <w:sz w:val="32"/>
          <w:szCs w:val="32"/>
        </w:rPr>
        <w:t>4.1.11条要求，在以旧河道、沟浜地貌为主区域，地质构造复杂或地层变化剧烈的区域，勘察单位应适当增加勘探点密度，减小探孔距，确保数据代表性，同时查明对工程不利的埋藏物。</w:t>
      </w:r>
    </w:p>
    <w:p w14:paraId="2DA677D2">
      <w:pPr>
        <w:pStyle w:val="4"/>
      </w:pPr>
      <w:bookmarkStart w:id="61" w:name="_Toc233624872"/>
      <w:r>
        <w:t>施工勘察</w:t>
      </w:r>
      <w:bookmarkEnd w:id="61"/>
    </w:p>
    <w:p w14:paraId="31FE8166">
      <w:pPr>
        <w:spacing w:line="560" w:lineRule="exact"/>
        <w:ind w:right="-483" w:rightChars="-230" w:firstLine="707" w:firstLineChars="221"/>
        <w:rPr>
          <w:rFonts w:ascii="Times New Roman" w:hAnsi="Times New Roman" w:eastAsia="仿宋_GB2312"/>
          <w:sz w:val="32"/>
          <w:szCs w:val="32"/>
        </w:rPr>
      </w:pPr>
      <w:r>
        <w:rPr>
          <w:rFonts w:ascii="Times New Roman" w:hAnsi="Times New Roman" w:eastAsia="仿宋_GB2312"/>
          <w:sz w:val="32"/>
          <w:szCs w:val="32"/>
        </w:rPr>
        <w:t>根据《岩土工程勘察规范》（GB</w:t>
      </w:r>
      <w:r>
        <w:rPr>
          <w:rFonts w:hint="eastAsia" w:ascii="Times New Roman" w:hAnsi="Times New Roman" w:eastAsia="仿宋_GB2312"/>
          <w:sz w:val="32"/>
          <w:szCs w:val="32"/>
        </w:rPr>
        <w:t xml:space="preserve"> </w:t>
      </w:r>
      <w:r>
        <w:rPr>
          <w:rFonts w:ascii="Times New Roman" w:hAnsi="Times New Roman" w:eastAsia="仿宋_GB2312"/>
          <w:sz w:val="32"/>
          <w:szCs w:val="32"/>
        </w:rPr>
        <w:t>50021—2001</w:t>
      </w:r>
      <w:r>
        <w:rPr>
          <w:rFonts w:hint="eastAsia" w:ascii="Times New Roman" w:hAnsi="Times New Roman" w:eastAsia="仿宋_GB2312"/>
          <w:kern w:val="44"/>
          <w:sz w:val="32"/>
          <w:szCs w:val="32"/>
        </w:rPr>
        <w:t>〔</w:t>
      </w:r>
      <w:r>
        <w:rPr>
          <w:rFonts w:hint="eastAsia" w:ascii="Times New Roman" w:hAnsi="Times New Roman" w:eastAsia="仿宋_GB2312"/>
          <w:bCs/>
          <w:sz w:val="32"/>
          <w:szCs w:val="32"/>
        </w:rPr>
        <w:t>2009年版〕</w:t>
      </w:r>
      <w:r>
        <w:rPr>
          <w:rFonts w:hint="eastAsia" w:ascii="Times New Roman" w:hAnsi="Times New Roman" w:eastAsia="仿宋_GB2312"/>
          <w:sz w:val="32"/>
          <w:szCs w:val="32"/>
        </w:rPr>
        <w:t>）</w:t>
      </w:r>
      <w:r>
        <w:rPr>
          <w:rFonts w:ascii="Times New Roman" w:hAnsi="Times New Roman" w:eastAsia="仿宋_GB2312"/>
          <w:bCs/>
          <w:sz w:val="32"/>
          <w:szCs w:val="32"/>
        </w:rPr>
        <w:t>4.1.8.4条要求，当预定深度内有软弱土层时，勘探孔深度应适当增加</w:t>
      </w:r>
      <w:r>
        <w:rPr>
          <w:rFonts w:hint="eastAsia" w:ascii="Times New Roman" w:hAnsi="Times New Roman" w:eastAsia="仿宋_GB2312"/>
          <w:bCs/>
          <w:sz w:val="32"/>
          <w:szCs w:val="32"/>
        </w:rPr>
        <w:t>，部分</w:t>
      </w:r>
      <w:r>
        <w:rPr>
          <w:rFonts w:ascii="Times New Roman" w:hAnsi="Times New Roman" w:eastAsia="仿宋_GB2312"/>
          <w:bCs/>
          <w:sz w:val="32"/>
          <w:szCs w:val="32"/>
        </w:rPr>
        <w:t>控制性勘探孔应穿透软弱土层或达到预计控制深度</w:t>
      </w:r>
      <w:r>
        <w:rPr>
          <w:rFonts w:hint="eastAsia" w:ascii="Times New Roman" w:hAnsi="Times New Roman" w:eastAsia="仿宋_GB2312"/>
          <w:sz w:val="32"/>
          <w:szCs w:val="32"/>
        </w:rPr>
        <w:t>。施工、</w:t>
      </w:r>
      <w:r>
        <w:rPr>
          <w:rFonts w:hint="eastAsia" w:ascii="Times New Roman" w:hAnsi="Times New Roman" w:eastAsia="仿宋_GB2312"/>
          <w:bCs/>
          <w:sz w:val="32"/>
          <w:szCs w:val="32"/>
        </w:rPr>
        <w:t>验槽时发现有遗漏不明障碍物及地质异常体情况时，应结合异常区域特征，采用钻探、原位测试等施工勘察手段，核实地层分布、岩（土）参数，及时补充相关资料，满足设计要求</w:t>
      </w:r>
      <w:r>
        <w:rPr>
          <w:rFonts w:ascii="Times New Roman" w:hAnsi="Times New Roman" w:eastAsia="仿宋_GB2312"/>
          <w:sz w:val="32"/>
          <w:szCs w:val="32"/>
        </w:rPr>
        <w:t>。</w:t>
      </w:r>
    </w:p>
    <w:p w14:paraId="73C2E645">
      <w:pPr>
        <w:pStyle w:val="4"/>
      </w:pPr>
      <w:bookmarkStart w:id="62" w:name="_Toc233624873"/>
      <w:r>
        <w:t>地下水位季节性变化预警</w:t>
      </w:r>
      <w:bookmarkEnd w:id="62"/>
    </w:p>
    <w:p w14:paraId="6FD6C40C">
      <w:pPr>
        <w:spacing w:line="560" w:lineRule="exact"/>
        <w:ind w:right="-483" w:rightChars="-230" w:firstLine="707" w:firstLineChars="221"/>
        <w:rPr>
          <w:rFonts w:ascii="Times New Roman" w:hAnsi="Times New Roman" w:eastAsia="仿宋_GB2312"/>
          <w:sz w:val="32"/>
          <w:szCs w:val="32"/>
        </w:rPr>
      </w:pPr>
      <w:r>
        <w:rPr>
          <w:rFonts w:hint="eastAsia" w:ascii="Times New Roman" w:hAnsi="Times New Roman" w:eastAsia="仿宋_GB2312"/>
          <w:sz w:val="32"/>
          <w:szCs w:val="32"/>
        </w:rPr>
        <w:t>根据《岩土工程勘察规范》（GB 50021</w:t>
      </w:r>
      <w:r>
        <w:rPr>
          <w:rFonts w:ascii="Times New Roman" w:hAnsi="Times New Roman" w:eastAsia="仿宋_GB2312"/>
          <w:sz w:val="32"/>
          <w:szCs w:val="32"/>
        </w:rPr>
        <w:t>—</w:t>
      </w:r>
      <w:r>
        <w:rPr>
          <w:rFonts w:hint="eastAsia" w:ascii="Times New Roman" w:hAnsi="Times New Roman" w:eastAsia="仿宋_GB2312"/>
          <w:sz w:val="32"/>
          <w:szCs w:val="32"/>
        </w:rPr>
        <w:t>2001</w:t>
      </w:r>
      <w:r>
        <w:rPr>
          <w:rFonts w:hint="eastAsia" w:ascii="Times New Roman" w:hAnsi="Times New Roman" w:eastAsia="仿宋_GB2312"/>
          <w:kern w:val="44"/>
          <w:sz w:val="32"/>
          <w:szCs w:val="32"/>
        </w:rPr>
        <w:t>〔</w:t>
      </w:r>
      <w:r>
        <w:rPr>
          <w:rFonts w:hint="eastAsia" w:ascii="Times New Roman" w:hAnsi="Times New Roman" w:eastAsia="仿宋_GB2312"/>
          <w:bCs/>
          <w:sz w:val="32"/>
          <w:szCs w:val="32"/>
        </w:rPr>
        <w:t>2009年版〕</w:t>
      </w:r>
      <w:r>
        <w:rPr>
          <w:rFonts w:hint="eastAsia" w:ascii="Times New Roman" w:hAnsi="Times New Roman" w:eastAsia="仿宋_GB2312"/>
          <w:sz w:val="32"/>
          <w:szCs w:val="32"/>
        </w:rPr>
        <w:t>）第七章地下水要求，勘察单位在地下水位变化对建（构）筑物有影响的区域，应重点考虑抗浮设防水位的确定，须掌握区域的气象资料、工程地质和水文地质背景；了解地下水的补给与排泄关系、赋存状态与渗流规律；根据地下水位的长期观测资料等分析确定抗浮水位。</w:t>
      </w:r>
    </w:p>
    <w:p w14:paraId="489D6247">
      <w:pPr>
        <w:spacing w:line="560" w:lineRule="exact"/>
        <w:ind w:right="-483" w:rightChars="-230" w:firstLine="707" w:firstLineChars="221"/>
        <w:rPr>
          <w:rFonts w:ascii="Times New Roman" w:hAnsi="Times New Roman" w:eastAsia="仿宋"/>
          <w:bCs/>
          <w:sz w:val="32"/>
          <w:szCs w:val="32"/>
        </w:rPr>
      </w:pPr>
      <w:r>
        <w:rPr>
          <w:rFonts w:hint="eastAsia" w:ascii="Times New Roman" w:hAnsi="Times New Roman" w:eastAsia="仿宋_GB2312"/>
          <w:sz w:val="32"/>
          <w:szCs w:val="32"/>
        </w:rPr>
        <w:t>勘察单位在地下水位季节性变化情况不易掌控地区应设置观测孔，量测压力水头随深度的变化，依据统计资料完善地下水位季节性变化相关内容。</w:t>
      </w:r>
    </w:p>
    <w:p w14:paraId="7FEF4D6E">
      <w:pPr>
        <w:pStyle w:val="3"/>
        <w:numPr>
          <w:ilvl w:val="0"/>
          <w:numId w:val="4"/>
        </w:numPr>
        <w:spacing w:line="560" w:lineRule="exact"/>
        <w:jc w:val="center"/>
        <w:rPr>
          <w:rFonts w:ascii="Times New Roman" w:hAnsi="Times New Roman" w:eastAsia="黑体"/>
          <w:b w:val="0"/>
          <w:sz w:val="36"/>
          <w:szCs w:val="36"/>
        </w:rPr>
      </w:pPr>
      <w:r>
        <w:rPr>
          <w:rFonts w:ascii="Times New Roman" w:hAnsi="Times New Roman" w:eastAsia="黑体"/>
          <w:b w:val="0"/>
          <w:sz w:val="36"/>
          <w:szCs w:val="36"/>
        </w:rPr>
        <w:t xml:space="preserve"> </w:t>
      </w:r>
      <w:bookmarkStart w:id="63" w:name="_Toc233624874"/>
      <w:r>
        <w:rPr>
          <w:rFonts w:ascii="Times New Roman" w:hAnsi="Times New Roman" w:eastAsia="黑体"/>
          <w:b w:val="0"/>
          <w:sz w:val="36"/>
          <w:szCs w:val="36"/>
        </w:rPr>
        <w:t>建筑</w:t>
      </w:r>
      <w:r>
        <w:rPr>
          <w:rFonts w:hint="eastAsia" w:ascii="Times New Roman" w:hAnsi="Times New Roman" w:eastAsia="黑体"/>
          <w:b w:val="0"/>
          <w:sz w:val="36"/>
          <w:szCs w:val="36"/>
        </w:rPr>
        <w:t>工程</w:t>
      </w:r>
      <w:bookmarkEnd w:id="63"/>
    </w:p>
    <w:p w14:paraId="686F53D5">
      <w:pPr>
        <w:pStyle w:val="4"/>
      </w:pPr>
      <w:bookmarkStart w:id="64" w:name="_Toc233624875"/>
      <w:r>
        <w:rPr>
          <w:rFonts w:hint="eastAsia"/>
        </w:rPr>
        <w:t>建筑总平面布局</w:t>
      </w:r>
      <w:bookmarkEnd w:id="64"/>
    </w:p>
    <w:p w14:paraId="469CB56E">
      <w:pPr>
        <w:spacing w:line="560" w:lineRule="exact"/>
        <w:ind w:right="84" w:rightChars="40" w:firstLine="707" w:firstLineChars="221"/>
      </w:pPr>
      <w:r>
        <w:rPr>
          <w:rFonts w:hint="eastAsia" w:ascii="Times New Roman" w:hAnsi="Times New Roman" w:eastAsia="仿宋_GB2312"/>
          <w:sz w:val="32"/>
          <w:szCs w:val="32"/>
        </w:rPr>
        <w:t>建筑总平面布局应遵循节约土地及保护环境的原则，优先选择背风向阳、海拔相对较低、植被较好的地段；应考虑冬季利用日照并避开冬季主导风向，建筑物宜南北朝向或接近南北朝向，宜采用组团式或围合式；建筑平面宜规整，减少外表面凹凸及外表面积，降低体形系数及建筑能耗。</w:t>
      </w:r>
    </w:p>
    <w:p w14:paraId="3B5B080B">
      <w:pPr>
        <w:pStyle w:val="4"/>
      </w:pPr>
      <w:bookmarkStart w:id="65" w:name="_Toc233624876"/>
      <w:r>
        <w:rPr>
          <w:rFonts w:hint="eastAsia"/>
        </w:rPr>
        <w:t>建筑工程</w:t>
      </w:r>
      <w:r>
        <w:t>无障碍设施</w:t>
      </w:r>
      <w:bookmarkEnd w:id="65"/>
    </w:p>
    <w:p w14:paraId="3E783D64">
      <w:pPr>
        <w:spacing w:line="560" w:lineRule="exact"/>
        <w:ind w:right="84" w:rightChars="40" w:firstLine="707" w:firstLineChars="221"/>
        <w:rPr>
          <w:rFonts w:ascii="Times New Roman" w:hAnsi="Times New Roman" w:eastAsia="仿宋_GB2312"/>
          <w:sz w:val="32"/>
          <w:szCs w:val="32"/>
        </w:rPr>
      </w:pPr>
      <w:r>
        <w:rPr>
          <w:rFonts w:ascii="Times New Roman" w:hAnsi="Times New Roman" w:eastAsia="仿宋_GB2312"/>
          <w:sz w:val="32"/>
          <w:szCs w:val="32"/>
        </w:rPr>
        <w:t>房屋建筑工程无障碍设计应严格执行《建筑与市政工程无障碍通用规范》</w:t>
      </w:r>
      <w:r>
        <w:rPr>
          <w:rFonts w:hint="eastAsia" w:ascii="Times New Roman" w:hAnsi="Times New Roman" w:eastAsia="仿宋_GB2312"/>
          <w:sz w:val="32"/>
          <w:szCs w:val="32"/>
        </w:rPr>
        <w:t>（</w:t>
      </w:r>
      <w:r>
        <w:rPr>
          <w:rFonts w:ascii="Times New Roman" w:hAnsi="Times New Roman" w:eastAsia="仿宋_GB2312"/>
          <w:sz w:val="32"/>
          <w:szCs w:val="32"/>
        </w:rPr>
        <w:t>GB 55019—2021</w:t>
      </w:r>
      <w:r>
        <w:rPr>
          <w:rFonts w:hint="eastAsia" w:ascii="Times New Roman" w:hAnsi="Times New Roman" w:eastAsia="仿宋_GB2312"/>
          <w:sz w:val="32"/>
          <w:szCs w:val="32"/>
        </w:rPr>
        <w:t>）</w:t>
      </w:r>
      <w:r>
        <w:rPr>
          <w:rFonts w:ascii="Times New Roman" w:hAnsi="Times New Roman" w:eastAsia="仿宋_GB2312"/>
          <w:sz w:val="32"/>
          <w:szCs w:val="32"/>
        </w:rPr>
        <w:t>第1.0.2条，无障碍设施应严格执行《建筑与市政工程无障碍通用规范》</w:t>
      </w:r>
      <w:r>
        <w:rPr>
          <w:rFonts w:hint="eastAsia" w:ascii="Times New Roman" w:hAnsi="Times New Roman" w:eastAsia="仿宋_GB2312"/>
          <w:sz w:val="32"/>
          <w:szCs w:val="32"/>
        </w:rPr>
        <w:t>（</w:t>
      </w:r>
      <w:r>
        <w:rPr>
          <w:rFonts w:ascii="Times New Roman" w:hAnsi="Times New Roman" w:eastAsia="仿宋_GB2312"/>
          <w:sz w:val="32"/>
          <w:szCs w:val="32"/>
        </w:rPr>
        <w:t>GB 55019—2021</w:t>
      </w:r>
      <w:r>
        <w:rPr>
          <w:rFonts w:hint="eastAsia" w:ascii="Times New Roman" w:hAnsi="Times New Roman" w:eastAsia="仿宋_GB2312"/>
          <w:sz w:val="32"/>
          <w:szCs w:val="32"/>
        </w:rPr>
        <w:t>）和</w:t>
      </w:r>
      <w:r>
        <w:rPr>
          <w:rFonts w:ascii="Times New Roman" w:hAnsi="Times New Roman" w:eastAsia="仿宋_GB2312"/>
          <w:sz w:val="32"/>
          <w:szCs w:val="32"/>
        </w:rPr>
        <w:t>《无障碍设计规范》</w:t>
      </w:r>
      <w:r>
        <w:rPr>
          <w:rFonts w:hint="eastAsia" w:ascii="Times New Roman" w:hAnsi="Times New Roman" w:eastAsia="仿宋_GB2312"/>
          <w:sz w:val="32"/>
          <w:szCs w:val="32"/>
        </w:rPr>
        <w:t>（</w:t>
      </w:r>
      <w:r>
        <w:rPr>
          <w:rFonts w:ascii="Times New Roman" w:hAnsi="Times New Roman" w:eastAsia="仿宋_GB2312"/>
          <w:sz w:val="32"/>
          <w:szCs w:val="32"/>
        </w:rPr>
        <w:t>GB 50763—2012</w:t>
      </w:r>
      <w:r>
        <w:rPr>
          <w:rFonts w:hint="eastAsia" w:ascii="Times New Roman" w:hAnsi="Times New Roman" w:eastAsia="仿宋_GB2312"/>
          <w:sz w:val="32"/>
          <w:szCs w:val="32"/>
        </w:rPr>
        <w:t>）</w:t>
      </w:r>
      <w:r>
        <w:rPr>
          <w:rFonts w:ascii="Times New Roman" w:hAnsi="Times New Roman" w:eastAsia="仿宋_GB2312"/>
          <w:sz w:val="32"/>
          <w:szCs w:val="32"/>
        </w:rPr>
        <w:t>。</w:t>
      </w:r>
    </w:p>
    <w:p w14:paraId="634E5923">
      <w:pPr>
        <w:pStyle w:val="4"/>
      </w:pPr>
      <w:bookmarkStart w:id="66" w:name="_Toc233624877"/>
      <w:r>
        <w:t>散水及散水沟</w:t>
      </w:r>
      <w:bookmarkEnd w:id="66"/>
    </w:p>
    <w:p w14:paraId="04E7D638">
      <w:pPr>
        <w:spacing w:line="560" w:lineRule="exact"/>
        <w:ind w:right="84" w:rightChars="40" w:firstLine="707" w:firstLineChars="221"/>
        <w:rPr>
          <w:rFonts w:ascii="Times New Roman" w:hAnsi="Times New Roman" w:eastAsia="仿宋_GB2312"/>
          <w:sz w:val="32"/>
          <w:szCs w:val="32"/>
        </w:rPr>
      </w:pPr>
      <w:r>
        <w:rPr>
          <w:rFonts w:ascii="Times New Roman" w:hAnsi="Times New Roman" w:eastAsia="仿宋_GB2312"/>
          <w:sz w:val="32"/>
          <w:szCs w:val="32"/>
        </w:rPr>
        <w:t>材料要求：散水及散水沟应考虑防冻胀措施，材料</w:t>
      </w:r>
      <w:r>
        <w:rPr>
          <w:rFonts w:hint="eastAsia" w:ascii="Times New Roman" w:hAnsi="Times New Roman" w:eastAsia="仿宋_GB2312"/>
          <w:sz w:val="32"/>
          <w:szCs w:val="32"/>
        </w:rPr>
        <w:t>宜</w:t>
      </w:r>
      <w:r>
        <w:rPr>
          <w:rFonts w:ascii="Times New Roman" w:hAnsi="Times New Roman" w:eastAsia="仿宋_GB2312"/>
          <w:sz w:val="32"/>
          <w:szCs w:val="32"/>
        </w:rPr>
        <w:t>选用抗冻性强的材料（如C</w:t>
      </w:r>
      <w:r>
        <w:rPr>
          <w:rFonts w:hint="eastAsia" w:ascii="Times New Roman" w:hAnsi="Times New Roman" w:eastAsia="仿宋_GB2312"/>
          <w:sz w:val="32"/>
          <w:szCs w:val="32"/>
        </w:rPr>
        <w:t>30</w:t>
      </w:r>
      <w:r>
        <w:rPr>
          <w:rFonts w:ascii="Times New Roman" w:hAnsi="Times New Roman" w:eastAsia="仿宋_GB2312"/>
          <w:sz w:val="32"/>
          <w:szCs w:val="32"/>
        </w:rPr>
        <w:t>以上混凝土、聚丙烯纤维混凝土）。</w:t>
      </w:r>
    </w:p>
    <w:p w14:paraId="01EB499D">
      <w:pPr>
        <w:spacing w:line="560" w:lineRule="exact"/>
        <w:ind w:right="84" w:rightChars="40" w:firstLine="707" w:firstLineChars="221"/>
        <w:rPr>
          <w:rFonts w:ascii="Times New Roman" w:hAnsi="Times New Roman" w:eastAsia="仿宋_GB2312"/>
          <w:sz w:val="32"/>
          <w:szCs w:val="32"/>
        </w:rPr>
      </w:pPr>
      <w:r>
        <w:rPr>
          <w:rFonts w:ascii="Times New Roman" w:hAnsi="Times New Roman" w:eastAsia="仿宋_GB2312"/>
          <w:sz w:val="32"/>
          <w:szCs w:val="32"/>
        </w:rPr>
        <w:t>构造要求：散水基层宜设置300mm以上砂砾石垫层（粒径5</w:t>
      </w:r>
      <w:r>
        <w:rPr>
          <w:rFonts w:hint="eastAsia" w:ascii="Times New Roman" w:hAnsi="Times New Roman" w:eastAsia="仿宋_GB2312"/>
          <w:sz w:val="32"/>
          <w:szCs w:val="32"/>
        </w:rPr>
        <w:t>~</w:t>
      </w:r>
      <w:r>
        <w:rPr>
          <w:rFonts w:ascii="Times New Roman" w:hAnsi="Times New Roman" w:eastAsia="仿宋_GB2312"/>
          <w:sz w:val="32"/>
          <w:szCs w:val="32"/>
        </w:rPr>
        <w:t>40mm），散水周边不宜采用透水铺装材料；散水沟底部宜铺设土工布防渗，散水沟可采用现浇或预制。散水及散水沟应设置伸缩缝，每2</w:t>
      </w:r>
      <w:r>
        <w:rPr>
          <w:rFonts w:hint="eastAsia" w:ascii="Times New Roman" w:hAnsi="Times New Roman" w:eastAsia="仿宋_GB2312"/>
          <w:sz w:val="32"/>
          <w:szCs w:val="32"/>
        </w:rPr>
        <w:t>~</w:t>
      </w:r>
      <w:r>
        <w:rPr>
          <w:rFonts w:ascii="Times New Roman" w:hAnsi="Times New Roman" w:eastAsia="仿宋_GB2312"/>
          <w:sz w:val="32"/>
          <w:szCs w:val="32"/>
        </w:rPr>
        <w:t>3m设10</w:t>
      </w:r>
      <w:r>
        <w:rPr>
          <w:rFonts w:hint="eastAsia" w:ascii="Times New Roman" w:hAnsi="Times New Roman" w:eastAsia="仿宋_GB2312"/>
          <w:sz w:val="32"/>
          <w:szCs w:val="32"/>
        </w:rPr>
        <w:t>~</w:t>
      </w:r>
      <w:r>
        <w:rPr>
          <w:rFonts w:ascii="Times New Roman" w:hAnsi="Times New Roman" w:eastAsia="仿宋_GB2312"/>
          <w:sz w:val="32"/>
          <w:szCs w:val="32"/>
        </w:rPr>
        <w:t>15mm宽伸缩缝，填塞聚乙烯泡沫棒+聚氨酯密封胶。散水坡度应≥5%，高寒地区建议6%~8%；散水沟纵坡宜≥1.0%。散水沟断面尺寸：宽度宜≥300mm，深度宜≥400mm，沟内水流速控制在0.6~1.2m/s。散水沟出口处设跌水井或消能坎，防止冰凌堵塞。</w:t>
      </w:r>
    </w:p>
    <w:p w14:paraId="304ADD89">
      <w:pPr>
        <w:spacing w:line="560" w:lineRule="exact"/>
        <w:ind w:right="84" w:rightChars="40" w:firstLine="707" w:firstLineChars="221"/>
        <w:rPr>
          <w:rFonts w:ascii="Times New Roman" w:hAnsi="Times New Roman" w:eastAsia="仿宋_GB2312"/>
          <w:sz w:val="32"/>
          <w:szCs w:val="32"/>
        </w:rPr>
      </w:pPr>
      <w:r>
        <w:rPr>
          <w:rFonts w:ascii="Times New Roman" w:hAnsi="Times New Roman" w:eastAsia="仿宋_GB2312"/>
          <w:sz w:val="32"/>
          <w:szCs w:val="32"/>
        </w:rPr>
        <w:t>管理措施：每年融雪后应进行检查、维护，清理沟内淤积物，检查伸缩缝密封性等。</w:t>
      </w:r>
    </w:p>
    <w:p w14:paraId="2A62FAB7">
      <w:pPr>
        <w:pStyle w:val="4"/>
      </w:pPr>
      <w:bookmarkStart w:id="67" w:name="_Toc207091311"/>
      <w:bookmarkStart w:id="68" w:name="_Toc233624878"/>
      <w:r>
        <w:t>外墙装饰</w:t>
      </w:r>
      <w:bookmarkEnd w:id="67"/>
      <w:r>
        <w:t>装修</w:t>
      </w:r>
      <w:bookmarkEnd w:id="68"/>
    </w:p>
    <w:p w14:paraId="0B9447DE">
      <w:pPr>
        <w:spacing w:line="560" w:lineRule="exact"/>
        <w:ind w:right="84" w:rightChars="40" w:firstLine="707" w:firstLineChars="221"/>
        <w:rPr>
          <w:rFonts w:ascii="Times New Roman" w:hAnsi="Times New Roman" w:eastAsia="仿宋_GB2312"/>
          <w:sz w:val="32"/>
          <w:szCs w:val="32"/>
        </w:rPr>
      </w:pPr>
      <w:r>
        <w:rPr>
          <w:rFonts w:ascii="Times New Roman" w:hAnsi="Times New Roman" w:eastAsia="仿宋_GB2312"/>
          <w:sz w:val="32"/>
          <w:szCs w:val="32"/>
        </w:rPr>
        <w:t>外墙装饰装修需综合考虑极端气候条件（低温、强紫外线、冻融循环等）、施工便利性和耐久性。外墙装饰</w:t>
      </w:r>
      <w:r>
        <w:rPr>
          <w:rFonts w:hint="eastAsia" w:ascii="Times New Roman" w:hAnsi="Times New Roman" w:eastAsia="仿宋_GB2312"/>
          <w:sz w:val="32"/>
          <w:szCs w:val="32"/>
        </w:rPr>
        <w:t>材料</w:t>
      </w:r>
      <w:r>
        <w:rPr>
          <w:rFonts w:ascii="Times New Roman" w:hAnsi="Times New Roman" w:eastAsia="仿宋_GB2312"/>
          <w:sz w:val="32"/>
          <w:szCs w:val="32"/>
        </w:rPr>
        <w:t>色彩</w:t>
      </w:r>
      <w:r>
        <w:rPr>
          <w:rFonts w:hint="eastAsia" w:ascii="Times New Roman" w:hAnsi="Times New Roman" w:eastAsia="仿宋_GB2312"/>
          <w:sz w:val="32"/>
          <w:szCs w:val="32"/>
        </w:rPr>
        <w:t>宜</w:t>
      </w:r>
      <w:r>
        <w:rPr>
          <w:rFonts w:ascii="Times New Roman" w:hAnsi="Times New Roman" w:eastAsia="仿宋_GB2312"/>
          <w:sz w:val="32"/>
          <w:szCs w:val="32"/>
        </w:rPr>
        <w:t>选择反射紫外线</w:t>
      </w:r>
      <w:r>
        <w:rPr>
          <w:rFonts w:hint="eastAsia" w:ascii="Times New Roman" w:hAnsi="Times New Roman" w:eastAsia="仿宋_GB2312"/>
          <w:sz w:val="32"/>
          <w:szCs w:val="32"/>
        </w:rPr>
        <w:t>、</w:t>
      </w:r>
      <w:r>
        <w:rPr>
          <w:rFonts w:ascii="Times New Roman" w:hAnsi="Times New Roman" w:eastAsia="仿宋_GB2312"/>
          <w:sz w:val="32"/>
          <w:szCs w:val="32"/>
        </w:rPr>
        <w:t>热吸收</w:t>
      </w:r>
      <w:r>
        <w:rPr>
          <w:rFonts w:hint="eastAsia" w:ascii="Times New Roman" w:hAnsi="Times New Roman" w:eastAsia="仿宋_GB2312"/>
          <w:sz w:val="32"/>
          <w:szCs w:val="32"/>
        </w:rPr>
        <w:t>少的</w:t>
      </w:r>
      <w:r>
        <w:rPr>
          <w:rFonts w:ascii="Times New Roman" w:hAnsi="Times New Roman" w:eastAsia="仿宋_GB2312"/>
          <w:sz w:val="32"/>
          <w:szCs w:val="32"/>
        </w:rPr>
        <w:t>浅色表面。</w:t>
      </w:r>
    </w:p>
    <w:p w14:paraId="0F1C09EA">
      <w:pPr>
        <w:spacing w:line="560" w:lineRule="exact"/>
        <w:ind w:right="84" w:rightChars="40" w:firstLine="707" w:firstLineChars="221"/>
        <w:rPr>
          <w:rFonts w:ascii="Times New Roman" w:hAnsi="Times New Roman" w:eastAsia="仿宋_GB2312"/>
          <w:sz w:val="32"/>
          <w:szCs w:val="32"/>
        </w:rPr>
      </w:pPr>
      <w:r>
        <w:rPr>
          <w:rFonts w:ascii="Times New Roman" w:hAnsi="Times New Roman" w:eastAsia="仿宋_GB2312"/>
          <w:sz w:val="32"/>
          <w:szCs w:val="32"/>
        </w:rPr>
        <w:t>外墙装饰装修材料</w:t>
      </w:r>
      <w:r>
        <w:rPr>
          <w:rFonts w:hint="eastAsia" w:ascii="Times New Roman" w:hAnsi="Times New Roman" w:eastAsia="仿宋_GB2312"/>
          <w:sz w:val="32"/>
          <w:szCs w:val="32"/>
        </w:rPr>
        <w:t>不宜</w:t>
      </w:r>
      <w:r>
        <w:rPr>
          <w:rFonts w:ascii="Times New Roman" w:hAnsi="Times New Roman" w:eastAsia="仿宋_GB2312"/>
          <w:sz w:val="32"/>
          <w:szCs w:val="32"/>
        </w:rPr>
        <w:t>使用粘贴类外墙面砖、乳胶漆、质感漆、多彩漆、涂料及未经处理的木材等。</w:t>
      </w:r>
    </w:p>
    <w:p w14:paraId="2F7134E8">
      <w:pPr>
        <w:spacing w:line="560" w:lineRule="exact"/>
        <w:ind w:right="84" w:rightChars="40" w:firstLine="707" w:firstLineChars="221"/>
        <w:rPr>
          <w:rFonts w:ascii="Times New Roman" w:hAnsi="Times New Roman" w:eastAsia="仿宋_GB2312"/>
          <w:sz w:val="32"/>
          <w:szCs w:val="32"/>
        </w:rPr>
      </w:pPr>
      <w:r>
        <w:rPr>
          <w:rFonts w:ascii="Times New Roman" w:hAnsi="Times New Roman" w:eastAsia="仿宋_GB2312"/>
          <w:sz w:val="32"/>
          <w:szCs w:val="32"/>
        </w:rPr>
        <w:t>外墙装饰装修</w:t>
      </w:r>
      <w:r>
        <w:rPr>
          <w:rFonts w:hint="eastAsia" w:ascii="Times New Roman" w:hAnsi="Times New Roman" w:eastAsia="仿宋_GB2312"/>
          <w:sz w:val="32"/>
          <w:szCs w:val="32"/>
        </w:rPr>
        <w:t>宜</w:t>
      </w:r>
      <w:r>
        <w:rPr>
          <w:rFonts w:ascii="Times New Roman" w:hAnsi="Times New Roman" w:eastAsia="仿宋_GB2312"/>
          <w:sz w:val="32"/>
          <w:szCs w:val="32"/>
        </w:rPr>
        <w:t>使用改性真石漆（弹性涂料）、氟碳漆、纤维水泥板（高压蒸养型）、金属板材（铝板、镀锌钢板）、复合保温装饰一体板、天然石材等耐低温、耐紫外线、抗冻融材料。</w:t>
      </w:r>
    </w:p>
    <w:p w14:paraId="53510AE8">
      <w:pPr>
        <w:spacing w:line="560" w:lineRule="exact"/>
        <w:ind w:right="84" w:rightChars="40" w:firstLine="707" w:firstLineChars="221"/>
        <w:rPr>
          <w:rFonts w:ascii="Times New Roman" w:hAnsi="Times New Roman" w:eastAsia="仿宋_GB2312"/>
          <w:sz w:val="32"/>
          <w:szCs w:val="32"/>
        </w:rPr>
      </w:pPr>
      <w:r>
        <w:rPr>
          <w:rFonts w:ascii="Times New Roman" w:hAnsi="Times New Roman" w:eastAsia="仿宋_GB2312"/>
          <w:sz w:val="32"/>
          <w:szCs w:val="32"/>
        </w:rPr>
        <w:t>外墙装饰线脚、雨</w:t>
      </w:r>
      <w:r>
        <w:rPr>
          <w:rFonts w:hint="eastAsia" w:ascii="Times New Roman" w:hAnsi="Times New Roman" w:eastAsia="仿宋_GB2312"/>
          <w:sz w:val="32"/>
          <w:szCs w:val="32"/>
        </w:rPr>
        <w:t>篷</w:t>
      </w:r>
      <w:r>
        <w:rPr>
          <w:rFonts w:ascii="Times New Roman" w:hAnsi="Times New Roman" w:eastAsia="仿宋_GB2312"/>
          <w:sz w:val="32"/>
          <w:szCs w:val="32"/>
        </w:rPr>
        <w:t>翻边、女儿墙等装饰</w:t>
      </w:r>
      <w:r>
        <w:rPr>
          <w:rFonts w:hint="eastAsia" w:ascii="Times New Roman" w:hAnsi="Times New Roman" w:eastAsia="仿宋_GB2312"/>
          <w:sz w:val="32"/>
          <w:szCs w:val="32"/>
        </w:rPr>
        <w:t>构件宜</w:t>
      </w:r>
      <w:r>
        <w:rPr>
          <w:rFonts w:ascii="Times New Roman" w:hAnsi="Times New Roman" w:eastAsia="仿宋_GB2312"/>
          <w:sz w:val="32"/>
          <w:szCs w:val="32"/>
        </w:rPr>
        <w:t>采用</w:t>
      </w:r>
      <w:r>
        <w:rPr>
          <w:rFonts w:hint="eastAsia" w:ascii="Times New Roman" w:hAnsi="Times New Roman" w:eastAsia="仿宋_GB2312"/>
          <w:sz w:val="32"/>
          <w:szCs w:val="32"/>
        </w:rPr>
        <w:t>混凝土或抗冻</w:t>
      </w:r>
      <w:r>
        <w:rPr>
          <w:rFonts w:ascii="Times New Roman" w:hAnsi="Times New Roman" w:eastAsia="仿宋_GB2312"/>
          <w:sz w:val="32"/>
          <w:szCs w:val="32"/>
        </w:rPr>
        <w:t>混凝土</w:t>
      </w:r>
      <w:r>
        <w:rPr>
          <w:rFonts w:hint="eastAsia" w:ascii="Times New Roman" w:hAnsi="Times New Roman" w:eastAsia="仿宋_GB2312"/>
          <w:sz w:val="32"/>
          <w:szCs w:val="32"/>
        </w:rPr>
        <w:t>，宜采用预制构件</w:t>
      </w:r>
      <w:r>
        <w:rPr>
          <w:rFonts w:ascii="Times New Roman" w:hAnsi="Times New Roman" w:eastAsia="仿宋_GB2312"/>
          <w:sz w:val="32"/>
          <w:szCs w:val="32"/>
        </w:rPr>
        <w:t>。</w:t>
      </w:r>
    </w:p>
    <w:p w14:paraId="5F0D2C7C">
      <w:pPr>
        <w:spacing w:line="560" w:lineRule="exact"/>
        <w:ind w:right="84" w:rightChars="40" w:firstLine="707" w:firstLineChars="221"/>
        <w:rPr>
          <w:rFonts w:ascii="Times New Roman" w:hAnsi="Times New Roman" w:eastAsia="仿宋_GB2312"/>
          <w:sz w:val="32"/>
          <w:szCs w:val="32"/>
        </w:rPr>
      </w:pPr>
      <w:r>
        <w:rPr>
          <w:rFonts w:ascii="Times New Roman" w:hAnsi="Times New Roman" w:eastAsia="仿宋_GB2312"/>
          <w:sz w:val="32"/>
          <w:szCs w:val="32"/>
        </w:rPr>
        <w:t>外墙装饰装修构造应满足《民用建筑通用规范》</w:t>
      </w:r>
      <w:r>
        <w:rPr>
          <w:rFonts w:hint="eastAsia" w:ascii="Times New Roman" w:hAnsi="Times New Roman" w:eastAsia="仿宋_GB2312"/>
          <w:sz w:val="32"/>
          <w:szCs w:val="32"/>
        </w:rPr>
        <w:t>（</w:t>
      </w:r>
      <w:r>
        <w:rPr>
          <w:rFonts w:ascii="Times New Roman" w:hAnsi="Times New Roman" w:eastAsia="仿宋_GB2312"/>
          <w:sz w:val="32"/>
          <w:szCs w:val="32"/>
        </w:rPr>
        <w:t>GB 55031—2022</w:t>
      </w:r>
      <w:r>
        <w:rPr>
          <w:rFonts w:hint="eastAsia" w:ascii="Times New Roman" w:hAnsi="Times New Roman" w:eastAsia="仿宋_GB2312"/>
          <w:sz w:val="32"/>
          <w:szCs w:val="32"/>
        </w:rPr>
        <w:t>）</w:t>
      </w:r>
      <w:r>
        <w:rPr>
          <w:rFonts w:ascii="Times New Roman" w:hAnsi="Times New Roman" w:eastAsia="仿宋_GB2312"/>
          <w:sz w:val="32"/>
          <w:szCs w:val="32"/>
        </w:rPr>
        <w:t>第6.2节、《民用建筑设计统一标准》</w:t>
      </w:r>
      <w:r>
        <w:rPr>
          <w:rFonts w:hint="eastAsia" w:ascii="Times New Roman" w:hAnsi="Times New Roman" w:eastAsia="仿宋_GB2312"/>
          <w:sz w:val="32"/>
          <w:szCs w:val="32"/>
        </w:rPr>
        <w:t>（</w:t>
      </w:r>
      <w:r>
        <w:rPr>
          <w:rFonts w:ascii="Times New Roman" w:hAnsi="Times New Roman" w:eastAsia="仿宋_GB2312"/>
          <w:sz w:val="32"/>
          <w:szCs w:val="32"/>
        </w:rPr>
        <w:t>GB 50352—2019</w:t>
      </w:r>
      <w:r>
        <w:rPr>
          <w:rFonts w:hint="eastAsia" w:ascii="Times New Roman" w:hAnsi="Times New Roman" w:eastAsia="仿宋_GB2312"/>
          <w:sz w:val="32"/>
          <w:szCs w:val="32"/>
        </w:rPr>
        <w:t>）</w:t>
      </w:r>
      <w:r>
        <w:rPr>
          <w:rFonts w:ascii="Times New Roman" w:hAnsi="Times New Roman" w:eastAsia="仿宋_GB2312"/>
          <w:sz w:val="32"/>
          <w:szCs w:val="32"/>
        </w:rPr>
        <w:t>第6.10、6.12及6.17.3条、《金属与石材幕墙工程技术规范》</w:t>
      </w:r>
      <w:r>
        <w:rPr>
          <w:rFonts w:hint="eastAsia" w:ascii="Times New Roman" w:hAnsi="Times New Roman" w:eastAsia="仿宋_GB2312"/>
          <w:sz w:val="32"/>
          <w:szCs w:val="32"/>
        </w:rPr>
        <w:t>（</w:t>
      </w:r>
      <w:r>
        <w:rPr>
          <w:rFonts w:ascii="Times New Roman" w:hAnsi="Times New Roman" w:eastAsia="仿宋_GB2312"/>
          <w:sz w:val="32"/>
          <w:szCs w:val="32"/>
        </w:rPr>
        <w:t>JGJ 133—2001</w:t>
      </w:r>
      <w:r>
        <w:rPr>
          <w:rFonts w:hint="eastAsia" w:ascii="Times New Roman" w:hAnsi="Times New Roman" w:eastAsia="仿宋_GB2312"/>
          <w:sz w:val="32"/>
          <w:szCs w:val="32"/>
        </w:rPr>
        <w:t>）</w:t>
      </w:r>
      <w:r>
        <w:rPr>
          <w:rFonts w:ascii="Times New Roman" w:hAnsi="Times New Roman" w:eastAsia="仿宋_GB2312"/>
          <w:sz w:val="32"/>
          <w:szCs w:val="32"/>
        </w:rPr>
        <w:t>、《建筑玻璃应用技术规程》</w:t>
      </w:r>
      <w:r>
        <w:rPr>
          <w:rFonts w:hint="eastAsia" w:ascii="Times New Roman" w:hAnsi="Times New Roman" w:eastAsia="仿宋_GB2312"/>
          <w:sz w:val="32"/>
          <w:szCs w:val="32"/>
        </w:rPr>
        <w:t>（</w:t>
      </w:r>
      <w:r>
        <w:rPr>
          <w:rFonts w:ascii="Times New Roman" w:hAnsi="Times New Roman" w:eastAsia="仿宋_GB2312"/>
          <w:sz w:val="32"/>
          <w:szCs w:val="32"/>
        </w:rPr>
        <w:t>JGJ 113—2015</w:t>
      </w:r>
      <w:r>
        <w:rPr>
          <w:rFonts w:hint="eastAsia" w:ascii="Times New Roman" w:hAnsi="Times New Roman" w:eastAsia="仿宋_GB2312"/>
          <w:sz w:val="32"/>
          <w:szCs w:val="32"/>
        </w:rPr>
        <w:t>）</w:t>
      </w:r>
      <w:r>
        <w:rPr>
          <w:rFonts w:ascii="Times New Roman" w:hAnsi="Times New Roman" w:eastAsia="仿宋_GB2312"/>
          <w:sz w:val="32"/>
          <w:szCs w:val="32"/>
        </w:rPr>
        <w:t>、《玻璃幕墙工程技术规范》</w:t>
      </w:r>
      <w:r>
        <w:rPr>
          <w:rFonts w:hint="eastAsia" w:ascii="Times New Roman" w:hAnsi="Times New Roman" w:eastAsia="仿宋_GB2312"/>
          <w:sz w:val="32"/>
          <w:szCs w:val="32"/>
        </w:rPr>
        <w:t>（</w:t>
      </w:r>
      <w:r>
        <w:rPr>
          <w:rFonts w:ascii="Times New Roman" w:hAnsi="Times New Roman" w:eastAsia="仿宋_GB2312"/>
          <w:sz w:val="32"/>
          <w:szCs w:val="32"/>
        </w:rPr>
        <w:t>JGJ 102—2003</w:t>
      </w:r>
      <w:r>
        <w:rPr>
          <w:rFonts w:hint="eastAsia" w:ascii="Times New Roman" w:hAnsi="Times New Roman" w:eastAsia="仿宋_GB2312"/>
          <w:sz w:val="32"/>
          <w:szCs w:val="32"/>
        </w:rPr>
        <w:t>）</w:t>
      </w:r>
      <w:r>
        <w:rPr>
          <w:rFonts w:ascii="Times New Roman" w:hAnsi="Times New Roman" w:eastAsia="仿宋_GB2312"/>
          <w:sz w:val="32"/>
          <w:szCs w:val="32"/>
        </w:rPr>
        <w:t>、《建筑幕墙》</w:t>
      </w:r>
      <w:r>
        <w:rPr>
          <w:rFonts w:hint="eastAsia" w:ascii="Times New Roman" w:hAnsi="Times New Roman" w:eastAsia="仿宋_GB2312"/>
          <w:sz w:val="32"/>
          <w:szCs w:val="32"/>
        </w:rPr>
        <w:t>（</w:t>
      </w:r>
      <w:r>
        <w:rPr>
          <w:rFonts w:ascii="Times New Roman" w:hAnsi="Times New Roman" w:eastAsia="仿宋_GB2312"/>
          <w:sz w:val="32"/>
          <w:szCs w:val="32"/>
        </w:rPr>
        <w:t>GB/T 21086—2007</w:t>
      </w:r>
      <w:r>
        <w:rPr>
          <w:rFonts w:hint="eastAsia" w:ascii="Times New Roman" w:hAnsi="Times New Roman" w:eastAsia="仿宋_GB2312"/>
          <w:sz w:val="32"/>
          <w:szCs w:val="32"/>
        </w:rPr>
        <w:t>）</w:t>
      </w:r>
      <w:r>
        <w:rPr>
          <w:rFonts w:ascii="Times New Roman" w:hAnsi="Times New Roman" w:eastAsia="仿宋_GB2312"/>
          <w:sz w:val="32"/>
          <w:szCs w:val="32"/>
        </w:rPr>
        <w:t>、《人造板材幕墙工程技术规范》</w:t>
      </w:r>
      <w:r>
        <w:rPr>
          <w:rFonts w:hint="eastAsia" w:ascii="Times New Roman" w:hAnsi="Times New Roman" w:eastAsia="仿宋_GB2312"/>
          <w:sz w:val="32"/>
          <w:szCs w:val="32"/>
        </w:rPr>
        <w:t>（</w:t>
      </w:r>
      <w:r>
        <w:rPr>
          <w:rFonts w:ascii="Times New Roman" w:hAnsi="Times New Roman" w:eastAsia="仿宋_GB2312"/>
          <w:sz w:val="32"/>
          <w:szCs w:val="32"/>
        </w:rPr>
        <w:t>JGJ 336—2016</w:t>
      </w:r>
      <w:r>
        <w:rPr>
          <w:rFonts w:hint="eastAsia" w:ascii="Times New Roman" w:hAnsi="Times New Roman" w:eastAsia="仿宋_GB2312"/>
          <w:sz w:val="32"/>
          <w:szCs w:val="32"/>
        </w:rPr>
        <w:t>）</w:t>
      </w:r>
      <w:r>
        <w:rPr>
          <w:rFonts w:ascii="Times New Roman" w:hAnsi="Times New Roman" w:eastAsia="仿宋_GB2312"/>
          <w:sz w:val="32"/>
          <w:szCs w:val="32"/>
        </w:rPr>
        <w:t>、《建筑陶瓷薄板应用技术规程》</w:t>
      </w:r>
      <w:r>
        <w:rPr>
          <w:rFonts w:hint="eastAsia" w:ascii="Times New Roman" w:hAnsi="Times New Roman" w:eastAsia="仿宋_GB2312"/>
          <w:sz w:val="32"/>
          <w:szCs w:val="32"/>
        </w:rPr>
        <w:t>（</w:t>
      </w:r>
      <w:r>
        <w:rPr>
          <w:rFonts w:ascii="Times New Roman" w:hAnsi="Times New Roman" w:eastAsia="仿宋_GB2312"/>
          <w:sz w:val="32"/>
          <w:szCs w:val="32"/>
        </w:rPr>
        <w:t>JGJ/T 172—2012</w:t>
      </w:r>
      <w:r>
        <w:rPr>
          <w:rFonts w:hint="eastAsia" w:ascii="Times New Roman" w:hAnsi="Times New Roman" w:eastAsia="仿宋_GB2312"/>
          <w:sz w:val="32"/>
          <w:szCs w:val="32"/>
        </w:rPr>
        <w:t>）</w:t>
      </w:r>
      <w:r>
        <w:rPr>
          <w:rFonts w:ascii="Times New Roman" w:hAnsi="Times New Roman" w:eastAsia="仿宋_GB2312"/>
          <w:sz w:val="32"/>
          <w:szCs w:val="32"/>
        </w:rPr>
        <w:t>、《建筑外墙防水工程技术规程》</w:t>
      </w:r>
      <w:r>
        <w:rPr>
          <w:rFonts w:hint="eastAsia" w:ascii="Times New Roman" w:hAnsi="Times New Roman" w:eastAsia="仿宋_GB2312"/>
          <w:sz w:val="32"/>
          <w:szCs w:val="32"/>
        </w:rPr>
        <w:t>（</w:t>
      </w:r>
      <w:r>
        <w:rPr>
          <w:rFonts w:ascii="Times New Roman" w:hAnsi="Times New Roman" w:eastAsia="仿宋_GB2312"/>
          <w:sz w:val="32"/>
          <w:szCs w:val="32"/>
        </w:rPr>
        <w:t>JGJ/T 235—2011</w:t>
      </w:r>
      <w:r>
        <w:rPr>
          <w:rFonts w:hint="eastAsia" w:ascii="Times New Roman" w:hAnsi="Times New Roman" w:eastAsia="仿宋_GB2312"/>
          <w:sz w:val="32"/>
          <w:szCs w:val="32"/>
        </w:rPr>
        <w:t>）</w:t>
      </w:r>
      <w:r>
        <w:rPr>
          <w:rFonts w:ascii="Times New Roman" w:hAnsi="Times New Roman" w:eastAsia="仿宋_GB2312"/>
          <w:sz w:val="32"/>
          <w:szCs w:val="32"/>
        </w:rPr>
        <w:t>、《建筑装饰装修工程质量验收标准》</w:t>
      </w:r>
      <w:r>
        <w:rPr>
          <w:rFonts w:hint="eastAsia" w:ascii="Times New Roman" w:hAnsi="Times New Roman" w:eastAsia="仿宋_GB2312"/>
          <w:sz w:val="32"/>
          <w:szCs w:val="32"/>
        </w:rPr>
        <w:t>（</w:t>
      </w:r>
      <w:r>
        <w:rPr>
          <w:rFonts w:ascii="Times New Roman" w:hAnsi="Times New Roman" w:eastAsia="仿宋_GB2312"/>
          <w:sz w:val="32"/>
          <w:szCs w:val="32"/>
        </w:rPr>
        <w:t>GB</w:t>
      </w:r>
      <w:r>
        <w:rPr>
          <w:rFonts w:hint="eastAsia" w:ascii="Times New Roman" w:hAnsi="Times New Roman" w:eastAsia="仿宋_GB2312"/>
          <w:sz w:val="32"/>
          <w:szCs w:val="32"/>
        </w:rPr>
        <w:t xml:space="preserve"> </w:t>
      </w:r>
      <w:r>
        <w:rPr>
          <w:rFonts w:ascii="Times New Roman" w:hAnsi="Times New Roman" w:eastAsia="仿宋_GB2312"/>
          <w:sz w:val="32"/>
          <w:szCs w:val="32"/>
        </w:rPr>
        <w:t>50210—2018</w:t>
      </w:r>
      <w:r>
        <w:rPr>
          <w:rFonts w:hint="eastAsia" w:ascii="Times New Roman" w:hAnsi="Times New Roman" w:eastAsia="仿宋_GB2312"/>
          <w:sz w:val="32"/>
          <w:szCs w:val="32"/>
        </w:rPr>
        <w:t>）</w:t>
      </w:r>
      <w:r>
        <w:rPr>
          <w:rFonts w:ascii="Times New Roman" w:hAnsi="Times New Roman" w:eastAsia="仿宋_GB2312"/>
          <w:sz w:val="32"/>
          <w:szCs w:val="32"/>
        </w:rPr>
        <w:t>、《建筑工程施工质量验收统一标准》</w:t>
      </w:r>
      <w:r>
        <w:rPr>
          <w:rFonts w:hint="eastAsia" w:ascii="Times New Roman" w:hAnsi="Times New Roman" w:eastAsia="仿宋_GB2312"/>
          <w:sz w:val="32"/>
          <w:szCs w:val="32"/>
        </w:rPr>
        <w:t>（</w:t>
      </w:r>
      <w:r>
        <w:rPr>
          <w:rFonts w:ascii="Times New Roman" w:hAnsi="Times New Roman" w:eastAsia="仿宋_GB2312"/>
          <w:sz w:val="32"/>
          <w:szCs w:val="32"/>
        </w:rPr>
        <w:t>GB 50300—2013</w:t>
      </w:r>
      <w:r>
        <w:rPr>
          <w:rFonts w:hint="eastAsia" w:ascii="Times New Roman" w:hAnsi="Times New Roman" w:eastAsia="仿宋_GB2312"/>
          <w:sz w:val="32"/>
          <w:szCs w:val="32"/>
        </w:rPr>
        <w:t>）</w:t>
      </w:r>
      <w:r>
        <w:rPr>
          <w:rFonts w:ascii="Times New Roman" w:hAnsi="Times New Roman" w:eastAsia="仿宋_GB2312"/>
          <w:sz w:val="32"/>
          <w:szCs w:val="32"/>
        </w:rPr>
        <w:t>、《四川省金属与石材幕墙工程技术标准》</w:t>
      </w:r>
      <w:r>
        <w:rPr>
          <w:rFonts w:hint="eastAsia" w:ascii="Times New Roman" w:hAnsi="Times New Roman" w:eastAsia="仿宋_GB2312"/>
          <w:sz w:val="32"/>
          <w:szCs w:val="32"/>
        </w:rPr>
        <w:t>（</w:t>
      </w:r>
      <w:r>
        <w:rPr>
          <w:rFonts w:ascii="Times New Roman" w:hAnsi="Times New Roman" w:eastAsia="仿宋_GB2312"/>
          <w:sz w:val="32"/>
          <w:szCs w:val="32"/>
        </w:rPr>
        <w:t>DBJ51/T193—2022</w:t>
      </w:r>
      <w:r>
        <w:rPr>
          <w:rFonts w:hint="eastAsia" w:ascii="Times New Roman" w:hAnsi="Times New Roman" w:eastAsia="仿宋_GB2312"/>
          <w:sz w:val="32"/>
          <w:szCs w:val="32"/>
        </w:rPr>
        <w:t>）</w:t>
      </w:r>
      <w:r>
        <w:rPr>
          <w:rFonts w:ascii="Times New Roman" w:hAnsi="Times New Roman" w:eastAsia="仿宋_GB2312"/>
          <w:sz w:val="32"/>
          <w:szCs w:val="32"/>
        </w:rPr>
        <w:t>、《四川省玻璃幕墙工程技术标准》</w:t>
      </w:r>
      <w:r>
        <w:rPr>
          <w:rFonts w:hint="eastAsia" w:ascii="Times New Roman" w:hAnsi="Times New Roman" w:eastAsia="仿宋_GB2312"/>
          <w:sz w:val="32"/>
          <w:szCs w:val="32"/>
        </w:rPr>
        <w:t>（</w:t>
      </w:r>
      <w:r>
        <w:rPr>
          <w:rFonts w:ascii="Times New Roman" w:hAnsi="Times New Roman" w:eastAsia="仿宋_GB2312"/>
          <w:sz w:val="32"/>
          <w:szCs w:val="32"/>
        </w:rPr>
        <w:t>DBJ51</w:t>
      </w:r>
      <w:r>
        <w:rPr>
          <w:rFonts w:hint="eastAsia" w:ascii="Times New Roman" w:hAnsi="Times New Roman" w:eastAsia="仿宋_GB2312"/>
          <w:sz w:val="32"/>
          <w:szCs w:val="32"/>
        </w:rPr>
        <w:t>/</w:t>
      </w:r>
      <w:r>
        <w:rPr>
          <w:rFonts w:ascii="Times New Roman" w:hAnsi="Times New Roman" w:eastAsia="仿宋_GB2312"/>
          <w:sz w:val="32"/>
          <w:szCs w:val="32"/>
        </w:rPr>
        <w:t>T 139—2020</w:t>
      </w:r>
      <w:r>
        <w:rPr>
          <w:rFonts w:hint="eastAsia" w:ascii="Times New Roman" w:hAnsi="Times New Roman" w:eastAsia="仿宋_GB2312"/>
          <w:sz w:val="32"/>
          <w:szCs w:val="32"/>
        </w:rPr>
        <w:t>）</w:t>
      </w:r>
      <w:r>
        <w:rPr>
          <w:rFonts w:ascii="Times New Roman" w:hAnsi="Times New Roman" w:eastAsia="仿宋_GB2312"/>
          <w:sz w:val="32"/>
          <w:szCs w:val="32"/>
        </w:rPr>
        <w:t>的规定。</w:t>
      </w:r>
    </w:p>
    <w:p w14:paraId="77B1873B">
      <w:pPr>
        <w:spacing w:line="560" w:lineRule="exact"/>
        <w:ind w:right="84" w:rightChars="40" w:firstLine="707" w:firstLineChars="221"/>
        <w:rPr>
          <w:rFonts w:ascii="Times New Roman" w:hAnsi="Times New Roman" w:eastAsia="仿宋_GB2312"/>
          <w:sz w:val="32"/>
          <w:szCs w:val="32"/>
        </w:rPr>
      </w:pPr>
      <w:r>
        <w:rPr>
          <w:rFonts w:ascii="Times New Roman" w:hAnsi="Times New Roman" w:eastAsia="仿宋_GB2312"/>
          <w:sz w:val="32"/>
          <w:szCs w:val="32"/>
        </w:rPr>
        <w:t>外墙用密封材料应具有良好的耐低温性能、耐紫外线老化性能和良好的弹性，</w:t>
      </w:r>
      <w:r>
        <w:rPr>
          <w:rFonts w:hint="eastAsia" w:ascii="Times New Roman" w:hAnsi="Times New Roman" w:eastAsia="仿宋_GB2312"/>
          <w:sz w:val="32"/>
          <w:szCs w:val="32"/>
        </w:rPr>
        <w:t>宜</w:t>
      </w:r>
      <w:r>
        <w:rPr>
          <w:rFonts w:ascii="Times New Roman" w:hAnsi="Times New Roman" w:eastAsia="仿宋_GB2312"/>
          <w:sz w:val="32"/>
          <w:szCs w:val="32"/>
        </w:rPr>
        <w:t>选用三元乙丙橡胶（EPDM）、硅橡胶（包括苯基硅橡胶）和改性聚氨酯密封胶等耐低温、耐紫外线和弹性良好的密封材料，并应满足《建筑用硅酮结构密封胶》</w:t>
      </w:r>
      <w:r>
        <w:rPr>
          <w:rFonts w:hint="eastAsia" w:ascii="Times New Roman" w:hAnsi="Times New Roman" w:eastAsia="仿宋_GB2312"/>
          <w:sz w:val="32"/>
          <w:szCs w:val="32"/>
        </w:rPr>
        <w:t>（</w:t>
      </w:r>
      <w:r>
        <w:rPr>
          <w:rFonts w:ascii="Times New Roman" w:hAnsi="Times New Roman" w:eastAsia="仿宋_GB2312"/>
          <w:sz w:val="32"/>
          <w:szCs w:val="32"/>
        </w:rPr>
        <w:t>GB</w:t>
      </w:r>
      <w:r>
        <w:rPr>
          <w:rFonts w:hint="eastAsia" w:ascii="Times New Roman" w:hAnsi="Times New Roman" w:eastAsia="仿宋_GB2312"/>
          <w:sz w:val="32"/>
          <w:szCs w:val="32"/>
        </w:rPr>
        <w:t xml:space="preserve"> </w:t>
      </w:r>
      <w:r>
        <w:rPr>
          <w:rFonts w:ascii="Times New Roman" w:hAnsi="Times New Roman" w:eastAsia="仿宋_GB2312"/>
          <w:sz w:val="32"/>
          <w:szCs w:val="32"/>
        </w:rPr>
        <w:t>16776—20</w:t>
      </w:r>
      <w:r>
        <w:rPr>
          <w:rFonts w:hint="eastAsia" w:ascii="Times New Roman" w:hAnsi="Times New Roman" w:eastAsia="仿宋_GB2312"/>
          <w:sz w:val="32"/>
          <w:szCs w:val="32"/>
        </w:rPr>
        <w:t>2</w:t>
      </w:r>
      <w:r>
        <w:rPr>
          <w:rFonts w:ascii="Times New Roman" w:hAnsi="Times New Roman" w:eastAsia="仿宋_GB2312"/>
          <w:sz w:val="32"/>
          <w:szCs w:val="32"/>
        </w:rPr>
        <w:t>5</w:t>
      </w:r>
      <w:r>
        <w:rPr>
          <w:rFonts w:hint="eastAsia" w:ascii="Times New Roman" w:hAnsi="Times New Roman" w:eastAsia="仿宋_GB2312"/>
          <w:sz w:val="32"/>
          <w:szCs w:val="32"/>
        </w:rPr>
        <w:t>）</w:t>
      </w:r>
      <w:r>
        <w:rPr>
          <w:rFonts w:ascii="Times New Roman" w:hAnsi="Times New Roman" w:eastAsia="仿宋_GB2312"/>
          <w:sz w:val="32"/>
          <w:szCs w:val="32"/>
        </w:rPr>
        <w:t>、《建筑幕墙用硅酮结构密封胶》</w:t>
      </w:r>
      <w:r>
        <w:rPr>
          <w:rFonts w:hint="eastAsia" w:ascii="Times New Roman" w:hAnsi="Times New Roman" w:eastAsia="仿宋_GB2312"/>
          <w:sz w:val="32"/>
          <w:szCs w:val="32"/>
        </w:rPr>
        <w:t>（</w:t>
      </w:r>
      <w:r>
        <w:rPr>
          <w:rFonts w:ascii="Times New Roman" w:hAnsi="Times New Roman" w:eastAsia="仿宋_GB2312"/>
          <w:sz w:val="32"/>
          <w:szCs w:val="32"/>
        </w:rPr>
        <w:t>JG/T 475—2015</w:t>
      </w:r>
      <w:r>
        <w:rPr>
          <w:rFonts w:hint="eastAsia" w:ascii="Times New Roman" w:hAnsi="Times New Roman" w:eastAsia="仿宋_GB2312"/>
          <w:sz w:val="32"/>
          <w:szCs w:val="32"/>
        </w:rPr>
        <w:t>）</w:t>
      </w:r>
      <w:r>
        <w:rPr>
          <w:rFonts w:ascii="Times New Roman" w:hAnsi="Times New Roman" w:eastAsia="仿宋_GB2312"/>
          <w:sz w:val="32"/>
          <w:szCs w:val="32"/>
        </w:rPr>
        <w:t>、《石材用建筑密封胶》</w:t>
      </w:r>
      <w:r>
        <w:rPr>
          <w:rFonts w:hint="eastAsia" w:ascii="Times New Roman" w:hAnsi="Times New Roman" w:eastAsia="仿宋_GB2312"/>
          <w:sz w:val="32"/>
          <w:szCs w:val="32"/>
        </w:rPr>
        <w:t>（</w:t>
      </w:r>
      <w:r>
        <w:rPr>
          <w:rFonts w:ascii="Times New Roman" w:hAnsi="Times New Roman" w:eastAsia="仿宋_GB2312"/>
          <w:sz w:val="32"/>
          <w:szCs w:val="32"/>
        </w:rPr>
        <w:t>GB/T</w:t>
      </w:r>
      <w:r>
        <w:rPr>
          <w:rFonts w:hint="eastAsia" w:ascii="Times New Roman" w:hAnsi="Times New Roman" w:eastAsia="仿宋_GB2312"/>
          <w:sz w:val="32"/>
          <w:szCs w:val="32"/>
        </w:rPr>
        <w:t xml:space="preserve"> </w:t>
      </w:r>
      <w:r>
        <w:rPr>
          <w:rFonts w:ascii="Times New Roman" w:hAnsi="Times New Roman" w:eastAsia="仿宋_GB2312"/>
          <w:sz w:val="32"/>
          <w:szCs w:val="32"/>
        </w:rPr>
        <w:t>23261—2009</w:t>
      </w:r>
      <w:r>
        <w:rPr>
          <w:rFonts w:hint="eastAsia" w:ascii="Times New Roman" w:hAnsi="Times New Roman" w:eastAsia="仿宋_GB2312"/>
          <w:sz w:val="32"/>
          <w:szCs w:val="32"/>
        </w:rPr>
        <w:t>）</w:t>
      </w:r>
      <w:r>
        <w:rPr>
          <w:rFonts w:ascii="Times New Roman" w:hAnsi="Times New Roman" w:eastAsia="仿宋_GB2312"/>
          <w:sz w:val="32"/>
          <w:szCs w:val="32"/>
        </w:rPr>
        <w:t>的规定。</w:t>
      </w:r>
    </w:p>
    <w:p w14:paraId="434300D1">
      <w:pPr>
        <w:pStyle w:val="4"/>
      </w:pPr>
      <w:bookmarkStart w:id="69" w:name="_Toc233624879"/>
      <w:r>
        <w:rPr>
          <w:rFonts w:hint="eastAsia"/>
        </w:rPr>
        <w:t>防潮与隔汽</w:t>
      </w:r>
      <w:bookmarkEnd w:id="69"/>
    </w:p>
    <w:p w14:paraId="08831DC8">
      <w:pPr>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1.墙身防潮</w:t>
      </w:r>
    </w:p>
    <w:p w14:paraId="07763581">
      <w:pPr>
        <w:spacing w:line="560" w:lineRule="exact"/>
        <w:ind w:right="84" w:rightChars="40" w:firstLine="707" w:firstLineChars="221"/>
        <w:rPr>
          <w:rFonts w:ascii="Times New Roman" w:hAnsi="Times New Roman" w:eastAsia="仿宋_GB2312"/>
          <w:sz w:val="32"/>
          <w:szCs w:val="32"/>
        </w:rPr>
      </w:pPr>
      <w:r>
        <w:rPr>
          <w:rFonts w:hint="eastAsia" w:ascii="Times New Roman" w:hAnsi="Times New Roman" w:eastAsia="仿宋_GB2312"/>
          <w:sz w:val="32"/>
          <w:szCs w:val="32"/>
        </w:rPr>
        <w:t xml:space="preserve">墙身（含勒脚）应设防潮层，防止墙身结冰破坏墙身构造。防潮层采用的材料不应影响墙体的整体抗震性能。易产生水蒸汽的房间，宜在其外墙内侧设防潮层。防潮层的设置应满足《民用建筑通用规范》（GB </w:t>
      </w:r>
      <w:r>
        <w:rPr>
          <w:rFonts w:ascii="Times New Roman" w:hAnsi="Times New Roman" w:eastAsia="仿宋_GB2312"/>
          <w:sz w:val="32"/>
          <w:szCs w:val="32"/>
        </w:rPr>
        <w:t>55031—2022</w:t>
      </w:r>
      <w:r>
        <w:rPr>
          <w:rFonts w:hint="eastAsia" w:ascii="Times New Roman" w:hAnsi="Times New Roman" w:eastAsia="仿宋_GB2312"/>
          <w:sz w:val="32"/>
          <w:szCs w:val="32"/>
        </w:rPr>
        <w:t>）第6</w:t>
      </w:r>
      <w:r>
        <w:rPr>
          <w:rFonts w:ascii="Times New Roman" w:hAnsi="Times New Roman" w:eastAsia="仿宋_GB2312"/>
          <w:sz w:val="32"/>
          <w:szCs w:val="32"/>
        </w:rPr>
        <w:t>.2.3</w:t>
      </w:r>
      <w:r>
        <w:rPr>
          <w:rFonts w:hint="eastAsia" w:ascii="Times New Roman" w:hAnsi="Times New Roman" w:eastAsia="仿宋_GB2312"/>
          <w:sz w:val="32"/>
          <w:szCs w:val="32"/>
        </w:rPr>
        <w:t xml:space="preserve">条、《民用建筑设计统一标准》（GB </w:t>
      </w:r>
      <w:r>
        <w:rPr>
          <w:rFonts w:ascii="Times New Roman" w:hAnsi="Times New Roman" w:eastAsia="仿宋_GB2312"/>
          <w:sz w:val="32"/>
          <w:szCs w:val="32"/>
        </w:rPr>
        <w:t>50352—2019</w:t>
      </w:r>
      <w:r>
        <w:rPr>
          <w:rFonts w:hint="eastAsia" w:ascii="Times New Roman" w:hAnsi="Times New Roman" w:eastAsia="仿宋_GB2312"/>
          <w:sz w:val="32"/>
          <w:szCs w:val="32"/>
        </w:rPr>
        <w:t>）第6</w:t>
      </w:r>
      <w:r>
        <w:rPr>
          <w:rFonts w:ascii="Times New Roman" w:hAnsi="Times New Roman" w:eastAsia="仿宋_GB2312"/>
          <w:sz w:val="32"/>
          <w:szCs w:val="32"/>
        </w:rPr>
        <w:t>.10.3</w:t>
      </w:r>
      <w:r>
        <w:rPr>
          <w:rFonts w:hint="eastAsia" w:ascii="Times New Roman" w:hAnsi="Times New Roman" w:eastAsia="仿宋_GB2312"/>
          <w:sz w:val="32"/>
          <w:szCs w:val="32"/>
        </w:rPr>
        <w:t>条的规定。</w:t>
      </w:r>
    </w:p>
    <w:p w14:paraId="7CEBDE92">
      <w:pPr>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2.屋面隔汽</w:t>
      </w:r>
    </w:p>
    <w:p w14:paraId="474044C8">
      <w:pPr>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屋面构造设计应设隔汽层，防止屋面结冰破坏屋面构造，隔汽层设置要求如下：</w:t>
      </w:r>
    </w:p>
    <w:p w14:paraId="2E348BB2">
      <w:pPr>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1）隔汽层应设置在保温层下结构层上；</w:t>
      </w:r>
    </w:p>
    <w:p w14:paraId="44B43743">
      <w:pPr>
        <w:ind w:firstLine="640" w:firstLineChars="200"/>
        <w:rPr>
          <w:rFonts w:ascii="Times New Roman" w:hAnsi="Times New Roman" w:eastAsia="仿宋_GB2312"/>
          <w:sz w:val="32"/>
          <w:szCs w:val="32"/>
        </w:rPr>
      </w:pPr>
      <w:r>
        <w:rPr>
          <w:rFonts w:ascii="Times New Roman" w:hAnsi="Times New Roman" w:eastAsia="仿宋_GB2312"/>
          <w:sz w:val="32"/>
          <w:szCs w:val="32"/>
        </w:rPr>
        <w:t>2</w:t>
      </w:r>
      <w:r>
        <w:rPr>
          <w:rFonts w:hint="eastAsia" w:ascii="Times New Roman" w:hAnsi="Times New Roman" w:eastAsia="仿宋_GB2312"/>
          <w:sz w:val="32"/>
          <w:szCs w:val="32"/>
        </w:rPr>
        <w:t>）隔汽层应在屋面上形成全封闭的构造层，屋面局部</w:t>
      </w:r>
      <w:r>
        <w:rPr>
          <w:rFonts w:ascii="Times New Roman" w:hAnsi="Times New Roman" w:eastAsia="仿宋_GB2312"/>
          <w:sz w:val="32"/>
          <w:szCs w:val="32"/>
        </w:rPr>
        <w:t>设置隔汽层时，隔汽层应扩大至潮湿房间以外至少1.0米处，且应沿周边墙面向上连续铺设，高出保</w:t>
      </w:r>
      <w:r>
        <w:rPr>
          <w:rFonts w:hint="eastAsia" w:ascii="Times New Roman" w:hAnsi="Times New Roman" w:eastAsia="仿宋_GB2312"/>
          <w:sz w:val="32"/>
          <w:szCs w:val="32"/>
        </w:rPr>
        <w:t>温层上表面不得小于</w:t>
      </w:r>
      <w:r>
        <w:rPr>
          <w:rFonts w:ascii="Times New Roman" w:hAnsi="Times New Roman" w:eastAsia="仿宋_GB2312"/>
          <w:sz w:val="32"/>
          <w:szCs w:val="32"/>
        </w:rPr>
        <w:t>150mm。</w:t>
      </w:r>
    </w:p>
    <w:p w14:paraId="73EB943F">
      <w:pPr>
        <w:ind w:firstLine="640" w:firstLineChars="200"/>
        <w:rPr>
          <w:rFonts w:ascii="Times New Roman" w:hAnsi="Times New Roman" w:eastAsia="仿宋_GB2312"/>
          <w:sz w:val="32"/>
          <w:szCs w:val="32"/>
        </w:rPr>
      </w:pPr>
      <w:r>
        <w:rPr>
          <w:rFonts w:ascii="Times New Roman" w:hAnsi="Times New Roman" w:eastAsia="仿宋_GB2312"/>
          <w:sz w:val="32"/>
          <w:szCs w:val="32"/>
        </w:rPr>
        <w:t>3</w:t>
      </w:r>
      <w:r>
        <w:rPr>
          <w:rFonts w:hint="eastAsia" w:ascii="Times New Roman" w:hAnsi="Times New Roman" w:eastAsia="仿宋_GB2312"/>
          <w:sz w:val="32"/>
          <w:szCs w:val="32"/>
        </w:rPr>
        <w:t>）</w:t>
      </w:r>
      <w:r>
        <w:rPr>
          <w:rFonts w:ascii="Times New Roman" w:hAnsi="Times New Roman" w:eastAsia="仿宋_GB2312"/>
          <w:sz w:val="32"/>
          <w:szCs w:val="32"/>
        </w:rPr>
        <w:t>隔汽层材料应选用气密性、水密性好的材料。可采用防水卷材或涂料。</w:t>
      </w:r>
    </w:p>
    <w:p w14:paraId="281A3DBE">
      <w:pPr>
        <w:pStyle w:val="4"/>
      </w:pPr>
      <w:bookmarkStart w:id="70" w:name="_Toc233624880"/>
      <w:bookmarkStart w:id="71" w:name="_Toc231199830"/>
      <w:bookmarkStart w:id="72" w:name="_Toc231199827"/>
      <w:r>
        <w:t>墙面及屋面渗漏</w:t>
      </w:r>
      <w:r>
        <w:rPr>
          <w:rFonts w:hint="eastAsia"/>
        </w:rPr>
        <w:t>修缮</w:t>
      </w:r>
      <w:bookmarkEnd w:id="70"/>
    </w:p>
    <w:p w14:paraId="437C72D1">
      <w:pPr>
        <w:spacing w:line="360" w:lineRule="auto"/>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房屋产权</w:t>
      </w:r>
      <w:r>
        <w:rPr>
          <w:rFonts w:ascii="Times New Roman" w:hAnsi="Times New Roman" w:eastAsia="仿宋_GB2312"/>
          <w:sz w:val="32"/>
          <w:szCs w:val="32"/>
        </w:rPr>
        <w:t>单位或物业单位在屋面和墙面出现渗漏后应</w:t>
      </w:r>
      <w:r>
        <w:rPr>
          <w:rFonts w:hint="eastAsia" w:ascii="Times New Roman" w:hAnsi="Times New Roman" w:eastAsia="仿宋_GB2312"/>
          <w:sz w:val="32"/>
          <w:szCs w:val="32"/>
        </w:rPr>
        <w:t>及时进行修缮，保证房屋安全及正常使用。房屋修缮前应</w:t>
      </w:r>
      <w:r>
        <w:rPr>
          <w:rFonts w:ascii="Times New Roman" w:hAnsi="Times New Roman" w:eastAsia="仿宋_GB2312"/>
          <w:sz w:val="32"/>
          <w:szCs w:val="32"/>
        </w:rPr>
        <w:t>按照《</w:t>
      </w:r>
      <w:r>
        <w:rPr>
          <w:rFonts w:hint="eastAsia" w:ascii="Times New Roman" w:hAnsi="Times New Roman" w:eastAsia="仿宋_GB2312"/>
          <w:sz w:val="32"/>
          <w:szCs w:val="32"/>
        </w:rPr>
        <w:t>房屋渗漏修缮技术规程</w:t>
      </w:r>
      <w:r>
        <w:rPr>
          <w:rFonts w:ascii="Times New Roman" w:hAnsi="Times New Roman" w:eastAsia="仿宋_GB2312"/>
          <w:sz w:val="32"/>
          <w:szCs w:val="32"/>
        </w:rPr>
        <w:t>》（JGJ</w:t>
      </w:r>
      <w:r>
        <w:rPr>
          <w:rFonts w:hint="eastAsia" w:ascii="Times New Roman" w:hAnsi="Times New Roman" w:eastAsia="仿宋_GB2312"/>
          <w:sz w:val="32"/>
          <w:szCs w:val="32"/>
        </w:rPr>
        <w:t>/</w:t>
      </w:r>
      <w:r>
        <w:rPr>
          <w:rFonts w:ascii="Times New Roman" w:hAnsi="Times New Roman" w:eastAsia="仿宋_GB2312"/>
          <w:sz w:val="32"/>
          <w:szCs w:val="32"/>
        </w:rPr>
        <w:t>T53—2011）</w:t>
      </w:r>
      <w:r>
        <w:rPr>
          <w:rFonts w:hint="eastAsia" w:ascii="Times New Roman" w:hAnsi="Times New Roman" w:eastAsia="仿宋_GB2312"/>
          <w:sz w:val="32"/>
          <w:szCs w:val="32"/>
        </w:rPr>
        <w:t>第</w:t>
      </w:r>
      <w:r>
        <w:rPr>
          <w:rFonts w:ascii="Times New Roman" w:hAnsi="Times New Roman" w:eastAsia="仿宋_GB2312"/>
          <w:sz w:val="32"/>
          <w:szCs w:val="32"/>
        </w:rPr>
        <w:t>3</w:t>
      </w:r>
      <w:r>
        <w:rPr>
          <w:rFonts w:hint="eastAsia" w:ascii="Times New Roman" w:hAnsi="Times New Roman" w:eastAsia="仿宋_GB2312"/>
          <w:sz w:val="32"/>
          <w:szCs w:val="32"/>
        </w:rPr>
        <w:t>章的要求进行现场查勘，编制查勘报告，并根据查勘报告编制修缮方案。屋面及墙面的渗漏修缮方案及施工应按照</w:t>
      </w:r>
      <w:r>
        <w:rPr>
          <w:rFonts w:ascii="Times New Roman" w:hAnsi="Times New Roman" w:eastAsia="仿宋_GB2312"/>
          <w:sz w:val="32"/>
          <w:szCs w:val="32"/>
        </w:rPr>
        <w:t>《</w:t>
      </w:r>
      <w:r>
        <w:rPr>
          <w:rFonts w:hint="eastAsia" w:ascii="Times New Roman" w:hAnsi="Times New Roman" w:eastAsia="仿宋_GB2312"/>
          <w:sz w:val="32"/>
          <w:szCs w:val="32"/>
        </w:rPr>
        <w:t>房屋渗漏修缮技术规程</w:t>
      </w:r>
      <w:r>
        <w:rPr>
          <w:rFonts w:ascii="Times New Roman" w:hAnsi="Times New Roman" w:eastAsia="仿宋_GB2312"/>
          <w:sz w:val="32"/>
          <w:szCs w:val="32"/>
        </w:rPr>
        <w:t>》（JGJ</w:t>
      </w:r>
      <w:r>
        <w:rPr>
          <w:rFonts w:hint="eastAsia" w:ascii="Times New Roman" w:hAnsi="Times New Roman" w:eastAsia="仿宋_GB2312"/>
          <w:sz w:val="32"/>
          <w:szCs w:val="32"/>
        </w:rPr>
        <w:t>/</w:t>
      </w:r>
      <w:r>
        <w:rPr>
          <w:rFonts w:ascii="Times New Roman" w:hAnsi="Times New Roman" w:eastAsia="仿宋_GB2312"/>
          <w:sz w:val="32"/>
          <w:szCs w:val="32"/>
        </w:rPr>
        <w:t>T53—2011）第4章屋面渗漏修缮工程和第5章外墙渗漏修缮工程的规定执行。</w:t>
      </w:r>
    </w:p>
    <w:p w14:paraId="5CFA0B9C">
      <w:pPr>
        <w:pStyle w:val="4"/>
      </w:pPr>
      <w:bookmarkStart w:id="73" w:name="_Toc233624881"/>
      <w:r>
        <w:t>屋面及天沟</w:t>
      </w:r>
      <w:bookmarkEnd w:id="73"/>
    </w:p>
    <w:p w14:paraId="761B8F07">
      <w:pPr>
        <w:spacing w:line="360" w:lineRule="auto"/>
        <w:ind w:right="84" w:rightChars="40" w:firstLine="640" w:firstLineChars="200"/>
        <w:rPr>
          <w:rFonts w:ascii="Times New Roman" w:hAnsi="Times New Roman" w:eastAsia="仿宋_GB2312"/>
          <w:sz w:val="32"/>
          <w:szCs w:val="32"/>
        </w:rPr>
      </w:pPr>
      <w:r>
        <w:rPr>
          <w:rFonts w:hint="eastAsia" w:ascii="Times New Roman" w:hAnsi="Times New Roman" w:eastAsia="仿宋_GB2312"/>
          <w:sz w:val="32"/>
          <w:szCs w:val="32"/>
        </w:rPr>
        <w:t>高原平坝地区的</w:t>
      </w:r>
      <w:r>
        <w:rPr>
          <w:rFonts w:ascii="Times New Roman" w:hAnsi="Times New Roman" w:eastAsia="仿宋_GB2312"/>
          <w:sz w:val="32"/>
          <w:szCs w:val="32"/>
        </w:rPr>
        <w:t>屋面及天沟设计需综合考虑极端气候、冻融循环、材料耐候性及施工维护难度等因素。</w:t>
      </w:r>
    </w:p>
    <w:p w14:paraId="7ECB52CB">
      <w:pPr>
        <w:spacing w:line="360" w:lineRule="auto"/>
        <w:ind w:right="84" w:rightChars="40" w:firstLine="640" w:firstLineChars="200"/>
        <w:rPr>
          <w:rFonts w:ascii="Times New Roman" w:hAnsi="Times New Roman" w:eastAsia="仿宋_GB2312"/>
          <w:sz w:val="32"/>
          <w:szCs w:val="32"/>
        </w:rPr>
      </w:pPr>
      <w:r>
        <w:rPr>
          <w:rFonts w:ascii="Times New Roman" w:hAnsi="Times New Roman" w:eastAsia="仿宋_GB2312"/>
          <w:sz w:val="32"/>
          <w:szCs w:val="32"/>
        </w:rPr>
        <w:t>屋面设计应严格执行《民用建筑通用规范》</w:t>
      </w:r>
      <w:r>
        <w:rPr>
          <w:rFonts w:hint="eastAsia" w:ascii="Times New Roman" w:hAnsi="Times New Roman" w:eastAsia="仿宋_GB2312"/>
          <w:sz w:val="32"/>
          <w:szCs w:val="32"/>
        </w:rPr>
        <w:t>（</w:t>
      </w:r>
      <w:r>
        <w:rPr>
          <w:rFonts w:ascii="Times New Roman" w:hAnsi="Times New Roman" w:eastAsia="仿宋_GB2312"/>
          <w:sz w:val="32"/>
          <w:szCs w:val="32"/>
        </w:rPr>
        <w:t>GB 55031—2022</w:t>
      </w:r>
      <w:r>
        <w:rPr>
          <w:rFonts w:hint="eastAsia" w:ascii="Times New Roman" w:hAnsi="Times New Roman" w:eastAsia="仿宋_GB2312"/>
          <w:sz w:val="32"/>
          <w:szCs w:val="32"/>
        </w:rPr>
        <w:t>）</w:t>
      </w:r>
      <w:r>
        <w:rPr>
          <w:rFonts w:ascii="Times New Roman" w:hAnsi="Times New Roman" w:eastAsia="仿宋_GB2312"/>
          <w:sz w:val="32"/>
          <w:szCs w:val="32"/>
        </w:rPr>
        <w:t>第6.1.2条、《建筑与市政工程防水通用规范》</w:t>
      </w:r>
      <w:r>
        <w:rPr>
          <w:rFonts w:hint="eastAsia" w:ascii="Times New Roman" w:hAnsi="Times New Roman" w:eastAsia="仿宋_GB2312"/>
          <w:sz w:val="32"/>
          <w:szCs w:val="32"/>
        </w:rPr>
        <w:t>（</w:t>
      </w:r>
      <w:r>
        <w:rPr>
          <w:rFonts w:ascii="Times New Roman" w:hAnsi="Times New Roman" w:eastAsia="仿宋_GB2312"/>
          <w:sz w:val="32"/>
          <w:szCs w:val="32"/>
        </w:rPr>
        <w:t>GB 55030—2022</w:t>
      </w:r>
      <w:r>
        <w:rPr>
          <w:rFonts w:hint="eastAsia" w:ascii="Times New Roman" w:hAnsi="Times New Roman" w:eastAsia="仿宋_GB2312"/>
          <w:sz w:val="32"/>
          <w:szCs w:val="32"/>
        </w:rPr>
        <w:t>）</w:t>
      </w:r>
      <w:r>
        <w:rPr>
          <w:rFonts w:ascii="Times New Roman" w:hAnsi="Times New Roman" w:eastAsia="仿宋_GB2312"/>
          <w:sz w:val="32"/>
          <w:szCs w:val="32"/>
        </w:rPr>
        <w:t>第4.4</w:t>
      </w:r>
      <w:r>
        <w:rPr>
          <w:rFonts w:hint="eastAsia" w:ascii="Times New Roman" w:hAnsi="Times New Roman" w:eastAsia="仿宋_GB2312"/>
          <w:sz w:val="32"/>
          <w:szCs w:val="32"/>
        </w:rPr>
        <w:t>节</w:t>
      </w:r>
      <w:r>
        <w:rPr>
          <w:rFonts w:ascii="Times New Roman" w:hAnsi="Times New Roman" w:eastAsia="仿宋_GB2312"/>
          <w:sz w:val="32"/>
          <w:szCs w:val="32"/>
        </w:rPr>
        <w:t>、《屋面工程技术规范》</w:t>
      </w:r>
      <w:r>
        <w:rPr>
          <w:rFonts w:hint="eastAsia" w:ascii="Times New Roman" w:hAnsi="Times New Roman" w:eastAsia="仿宋_GB2312"/>
          <w:sz w:val="32"/>
          <w:szCs w:val="32"/>
        </w:rPr>
        <w:t>（</w:t>
      </w:r>
      <w:r>
        <w:rPr>
          <w:rFonts w:ascii="Times New Roman" w:hAnsi="Times New Roman" w:eastAsia="仿宋_GB2312"/>
          <w:sz w:val="32"/>
          <w:szCs w:val="32"/>
        </w:rPr>
        <w:t>GB 50345—2012</w:t>
      </w:r>
      <w:r>
        <w:rPr>
          <w:rFonts w:hint="eastAsia" w:ascii="Times New Roman" w:hAnsi="Times New Roman" w:eastAsia="仿宋_GB2312"/>
          <w:sz w:val="32"/>
          <w:szCs w:val="32"/>
        </w:rPr>
        <w:t>）</w:t>
      </w:r>
      <w:r>
        <w:rPr>
          <w:rFonts w:ascii="Times New Roman" w:hAnsi="Times New Roman" w:eastAsia="仿宋_GB2312"/>
          <w:sz w:val="32"/>
          <w:szCs w:val="32"/>
        </w:rPr>
        <w:t>、《坡屋面工程技术规范》</w:t>
      </w:r>
      <w:r>
        <w:rPr>
          <w:rFonts w:hint="eastAsia" w:ascii="Times New Roman" w:hAnsi="Times New Roman" w:eastAsia="仿宋_GB2312"/>
          <w:sz w:val="32"/>
          <w:szCs w:val="32"/>
        </w:rPr>
        <w:t>（</w:t>
      </w:r>
      <w:r>
        <w:rPr>
          <w:rFonts w:ascii="Times New Roman" w:hAnsi="Times New Roman" w:eastAsia="仿宋_GB2312"/>
          <w:sz w:val="32"/>
          <w:szCs w:val="32"/>
        </w:rPr>
        <w:t>GB 50693—2011</w:t>
      </w:r>
      <w:r>
        <w:rPr>
          <w:rFonts w:hint="eastAsia" w:ascii="Times New Roman" w:hAnsi="Times New Roman" w:eastAsia="仿宋_GB2312"/>
          <w:sz w:val="32"/>
          <w:szCs w:val="32"/>
        </w:rPr>
        <w:t>）</w:t>
      </w:r>
      <w:r>
        <w:rPr>
          <w:rFonts w:ascii="Times New Roman" w:hAnsi="Times New Roman" w:eastAsia="仿宋_GB2312"/>
          <w:sz w:val="32"/>
          <w:szCs w:val="32"/>
        </w:rPr>
        <w:t>、《种植屋面工程技术规程》</w:t>
      </w:r>
      <w:r>
        <w:rPr>
          <w:rFonts w:hint="eastAsia" w:ascii="Times New Roman" w:hAnsi="Times New Roman" w:eastAsia="仿宋_GB2312"/>
          <w:sz w:val="32"/>
          <w:szCs w:val="32"/>
        </w:rPr>
        <w:t>（</w:t>
      </w:r>
      <w:r>
        <w:rPr>
          <w:rFonts w:ascii="Times New Roman" w:hAnsi="Times New Roman" w:eastAsia="仿宋_GB2312"/>
          <w:sz w:val="32"/>
          <w:szCs w:val="32"/>
        </w:rPr>
        <w:t>JGJ 155—2013</w:t>
      </w:r>
      <w:r>
        <w:rPr>
          <w:rFonts w:hint="eastAsia" w:ascii="Times New Roman" w:hAnsi="Times New Roman" w:eastAsia="仿宋_GB2312"/>
          <w:sz w:val="32"/>
          <w:szCs w:val="32"/>
        </w:rPr>
        <w:t>）</w:t>
      </w:r>
      <w:r>
        <w:rPr>
          <w:rFonts w:ascii="Times New Roman" w:hAnsi="Times New Roman" w:eastAsia="仿宋_GB2312"/>
          <w:sz w:val="32"/>
          <w:szCs w:val="32"/>
        </w:rPr>
        <w:t>、《倒置式屋面工程技术规程》</w:t>
      </w:r>
      <w:r>
        <w:rPr>
          <w:rFonts w:hint="eastAsia" w:ascii="Times New Roman" w:hAnsi="Times New Roman" w:eastAsia="仿宋_GB2312"/>
          <w:sz w:val="32"/>
          <w:szCs w:val="32"/>
        </w:rPr>
        <w:t>（</w:t>
      </w:r>
      <w:r>
        <w:rPr>
          <w:rFonts w:ascii="Times New Roman" w:hAnsi="Times New Roman" w:eastAsia="仿宋_GB2312"/>
          <w:sz w:val="32"/>
          <w:szCs w:val="32"/>
        </w:rPr>
        <w:t>JGJ 230—2010</w:t>
      </w:r>
      <w:r>
        <w:rPr>
          <w:rFonts w:hint="eastAsia" w:ascii="Times New Roman" w:hAnsi="Times New Roman" w:eastAsia="仿宋_GB2312"/>
          <w:sz w:val="32"/>
          <w:szCs w:val="32"/>
        </w:rPr>
        <w:t>）</w:t>
      </w:r>
      <w:r>
        <w:rPr>
          <w:rFonts w:ascii="Times New Roman" w:hAnsi="Times New Roman" w:eastAsia="仿宋_GB2312"/>
          <w:sz w:val="32"/>
          <w:szCs w:val="32"/>
        </w:rPr>
        <w:t>。</w:t>
      </w:r>
    </w:p>
    <w:p w14:paraId="1A6E9604">
      <w:pPr>
        <w:spacing w:line="360" w:lineRule="auto"/>
        <w:ind w:right="84" w:rightChars="40" w:firstLine="640" w:firstLineChars="200"/>
        <w:rPr>
          <w:rFonts w:ascii="Times New Roman" w:hAnsi="Times New Roman" w:eastAsia="仿宋_GB2312"/>
          <w:sz w:val="32"/>
          <w:szCs w:val="32"/>
        </w:rPr>
      </w:pPr>
      <w:r>
        <w:rPr>
          <w:rFonts w:ascii="Times New Roman" w:hAnsi="Times New Roman" w:eastAsia="仿宋_GB2312"/>
          <w:sz w:val="32"/>
          <w:szCs w:val="32"/>
        </w:rPr>
        <w:t>屋面型式</w:t>
      </w:r>
      <w:r>
        <w:rPr>
          <w:rFonts w:hint="eastAsia" w:ascii="Times New Roman" w:hAnsi="Times New Roman" w:eastAsia="仿宋_GB2312"/>
          <w:sz w:val="32"/>
          <w:szCs w:val="32"/>
        </w:rPr>
        <w:t>宜</w:t>
      </w:r>
      <w:r>
        <w:rPr>
          <w:rFonts w:ascii="Times New Roman" w:hAnsi="Times New Roman" w:eastAsia="仿宋_GB2312"/>
          <w:sz w:val="32"/>
          <w:szCs w:val="32"/>
        </w:rPr>
        <w:t>采用坡屋面，坡度应满足《建筑与市政工程防水通用规范》</w:t>
      </w:r>
      <w:r>
        <w:rPr>
          <w:rFonts w:hint="eastAsia" w:ascii="Times New Roman" w:hAnsi="Times New Roman" w:eastAsia="仿宋_GB2312"/>
          <w:sz w:val="32"/>
          <w:szCs w:val="32"/>
        </w:rPr>
        <w:t>（</w:t>
      </w:r>
      <w:r>
        <w:rPr>
          <w:rFonts w:ascii="Times New Roman" w:hAnsi="Times New Roman" w:eastAsia="仿宋_GB2312"/>
          <w:sz w:val="32"/>
          <w:szCs w:val="32"/>
        </w:rPr>
        <w:t>GB 55030—2022</w:t>
      </w:r>
      <w:r>
        <w:rPr>
          <w:rFonts w:hint="eastAsia" w:ascii="Times New Roman" w:hAnsi="Times New Roman" w:eastAsia="仿宋_GB2312"/>
          <w:sz w:val="32"/>
          <w:szCs w:val="32"/>
        </w:rPr>
        <w:t>）</w:t>
      </w:r>
      <w:r>
        <w:rPr>
          <w:rFonts w:ascii="Times New Roman" w:hAnsi="Times New Roman" w:eastAsia="仿宋_GB2312"/>
          <w:sz w:val="32"/>
          <w:szCs w:val="32"/>
        </w:rPr>
        <w:t>第4.4.3条</w:t>
      </w:r>
      <w:r>
        <w:rPr>
          <w:rFonts w:hint="eastAsia" w:ascii="Times New Roman" w:hAnsi="Times New Roman" w:eastAsia="仿宋_GB2312"/>
          <w:sz w:val="32"/>
          <w:szCs w:val="32"/>
        </w:rPr>
        <w:t>的规定，并</w:t>
      </w:r>
      <w:bookmarkStart w:id="74" w:name="OLE_LINK10"/>
      <w:r>
        <w:rPr>
          <w:rFonts w:hint="eastAsia" w:ascii="Times New Roman" w:hAnsi="Times New Roman" w:eastAsia="仿宋_GB2312"/>
          <w:sz w:val="32"/>
          <w:szCs w:val="32"/>
        </w:rPr>
        <w:t>结合当地气候及降雪强度</w:t>
      </w:r>
      <w:bookmarkEnd w:id="74"/>
      <w:r>
        <w:rPr>
          <w:rFonts w:hint="eastAsia" w:ascii="Times New Roman" w:hAnsi="Times New Roman" w:eastAsia="仿宋_GB2312"/>
          <w:sz w:val="32"/>
          <w:szCs w:val="32"/>
        </w:rPr>
        <w:t>，适当增大屋面坡度</w:t>
      </w:r>
      <w:r>
        <w:rPr>
          <w:rFonts w:ascii="Times New Roman" w:hAnsi="Times New Roman" w:eastAsia="仿宋_GB2312"/>
          <w:sz w:val="32"/>
          <w:szCs w:val="32"/>
        </w:rPr>
        <w:t>。</w:t>
      </w:r>
      <w:r>
        <w:rPr>
          <w:rFonts w:hint="eastAsia" w:ascii="Times New Roman" w:hAnsi="Times New Roman" w:eastAsia="仿宋_GB2312"/>
          <w:sz w:val="32"/>
          <w:szCs w:val="32"/>
        </w:rPr>
        <w:t>屋面装饰材料宜选用铝镁锰金属瓦、镀铝锌钢板瓦、烧结瓦（应具有高抗冻性），不宜采用混凝土瓦、非抗冻性烧结瓦、沥青瓦、彩钢瓦。坡屋面构造设计时，应结合当地气候及降雪强度采取加强持钉层及屋面瓦固定等防止下滑的措施。</w:t>
      </w:r>
      <w:r>
        <w:rPr>
          <w:rFonts w:ascii="Times New Roman" w:hAnsi="Times New Roman" w:eastAsia="仿宋_GB2312"/>
          <w:sz w:val="32"/>
          <w:szCs w:val="32"/>
        </w:rPr>
        <w:t>坡屋面</w:t>
      </w:r>
      <w:r>
        <w:rPr>
          <w:rFonts w:hint="eastAsia" w:ascii="Times New Roman" w:hAnsi="Times New Roman" w:eastAsia="仿宋_GB2312"/>
          <w:sz w:val="32"/>
          <w:szCs w:val="32"/>
        </w:rPr>
        <w:t>宜</w:t>
      </w:r>
      <w:r>
        <w:rPr>
          <w:rFonts w:ascii="Times New Roman" w:hAnsi="Times New Roman" w:eastAsia="仿宋_GB2312"/>
          <w:sz w:val="32"/>
          <w:szCs w:val="32"/>
        </w:rPr>
        <w:t>安装铝合金雪挡（高度≥300mm），间距按雪崩模拟计算确定，不宜超过2m</w:t>
      </w:r>
      <w:r>
        <w:rPr>
          <w:rFonts w:hint="eastAsia" w:ascii="Times New Roman" w:hAnsi="Times New Roman" w:eastAsia="仿宋_GB2312"/>
          <w:sz w:val="32"/>
          <w:szCs w:val="32"/>
        </w:rPr>
        <w:t>，</w:t>
      </w:r>
      <w:r>
        <w:rPr>
          <w:rFonts w:ascii="Times New Roman" w:hAnsi="Times New Roman" w:eastAsia="仿宋_GB2312"/>
          <w:sz w:val="32"/>
          <w:szCs w:val="32"/>
        </w:rPr>
        <w:t>雪挡</w:t>
      </w:r>
      <w:r>
        <w:rPr>
          <w:rFonts w:hint="eastAsia" w:ascii="Times New Roman" w:hAnsi="Times New Roman" w:eastAsia="仿宋_GB2312"/>
          <w:sz w:val="32"/>
          <w:szCs w:val="32"/>
        </w:rPr>
        <w:t>应安全、可靠</w:t>
      </w:r>
      <w:r>
        <w:rPr>
          <w:rFonts w:ascii="Times New Roman" w:hAnsi="Times New Roman" w:eastAsia="仿宋_GB2312"/>
          <w:sz w:val="32"/>
          <w:szCs w:val="32"/>
        </w:rPr>
        <w:t>。</w:t>
      </w:r>
    </w:p>
    <w:p w14:paraId="766D1F7D">
      <w:pPr>
        <w:spacing w:line="360" w:lineRule="auto"/>
        <w:ind w:right="84" w:rightChars="40" w:firstLine="640" w:firstLineChars="200"/>
        <w:rPr>
          <w:rFonts w:ascii="Times New Roman" w:hAnsi="Times New Roman" w:eastAsia="仿宋_GB2312"/>
          <w:sz w:val="32"/>
          <w:szCs w:val="32"/>
        </w:rPr>
      </w:pPr>
      <w:r>
        <w:rPr>
          <w:rFonts w:ascii="Times New Roman" w:hAnsi="Times New Roman" w:eastAsia="仿宋_GB2312"/>
          <w:sz w:val="32"/>
          <w:szCs w:val="32"/>
        </w:rPr>
        <w:t>屋面天沟截面宽度应≥300mm，深度应≥300mm，</w:t>
      </w:r>
      <w:r>
        <w:rPr>
          <w:rFonts w:hint="eastAsia" w:ascii="Times New Roman" w:hAnsi="Times New Roman" w:eastAsia="仿宋_GB2312"/>
          <w:sz w:val="32"/>
          <w:szCs w:val="32"/>
        </w:rPr>
        <w:t>需</w:t>
      </w:r>
      <w:r>
        <w:rPr>
          <w:rFonts w:ascii="Times New Roman" w:hAnsi="Times New Roman" w:eastAsia="仿宋_GB2312"/>
          <w:sz w:val="32"/>
          <w:szCs w:val="32"/>
        </w:rPr>
        <w:t>考虑瞬时融雪流量（按50年一遇降水+20%融雪量校核），</w:t>
      </w:r>
      <w:r>
        <w:rPr>
          <w:rFonts w:hint="eastAsia" w:ascii="Times New Roman" w:hAnsi="Times New Roman" w:eastAsia="仿宋_GB2312"/>
          <w:sz w:val="32"/>
          <w:szCs w:val="32"/>
        </w:rPr>
        <w:t>宜设置融冰</w:t>
      </w:r>
      <w:r>
        <w:rPr>
          <w:rFonts w:ascii="Times New Roman" w:hAnsi="Times New Roman" w:eastAsia="仿宋_GB2312"/>
          <w:sz w:val="32"/>
          <w:szCs w:val="32"/>
        </w:rPr>
        <w:t>措施，防止天沟结冰</w:t>
      </w:r>
      <w:r>
        <w:rPr>
          <w:rFonts w:hint="eastAsia" w:ascii="Times New Roman" w:hAnsi="Times New Roman" w:eastAsia="仿宋_GB2312"/>
          <w:sz w:val="32"/>
          <w:szCs w:val="32"/>
        </w:rPr>
        <w:t>。</w:t>
      </w:r>
    </w:p>
    <w:p w14:paraId="6AD9B210">
      <w:pPr>
        <w:spacing w:line="360" w:lineRule="auto"/>
        <w:ind w:right="84" w:rightChars="40" w:firstLine="640" w:firstLineChars="200"/>
        <w:rPr>
          <w:rFonts w:ascii="Times New Roman" w:hAnsi="Times New Roman" w:eastAsia="仿宋_GB2312"/>
          <w:sz w:val="32"/>
          <w:szCs w:val="32"/>
        </w:rPr>
      </w:pPr>
      <w:r>
        <w:rPr>
          <w:rFonts w:ascii="Times New Roman" w:hAnsi="Times New Roman" w:eastAsia="仿宋_GB2312"/>
          <w:sz w:val="32"/>
          <w:szCs w:val="32"/>
        </w:rPr>
        <w:t>落水管直径宜为150mm，并设双层滤网（防冰碴堵塞）</w:t>
      </w:r>
      <w:r>
        <w:rPr>
          <w:rFonts w:hint="eastAsia" w:ascii="Times New Roman" w:hAnsi="Times New Roman" w:eastAsia="仿宋_GB2312"/>
          <w:sz w:val="32"/>
          <w:szCs w:val="32"/>
        </w:rPr>
        <w:t>。落水管宜设于室内，并采取消声及隔音措施。</w:t>
      </w:r>
      <w:r>
        <w:rPr>
          <w:rFonts w:ascii="Times New Roman" w:hAnsi="Times New Roman" w:eastAsia="仿宋_GB2312"/>
          <w:sz w:val="32"/>
          <w:szCs w:val="32"/>
        </w:rPr>
        <w:t>落水管宜直接接入散水沟，落水管穿墙体及其他构件时其周边应填塞耐候胶。</w:t>
      </w:r>
    </w:p>
    <w:p w14:paraId="1D887800">
      <w:pPr>
        <w:spacing w:line="360" w:lineRule="auto"/>
        <w:ind w:right="84" w:rightChars="40" w:firstLine="640" w:firstLineChars="200"/>
        <w:rPr>
          <w:rFonts w:ascii="Times New Roman" w:hAnsi="Times New Roman" w:eastAsia="仿宋_GB2312"/>
          <w:sz w:val="32"/>
          <w:szCs w:val="32"/>
        </w:rPr>
      </w:pPr>
      <w:r>
        <w:rPr>
          <w:rFonts w:ascii="Times New Roman" w:hAnsi="Times New Roman" w:eastAsia="仿宋_GB2312"/>
          <w:sz w:val="32"/>
          <w:szCs w:val="32"/>
        </w:rPr>
        <w:t>屋面天沟两侧</w:t>
      </w:r>
      <w:r>
        <w:rPr>
          <w:rFonts w:hint="eastAsia" w:ascii="Times New Roman" w:hAnsi="Times New Roman" w:eastAsia="仿宋_GB2312"/>
          <w:sz w:val="32"/>
          <w:szCs w:val="32"/>
        </w:rPr>
        <w:t>宜</w:t>
      </w:r>
      <w:r>
        <w:rPr>
          <w:rFonts w:ascii="Times New Roman" w:hAnsi="Times New Roman" w:eastAsia="仿宋_GB2312"/>
          <w:sz w:val="32"/>
          <w:szCs w:val="32"/>
        </w:rPr>
        <w:t>预留500mm宽检修空间，避免踩踏破坏保温层、防水层</w:t>
      </w:r>
      <w:r>
        <w:rPr>
          <w:rFonts w:hint="eastAsia" w:ascii="Times New Roman" w:hAnsi="Times New Roman" w:eastAsia="仿宋_GB2312"/>
          <w:sz w:val="32"/>
          <w:szCs w:val="32"/>
        </w:rPr>
        <w:t>；宜</w:t>
      </w:r>
      <w:r>
        <w:rPr>
          <w:rFonts w:ascii="Times New Roman" w:hAnsi="Times New Roman" w:eastAsia="仿宋_GB2312"/>
          <w:sz w:val="32"/>
          <w:szCs w:val="32"/>
        </w:rPr>
        <w:t>建立远程监测系统（每年入冬前检查、检修），安装温度传感器（预警-15℃以下）及液位报警装置（防堵塞溢流），保证天沟排水畅通。</w:t>
      </w:r>
    </w:p>
    <w:p w14:paraId="7E936D68">
      <w:pPr>
        <w:pStyle w:val="4"/>
      </w:pPr>
      <w:bookmarkStart w:id="75" w:name="_Toc233624882"/>
      <w:r>
        <w:t>门窗工程</w:t>
      </w:r>
      <w:bookmarkEnd w:id="71"/>
      <w:bookmarkEnd w:id="75"/>
    </w:p>
    <w:p w14:paraId="3D6EFB62">
      <w:pPr>
        <w:spacing w:line="360" w:lineRule="auto"/>
        <w:ind w:right="84" w:rightChars="40" w:firstLine="640" w:firstLineChars="200"/>
        <w:rPr>
          <w:rFonts w:ascii="Times New Roman" w:hAnsi="Times New Roman" w:eastAsia="仿宋_GB2312"/>
          <w:sz w:val="32"/>
          <w:szCs w:val="32"/>
        </w:rPr>
      </w:pPr>
      <w:r>
        <w:rPr>
          <w:rFonts w:ascii="Times New Roman" w:hAnsi="Times New Roman" w:eastAsia="仿宋_GB2312"/>
          <w:sz w:val="32"/>
          <w:szCs w:val="32"/>
        </w:rPr>
        <w:t>门窗设计应严格执行《民用建筑通用规范》</w:t>
      </w:r>
      <w:r>
        <w:rPr>
          <w:rFonts w:hint="eastAsia" w:ascii="Times New Roman" w:hAnsi="Times New Roman" w:eastAsia="仿宋_GB2312"/>
          <w:sz w:val="32"/>
          <w:szCs w:val="32"/>
        </w:rPr>
        <w:t>（</w:t>
      </w:r>
      <w:r>
        <w:rPr>
          <w:rFonts w:ascii="Times New Roman" w:hAnsi="Times New Roman" w:eastAsia="仿宋_GB2312"/>
          <w:sz w:val="32"/>
          <w:szCs w:val="32"/>
        </w:rPr>
        <w:t>GB 55031—2022</w:t>
      </w:r>
      <w:r>
        <w:rPr>
          <w:rFonts w:hint="eastAsia" w:ascii="Times New Roman" w:hAnsi="Times New Roman" w:eastAsia="仿宋_GB2312"/>
          <w:sz w:val="32"/>
          <w:szCs w:val="32"/>
        </w:rPr>
        <w:t>）</w:t>
      </w:r>
      <w:r>
        <w:rPr>
          <w:rFonts w:ascii="Times New Roman" w:hAnsi="Times New Roman" w:eastAsia="仿宋_GB2312"/>
          <w:sz w:val="32"/>
          <w:szCs w:val="32"/>
        </w:rPr>
        <w:t>第6.5节、《民用建筑设计统一标准》</w:t>
      </w:r>
      <w:r>
        <w:rPr>
          <w:rFonts w:hint="eastAsia" w:ascii="Times New Roman" w:hAnsi="Times New Roman" w:eastAsia="仿宋_GB2312"/>
          <w:sz w:val="32"/>
          <w:szCs w:val="32"/>
        </w:rPr>
        <w:t>（</w:t>
      </w:r>
      <w:r>
        <w:rPr>
          <w:rFonts w:ascii="Times New Roman" w:hAnsi="Times New Roman" w:eastAsia="仿宋_GB2312"/>
          <w:sz w:val="32"/>
          <w:szCs w:val="32"/>
        </w:rPr>
        <w:t>GB 50352—2019</w:t>
      </w:r>
      <w:r>
        <w:rPr>
          <w:rFonts w:hint="eastAsia" w:ascii="Times New Roman" w:hAnsi="Times New Roman" w:eastAsia="仿宋_GB2312"/>
          <w:sz w:val="32"/>
          <w:szCs w:val="32"/>
        </w:rPr>
        <w:t>）</w:t>
      </w:r>
      <w:r>
        <w:rPr>
          <w:rFonts w:ascii="Times New Roman" w:hAnsi="Times New Roman" w:eastAsia="仿宋_GB2312"/>
          <w:sz w:val="32"/>
          <w:szCs w:val="32"/>
        </w:rPr>
        <w:t>第6.11节、《建筑外门窗气密、水密、抗风压性能检测方法》</w:t>
      </w:r>
      <w:r>
        <w:rPr>
          <w:rFonts w:hint="eastAsia" w:ascii="Times New Roman" w:hAnsi="Times New Roman" w:eastAsia="仿宋_GB2312"/>
          <w:sz w:val="32"/>
          <w:szCs w:val="32"/>
        </w:rPr>
        <w:t>（</w:t>
      </w:r>
      <w:r>
        <w:rPr>
          <w:rFonts w:ascii="Times New Roman" w:hAnsi="Times New Roman" w:eastAsia="仿宋_GB2312"/>
          <w:sz w:val="32"/>
          <w:szCs w:val="32"/>
        </w:rPr>
        <w:t>GB</w:t>
      </w:r>
      <w:r>
        <w:rPr>
          <w:rFonts w:hint="eastAsia" w:ascii="Times New Roman" w:hAnsi="Times New Roman" w:eastAsia="仿宋_GB2312"/>
          <w:sz w:val="32"/>
          <w:szCs w:val="32"/>
        </w:rPr>
        <w:t>/</w:t>
      </w:r>
      <w:r>
        <w:rPr>
          <w:rFonts w:ascii="Times New Roman" w:hAnsi="Times New Roman" w:eastAsia="仿宋_GB2312"/>
          <w:sz w:val="32"/>
          <w:szCs w:val="32"/>
        </w:rPr>
        <w:t>T</w:t>
      </w:r>
      <w:r>
        <w:rPr>
          <w:rFonts w:hint="eastAsia" w:ascii="Times New Roman" w:hAnsi="Times New Roman" w:eastAsia="仿宋_GB2312"/>
          <w:sz w:val="32"/>
          <w:szCs w:val="32"/>
        </w:rPr>
        <w:t xml:space="preserve"> </w:t>
      </w:r>
      <w:r>
        <w:rPr>
          <w:rFonts w:ascii="Times New Roman" w:hAnsi="Times New Roman" w:eastAsia="仿宋_GB2312"/>
          <w:sz w:val="32"/>
          <w:szCs w:val="32"/>
        </w:rPr>
        <w:t>7106—2019</w:t>
      </w:r>
      <w:r>
        <w:rPr>
          <w:rFonts w:hint="eastAsia" w:ascii="Times New Roman" w:hAnsi="Times New Roman" w:eastAsia="仿宋_GB2312"/>
          <w:sz w:val="32"/>
          <w:szCs w:val="32"/>
        </w:rPr>
        <w:t>）</w:t>
      </w:r>
      <w:r>
        <w:rPr>
          <w:rFonts w:ascii="Times New Roman" w:hAnsi="Times New Roman" w:eastAsia="仿宋_GB2312"/>
          <w:sz w:val="32"/>
          <w:szCs w:val="32"/>
        </w:rPr>
        <w:t>、《铝合金门窗》</w:t>
      </w:r>
      <w:r>
        <w:rPr>
          <w:rFonts w:hint="eastAsia" w:ascii="Times New Roman" w:hAnsi="Times New Roman" w:eastAsia="仿宋_GB2312"/>
          <w:sz w:val="32"/>
          <w:szCs w:val="32"/>
        </w:rPr>
        <w:t>（</w:t>
      </w:r>
      <w:r>
        <w:rPr>
          <w:rFonts w:ascii="Times New Roman" w:hAnsi="Times New Roman" w:eastAsia="仿宋_GB2312"/>
          <w:sz w:val="32"/>
          <w:szCs w:val="32"/>
        </w:rPr>
        <w:t>GB /T 84</w:t>
      </w:r>
      <w:r>
        <w:rPr>
          <w:rFonts w:hint="eastAsia" w:ascii="Times New Roman" w:hAnsi="Times New Roman" w:eastAsia="仿宋_GB2312"/>
          <w:sz w:val="32"/>
          <w:szCs w:val="32"/>
        </w:rPr>
        <w:t>78</w:t>
      </w:r>
      <w:r>
        <w:rPr>
          <w:rFonts w:ascii="Times New Roman" w:hAnsi="Times New Roman" w:eastAsia="仿宋_GB2312"/>
          <w:sz w:val="32"/>
          <w:szCs w:val="32"/>
        </w:rPr>
        <w:t>—2020</w:t>
      </w:r>
      <w:r>
        <w:rPr>
          <w:rFonts w:hint="eastAsia" w:ascii="Times New Roman" w:hAnsi="Times New Roman" w:eastAsia="仿宋_GB2312"/>
          <w:sz w:val="32"/>
          <w:szCs w:val="32"/>
        </w:rPr>
        <w:t>）</w:t>
      </w:r>
      <w:r>
        <w:rPr>
          <w:rFonts w:ascii="Times New Roman" w:hAnsi="Times New Roman" w:eastAsia="仿宋_GB2312"/>
          <w:sz w:val="32"/>
          <w:szCs w:val="32"/>
        </w:rPr>
        <w:t>、《铝合金门窗工程技术规范》</w:t>
      </w:r>
      <w:r>
        <w:rPr>
          <w:rFonts w:hint="eastAsia" w:ascii="Times New Roman" w:hAnsi="Times New Roman" w:eastAsia="仿宋_GB2312"/>
          <w:sz w:val="32"/>
          <w:szCs w:val="32"/>
        </w:rPr>
        <w:t>（</w:t>
      </w:r>
      <w:r>
        <w:rPr>
          <w:rFonts w:ascii="Times New Roman" w:hAnsi="Times New Roman" w:eastAsia="仿宋_GB2312"/>
          <w:sz w:val="32"/>
          <w:szCs w:val="32"/>
        </w:rPr>
        <w:t>JGJ 214—2010</w:t>
      </w:r>
      <w:r>
        <w:rPr>
          <w:rFonts w:hint="eastAsia" w:ascii="Times New Roman" w:hAnsi="Times New Roman" w:eastAsia="仿宋_GB2312"/>
          <w:sz w:val="32"/>
          <w:szCs w:val="32"/>
        </w:rPr>
        <w:t>）</w:t>
      </w:r>
      <w:r>
        <w:rPr>
          <w:rFonts w:ascii="Times New Roman" w:hAnsi="Times New Roman" w:eastAsia="仿宋_GB2312"/>
          <w:sz w:val="32"/>
          <w:szCs w:val="32"/>
        </w:rPr>
        <w:t>、《塑料门窗工程技术</w:t>
      </w:r>
      <w:r>
        <w:rPr>
          <w:rFonts w:hint="eastAsia" w:ascii="Times New Roman" w:hAnsi="Times New Roman" w:eastAsia="仿宋_GB2312"/>
          <w:sz w:val="32"/>
          <w:szCs w:val="32"/>
        </w:rPr>
        <w:t>规程</w:t>
      </w:r>
      <w:r>
        <w:rPr>
          <w:rFonts w:ascii="Times New Roman" w:hAnsi="Times New Roman" w:eastAsia="仿宋_GB2312"/>
          <w:sz w:val="32"/>
          <w:szCs w:val="32"/>
        </w:rPr>
        <w:t>》</w:t>
      </w:r>
      <w:r>
        <w:rPr>
          <w:rFonts w:hint="eastAsia" w:ascii="Times New Roman" w:hAnsi="Times New Roman" w:eastAsia="仿宋_GB2312"/>
          <w:sz w:val="32"/>
          <w:szCs w:val="32"/>
        </w:rPr>
        <w:t>（</w:t>
      </w:r>
      <w:r>
        <w:rPr>
          <w:rFonts w:ascii="Times New Roman" w:hAnsi="Times New Roman" w:eastAsia="仿宋_GB2312"/>
          <w:sz w:val="32"/>
          <w:szCs w:val="32"/>
        </w:rPr>
        <w:t>JGJ 103—2008</w:t>
      </w:r>
      <w:r>
        <w:rPr>
          <w:rFonts w:hint="eastAsia" w:ascii="Times New Roman" w:hAnsi="Times New Roman" w:eastAsia="仿宋_GB2312"/>
          <w:sz w:val="32"/>
          <w:szCs w:val="32"/>
        </w:rPr>
        <w:t>）</w:t>
      </w:r>
      <w:r>
        <w:rPr>
          <w:rFonts w:ascii="Times New Roman" w:hAnsi="Times New Roman" w:eastAsia="仿宋_GB2312"/>
          <w:sz w:val="32"/>
          <w:szCs w:val="32"/>
        </w:rPr>
        <w:t>、《建筑玻璃应用技术规程》</w:t>
      </w:r>
      <w:r>
        <w:rPr>
          <w:rFonts w:hint="eastAsia" w:ascii="Times New Roman" w:hAnsi="Times New Roman" w:eastAsia="仿宋_GB2312"/>
          <w:sz w:val="32"/>
          <w:szCs w:val="32"/>
        </w:rPr>
        <w:t>（</w:t>
      </w:r>
      <w:r>
        <w:rPr>
          <w:rFonts w:ascii="Times New Roman" w:hAnsi="Times New Roman" w:eastAsia="仿宋_GB2312"/>
          <w:sz w:val="32"/>
          <w:szCs w:val="32"/>
        </w:rPr>
        <w:t>JGJ 113—2015</w:t>
      </w:r>
      <w:r>
        <w:rPr>
          <w:rFonts w:hint="eastAsia" w:ascii="Times New Roman" w:hAnsi="Times New Roman" w:eastAsia="仿宋_GB2312"/>
          <w:sz w:val="32"/>
          <w:szCs w:val="32"/>
        </w:rPr>
        <w:t>）</w:t>
      </w:r>
      <w:r>
        <w:rPr>
          <w:rFonts w:ascii="Times New Roman" w:hAnsi="Times New Roman" w:eastAsia="仿宋_GB2312"/>
          <w:sz w:val="32"/>
          <w:szCs w:val="32"/>
        </w:rPr>
        <w:t>。</w:t>
      </w:r>
    </w:p>
    <w:p w14:paraId="530D041A">
      <w:pPr>
        <w:spacing w:line="360" w:lineRule="auto"/>
        <w:ind w:right="84" w:rightChars="40" w:firstLine="640" w:firstLineChars="200"/>
        <w:rPr>
          <w:rFonts w:ascii="Times New Roman" w:hAnsi="Times New Roman" w:eastAsia="仿宋_GB2312"/>
          <w:sz w:val="32"/>
          <w:szCs w:val="32"/>
        </w:rPr>
      </w:pPr>
      <w:r>
        <w:rPr>
          <w:rFonts w:ascii="Times New Roman" w:hAnsi="Times New Roman" w:eastAsia="仿宋_GB2312"/>
          <w:sz w:val="32"/>
          <w:szCs w:val="32"/>
        </w:rPr>
        <w:t>门窗密封材料</w:t>
      </w:r>
      <w:r>
        <w:rPr>
          <w:rFonts w:hint="eastAsia" w:ascii="Times New Roman" w:hAnsi="Times New Roman" w:eastAsia="仿宋_GB2312"/>
          <w:sz w:val="32"/>
          <w:szCs w:val="32"/>
        </w:rPr>
        <w:t>宜</w:t>
      </w:r>
      <w:r>
        <w:rPr>
          <w:rFonts w:ascii="Times New Roman" w:hAnsi="Times New Roman" w:eastAsia="仿宋_GB2312"/>
          <w:sz w:val="32"/>
          <w:szCs w:val="32"/>
        </w:rPr>
        <w:t>使用低温柔性硅酮密封胶或三元乙丙橡胶密封条等材料，避免低温硬化、脆裂，并严格执行《铝合金门窗》</w:t>
      </w:r>
      <w:r>
        <w:rPr>
          <w:rFonts w:hint="eastAsia" w:ascii="Times New Roman" w:hAnsi="Times New Roman" w:eastAsia="仿宋_GB2312"/>
          <w:sz w:val="32"/>
          <w:szCs w:val="32"/>
        </w:rPr>
        <w:t>（</w:t>
      </w:r>
      <w:r>
        <w:rPr>
          <w:rFonts w:ascii="Times New Roman" w:hAnsi="Times New Roman" w:eastAsia="仿宋_GB2312"/>
          <w:sz w:val="32"/>
          <w:szCs w:val="32"/>
        </w:rPr>
        <w:t>GB</w:t>
      </w:r>
      <w:r>
        <w:rPr>
          <w:rFonts w:hint="eastAsia" w:ascii="Times New Roman" w:hAnsi="Times New Roman" w:eastAsia="仿宋_GB2312"/>
          <w:sz w:val="32"/>
          <w:szCs w:val="32"/>
        </w:rPr>
        <w:t>/</w:t>
      </w:r>
      <w:r>
        <w:rPr>
          <w:rFonts w:ascii="Times New Roman" w:hAnsi="Times New Roman" w:eastAsia="仿宋_GB2312"/>
          <w:sz w:val="32"/>
          <w:szCs w:val="32"/>
        </w:rPr>
        <w:t>T 84</w:t>
      </w:r>
      <w:r>
        <w:rPr>
          <w:rFonts w:hint="eastAsia" w:ascii="Times New Roman" w:hAnsi="Times New Roman" w:eastAsia="仿宋_GB2312"/>
          <w:sz w:val="32"/>
          <w:szCs w:val="32"/>
        </w:rPr>
        <w:t>78</w:t>
      </w:r>
      <w:r>
        <w:rPr>
          <w:rFonts w:ascii="Times New Roman" w:hAnsi="Times New Roman" w:eastAsia="仿宋_GB2312"/>
          <w:sz w:val="32"/>
          <w:szCs w:val="32"/>
        </w:rPr>
        <w:t>—2020</w:t>
      </w:r>
      <w:r>
        <w:rPr>
          <w:rFonts w:hint="eastAsia" w:ascii="Times New Roman" w:hAnsi="Times New Roman" w:eastAsia="仿宋_GB2312"/>
          <w:sz w:val="32"/>
          <w:szCs w:val="32"/>
        </w:rPr>
        <w:t>）</w:t>
      </w:r>
      <w:r>
        <w:rPr>
          <w:rFonts w:ascii="Times New Roman" w:hAnsi="Times New Roman" w:eastAsia="仿宋_GB2312"/>
          <w:sz w:val="32"/>
          <w:szCs w:val="32"/>
        </w:rPr>
        <w:t>第5.1.5条、《铝合金门窗工程技术规范》</w:t>
      </w:r>
      <w:r>
        <w:rPr>
          <w:rFonts w:hint="eastAsia" w:ascii="Times New Roman" w:hAnsi="Times New Roman" w:eastAsia="仿宋_GB2312"/>
          <w:sz w:val="32"/>
          <w:szCs w:val="32"/>
        </w:rPr>
        <w:t>（</w:t>
      </w:r>
      <w:r>
        <w:rPr>
          <w:rFonts w:ascii="Times New Roman" w:hAnsi="Times New Roman" w:eastAsia="仿宋_GB2312"/>
          <w:sz w:val="32"/>
          <w:szCs w:val="32"/>
        </w:rPr>
        <w:t>JGJ 214—2010</w:t>
      </w:r>
      <w:r>
        <w:rPr>
          <w:rFonts w:hint="eastAsia" w:ascii="Times New Roman" w:hAnsi="Times New Roman" w:eastAsia="仿宋_GB2312"/>
          <w:sz w:val="32"/>
          <w:szCs w:val="32"/>
        </w:rPr>
        <w:t>）</w:t>
      </w:r>
      <w:r>
        <w:rPr>
          <w:rFonts w:ascii="Times New Roman" w:hAnsi="Times New Roman" w:eastAsia="仿宋_GB2312"/>
          <w:sz w:val="32"/>
          <w:szCs w:val="32"/>
        </w:rPr>
        <w:t>第3.3节、《塑料门窗工程技术</w:t>
      </w:r>
      <w:r>
        <w:rPr>
          <w:rFonts w:hint="eastAsia" w:ascii="Times New Roman" w:hAnsi="Times New Roman" w:eastAsia="仿宋_GB2312"/>
          <w:sz w:val="32"/>
          <w:szCs w:val="32"/>
        </w:rPr>
        <w:t>规程</w:t>
      </w:r>
      <w:r>
        <w:rPr>
          <w:rFonts w:ascii="Times New Roman" w:hAnsi="Times New Roman" w:eastAsia="仿宋_GB2312"/>
          <w:sz w:val="32"/>
          <w:szCs w:val="32"/>
        </w:rPr>
        <w:t>》</w:t>
      </w:r>
      <w:r>
        <w:rPr>
          <w:rFonts w:hint="eastAsia" w:ascii="Times New Roman" w:hAnsi="Times New Roman" w:eastAsia="仿宋_GB2312"/>
          <w:sz w:val="32"/>
          <w:szCs w:val="32"/>
        </w:rPr>
        <w:t>（</w:t>
      </w:r>
      <w:r>
        <w:rPr>
          <w:rFonts w:ascii="Times New Roman" w:hAnsi="Times New Roman" w:eastAsia="仿宋_GB2312"/>
          <w:sz w:val="32"/>
          <w:szCs w:val="32"/>
        </w:rPr>
        <w:t>JGJ 103—2008</w:t>
      </w:r>
      <w:r>
        <w:rPr>
          <w:rFonts w:hint="eastAsia" w:ascii="Times New Roman" w:hAnsi="Times New Roman" w:eastAsia="仿宋_GB2312"/>
          <w:sz w:val="32"/>
          <w:szCs w:val="32"/>
        </w:rPr>
        <w:t>）</w:t>
      </w:r>
      <w:r>
        <w:rPr>
          <w:rFonts w:ascii="Times New Roman" w:hAnsi="Times New Roman" w:eastAsia="仿宋_GB2312"/>
          <w:sz w:val="32"/>
          <w:szCs w:val="32"/>
        </w:rPr>
        <w:t>第4.1.3条、《建筑门窗用密封胶条》</w:t>
      </w:r>
      <w:r>
        <w:rPr>
          <w:rFonts w:hint="eastAsia" w:ascii="Times New Roman" w:hAnsi="Times New Roman" w:eastAsia="仿宋_GB2312"/>
          <w:sz w:val="32"/>
          <w:szCs w:val="32"/>
        </w:rPr>
        <w:t>（</w:t>
      </w:r>
      <w:r>
        <w:rPr>
          <w:rFonts w:ascii="Times New Roman" w:hAnsi="Times New Roman" w:eastAsia="仿宋_GB2312"/>
          <w:sz w:val="32"/>
          <w:szCs w:val="32"/>
        </w:rPr>
        <w:t>JG/T</w:t>
      </w:r>
      <w:r>
        <w:rPr>
          <w:rFonts w:hint="eastAsia" w:ascii="Times New Roman" w:hAnsi="Times New Roman" w:eastAsia="仿宋_GB2312"/>
          <w:sz w:val="32"/>
          <w:szCs w:val="32"/>
        </w:rPr>
        <w:t xml:space="preserve"> </w:t>
      </w:r>
      <w:r>
        <w:rPr>
          <w:rFonts w:ascii="Times New Roman" w:hAnsi="Times New Roman" w:eastAsia="仿宋_GB2312"/>
          <w:sz w:val="32"/>
          <w:szCs w:val="32"/>
        </w:rPr>
        <w:t>187—2006</w:t>
      </w:r>
      <w:r>
        <w:rPr>
          <w:rFonts w:hint="eastAsia" w:ascii="Times New Roman" w:hAnsi="Times New Roman" w:eastAsia="仿宋_GB2312"/>
          <w:sz w:val="32"/>
          <w:szCs w:val="32"/>
        </w:rPr>
        <w:t>）</w:t>
      </w:r>
      <w:r>
        <w:rPr>
          <w:rFonts w:ascii="Times New Roman" w:hAnsi="Times New Roman" w:eastAsia="仿宋_GB2312"/>
          <w:sz w:val="32"/>
          <w:szCs w:val="32"/>
        </w:rPr>
        <w:t>、《建筑窗用弹性密封胶》</w:t>
      </w:r>
      <w:r>
        <w:rPr>
          <w:rFonts w:hint="eastAsia" w:ascii="Times New Roman" w:hAnsi="Times New Roman" w:eastAsia="仿宋_GB2312"/>
          <w:sz w:val="32"/>
          <w:szCs w:val="32"/>
        </w:rPr>
        <w:t>（</w:t>
      </w:r>
      <w:r>
        <w:rPr>
          <w:rFonts w:ascii="Times New Roman" w:hAnsi="Times New Roman" w:eastAsia="仿宋_GB2312"/>
          <w:sz w:val="32"/>
          <w:szCs w:val="32"/>
        </w:rPr>
        <w:t>JC/T</w:t>
      </w:r>
      <w:r>
        <w:rPr>
          <w:rFonts w:hint="eastAsia" w:ascii="Times New Roman" w:hAnsi="Times New Roman" w:eastAsia="仿宋_GB2312"/>
          <w:sz w:val="32"/>
          <w:szCs w:val="32"/>
        </w:rPr>
        <w:t xml:space="preserve"> </w:t>
      </w:r>
      <w:r>
        <w:rPr>
          <w:rFonts w:ascii="Times New Roman" w:hAnsi="Times New Roman" w:eastAsia="仿宋_GB2312"/>
          <w:sz w:val="32"/>
          <w:szCs w:val="32"/>
        </w:rPr>
        <w:t>485—2007</w:t>
      </w:r>
      <w:r>
        <w:rPr>
          <w:rFonts w:hint="eastAsia" w:ascii="Times New Roman" w:hAnsi="Times New Roman" w:eastAsia="仿宋_GB2312"/>
          <w:sz w:val="32"/>
          <w:szCs w:val="32"/>
        </w:rPr>
        <w:t>）</w:t>
      </w:r>
      <w:r>
        <w:rPr>
          <w:rFonts w:ascii="Times New Roman" w:hAnsi="Times New Roman" w:eastAsia="仿宋_GB2312"/>
          <w:sz w:val="32"/>
          <w:szCs w:val="32"/>
        </w:rPr>
        <w:t>、《硅酮和改性硅酮建筑密封胶》</w:t>
      </w:r>
      <w:r>
        <w:rPr>
          <w:rFonts w:hint="eastAsia" w:ascii="Times New Roman" w:hAnsi="Times New Roman" w:eastAsia="仿宋_GB2312"/>
          <w:sz w:val="32"/>
          <w:szCs w:val="32"/>
        </w:rPr>
        <w:t>（</w:t>
      </w:r>
      <w:r>
        <w:rPr>
          <w:rFonts w:ascii="Times New Roman" w:hAnsi="Times New Roman" w:eastAsia="仿宋_GB2312"/>
          <w:sz w:val="32"/>
          <w:szCs w:val="32"/>
        </w:rPr>
        <w:t>GB/T</w:t>
      </w:r>
      <w:r>
        <w:rPr>
          <w:rFonts w:hint="eastAsia" w:ascii="Times New Roman" w:hAnsi="Times New Roman" w:eastAsia="仿宋_GB2312"/>
          <w:sz w:val="32"/>
          <w:szCs w:val="32"/>
        </w:rPr>
        <w:t xml:space="preserve"> </w:t>
      </w:r>
      <w:r>
        <w:rPr>
          <w:rFonts w:ascii="Times New Roman" w:hAnsi="Times New Roman" w:eastAsia="仿宋_GB2312"/>
          <w:sz w:val="32"/>
          <w:szCs w:val="32"/>
        </w:rPr>
        <w:t>14683—2017</w:t>
      </w:r>
      <w:r>
        <w:rPr>
          <w:rFonts w:hint="eastAsia" w:ascii="Times New Roman" w:hAnsi="Times New Roman" w:eastAsia="仿宋_GB2312"/>
          <w:sz w:val="32"/>
          <w:szCs w:val="32"/>
        </w:rPr>
        <w:t>）</w:t>
      </w:r>
      <w:r>
        <w:rPr>
          <w:rFonts w:ascii="Times New Roman" w:hAnsi="Times New Roman" w:eastAsia="仿宋_GB2312"/>
          <w:sz w:val="32"/>
          <w:szCs w:val="32"/>
        </w:rPr>
        <w:t>、《丙烯酸酯建筑密封胶》</w:t>
      </w:r>
      <w:r>
        <w:rPr>
          <w:rFonts w:hint="eastAsia" w:ascii="Times New Roman" w:hAnsi="Times New Roman" w:eastAsia="仿宋_GB2312"/>
          <w:sz w:val="32"/>
          <w:szCs w:val="32"/>
        </w:rPr>
        <w:t>（</w:t>
      </w:r>
      <w:r>
        <w:rPr>
          <w:rFonts w:ascii="Times New Roman" w:hAnsi="Times New Roman" w:eastAsia="仿宋_GB2312"/>
          <w:sz w:val="32"/>
          <w:szCs w:val="32"/>
        </w:rPr>
        <w:t>JC/T</w:t>
      </w:r>
      <w:r>
        <w:rPr>
          <w:rFonts w:hint="eastAsia" w:ascii="Times New Roman" w:hAnsi="Times New Roman" w:eastAsia="仿宋_GB2312"/>
          <w:sz w:val="32"/>
          <w:szCs w:val="32"/>
        </w:rPr>
        <w:t xml:space="preserve"> </w:t>
      </w:r>
      <w:r>
        <w:rPr>
          <w:rFonts w:ascii="Times New Roman" w:hAnsi="Times New Roman" w:eastAsia="仿宋_GB2312"/>
          <w:sz w:val="32"/>
          <w:szCs w:val="32"/>
        </w:rPr>
        <w:t>484—2006</w:t>
      </w:r>
      <w:r>
        <w:rPr>
          <w:rFonts w:hint="eastAsia" w:ascii="Times New Roman" w:hAnsi="Times New Roman" w:eastAsia="仿宋_GB2312"/>
          <w:sz w:val="32"/>
          <w:szCs w:val="32"/>
        </w:rPr>
        <w:t>）</w:t>
      </w:r>
      <w:r>
        <w:rPr>
          <w:rFonts w:ascii="Times New Roman" w:hAnsi="Times New Roman" w:eastAsia="仿宋_GB2312"/>
          <w:sz w:val="32"/>
          <w:szCs w:val="32"/>
        </w:rPr>
        <w:t>。</w:t>
      </w:r>
    </w:p>
    <w:p w14:paraId="01B2484B">
      <w:pPr>
        <w:spacing w:line="360" w:lineRule="auto"/>
        <w:ind w:right="84" w:rightChars="40" w:firstLine="640" w:firstLineChars="200"/>
        <w:rPr>
          <w:rFonts w:ascii="Times New Roman" w:hAnsi="Times New Roman" w:eastAsia="仿宋_GB2312"/>
          <w:sz w:val="32"/>
          <w:szCs w:val="32"/>
        </w:rPr>
      </w:pPr>
      <w:r>
        <w:rPr>
          <w:rFonts w:ascii="Times New Roman" w:hAnsi="Times New Roman" w:eastAsia="仿宋_GB2312"/>
          <w:sz w:val="32"/>
          <w:szCs w:val="32"/>
        </w:rPr>
        <w:t>门窗</w:t>
      </w:r>
      <w:r>
        <w:rPr>
          <w:rFonts w:hint="eastAsia" w:ascii="Times New Roman" w:hAnsi="Times New Roman" w:eastAsia="仿宋_GB2312"/>
          <w:sz w:val="32"/>
          <w:szCs w:val="32"/>
        </w:rPr>
        <w:t>型材宜</w:t>
      </w:r>
      <w:r>
        <w:rPr>
          <w:rFonts w:ascii="Times New Roman" w:hAnsi="Times New Roman" w:eastAsia="仿宋_GB2312"/>
          <w:sz w:val="32"/>
          <w:szCs w:val="32"/>
        </w:rPr>
        <w:t>选用涂层保护的铝合金等金属材料，门窗开启方式</w:t>
      </w:r>
      <w:r>
        <w:rPr>
          <w:rFonts w:hint="eastAsia" w:ascii="Times New Roman" w:hAnsi="Times New Roman" w:eastAsia="仿宋_GB2312"/>
          <w:sz w:val="32"/>
          <w:szCs w:val="32"/>
        </w:rPr>
        <w:t>宜</w:t>
      </w:r>
      <w:r>
        <w:rPr>
          <w:rFonts w:ascii="Times New Roman" w:hAnsi="Times New Roman" w:eastAsia="仿宋_GB2312"/>
          <w:sz w:val="32"/>
          <w:szCs w:val="32"/>
        </w:rPr>
        <w:t>采用平开方式；窗框及玻璃色彩应与主体建筑风貌协调。铝合金门窗金属构件接触点</w:t>
      </w:r>
      <w:r>
        <w:rPr>
          <w:rFonts w:hint="eastAsia" w:ascii="Times New Roman" w:hAnsi="Times New Roman" w:eastAsia="仿宋_GB2312"/>
          <w:sz w:val="32"/>
          <w:szCs w:val="32"/>
        </w:rPr>
        <w:t>宜</w:t>
      </w:r>
      <w:r>
        <w:rPr>
          <w:rFonts w:ascii="Times New Roman" w:hAnsi="Times New Roman" w:eastAsia="仿宋_GB2312"/>
          <w:sz w:val="32"/>
          <w:szCs w:val="32"/>
        </w:rPr>
        <w:t>增加绝缘垫片+涂抹导电膏，降低电偶腐蚀。</w:t>
      </w:r>
    </w:p>
    <w:p w14:paraId="3D175AD3">
      <w:pPr>
        <w:spacing w:line="360" w:lineRule="auto"/>
        <w:ind w:right="84" w:rightChars="40" w:firstLine="640" w:firstLineChars="200"/>
        <w:rPr>
          <w:rFonts w:ascii="Times New Roman" w:hAnsi="Times New Roman" w:eastAsia="仿宋_GB2312"/>
          <w:sz w:val="32"/>
          <w:szCs w:val="32"/>
        </w:rPr>
      </w:pPr>
      <w:r>
        <w:rPr>
          <w:rFonts w:hint="eastAsia" w:ascii="Times New Roman" w:hAnsi="Times New Roman" w:eastAsia="仿宋_GB2312"/>
          <w:sz w:val="32"/>
          <w:szCs w:val="32"/>
        </w:rPr>
        <w:t xml:space="preserve">玻璃幕墙应满足《民用建筑通用规范》（GB </w:t>
      </w:r>
      <w:r>
        <w:rPr>
          <w:rFonts w:ascii="Times New Roman" w:hAnsi="Times New Roman" w:eastAsia="仿宋_GB2312"/>
          <w:sz w:val="32"/>
          <w:szCs w:val="32"/>
        </w:rPr>
        <w:t>55031—2022</w:t>
      </w:r>
      <w:r>
        <w:rPr>
          <w:rFonts w:hint="eastAsia" w:ascii="Times New Roman" w:hAnsi="Times New Roman" w:eastAsia="仿宋_GB2312"/>
          <w:sz w:val="32"/>
          <w:szCs w:val="32"/>
        </w:rPr>
        <w:t>）第6</w:t>
      </w:r>
      <w:r>
        <w:rPr>
          <w:rFonts w:ascii="Times New Roman" w:hAnsi="Times New Roman" w:eastAsia="仿宋_GB2312"/>
          <w:sz w:val="32"/>
          <w:szCs w:val="32"/>
        </w:rPr>
        <w:t>.2.8</w:t>
      </w:r>
      <w:r>
        <w:rPr>
          <w:rFonts w:hint="eastAsia" w:ascii="Times New Roman" w:hAnsi="Times New Roman" w:eastAsia="仿宋_GB2312"/>
          <w:sz w:val="32"/>
          <w:szCs w:val="32"/>
        </w:rPr>
        <w:t xml:space="preserve">条、《建筑环境通用规范》（GB </w:t>
      </w:r>
      <w:r>
        <w:rPr>
          <w:rFonts w:ascii="Times New Roman" w:hAnsi="Times New Roman" w:eastAsia="仿宋_GB2312"/>
          <w:sz w:val="32"/>
          <w:szCs w:val="32"/>
        </w:rPr>
        <w:t>55016—2021</w:t>
      </w:r>
      <w:r>
        <w:rPr>
          <w:rFonts w:hint="eastAsia" w:ascii="Times New Roman" w:hAnsi="Times New Roman" w:eastAsia="仿宋_GB2312"/>
          <w:sz w:val="32"/>
          <w:szCs w:val="32"/>
        </w:rPr>
        <w:t>）第3</w:t>
      </w:r>
      <w:r>
        <w:rPr>
          <w:rFonts w:ascii="Times New Roman" w:hAnsi="Times New Roman" w:eastAsia="仿宋_GB2312"/>
          <w:sz w:val="32"/>
          <w:szCs w:val="32"/>
        </w:rPr>
        <w:t>.2.8</w:t>
      </w:r>
      <w:r>
        <w:rPr>
          <w:rFonts w:hint="eastAsia" w:ascii="Times New Roman" w:hAnsi="Times New Roman" w:eastAsia="仿宋_GB2312"/>
          <w:sz w:val="32"/>
          <w:szCs w:val="32"/>
        </w:rPr>
        <w:t xml:space="preserve">条、《民用建筑设计统一标准》（GB </w:t>
      </w:r>
      <w:r>
        <w:rPr>
          <w:rFonts w:ascii="Times New Roman" w:hAnsi="Times New Roman" w:eastAsia="仿宋_GB2312"/>
          <w:sz w:val="32"/>
          <w:szCs w:val="32"/>
        </w:rPr>
        <w:t>50352—2019</w:t>
      </w:r>
      <w:r>
        <w:rPr>
          <w:rFonts w:hint="eastAsia" w:ascii="Times New Roman" w:hAnsi="Times New Roman" w:eastAsia="仿宋_GB2312"/>
          <w:sz w:val="32"/>
          <w:szCs w:val="32"/>
        </w:rPr>
        <w:t>）第6</w:t>
      </w:r>
      <w:r>
        <w:rPr>
          <w:rFonts w:ascii="Times New Roman" w:hAnsi="Times New Roman" w:eastAsia="仿宋_GB2312"/>
          <w:sz w:val="32"/>
          <w:szCs w:val="32"/>
        </w:rPr>
        <w:t>.12</w:t>
      </w:r>
      <w:r>
        <w:rPr>
          <w:rFonts w:hint="eastAsia" w:ascii="Times New Roman" w:hAnsi="Times New Roman" w:eastAsia="仿宋_GB2312"/>
          <w:sz w:val="32"/>
          <w:szCs w:val="32"/>
        </w:rPr>
        <w:t xml:space="preserve">条、《玻璃幕墙工程技术规范》（JGJ </w:t>
      </w:r>
      <w:r>
        <w:rPr>
          <w:rFonts w:ascii="Times New Roman" w:hAnsi="Times New Roman" w:eastAsia="仿宋_GB2312"/>
          <w:sz w:val="32"/>
          <w:szCs w:val="32"/>
        </w:rPr>
        <w:t>102—2003</w:t>
      </w:r>
      <w:r>
        <w:rPr>
          <w:rFonts w:hint="eastAsia" w:ascii="Times New Roman" w:hAnsi="Times New Roman" w:eastAsia="仿宋_GB2312"/>
          <w:sz w:val="32"/>
          <w:szCs w:val="32"/>
        </w:rPr>
        <w:t>）、《四川省玻璃幕墙工程技术标准》（DBJ</w:t>
      </w:r>
      <w:r>
        <w:rPr>
          <w:rFonts w:ascii="Times New Roman" w:hAnsi="Times New Roman" w:eastAsia="仿宋_GB2312"/>
          <w:sz w:val="32"/>
          <w:szCs w:val="32"/>
        </w:rPr>
        <w:t>51/</w:t>
      </w:r>
      <w:r>
        <w:rPr>
          <w:rFonts w:hint="eastAsia" w:ascii="Times New Roman" w:hAnsi="Times New Roman" w:eastAsia="仿宋_GB2312"/>
          <w:sz w:val="32"/>
          <w:szCs w:val="32"/>
        </w:rPr>
        <w:t xml:space="preserve">T </w:t>
      </w:r>
      <w:r>
        <w:rPr>
          <w:rFonts w:ascii="Times New Roman" w:hAnsi="Times New Roman" w:eastAsia="仿宋_GB2312"/>
          <w:sz w:val="32"/>
          <w:szCs w:val="32"/>
        </w:rPr>
        <w:t>139—2020</w:t>
      </w:r>
      <w:r>
        <w:rPr>
          <w:rFonts w:hint="eastAsia" w:ascii="Times New Roman" w:hAnsi="Times New Roman" w:eastAsia="仿宋_GB2312"/>
          <w:sz w:val="32"/>
          <w:szCs w:val="32"/>
        </w:rPr>
        <w:t>）的规定。玻璃幕墙宜采用预制单元式幕墙，但应出具相关出厂检测报告，其节能指标、隔热性能、气密性、水密性、抗风压指标等应满足相关规范要求。</w:t>
      </w:r>
    </w:p>
    <w:bookmarkEnd w:id="72"/>
    <w:p w14:paraId="195508F0">
      <w:pPr>
        <w:pStyle w:val="4"/>
      </w:pPr>
      <w:bookmarkStart w:id="76" w:name="_Toc233624883"/>
      <w:r>
        <w:t>建筑节能及构造</w:t>
      </w:r>
      <w:bookmarkEnd w:id="76"/>
    </w:p>
    <w:p w14:paraId="60EB23ED">
      <w:pPr>
        <w:spacing w:line="360" w:lineRule="auto"/>
        <w:ind w:right="84" w:rightChars="40" w:firstLine="640" w:firstLineChars="200"/>
        <w:rPr>
          <w:rFonts w:ascii="Times New Roman" w:hAnsi="Times New Roman" w:eastAsia="仿宋_GB2312"/>
          <w:sz w:val="32"/>
          <w:szCs w:val="32"/>
        </w:rPr>
      </w:pPr>
      <w:r>
        <w:rPr>
          <w:rFonts w:ascii="Times New Roman" w:hAnsi="Times New Roman" w:eastAsia="仿宋_GB2312"/>
          <w:sz w:val="32"/>
          <w:szCs w:val="32"/>
        </w:rPr>
        <w:t>节能设计应根据《民用建筑热工设计规范》</w:t>
      </w:r>
      <w:r>
        <w:rPr>
          <w:rFonts w:hint="eastAsia" w:ascii="Times New Roman" w:hAnsi="Times New Roman" w:eastAsia="仿宋_GB2312"/>
          <w:sz w:val="32"/>
          <w:szCs w:val="32"/>
        </w:rPr>
        <w:t>（</w:t>
      </w:r>
      <w:r>
        <w:rPr>
          <w:rFonts w:ascii="Times New Roman" w:hAnsi="Times New Roman" w:eastAsia="仿宋_GB2312"/>
          <w:sz w:val="32"/>
          <w:szCs w:val="32"/>
        </w:rPr>
        <w:t>GB 50176—2016</w:t>
      </w:r>
      <w:r>
        <w:rPr>
          <w:rFonts w:hint="eastAsia" w:ascii="Times New Roman" w:hAnsi="Times New Roman" w:eastAsia="仿宋_GB2312"/>
          <w:sz w:val="32"/>
          <w:szCs w:val="32"/>
        </w:rPr>
        <w:t>）</w:t>
      </w:r>
      <w:r>
        <w:rPr>
          <w:rFonts w:ascii="Times New Roman" w:hAnsi="Times New Roman" w:eastAsia="仿宋_GB2312"/>
          <w:sz w:val="32"/>
          <w:szCs w:val="32"/>
        </w:rPr>
        <w:t>附录A、《建筑环境通用规范》</w:t>
      </w:r>
      <w:r>
        <w:rPr>
          <w:rFonts w:hint="eastAsia" w:ascii="Times New Roman" w:hAnsi="Times New Roman" w:eastAsia="仿宋_GB2312"/>
          <w:sz w:val="32"/>
          <w:szCs w:val="32"/>
        </w:rPr>
        <w:t>（</w:t>
      </w:r>
      <w:r>
        <w:rPr>
          <w:rFonts w:ascii="Times New Roman" w:hAnsi="Times New Roman" w:eastAsia="仿宋_GB2312"/>
          <w:sz w:val="32"/>
          <w:szCs w:val="32"/>
        </w:rPr>
        <w:t>GB 55016—2021</w:t>
      </w:r>
      <w:r>
        <w:rPr>
          <w:rFonts w:hint="eastAsia" w:ascii="Times New Roman" w:hAnsi="Times New Roman" w:eastAsia="仿宋_GB2312"/>
          <w:sz w:val="32"/>
          <w:szCs w:val="32"/>
        </w:rPr>
        <w:t>）</w:t>
      </w:r>
      <w:r>
        <w:rPr>
          <w:rFonts w:ascii="Times New Roman" w:hAnsi="Times New Roman" w:eastAsia="仿宋_GB2312"/>
          <w:sz w:val="32"/>
          <w:szCs w:val="32"/>
        </w:rPr>
        <w:t>附录C、《四川省居住建筑节能设计标准》</w:t>
      </w:r>
      <w:r>
        <w:rPr>
          <w:rFonts w:hint="eastAsia" w:ascii="Times New Roman" w:hAnsi="Times New Roman" w:eastAsia="仿宋_GB2312"/>
          <w:sz w:val="32"/>
          <w:szCs w:val="32"/>
        </w:rPr>
        <w:t>（</w:t>
      </w:r>
      <w:r>
        <w:rPr>
          <w:rFonts w:ascii="Times New Roman" w:hAnsi="Times New Roman" w:eastAsia="仿宋_GB2312"/>
          <w:sz w:val="32"/>
          <w:szCs w:val="32"/>
        </w:rPr>
        <w:t>DB51</w:t>
      </w:r>
      <w:r>
        <w:rPr>
          <w:rFonts w:hint="eastAsia" w:ascii="Times New Roman" w:hAnsi="Times New Roman" w:eastAsia="仿宋_GB2312"/>
          <w:sz w:val="32"/>
          <w:szCs w:val="32"/>
        </w:rPr>
        <w:t>/</w:t>
      </w:r>
      <w:r>
        <w:rPr>
          <w:rFonts w:ascii="Times New Roman" w:hAnsi="Times New Roman" w:eastAsia="仿宋_GB2312"/>
          <w:sz w:val="32"/>
          <w:szCs w:val="32"/>
        </w:rPr>
        <w:t>T 5027—2024</w:t>
      </w:r>
      <w:r>
        <w:rPr>
          <w:rFonts w:hint="eastAsia" w:ascii="Times New Roman" w:hAnsi="Times New Roman" w:eastAsia="仿宋_GB2312"/>
          <w:sz w:val="32"/>
          <w:szCs w:val="32"/>
        </w:rPr>
        <w:t>）</w:t>
      </w:r>
      <w:r>
        <w:rPr>
          <w:rFonts w:ascii="Times New Roman" w:hAnsi="Times New Roman" w:eastAsia="仿宋_GB2312"/>
          <w:sz w:val="32"/>
          <w:szCs w:val="32"/>
        </w:rPr>
        <w:t>附录A确定气候分区，按气候分区严格执行《建筑节能与可再生能源利用通用规范》</w:t>
      </w:r>
      <w:r>
        <w:rPr>
          <w:rFonts w:hint="eastAsia" w:ascii="Times New Roman" w:hAnsi="Times New Roman" w:eastAsia="仿宋_GB2312"/>
          <w:sz w:val="32"/>
          <w:szCs w:val="32"/>
        </w:rPr>
        <w:t>（</w:t>
      </w:r>
      <w:r>
        <w:rPr>
          <w:rFonts w:ascii="Times New Roman" w:hAnsi="Times New Roman" w:eastAsia="仿宋_GB2312"/>
          <w:sz w:val="32"/>
          <w:szCs w:val="32"/>
        </w:rPr>
        <w:t>GB 55015—2021</w:t>
      </w:r>
      <w:r>
        <w:rPr>
          <w:rFonts w:hint="eastAsia" w:ascii="Times New Roman" w:hAnsi="Times New Roman" w:eastAsia="仿宋_GB2312"/>
          <w:sz w:val="32"/>
          <w:szCs w:val="32"/>
        </w:rPr>
        <w:t>）</w:t>
      </w:r>
      <w:r>
        <w:rPr>
          <w:rFonts w:ascii="Times New Roman" w:hAnsi="Times New Roman" w:eastAsia="仿宋_GB2312"/>
          <w:sz w:val="32"/>
          <w:szCs w:val="32"/>
        </w:rPr>
        <w:t>第3、4章及《建筑环境通用规范》</w:t>
      </w:r>
      <w:r>
        <w:rPr>
          <w:rFonts w:hint="eastAsia" w:ascii="Times New Roman" w:hAnsi="Times New Roman" w:eastAsia="仿宋_GB2312"/>
          <w:sz w:val="32"/>
          <w:szCs w:val="32"/>
        </w:rPr>
        <w:t>（</w:t>
      </w:r>
      <w:r>
        <w:rPr>
          <w:rFonts w:ascii="Times New Roman" w:hAnsi="Times New Roman" w:eastAsia="仿宋_GB2312"/>
          <w:sz w:val="32"/>
          <w:szCs w:val="32"/>
        </w:rPr>
        <w:t>GB 55016—2021</w:t>
      </w:r>
      <w:r>
        <w:rPr>
          <w:rFonts w:hint="eastAsia" w:ascii="Times New Roman" w:hAnsi="Times New Roman" w:eastAsia="仿宋_GB2312"/>
          <w:sz w:val="32"/>
          <w:szCs w:val="32"/>
        </w:rPr>
        <w:t>）</w:t>
      </w:r>
      <w:r>
        <w:rPr>
          <w:rFonts w:ascii="Times New Roman" w:hAnsi="Times New Roman" w:eastAsia="仿宋_GB2312"/>
          <w:sz w:val="32"/>
          <w:szCs w:val="32"/>
        </w:rPr>
        <w:t>第4章、《工业建筑节能设计统一标准》</w:t>
      </w:r>
      <w:r>
        <w:rPr>
          <w:rFonts w:hint="eastAsia" w:ascii="Times New Roman" w:hAnsi="Times New Roman" w:eastAsia="仿宋_GB2312"/>
          <w:sz w:val="32"/>
          <w:szCs w:val="32"/>
        </w:rPr>
        <w:t>（</w:t>
      </w:r>
      <w:r>
        <w:rPr>
          <w:rFonts w:ascii="Times New Roman" w:hAnsi="Times New Roman" w:eastAsia="仿宋_GB2312"/>
          <w:sz w:val="32"/>
          <w:szCs w:val="32"/>
        </w:rPr>
        <w:t>GB 51245—2017</w:t>
      </w:r>
      <w:r>
        <w:rPr>
          <w:rFonts w:hint="eastAsia" w:ascii="Times New Roman" w:hAnsi="Times New Roman" w:eastAsia="仿宋_GB2312"/>
          <w:sz w:val="32"/>
          <w:szCs w:val="32"/>
        </w:rPr>
        <w:t>）</w:t>
      </w:r>
      <w:r>
        <w:rPr>
          <w:rFonts w:ascii="Times New Roman" w:hAnsi="Times New Roman" w:eastAsia="仿宋_GB2312"/>
          <w:sz w:val="32"/>
          <w:szCs w:val="32"/>
        </w:rPr>
        <w:t>、《四川省公共建筑节能设计标准》</w:t>
      </w:r>
      <w:r>
        <w:rPr>
          <w:rFonts w:hint="eastAsia" w:ascii="Times New Roman" w:hAnsi="Times New Roman" w:eastAsia="仿宋_GB2312"/>
          <w:sz w:val="32"/>
          <w:szCs w:val="32"/>
        </w:rPr>
        <w:t>（</w:t>
      </w:r>
      <w:r>
        <w:rPr>
          <w:rFonts w:ascii="Times New Roman" w:hAnsi="Times New Roman" w:eastAsia="仿宋_GB2312"/>
          <w:sz w:val="32"/>
          <w:szCs w:val="32"/>
        </w:rPr>
        <w:t>DBJ51/143—2020</w:t>
      </w:r>
      <w:r>
        <w:rPr>
          <w:rFonts w:hint="eastAsia" w:ascii="Times New Roman" w:hAnsi="Times New Roman" w:eastAsia="仿宋_GB2312"/>
          <w:sz w:val="32"/>
          <w:szCs w:val="32"/>
        </w:rPr>
        <w:t>）；</w:t>
      </w:r>
      <w:r>
        <w:rPr>
          <w:rFonts w:ascii="Times New Roman" w:hAnsi="Times New Roman" w:eastAsia="仿宋_GB2312"/>
          <w:sz w:val="32"/>
          <w:szCs w:val="32"/>
        </w:rPr>
        <w:t>居住建筑还应执行《严寒和寒冷地区居住建筑节能设计标准》</w:t>
      </w:r>
      <w:r>
        <w:rPr>
          <w:rFonts w:hint="eastAsia" w:ascii="Times New Roman" w:hAnsi="Times New Roman" w:eastAsia="仿宋_GB2312"/>
          <w:sz w:val="32"/>
          <w:szCs w:val="32"/>
        </w:rPr>
        <w:t>（</w:t>
      </w:r>
      <w:r>
        <w:rPr>
          <w:rFonts w:ascii="Times New Roman" w:hAnsi="Times New Roman" w:eastAsia="仿宋_GB2312"/>
          <w:sz w:val="32"/>
          <w:szCs w:val="32"/>
        </w:rPr>
        <w:t>JGJ</w:t>
      </w:r>
      <w:r>
        <w:rPr>
          <w:rFonts w:hint="eastAsia" w:ascii="Times New Roman" w:hAnsi="Times New Roman" w:eastAsia="仿宋_GB2312"/>
          <w:sz w:val="32"/>
          <w:szCs w:val="32"/>
        </w:rPr>
        <w:t xml:space="preserve"> </w:t>
      </w:r>
      <w:r>
        <w:rPr>
          <w:rFonts w:ascii="Times New Roman" w:hAnsi="Times New Roman" w:eastAsia="仿宋_GB2312"/>
          <w:sz w:val="32"/>
          <w:szCs w:val="32"/>
        </w:rPr>
        <w:t>26—2018</w:t>
      </w:r>
      <w:r>
        <w:rPr>
          <w:rFonts w:hint="eastAsia" w:ascii="Times New Roman" w:hAnsi="Times New Roman" w:eastAsia="仿宋_GB2312"/>
          <w:sz w:val="32"/>
          <w:szCs w:val="32"/>
        </w:rPr>
        <w:t>）</w:t>
      </w:r>
      <w:r>
        <w:rPr>
          <w:rFonts w:ascii="Times New Roman" w:hAnsi="Times New Roman" w:eastAsia="仿宋_GB2312"/>
          <w:sz w:val="32"/>
          <w:szCs w:val="32"/>
        </w:rPr>
        <w:t>、《四川省居住建筑节能设计标准》</w:t>
      </w:r>
      <w:r>
        <w:rPr>
          <w:rFonts w:hint="eastAsia" w:ascii="Times New Roman" w:hAnsi="Times New Roman" w:eastAsia="仿宋_GB2312"/>
          <w:sz w:val="32"/>
          <w:szCs w:val="32"/>
        </w:rPr>
        <w:t>（</w:t>
      </w:r>
      <w:r>
        <w:rPr>
          <w:rFonts w:ascii="Times New Roman" w:hAnsi="Times New Roman" w:eastAsia="仿宋_GB2312"/>
          <w:sz w:val="32"/>
          <w:szCs w:val="32"/>
        </w:rPr>
        <w:t>DB51</w:t>
      </w:r>
      <w:r>
        <w:rPr>
          <w:rFonts w:hint="eastAsia" w:ascii="Times New Roman" w:hAnsi="Times New Roman" w:eastAsia="仿宋_GB2312"/>
          <w:sz w:val="32"/>
          <w:szCs w:val="32"/>
        </w:rPr>
        <w:t>/</w:t>
      </w:r>
      <w:r>
        <w:rPr>
          <w:rFonts w:ascii="Times New Roman" w:hAnsi="Times New Roman" w:eastAsia="仿宋_GB2312"/>
          <w:sz w:val="32"/>
          <w:szCs w:val="32"/>
        </w:rPr>
        <w:t>T 5027—2024</w:t>
      </w:r>
      <w:r>
        <w:rPr>
          <w:rFonts w:hint="eastAsia" w:ascii="Times New Roman" w:hAnsi="Times New Roman" w:eastAsia="仿宋_GB2312"/>
          <w:sz w:val="32"/>
          <w:szCs w:val="32"/>
        </w:rPr>
        <w:t>）</w:t>
      </w:r>
      <w:r>
        <w:rPr>
          <w:rFonts w:ascii="Times New Roman" w:hAnsi="Times New Roman" w:eastAsia="仿宋_GB2312"/>
          <w:sz w:val="32"/>
          <w:szCs w:val="32"/>
        </w:rPr>
        <w:t>。</w:t>
      </w:r>
    </w:p>
    <w:p w14:paraId="0D00B19A">
      <w:pPr>
        <w:spacing w:line="360" w:lineRule="auto"/>
        <w:ind w:right="84" w:rightChars="40" w:firstLine="640" w:firstLineChars="200"/>
        <w:rPr>
          <w:rFonts w:ascii="Times New Roman" w:hAnsi="Times New Roman" w:eastAsia="仿宋_GB2312"/>
          <w:sz w:val="32"/>
          <w:szCs w:val="32"/>
        </w:rPr>
      </w:pPr>
      <w:r>
        <w:rPr>
          <w:rFonts w:ascii="Times New Roman" w:hAnsi="Times New Roman" w:eastAsia="仿宋_GB2312"/>
          <w:sz w:val="32"/>
          <w:szCs w:val="32"/>
        </w:rPr>
        <w:t>节能门窗除上述要求外，还应严格执行《建筑外门窗气密、水密、抗风压性能检测方法》</w:t>
      </w:r>
      <w:r>
        <w:rPr>
          <w:rFonts w:hint="eastAsia" w:ascii="Times New Roman" w:hAnsi="Times New Roman" w:eastAsia="仿宋_GB2312"/>
          <w:sz w:val="32"/>
          <w:szCs w:val="32"/>
        </w:rPr>
        <w:t>（</w:t>
      </w:r>
      <w:r>
        <w:rPr>
          <w:rFonts w:ascii="Times New Roman" w:hAnsi="Times New Roman" w:eastAsia="仿宋_GB2312"/>
          <w:sz w:val="32"/>
          <w:szCs w:val="32"/>
        </w:rPr>
        <w:t>GB/T 7106—2019</w:t>
      </w:r>
      <w:r>
        <w:rPr>
          <w:rFonts w:hint="eastAsia" w:ascii="Times New Roman" w:hAnsi="Times New Roman" w:eastAsia="仿宋_GB2312"/>
          <w:sz w:val="32"/>
          <w:szCs w:val="32"/>
        </w:rPr>
        <w:t>）</w:t>
      </w:r>
      <w:r>
        <w:rPr>
          <w:rFonts w:ascii="Times New Roman" w:hAnsi="Times New Roman" w:eastAsia="仿宋_GB2312"/>
          <w:sz w:val="32"/>
          <w:szCs w:val="32"/>
        </w:rPr>
        <w:t>、《四川省建筑门窗节能性能标识工作暂行管理办法》（川建勘设科</w:t>
      </w:r>
      <w:r>
        <w:rPr>
          <w:rFonts w:hint="eastAsia" w:ascii="Times New Roman" w:hAnsi="Times New Roman" w:eastAsia="仿宋_GB2312"/>
          <w:sz w:val="32"/>
          <w:szCs w:val="32"/>
        </w:rPr>
        <w:t>〔</w:t>
      </w:r>
      <w:r>
        <w:rPr>
          <w:rFonts w:ascii="Times New Roman" w:hAnsi="Times New Roman" w:eastAsia="仿宋_GB2312"/>
          <w:sz w:val="32"/>
          <w:szCs w:val="32"/>
        </w:rPr>
        <w:t>2011</w:t>
      </w:r>
      <w:r>
        <w:rPr>
          <w:rFonts w:hint="eastAsia" w:ascii="Times New Roman" w:hAnsi="Times New Roman" w:eastAsia="仿宋_GB2312"/>
          <w:sz w:val="32"/>
          <w:szCs w:val="32"/>
        </w:rPr>
        <w:t>〕</w:t>
      </w:r>
      <w:r>
        <w:rPr>
          <w:rFonts w:ascii="Times New Roman" w:hAnsi="Times New Roman" w:eastAsia="仿宋_GB2312"/>
          <w:sz w:val="32"/>
          <w:szCs w:val="32"/>
        </w:rPr>
        <w:t>173号）、《四川省建筑节能门窗应用技术规程》</w:t>
      </w:r>
      <w:r>
        <w:rPr>
          <w:rFonts w:hint="eastAsia" w:ascii="Times New Roman" w:hAnsi="Times New Roman" w:eastAsia="仿宋_GB2312"/>
          <w:sz w:val="32"/>
          <w:szCs w:val="32"/>
        </w:rPr>
        <w:t>（</w:t>
      </w:r>
      <w:r>
        <w:rPr>
          <w:rFonts w:ascii="Times New Roman" w:hAnsi="Times New Roman" w:eastAsia="仿宋_GB2312"/>
          <w:sz w:val="32"/>
          <w:szCs w:val="32"/>
        </w:rPr>
        <w:t>DBJ51/T 041—2023</w:t>
      </w:r>
      <w:r>
        <w:rPr>
          <w:rFonts w:hint="eastAsia" w:ascii="Times New Roman" w:hAnsi="Times New Roman" w:eastAsia="仿宋_GB2312"/>
          <w:sz w:val="32"/>
          <w:szCs w:val="32"/>
        </w:rPr>
        <w:t>）</w:t>
      </w:r>
      <w:r>
        <w:rPr>
          <w:rFonts w:ascii="Times New Roman" w:hAnsi="Times New Roman" w:eastAsia="仿宋_GB2312"/>
          <w:sz w:val="32"/>
          <w:szCs w:val="32"/>
        </w:rPr>
        <w:t>。</w:t>
      </w:r>
    </w:p>
    <w:p w14:paraId="74EBF73A">
      <w:pPr>
        <w:spacing w:line="360" w:lineRule="auto"/>
        <w:ind w:right="84" w:rightChars="40" w:firstLine="640" w:firstLineChars="200"/>
        <w:rPr>
          <w:rFonts w:ascii="Times New Roman" w:hAnsi="Times New Roman" w:eastAsia="仿宋_GB2312"/>
          <w:sz w:val="32"/>
          <w:szCs w:val="32"/>
        </w:rPr>
      </w:pPr>
      <w:r>
        <w:rPr>
          <w:rFonts w:ascii="Times New Roman" w:hAnsi="Times New Roman" w:eastAsia="仿宋_GB2312"/>
          <w:sz w:val="32"/>
          <w:szCs w:val="32"/>
        </w:rPr>
        <w:t>建筑节能构造设计应严格执行《外墙内保温工程技术规程》</w:t>
      </w:r>
      <w:r>
        <w:rPr>
          <w:rFonts w:hint="eastAsia" w:ascii="Times New Roman" w:hAnsi="Times New Roman" w:eastAsia="仿宋_GB2312"/>
          <w:sz w:val="32"/>
          <w:szCs w:val="32"/>
        </w:rPr>
        <w:t>（</w:t>
      </w:r>
      <w:r>
        <w:rPr>
          <w:rFonts w:ascii="Times New Roman" w:hAnsi="Times New Roman" w:eastAsia="仿宋_GB2312"/>
          <w:sz w:val="32"/>
          <w:szCs w:val="32"/>
        </w:rPr>
        <w:t>JGJ/T 261—2011</w:t>
      </w:r>
      <w:r>
        <w:rPr>
          <w:rFonts w:hint="eastAsia" w:ascii="Times New Roman" w:hAnsi="Times New Roman" w:eastAsia="仿宋_GB2312"/>
          <w:sz w:val="32"/>
          <w:szCs w:val="32"/>
        </w:rPr>
        <w:t>）</w:t>
      </w:r>
      <w:r>
        <w:rPr>
          <w:rFonts w:ascii="Times New Roman" w:hAnsi="Times New Roman" w:eastAsia="仿宋_GB2312"/>
          <w:sz w:val="32"/>
          <w:szCs w:val="32"/>
        </w:rPr>
        <w:t>、《外墙外保温工程技术标准》</w:t>
      </w:r>
      <w:r>
        <w:rPr>
          <w:rFonts w:hint="eastAsia" w:ascii="Times New Roman" w:hAnsi="Times New Roman" w:eastAsia="仿宋_GB2312"/>
          <w:sz w:val="32"/>
          <w:szCs w:val="32"/>
        </w:rPr>
        <w:t>（</w:t>
      </w:r>
      <w:r>
        <w:rPr>
          <w:rFonts w:ascii="Times New Roman" w:hAnsi="Times New Roman" w:eastAsia="仿宋_GB2312"/>
          <w:sz w:val="32"/>
          <w:szCs w:val="32"/>
        </w:rPr>
        <w:t>JGJ</w:t>
      </w:r>
      <w:r>
        <w:rPr>
          <w:rFonts w:hint="eastAsia" w:ascii="Times New Roman" w:hAnsi="Times New Roman" w:eastAsia="仿宋_GB2312"/>
          <w:sz w:val="32"/>
          <w:szCs w:val="32"/>
        </w:rPr>
        <w:t xml:space="preserve"> </w:t>
      </w:r>
      <w:r>
        <w:rPr>
          <w:rFonts w:ascii="Times New Roman" w:hAnsi="Times New Roman" w:eastAsia="仿宋_GB2312"/>
          <w:sz w:val="32"/>
          <w:szCs w:val="32"/>
        </w:rPr>
        <w:t>144—2019</w:t>
      </w:r>
      <w:r>
        <w:rPr>
          <w:rFonts w:hint="eastAsia" w:ascii="Times New Roman" w:hAnsi="Times New Roman" w:eastAsia="仿宋_GB2312"/>
          <w:sz w:val="32"/>
          <w:szCs w:val="32"/>
        </w:rPr>
        <w:t>）</w:t>
      </w:r>
      <w:r>
        <w:rPr>
          <w:rFonts w:ascii="Times New Roman" w:hAnsi="Times New Roman" w:eastAsia="仿宋_GB2312"/>
          <w:sz w:val="32"/>
          <w:szCs w:val="32"/>
        </w:rPr>
        <w:t>、《岩棉薄抹灰外墙外保温工程技术标准》</w:t>
      </w:r>
      <w:r>
        <w:rPr>
          <w:rFonts w:hint="eastAsia" w:ascii="Times New Roman" w:hAnsi="Times New Roman" w:eastAsia="仿宋_GB2312"/>
          <w:sz w:val="32"/>
          <w:szCs w:val="32"/>
        </w:rPr>
        <w:t>（</w:t>
      </w:r>
      <w:r>
        <w:rPr>
          <w:rFonts w:ascii="Times New Roman" w:hAnsi="Times New Roman" w:eastAsia="仿宋_GB2312"/>
          <w:sz w:val="32"/>
          <w:szCs w:val="32"/>
        </w:rPr>
        <w:t>JGJ</w:t>
      </w:r>
      <w:r>
        <w:rPr>
          <w:rFonts w:hint="eastAsia" w:ascii="Times New Roman" w:hAnsi="Times New Roman" w:eastAsia="仿宋_GB2312"/>
          <w:sz w:val="32"/>
          <w:szCs w:val="32"/>
        </w:rPr>
        <w:t>/</w:t>
      </w:r>
      <w:r>
        <w:rPr>
          <w:rFonts w:ascii="Times New Roman" w:hAnsi="Times New Roman" w:eastAsia="仿宋_GB2312"/>
          <w:sz w:val="32"/>
          <w:szCs w:val="32"/>
        </w:rPr>
        <w:t>T</w:t>
      </w:r>
      <w:r>
        <w:rPr>
          <w:rFonts w:hint="eastAsia" w:ascii="Times New Roman" w:hAnsi="Times New Roman" w:eastAsia="仿宋_GB2312"/>
          <w:sz w:val="32"/>
          <w:szCs w:val="32"/>
        </w:rPr>
        <w:t xml:space="preserve"> </w:t>
      </w:r>
      <w:r>
        <w:rPr>
          <w:rFonts w:ascii="Times New Roman" w:hAnsi="Times New Roman" w:eastAsia="仿宋_GB2312"/>
          <w:sz w:val="32"/>
          <w:szCs w:val="32"/>
        </w:rPr>
        <w:t>480—2019</w:t>
      </w:r>
      <w:r>
        <w:rPr>
          <w:rFonts w:hint="eastAsia" w:ascii="Times New Roman" w:hAnsi="Times New Roman" w:eastAsia="仿宋_GB2312"/>
          <w:sz w:val="32"/>
          <w:szCs w:val="32"/>
        </w:rPr>
        <w:t>）</w:t>
      </w:r>
      <w:r>
        <w:rPr>
          <w:rFonts w:ascii="Times New Roman" w:hAnsi="Times New Roman" w:eastAsia="仿宋_GB2312"/>
          <w:sz w:val="32"/>
          <w:szCs w:val="32"/>
        </w:rPr>
        <w:t>、《硬泡聚氨酯保温防水工程技术规范》</w:t>
      </w:r>
      <w:r>
        <w:rPr>
          <w:rFonts w:hint="eastAsia" w:ascii="Times New Roman" w:hAnsi="Times New Roman" w:eastAsia="仿宋_GB2312"/>
          <w:sz w:val="32"/>
          <w:szCs w:val="32"/>
        </w:rPr>
        <w:t>（</w:t>
      </w:r>
      <w:r>
        <w:rPr>
          <w:rFonts w:ascii="Times New Roman" w:hAnsi="Times New Roman" w:eastAsia="仿宋_GB2312"/>
          <w:sz w:val="32"/>
          <w:szCs w:val="32"/>
        </w:rPr>
        <w:t>GB</w:t>
      </w:r>
      <w:r>
        <w:rPr>
          <w:rFonts w:hint="eastAsia" w:ascii="Times New Roman" w:hAnsi="Times New Roman" w:eastAsia="仿宋_GB2312"/>
          <w:sz w:val="32"/>
          <w:szCs w:val="32"/>
        </w:rPr>
        <w:t xml:space="preserve"> </w:t>
      </w:r>
      <w:r>
        <w:rPr>
          <w:rFonts w:ascii="Times New Roman" w:hAnsi="Times New Roman" w:eastAsia="仿宋_GB2312"/>
          <w:sz w:val="32"/>
          <w:szCs w:val="32"/>
        </w:rPr>
        <w:t>50404—2017</w:t>
      </w:r>
      <w:r>
        <w:rPr>
          <w:rFonts w:hint="eastAsia" w:ascii="Times New Roman" w:hAnsi="Times New Roman" w:eastAsia="仿宋_GB2312"/>
          <w:sz w:val="32"/>
          <w:szCs w:val="32"/>
        </w:rPr>
        <w:t>）</w:t>
      </w:r>
      <w:r>
        <w:rPr>
          <w:rFonts w:ascii="Times New Roman" w:hAnsi="Times New Roman" w:eastAsia="仿宋_GB2312"/>
          <w:sz w:val="32"/>
          <w:szCs w:val="32"/>
        </w:rPr>
        <w:t>、《屋面工程技术规范》</w:t>
      </w:r>
      <w:r>
        <w:rPr>
          <w:rFonts w:hint="eastAsia" w:ascii="Times New Roman" w:hAnsi="Times New Roman" w:eastAsia="仿宋_GB2312"/>
          <w:sz w:val="32"/>
          <w:szCs w:val="32"/>
        </w:rPr>
        <w:t>（</w:t>
      </w:r>
      <w:r>
        <w:rPr>
          <w:rFonts w:ascii="Times New Roman" w:hAnsi="Times New Roman" w:eastAsia="仿宋_GB2312"/>
          <w:sz w:val="32"/>
          <w:szCs w:val="32"/>
        </w:rPr>
        <w:t>GB</w:t>
      </w:r>
      <w:r>
        <w:rPr>
          <w:rFonts w:hint="eastAsia" w:ascii="Times New Roman" w:hAnsi="Times New Roman" w:eastAsia="仿宋_GB2312"/>
          <w:sz w:val="32"/>
          <w:szCs w:val="32"/>
        </w:rPr>
        <w:t xml:space="preserve"> </w:t>
      </w:r>
      <w:r>
        <w:rPr>
          <w:rFonts w:ascii="Times New Roman" w:hAnsi="Times New Roman" w:eastAsia="仿宋_GB2312"/>
          <w:sz w:val="32"/>
          <w:szCs w:val="32"/>
        </w:rPr>
        <w:t>50345—2012</w:t>
      </w:r>
      <w:r>
        <w:rPr>
          <w:rFonts w:hint="eastAsia" w:ascii="Times New Roman" w:hAnsi="Times New Roman" w:eastAsia="仿宋_GB2312"/>
          <w:sz w:val="32"/>
          <w:szCs w:val="32"/>
        </w:rPr>
        <w:t>）</w:t>
      </w:r>
      <w:r>
        <w:rPr>
          <w:rFonts w:ascii="Times New Roman" w:hAnsi="Times New Roman" w:eastAsia="仿宋_GB2312"/>
          <w:sz w:val="32"/>
          <w:szCs w:val="32"/>
        </w:rPr>
        <w:t>第4.4节、《坡屋面工程技术规范》</w:t>
      </w:r>
      <w:r>
        <w:rPr>
          <w:rFonts w:hint="eastAsia" w:ascii="Times New Roman" w:hAnsi="Times New Roman" w:eastAsia="仿宋_GB2312"/>
          <w:sz w:val="32"/>
          <w:szCs w:val="32"/>
        </w:rPr>
        <w:t>（</w:t>
      </w:r>
      <w:r>
        <w:rPr>
          <w:rFonts w:ascii="Times New Roman" w:hAnsi="Times New Roman" w:eastAsia="仿宋_GB2312"/>
          <w:sz w:val="32"/>
          <w:szCs w:val="32"/>
        </w:rPr>
        <w:t>GB 50693—2011</w:t>
      </w:r>
      <w:r>
        <w:rPr>
          <w:rFonts w:hint="eastAsia" w:ascii="Times New Roman" w:hAnsi="Times New Roman" w:eastAsia="仿宋_GB2312"/>
          <w:sz w:val="32"/>
          <w:szCs w:val="32"/>
        </w:rPr>
        <w:t>）</w:t>
      </w:r>
      <w:r>
        <w:rPr>
          <w:rFonts w:ascii="Times New Roman" w:hAnsi="Times New Roman" w:eastAsia="仿宋_GB2312"/>
          <w:sz w:val="32"/>
          <w:szCs w:val="32"/>
        </w:rPr>
        <w:t>第4.2节、《建筑工程设计文件编制深度规定（2016年版）》第4.3.7条第1款。</w:t>
      </w:r>
    </w:p>
    <w:p w14:paraId="3EA382FD">
      <w:pPr>
        <w:spacing w:line="360" w:lineRule="auto"/>
        <w:ind w:right="84" w:rightChars="40" w:firstLine="640" w:firstLineChars="200"/>
        <w:rPr>
          <w:rFonts w:ascii="Times New Roman" w:hAnsi="Times New Roman" w:eastAsia="仿宋_GB2312"/>
          <w:sz w:val="32"/>
          <w:szCs w:val="32"/>
        </w:rPr>
      </w:pPr>
      <w:r>
        <w:rPr>
          <w:rFonts w:ascii="Times New Roman" w:hAnsi="Times New Roman" w:eastAsia="仿宋_GB2312"/>
          <w:sz w:val="32"/>
          <w:szCs w:val="32"/>
        </w:rPr>
        <w:t>窗口、墙角</w:t>
      </w:r>
      <w:r>
        <w:rPr>
          <w:rFonts w:hint="eastAsia" w:ascii="Times New Roman" w:hAnsi="Times New Roman" w:eastAsia="仿宋_GB2312"/>
          <w:sz w:val="32"/>
          <w:szCs w:val="32"/>
        </w:rPr>
        <w:t>、</w:t>
      </w:r>
      <w:bookmarkStart w:id="77" w:name="OLE_LINK9"/>
      <w:r>
        <w:rPr>
          <w:rFonts w:hint="eastAsia" w:ascii="Times New Roman" w:hAnsi="Times New Roman" w:eastAsia="仿宋_GB2312"/>
          <w:sz w:val="32"/>
          <w:szCs w:val="32"/>
        </w:rPr>
        <w:t>女儿墙</w:t>
      </w:r>
      <w:bookmarkEnd w:id="77"/>
      <w:r>
        <w:rPr>
          <w:rFonts w:hint="eastAsia" w:ascii="Times New Roman" w:hAnsi="Times New Roman" w:eastAsia="仿宋_GB2312"/>
          <w:sz w:val="32"/>
          <w:szCs w:val="32"/>
        </w:rPr>
        <w:t>、泛水、外墙装饰线脚</w:t>
      </w:r>
      <w:r>
        <w:rPr>
          <w:rFonts w:ascii="Times New Roman" w:hAnsi="Times New Roman" w:eastAsia="仿宋_GB2312"/>
          <w:sz w:val="32"/>
          <w:szCs w:val="32"/>
        </w:rPr>
        <w:t>等</w:t>
      </w:r>
      <w:r>
        <w:rPr>
          <w:rFonts w:hint="eastAsia" w:ascii="Times New Roman" w:hAnsi="Times New Roman" w:eastAsia="仿宋_GB2312"/>
          <w:sz w:val="32"/>
          <w:szCs w:val="32"/>
        </w:rPr>
        <w:t>节点构造设计</w:t>
      </w:r>
      <w:r>
        <w:rPr>
          <w:rFonts w:ascii="Times New Roman" w:hAnsi="Times New Roman" w:eastAsia="仿宋_GB2312"/>
          <w:sz w:val="32"/>
          <w:szCs w:val="32"/>
        </w:rPr>
        <w:t>，</w:t>
      </w:r>
      <w:r>
        <w:rPr>
          <w:rFonts w:hint="eastAsia" w:ascii="Times New Roman" w:hAnsi="Times New Roman" w:eastAsia="仿宋_GB2312"/>
          <w:sz w:val="32"/>
          <w:szCs w:val="32"/>
        </w:rPr>
        <w:t>应采取防止雨（雪）水进入保温层的措施，如女儿墙增设水平盖板等。</w:t>
      </w:r>
    </w:p>
    <w:p w14:paraId="3C2582E8">
      <w:pPr>
        <w:pStyle w:val="4"/>
      </w:pPr>
      <w:bookmarkStart w:id="78" w:name="_Toc231199826"/>
      <w:bookmarkStart w:id="79" w:name="_Toc233624884"/>
      <w:r>
        <w:t>保温材料</w:t>
      </w:r>
      <w:bookmarkEnd w:id="78"/>
      <w:bookmarkEnd w:id="79"/>
    </w:p>
    <w:p w14:paraId="381C595C">
      <w:pPr>
        <w:spacing w:line="360" w:lineRule="auto"/>
        <w:ind w:right="84" w:rightChars="40" w:firstLine="640" w:firstLineChars="200"/>
        <w:rPr>
          <w:rFonts w:ascii="Times New Roman" w:hAnsi="Times New Roman" w:eastAsia="仿宋_GB2312"/>
          <w:sz w:val="32"/>
          <w:szCs w:val="32"/>
        </w:rPr>
      </w:pPr>
      <w:r>
        <w:rPr>
          <w:rFonts w:ascii="Times New Roman" w:hAnsi="Times New Roman" w:eastAsia="仿宋_GB2312"/>
          <w:sz w:val="32"/>
          <w:szCs w:val="32"/>
        </w:rPr>
        <w:t>保温材料需满足极低导热系数、耐低温脆裂、抗紫外线老化、防潮抗冻融、低吸水率和良好的憎水性等核心要求，保温材料厚度应通过热工计算确定。</w:t>
      </w:r>
      <w:r>
        <w:rPr>
          <w:rFonts w:hint="eastAsia" w:ascii="Times New Roman" w:hAnsi="Times New Roman" w:eastAsia="仿宋_GB2312"/>
          <w:sz w:val="32"/>
          <w:szCs w:val="32"/>
        </w:rPr>
        <w:t>保温材料的燃烧性能等级应满足《建筑防火通用规范》（GB</w:t>
      </w:r>
      <w:r>
        <w:rPr>
          <w:rFonts w:ascii="Times New Roman" w:hAnsi="Times New Roman" w:eastAsia="仿宋_GB2312"/>
          <w:sz w:val="32"/>
          <w:szCs w:val="32"/>
        </w:rPr>
        <w:t xml:space="preserve"> 55037—2022</w:t>
      </w:r>
      <w:r>
        <w:rPr>
          <w:rFonts w:hint="eastAsia" w:ascii="Times New Roman" w:hAnsi="Times New Roman" w:eastAsia="仿宋_GB2312"/>
          <w:sz w:val="32"/>
          <w:szCs w:val="32"/>
        </w:rPr>
        <w:t>）第6</w:t>
      </w:r>
      <w:r>
        <w:rPr>
          <w:rFonts w:ascii="Times New Roman" w:hAnsi="Times New Roman" w:eastAsia="仿宋_GB2312"/>
          <w:sz w:val="32"/>
          <w:szCs w:val="32"/>
        </w:rPr>
        <w:t>.6</w:t>
      </w:r>
      <w:r>
        <w:rPr>
          <w:rFonts w:hint="eastAsia" w:ascii="Times New Roman" w:hAnsi="Times New Roman" w:eastAsia="仿宋_GB2312"/>
          <w:sz w:val="32"/>
          <w:szCs w:val="32"/>
        </w:rPr>
        <w:t>节及《建筑设计防火规范》（GB</w:t>
      </w:r>
      <w:r>
        <w:rPr>
          <w:rFonts w:ascii="Times New Roman" w:hAnsi="Times New Roman" w:eastAsia="仿宋_GB2312"/>
          <w:sz w:val="32"/>
          <w:szCs w:val="32"/>
        </w:rPr>
        <w:t xml:space="preserve"> 50016—2014</w:t>
      </w:r>
      <w:r>
        <w:rPr>
          <w:rFonts w:hint="eastAsia" w:ascii="Times New Roman" w:hAnsi="Times New Roman" w:eastAsia="仿宋_GB2312"/>
          <w:sz w:val="32"/>
          <w:szCs w:val="32"/>
        </w:rPr>
        <w:t>（2</w:t>
      </w:r>
      <w:r>
        <w:rPr>
          <w:rFonts w:ascii="Times New Roman" w:hAnsi="Times New Roman" w:eastAsia="仿宋_GB2312"/>
          <w:sz w:val="32"/>
          <w:szCs w:val="32"/>
        </w:rPr>
        <w:t>018</w:t>
      </w:r>
      <w:r>
        <w:rPr>
          <w:rFonts w:hint="eastAsia" w:ascii="Times New Roman" w:hAnsi="Times New Roman" w:eastAsia="仿宋_GB2312"/>
          <w:sz w:val="32"/>
          <w:szCs w:val="32"/>
        </w:rPr>
        <w:t>年版））第6</w:t>
      </w:r>
      <w:r>
        <w:rPr>
          <w:rFonts w:ascii="Times New Roman" w:hAnsi="Times New Roman" w:eastAsia="仿宋_GB2312"/>
          <w:sz w:val="32"/>
          <w:szCs w:val="32"/>
        </w:rPr>
        <w:t>.7</w:t>
      </w:r>
      <w:r>
        <w:rPr>
          <w:rFonts w:hint="eastAsia" w:ascii="Times New Roman" w:hAnsi="Times New Roman" w:eastAsia="仿宋_GB2312"/>
          <w:sz w:val="32"/>
          <w:szCs w:val="32"/>
        </w:rPr>
        <w:t>节的要求。</w:t>
      </w:r>
    </w:p>
    <w:p w14:paraId="3EF7AEAB">
      <w:pPr>
        <w:spacing w:line="360" w:lineRule="auto"/>
        <w:ind w:right="84" w:rightChars="40" w:firstLine="640" w:firstLineChars="200"/>
        <w:rPr>
          <w:rFonts w:ascii="Times New Roman" w:hAnsi="Times New Roman" w:eastAsia="仿宋_GB2312"/>
          <w:sz w:val="32"/>
          <w:szCs w:val="32"/>
        </w:rPr>
      </w:pPr>
      <w:r>
        <w:rPr>
          <w:rFonts w:hint="eastAsia" w:ascii="Times New Roman" w:hAnsi="Times New Roman" w:eastAsia="仿宋_GB2312"/>
          <w:sz w:val="32"/>
          <w:szCs w:val="32"/>
        </w:rPr>
        <w:t>1.</w:t>
      </w:r>
      <w:r>
        <w:rPr>
          <w:rFonts w:ascii="Times New Roman" w:hAnsi="Times New Roman" w:eastAsia="仿宋_GB2312"/>
          <w:sz w:val="32"/>
          <w:szCs w:val="32"/>
        </w:rPr>
        <w:t>保温材料选择</w:t>
      </w:r>
    </w:p>
    <w:p w14:paraId="5501C142">
      <w:pPr>
        <w:spacing w:line="360" w:lineRule="auto"/>
        <w:ind w:right="84" w:rightChars="40" w:firstLine="640" w:firstLineChars="200"/>
        <w:rPr>
          <w:rFonts w:ascii="Times New Roman" w:hAnsi="Times New Roman" w:eastAsia="仿宋_GB2312"/>
          <w:sz w:val="32"/>
          <w:szCs w:val="32"/>
        </w:rPr>
      </w:pPr>
      <w:r>
        <w:rPr>
          <w:rFonts w:hint="eastAsia" w:ascii="Times New Roman" w:hAnsi="Times New Roman" w:eastAsia="仿宋_GB2312"/>
          <w:sz w:val="32"/>
          <w:szCs w:val="32"/>
        </w:rPr>
        <w:t>宜</w:t>
      </w:r>
      <w:r>
        <w:rPr>
          <w:rFonts w:ascii="Times New Roman" w:hAnsi="Times New Roman" w:eastAsia="仿宋_GB2312"/>
          <w:sz w:val="32"/>
          <w:szCs w:val="32"/>
        </w:rPr>
        <w:t>选择以下保温材料（或性能类似的保温材料）：</w:t>
      </w:r>
    </w:p>
    <w:p w14:paraId="1B5683D6">
      <w:pPr>
        <w:spacing w:line="360" w:lineRule="auto"/>
        <w:ind w:right="84" w:rightChars="40" w:firstLine="640" w:firstLineChars="200"/>
        <w:rPr>
          <w:rFonts w:ascii="Times New Roman" w:hAnsi="Times New Roman" w:eastAsia="仿宋_GB2312"/>
          <w:sz w:val="32"/>
          <w:szCs w:val="32"/>
        </w:rPr>
      </w:pPr>
      <w:r>
        <w:rPr>
          <w:rFonts w:ascii="Times New Roman" w:hAnsi="Times New Roman" w:eastAsia="仿宋_GB2312"/>
          <w:sz w:val="32"/>
          <w:szCs w:val="32"/>
        </w:rPr>
        <w:t>1）无机类保温材料：</w:t>
      </w:r>
    </w:p>
    <w:p w14:paraId="05C77ED3">
      <w:pPr>
        <w:spacing w:line="360" w:lineRule="auto"/>
        <w:ind w:right="84" w:rightChars="40" w:firstLine="640" w:firstLineChars="200"/>
        <w:rPr>
          <w:rFonts w:ascii="Times New Roman" w:hAnsi="Times New Roman" w:eastAsia="仿宋_GB2312"/>
          <w:sz w:val="32"/>
          <w:szCs w:val="32"/>
        </w:rPr>
      </w:pPr>
      <w:r>
        <w:rPr>
          <w:rFonts w:ascii="Times New Roman" w:hAnsi="Times New Roman" w:eastAsia="仿宋_GB2312"/>
          <w:sz w:val="32"/>
          <w:szCs w:val="32"/>
        </w:rPr>
        <w:t>气凝胶复合保温板、泡沫玻璃保温板、</w:t>
      </w:r>
      <w:bookmarkStart w:id="80" w:name="_Hlk219645110"/>
      <w:r>
        <w:rPr>
          <w:rFonts w:ascii="Times New Roman" w:hAnsi="Times New Roman" w:eastAsia="仿宋_GB2312"/>
          <w:sz w:val="32"/>
          <w:szCs w:val="32"/>
        </w:rPr>
        <w:t>膨胀珍珠岩保温板</w:t>
      </w:r>
      <w:bookmarkEnd w:id="80"/>
      <w:r>
        <w:rPr>
          <w:rFonts w:ascii="Times New Roman" w:hAnsi="Times New Roman" w:eastAsia="仿宋_GB2312"/>
          <w:sz w:val="32"/>
          <w:szCs w:val="32"/>
        </w:rPr>
        <w:t>（需进行憎水处理）、玻化微珠保温板、岩棉保温板（</w:t>
      </w:r>
      <w:bookmarkStart w:id="81" w:name="_Hlk219645162"/>
      <w:r>
        <w:rPr>
          <w:rFonts w:ascii="Times New Roman" w:hAnsi="Times New Roman" w:eastAsia="仿宋_GB2312"/>
          <w:sz w:val="32"/>
          <w:szCs w:val="32"/>
        </w:rPr>
        <w:t>需进行憎水处理</w:t>
      </w:r>
      <w:bookmarkEnd w:id="81"/>
      <w:r>
        <w:rPr>
          <w:rFonts w:ascii="Times New Roman" w:hAnsi="Times New Roman" w:eastAsia="仿宋_GB2312"/>
          <w:sz w:val="32"/>
          <w:szCs w:val="32"/>
        </w:rPr>
        <w:t>）</w:t>
      </w:r>
      <w:r>
        <w:rPr>
          <w:rFonts w:hint="eastAsia" w:ascii="Times New Roman" w:hAnsi="Times New Roman" w:eastAsia="仿宋_GB2312"/>
          <w:sz w:val="32"/>
          <w:szCs w:val="32"/>
        </w:rPr>
        <w:t>等材料</w:t>
      </w:r>
      <w:r>
        <w:rPr>
          <w:rFonts w:ascii="Times New Roman" w:hAnsi="Times New Roman" w:eastAsia="仿宋_GB2312"/>
          <w:sz w:val="32"/>
          <w:szCs w:val="32"/>
        </w:rPr>
        <w:t>。</w:t>
      </w:r>
    </w:p>
    <w:p w14:paraId="4E394DDE">
      <w:pPr>
        <w:spacing w:line="360" w:lineRule="auto"/>
        <w:ind w:right="84" w:rightChars="40" w:firstLine="640" w:firstLineChars="200"/>
        <w:rPr>
          <w:rFonts w:ascii="Times New Roman" w:hAnsi="Times New Roman" w:eastAsia="仿宋_GB2312"/>
          <w:sz w:val="32"/>
          <w:szCs w:val="32"/>
        </w:rPr>
      </w:pPr>
      <w:r>
        <w:rPr>
          <w:rFonts w:ascii="Times New Roman" w:hAnsi="Times New Roman" w:eastAsia="仿宋_GB2312"/>
          <w:sz w:val="32"/>
          <w:szCs w:val="32"/>
        </w:rPr>
        <w:t>2）有机类保温材料：</w:t>
      </w:r>
    </w:p>
    <w:p w14:paraId="10CEBB33">
      <w:pPr>
        <w:spacing w:line="360" w:lineRule="auto"/>
        <w:ind w:right="84" w:rightChars="40" w:firstLine="640" w:firstLineChars="200"/>
        <w:rPr>
          <w:rFonts w:ascii="Times New Roman" w:hAnsi="Times New Roman" w:eastAsia="仿宋_GB2312"/>
          <w:sz w:val="32"/>
          <w:szCs w:val="32"/>
        </w:rPr>
      </w:pPr>
      <w:r>
        <w:rPr>
          <w:rFonts w:ascii="Times New Roman" w:hAnsi="Times New Roman" w:eastAsia="仿宋_GB2312"/>
          <w:sz w:val="32"/>
          <w:szCs w:val="32"/>
        </w:rPr>
        <w:t>改性聚苯乙烯板、硬质聚氨酯泡沫板、酚醛树脂板</w:t>
      </w:r>
      <w:r>
        <w:rPr>
          <w:rFonts w:hint="eastAsia" w:ascii="Times New Roman" w:hAnsi="Times New Roman" w:eastAsia="仿宋_GB2312"/>
          <w:sz w:val="32"/>
          <w:szCs w:val="32"/>
        </w:rPr>
        <w:t>等材料</w:t>
      </w:r>
      <w:r>
        <w:rPr>
          <w:rFonts w:ascii="Times New Roman" w:hAnsi="Times New Roman" w:eastAsia="仿宋_GB2312"/>
          <w:sz w:val="32"/>
          <w:szCs w:val="32"/>
        </w:rPr>
        <w:t>。</w:t>
      </w:r>
    </w:p>
    <w:p w14:paraId="619C06C8">
      <w:pPr>
        <w:spacing w:line="360" w:lineRule="auto"/>
        <w:ind w:right="84" w:rightChars="40" w:firstLine="640" w:firstLineChars="200"/>
        <w:rPr>
          <w:rFonts w:ascii="Times New Roman" w:hAnsi="Times New Roman" w:eastAsia="仿宋_GB2312"/>
          <w:sz w:val="32"/>
          <w:szCs w:val="32"/>
        </w:rPr>
      </w:pPr>
      <w:r>
        <w:rPr>
          <w:rFonts w:ascii="Times New Roman" w:hAnsi="Times New Roman" w:eastAsia="仿宋_GB2312"/>
          <w:sz w:val="32"/>
          <w:szCs w:val="32"/>
        </w:rPr>
        <w:t>3）复合型保温系统：</w:t>
      </w:r>
    </w:p>
    <w:p w14:paraId="3CDEC963">
      <w:pPr>
        <w:spacing w:line="360" w:lineRule="auto"/>
        <w:ind w:right="84" w:rightChars="40" w:firstLine="640" w:firstLineChars="200"/>
        <w:rPr>
          <w:rFonts w:ascii="Times New Roman" w:hAnsi="Times New Roman" w:eastAsia="仿宋_GB2312"/>
          <w:sz w:val="32"/>
          <w:szCs w:val="32"/>
        </w:rPr>
      </w:pPr>
      <w:r>
        <w:rPr>
          <w:rFonts w:ascii="Times New Roman" w:hAnsi="Times New Roman" w:eastAsia="仿宋_GB2312"/>
          <w:sz w:val="32"/>
          <w:szCs w:val="32"/>
        </w:rPr>
        <w:t>真空绝热板、多层反射结构（铝箔反射膜+隔热层）。</w:t>
      </w:r>
    </w:p>
    <w:p w14:paraId="6F267227">
      <w:pPr>
        <w:spacing w:line="360" w:lineRule="auto"/>
        <w:ind w:right="84" w:rightChars="40" w:firstLine="640" w:firstLineChars="200"/>
        <w:rPr>
          <w:rFonts w:ascii="Times New Roman" w:hAnsi="Times New Roman" w:eastAsia="仿宋_GB2312"/>
          <w:sz w:val="32"/>
          <w:szCs w:val="32"/>
        </w:rPr>
      </w:pPr>
      <w:r>
        <w:rPr>
          <w:rFonts w:ascii="Times New Roman" w:hAnsi="Times New Roman" w:eastAsia="仿宋_GB2312"/>
          <w:sz w:val="32"/>
          <w:szCs w:val="32"/>
        </w:rPr>
        <w:t>4）天然及再生材料：</w:t>
      </w:r>
    </w:p>
    <w:p w14:paraId="6FCBE511">
      <w:pPr>
        <w:spacing w:line="360" w:lineRule="auto"/>
        <w:ind w:right="84" w:rightChars="40" w:firstLine="640" w:firstLineChars="200"/>
        <w:rPr>
          <w:rFonts w:ascii="Times New Roman" w:hAnsi="Times New Roman" w:eastAsia="仿宋_GB2312"/>
          <w:sz w:val="32"/>
          <w:szCs w:val="32"/>
        </w:rPr>
      </w:pPr>
      <w:r>
        <w:rPr>
          <w:rFonts w:ascii="Times New Roman" w:hAnsi="Times New Roman" w:eastAsia="仿宋_GB2312"/>
          <w:sz w:val="32"/>
          <w:szCs w:val="32"/>
        </w:rPr>
        <w:t>牦牛毛毡（适合临时建筑）、秸秆压缩板（经阻燃处理后可用于低造价民居）。</w:t>
      </w:r>
    </w:p>
    <w:p w14:paraId="0F6437B5">
      <w:pPr>
        <w:spacing w:line="360" w:lineRule="auto"/>
        <w:ind w:right="84" w:rightChars="40" w:firstLine="640" w:firstLineChars="200"/>
        <w:rPr>
          <w:rFonts w:ascii="Times New Roman" w:hAnsi="Times New Roman" w:eastAsia="仿宋_GB2312"/>
          <w:sz w:val="32"/>
          <w:szCs w:val="32"/>
        </w:rPr>
      </w:pPr>
      <w:r>
        <w:rPr>
          <w:rFonts w:hint="eastAsia" w:ascii="Times New Roman" w:hAnsi="Times New Roman" w:eastAsia="仿宋_GB2312"/>
          <w:sz w:val="32"/>
          <w:szCs w:val="32"/>
        </w:rPr>
        <w:t>2.</w:t>
      </w:r>
      <w:r>
        <w:rPr>
          <w:rFonts w:ascii="Times New Roman" w:hAnsi="Times New Roman" w:eastAsia="仿宋_GB2312"/>
          <w:sz w:val="32"/>
          <w:szCs w:val="32"/>
        </w:rPr>
        <w:t>保温材料施工</w:t>
      </w:r>
    </w:p>
    <w:p w14:paraId="5F964B48">
      <w:pPr>
        <w:spacing w:line="360" w:lineRule="auto"/>
        <w:ind w:right="84" w:rightChars="40" w:firstLine="640" w:firstLineChars="200"/>
        <w:rPr>
          <w:rFonts w:ascii="Times New Roman" w:hAnsi="Times New Roman" w:eastAsia="仿宋_GB2312"/>
          <w:sz w:val="32"/>
          <w:szCs w:val="32"/>
        </w:rPr>
      </w:pPr>
      <w:r>
        <w:rPr>
          <w:rFonts w:ascii="Times New Roman" w:hAnsi="Times New Roman" w:eastAsia="仿宋_GB2312"/>
          <w:sz w:val="32"/>
          <w:szCs w:val="32"/>
        </w:rPr>
        <w:t>保温材料施工是保证节能效果、耐久性和安全性的关键，其施工注意事项如下：</w:t>
      </w:r>
    </w:p>
    <w:p w14:paraId="5D3E0D65">
      <w:pPr>
        <w:spacing w:line="360" w:lineRule="auto"/>
        <w:ind w:right="84" w:rightChars="40" w:firstLine="640" w:firstLineChars="200"/>
        <w:rPr>
          <w:rFonts w:ascii="Times New Roman" w:hAnsi="Times New Roman" w:eastAsia="仿宋_GB2312"/>
          <w:sz w:val="32"/>
          <w:szCs w:val="32"/>
        </w:rPr>
      </w:pPr>
      <w:r>
        <w:rPr>
          <w:rFonts w:ascii="Times New Roman" w:hAnsi="Times New Roman" w:eastAsia="仿宋_GB2312"/>
          <w:sz w:val="32"/>
          <w:szCs w:val="32"/>
        </w:rPr>
        <w:t>1）确保基层平整、牢固、干燥。</w:t>
      </w:r>
    </w:p>
    <w:p w14:paraId="78D9DB17">
      <w:pPr>
        <w:spacing w:line="360" w:lineRule="auto"/>
        <w:ind w:right="84" w:rightChars="40" w:firstLine="640" w:firstLineChars="200"/>
        <w:rPr>
          <w:rFonts w:ascii="Times New Roman" w:hAnsi="Times New Roman" w:eastAsia="仿宋_GB2312"/>
          <w:sz w:val="32"/>
          <w:szCs w:val="32"/>
        </w:rPr>
      </w:pPr>
      <w:r>
        <w:rPr>
          <w:rFonts w:ascii="Times New Roman" w:hAnsi="Times New Roman" w:eastAsia="仿宋_GB2312"/>
          <w:sz w:val="32"/>
          <w:szCs w:val="32"/>
        </w:rPr>
        <w:t>2）采用专用粘结砂浆和锚固件固定，确保连接牢固。</w:t>
      </w:r>
    </w:p>
    <w:p w14:paraId="12225186">
      <w:pPr>
        <w:spacing w:line="360" w:lineRule="auto"/>
        <w:ind w:right="84" w:rightChars="40" w:firstLine="640" w:firstLineChars="200"/>
        <w:rPr>
          <w:rFonts w:ascii="Times New Roman" w:hAnsi="Times New Roman" w:eastAsia="仿宋_GB2312"/>
          <w:sz w:val="32"/>
          <w:szCs w:val="32"/>
        </w:rPr>
      </w:pPr>
      <w:r>
        <w:rPr>
          <w:rFonts w:ascii="Times New Roman" w:hAnsi="Times New Roman" w:eastAsia="仿宋_GB2312"/>
          <w:sz w:val="32"/>
          <w:szCs w:val="32"/>
        </w:rPr>
        <w:t>3）节点的密封处理，如窗口、墙角</w:t>
      </w:r>
      <w:r>
        <w:rPr>
          <w:rFonts w:hint="eastAsia" w:ascii="Times New Roman" w:hAnsi="Times New Roman" w:eastAsia="仿宋_GB2312"/>
          <w:sz w:val="32"/>
          <w:szCs w:val="32"/>
        </w:rPr>
        <w:t>、女儿墙、外墙装饰线脚</w:t>
      </w:r>
      <w:r>
        <w:rPr>
          <w:rFonts w:ascii="Times New Roman" w:hAnsi="Times New Roman" w:eastAsia="仿宋_GB2312"/>
          <w:sz w:val="32"/>
          <w:szCs w:val="32"/>
        </w:rPr>
        <w:t>等，避免形成热桥。</w:t>
      </w:r>
    </w:p>
    <w:p w14:paraId="09C1C502">
      <w:pPr>
        <w:spacing w:line="360" w:lineRule="auto"/>
        <w:ind w:right="84" w:rightChars="40" w:firstLine="640" w:firstLineChars="200"/>
        <w:rPr>
          <w:rFonts w:ascii="Times New Roman" w:hAnsi="Times New Roman" w:eastAsia="仿宋_GB2312"/>
          <w:sz w:val="32"/>
          <w:szCs w:val="32"/>
        </w:rPr>
      </w:pPr>
      <w:r>
        <w:rPr>
          <w:rFonts w:ascii="Times New Roman" w:hAnsi="Times New Roman" w:eastAsia="仿宋_GB2312"/>
          <w:sz w:val="32"/>
          <w:szCs w:val="32"/>
        </w:rPr>
        <w:t>4）对于膨胀珍珠岩</w:t>
      </w:r>
      <w:r>
        <w:rPr>
          <w:rFonts w:hint="eastAsia" w:ascii="Times New Roman" w:hAnsi="Times New Roman" w:eastAsia="仿宋_GB2312"/>
          <w:sz w:val="32"/>
          <w:szCs w:val="32"/>
        </w:rPr>
        <w:t>、</w:t>
      </w:r>
      <w:r>
        <w:rPr>
          <w:rFonts w:ascii="Times New Roman" w:hAnsi="Times New Roman" w:eastAsia="仿宋_GB2312"/>
          <w:sz w:val="32"/>
          <w:szCs w:val="32"/>
        </w:rPr>
        <w:t>岩棉等吸水率高的材料，应</w:t>
      </w:r>
      <w:r>
        <w:rPr>
          <w:rFonts w:hint="eastAsia" w:ascii="Times New Roman" w:hAnsi="Times New Roman" w:eastAsia="仿宋_GB2312"/>
          <w:sz w:val="32"/>
          <w:szCs w:val="32"/>
        </w:rPr>
        <w:t>采取</w:t>
      </w:r>
      <w:r>
        <w:rPr>
          <w:rFonts w:ascii="Times New Roman" w:hAnsi="Times New Roman" w:eastAsia="仿宋_GB2312"/>
          <w:sz w:val="32"/>
          <w:szCs w:val="32"/>
        </w:rPr>
        <w:t>憎水处理</w:t>
      </w:r>
      <w:r>
        <w:rPr>
          <w:rFonts w:hint="eastAsia" w:ascii="Times New Roman" w:hAnsi="Times New Roman" w:eastAsia="仿宋_GB2312"/>
          <w:sz w:val="32"/>
          <w:szCs w:val="32"/>
        </w:rPr>
        <w:t>措施</w:t>
      </w:r>
      <w:r>
        <w:rPr>
          <w:rFonts w:ascii="Times New Roman" w:hAnsi="Times New Roman" w:eastAsia="仿宋_GB2312"/>
          <w:sz w:val="32"/>
          <w:szCs w:val="32"/>
        </w:rPr>
        <w:t>。</w:t>
      </w:r>
    </w:p>
    <w:p w14:paraId="249A28E4">
      <w:pPr>
        <w:pStyle w:val="4"/>
      </w:pPr>
      <w:bookmarkStart w:id="82" w:name="_Toc233624885"/>
      <w:r>
        <w:t>防水材料及防水构造</w:t>
      </w:r>
      <w:bookmarkEnd w:id="82"/>
    </w:p>
    <w:p w14:paraId="501F44ED">
      <w:pPr>
        <w:spacing w:line="360" w:lineRule="auto"/>
        <w:ind w:right="84" w:rightChars="40" w:firstLine="640" w:firstLineChars="200"/>
        <w:rPr>
          <w:rFonts w:ascii="Times New Roman" w:hAnsi="Times New Roman" w:eastAsia="仿宋_GB2312"/>
          <w:sz w:val="32"/>
          <w:szCs w:val="32"/>
        </w:rPr>
      </w:pPr>
      <w:r>
        <w:rPr>
          <w:rFonts w:ascii="Times New Roman" w:hAnsi="Times New Roman" w:eastAsia="仿宋_GB2312"/>
          <w:sz w:val="32"/>
          <w:szCs w:val="32"/>
        </w:rPr>
        <w:t>防水材料及防水构造应考虑高原的特殊环境（低温、强紫外线、冻融循环、温差大等因素），防水材料</w:t>
      </w:r>
      <w:r>
        <w:rPr>
          <w:rFonts w:hint="eastAsia" w:ascii="Times New Roman" w:hAnsi="Times New Roman" w:eastAsia="仿宋_GB2312"/>
          <w:sz w:val="32"/>
          <w:szCs w:val="32"/>
        </w:rPr>
        <w:t>须</w:t>
      </w:r>
      <w:r>
        <w:rPr>
          <w:rFonts w:ascii="Times New Roman" w:hAnsi="Times New Roman" w:eastAsia="仿宋_GB2312"/>
          <w:sz w:val="32"/>
          <w:szCs w:val="32"/>
        </w:rPr>
        <w:t>具备优异的耐候性、柔韧性和耐久性，并应满足《民用建筑通用规范》</w:t>
      </w:r>
      <w:r>
        <w:rPr>
          <w:rFonts w:hint="eastAsia" w:ascii="Times New Roman" w:hAnsi="Times New Roman" w:eastAsia="仿宋_GB2312"/>
          <w:sz w:val="32"/>
          <w:szCs w:val="32"/>
        </w:rPr>
        <w:t>（</w:t>
      </w:r>
      <w:r>
        <w:rPr>
          <w:rFonts w:ascii="Times New Roman" w:hAnsi="Times New Roman" w:eastAsia="仿宋_GB2312"/>
          <w:sz w:val="32"/>
          <w:szCs w:val="32"/>
        </w:rPr>
        <w:t>GB 55031—2022</w:t>
      </w:r>
      <w:r>
        <w:rPr>
          <w:rFonts w:hint="eastAsia" w:ascii="Times New Roman" w:hAnsi="Times New Roman" w:eastAsia="仿宋_GB2312"/>
          <w:sz w:val="32"/>
          <w:szCs w:val="32"/>
        </w:rPr>
        <w:t>）</w:t>
      </w:r>
      <w:r>
        <w:rPr>
          <w:rFonts w:ascii="Times New Roman" w:hAnsi="Times New Roman" w:eastAsia="仿宋_GB2312"/>
          <w:sz w:val="32"/>
          <w:szCs w:val="32"/>
        </w:rPr>
        <w:t>第6.1及6.2条、《建筑与市政工程防水通用规范》</w:t>
      </w:r>
      <w:r>
        <w:rPr>
          <w:rFonts w:hint="eastAsia" w:ascii="Times New Roman" w:hAnsi="Times New Roman" w:eastAsia="仿宋_GB2312"/>
          <w:sz w:val="32"/>
          <w:szCs w:val="32"/>
        </w:rPr>
        <w:t>（</w:t>
      </w:r>
      <w:r>
        <w:rPr>
          <w:rFonts w:ascii="Times New Roman" w:hAnsi="Times New Roman" w:eastAsia="仿宋_GB2312"/>
          <w:sz w:val="32"/>
          <w:szCs w:val="32"/>
        </w:rPr>
        <w:t>GB 55030—2022</w:t>
      </w:r>
      <w:r>
        <w:rPr>
          <w:rFonts w:hint="eastAsia" w:ascii="Times New Roman" w:hAnsi="Times New Roman" w:eastAsia="仿宋_GB2312"/>
          <w:sz w:val="32"/>
          <w:szCs w:val="32"/>
        </w:rPr>
        <w:t>）</w:t>
      </w:r>
      <w:r>
        <w:rPr>
          <w:rFonts w:ascii="Times New Roman" w:hAnsi="Times New Roman" w:eastAsia="仿宋_GB2312"/>
          <w:sz w:val="32"/>
          <w:szCs w:val="32"/>
        </w:rPr>
        <w:t>第3章、《屋面工程技术规范》</w:t>
      </w:r>
      <w:r>
        <w:rPr>
          <w:rFonts w:hint="eastAsia" w:ascii="Times New Roman" w:hAnsi="Times New Roman" w:eastAsia="仿宋_GB2312"/>
          <w:sz w:val="32"/>
          <w:szCs w:val="32"/>
        </w:rPr>
        <w:t>（</w:t>
      </w:r>
      <w:r>
        <w:rPr>
          <w:rFonts w:ascii="Times New Roman" w:hAnsi="Times New Roman" w:eastAsia="仿宋_GB2312"/>
          <w:sz w:val="32"/>
          <w:szCs w:val="32"/>
        </w:rPr>
        <w:t>GB 50345—2012</w:t>
      </w:r>
      <w:r>
        <w:rPr>
          <w:rFonts w:hint="eastAsia" w:ascii="Times New Roman" w:hAnsi="Times New Roman" w:eastAsia="仿宋_GB2312"/>
          <w:sz w:val="32"/>
          <w:szCs w:val="32"/>
        </w:rPr>
        <w:t>）</w:t>
      </w:r>
      <w:r>
        <w:rPr>
          <w:rFonts w:ascii="Times New Roman" w:hAnsi="Times New Roman" w:eastAsia="仿宋_GB2312"/>
          <w:sz w:val="32"/>
          <w:szCs w:val="32"/>
        </w:rPr>
        <w:t>第4章、《坡屋面工程技术规范》</w:t>
      </w:r>
      <w:r>
        <w:rPr>
          <w:rFonts w:hint="eastAsia" w:ascii="Times New Roman" w:hAnsi="Times New Roman" w:eastAsia="仿宋_GB2312"/>
          <w:sz w:val="32"/>
          <w:szCs w:val="32"/>
        </w:rPr>
        <w:t>（</w:t>
      </w:r>
      <w:r>
        <w:rPr>
          <w:rFonts w:ascii="Times New Roman" w:hAnsi="Times New Roman" w:eastAsia="仿宋_GB2312"/>
          <w:sz w:val="32"/>
          <w:szCs w:val="32"/>
        </w:rPr>
        <w:t>GB 50693—2011</w:t>
      </w:r>
      <w:r>
        <w:rPr>
          <w:rFonts w:hint="eastAsia" w:ascii="Times New Roman" w:hAnsi="Times New Roman" w:eastAsia="仿宋_GB2312"/>
          <w:sz w:val="32"/>
          <w:szCs w:val="32"/>
        </w:rPr>
        <w:t>）</w:t>
      </w:r>
      <w:r>
        <w:rPr>
          <w:rFonts w:ascii="Times New Roman" w:hAnsi="Times New Roman" w:eastAsia="仿宋_GB2312"/>
          <w:sz w:val="32"/>
          <w:szCs w:val="32"/>
        </w:rPr>
        <w:t>、《种植屋面工程技术规程》</w:t>
      </w:r>
      <w:r>
        <w:rPr>
          <w:rFonts w:hint="eastAsia" w:ascii="Times New Roman" w:hAnsi="Times New Roman" w:eastAsia="仿宋_GB2312"/>
          <w:sz w:val="32"/>
          <w:szCs w:val="32"/>
        </w:rPr>
        <w:t>（</w:t>
      </w:r>
      <w:r>
        <w:rPr>
          <w:rFonts w:ascii="Times New Roman" w:hAnsi="Times New Roman" w:eastAsia="仿宋_GB2312"/>
          <w:sz w:val="32"/>
          <w:szCs w:val="32"/>
        </w:rPr>
        <w:t>JGJ 155—2013</w:t>
      </w:r>
      <w:r>
        <w:rPr>
          <w:rFonts w:hint="eastAsia" w:ascii="Times New Roman" w:hAnsi="Times New Roman" w:eastAsia="仿宋_GB2312"/>
          <w:sz w:val="32"/>
          <w:szCs w:val="32"/>
        </w:rPr>
        <w:t>）</w:t>
      </w:r>
      <w:r>
        <w:rPr>
          <w:rFonts w:ascii="Times New Roman" w:hAnsi="Times New Roman" w:eastAsia="仿宋_GB2312"/>
          <w:sz w:val="32"/>
          <w:szCs w:val="32"/>
        </w:rPr>
        <w:t>第4章、《倒置式屋面工程技术规程》</w:t>
      </w:r>
      <w:r>
        <w:rPr>
          <w:rFonts w:hint="eastAsia" w:ascii="Times New Roman" w:hAnsi="Times New Roman" w:eastAsia="仿宋_GB2312"/>
          <w:sz w:val="32"/>
          <w:szCs w:val="32"/>
        </w:rPr>
        <w:t>（</w:t>
      </w:r>
      <w:r>
        <w:rPr>
          <w:rFonts w:ascii="Times New Roman" w:hAnsi="Times New Roman" w:eastAsia="仿宋_GB2312"/>
          <w:sz w:val="32"/>
          <w:szCs w:val="32"/>
        </w:rPr>
        <w:t>JGJ 230—2010</w:t>
      </w:r>
      <w:r>
        <w:rPr>
          <w:rFonts w:hint="eastAsia" w:ascii="Times New Roman" w:hAnsi="Times New Roman" w:eastAsia="仿宋_GB2312"/>
          <w:sz w:val="32"/>
          <w:szCs w:val="32"/>
        </w:rPr>
        <w:t>）</w:t>
      </w:r>
      <w:r>
        <w:rPr>
          <w:rFonts w:ascii="Times New Roman" w:hAnsi="Times New Roman" w:eastAsia="仿宋_GB2312"/>
          <w:sz w:val="32"/>
          <w:szCs w:val="32"/>
        </w:rPr>
        <w:t>第4章、《硬泡聚氨酯保温防水工程技术规范》</w:t>
      </w:r>
      <w:r>
        <w:rPr>
          <w:rFonts w:hint="eastAsia" w:ascii="Times New Roman" w:hAnsi="Times New Roman" w:eastAsia="仿宋_GB2312"/>
          <w:sz w:val="32"/>
          <w:szCs w:val="32"/>
        </w:rPr>
        <w:t>（</w:t>
      </w:r>
      <w:r>
        <w:rPr>
          <w:rFonts w:ascii="Times New Roman" w:hAnsi="Times New Roman" w:eastAsia="仿宋_GB2312"/>
          <w:sz w:val="32"/>
          <w:szCs w:val="32"/>
        </w:rPr>
        <w:t>GB</w:t>
      </w:r>
      <w:r>
        <w:rPr>
          <w:rFonts w:hint="eastAsia" w:ascii="Times New Roman" w:hAnsi="Times New Roman" w:eastAsia="仿宋_GB2312"/>
          <w:sz w:val="32"/>
          <w:szCs w:val="32"/>
        </w:rPr>
        <w:t xml:space="preserve"> </w:t>
      </w:r>
      <w:r>
        <w:rPr>
          <w:rFonts w:ascii="Times New Roman" w:hAnsi="Times New Roman" w:eastAsia="仿宋_GB2312"/>
          <w:sz w:val="32"/>
          <w:szCs w:val="32"/>
        </w:rPr>
        <w:t>50404—2017</w:t>
      </w:r>
      <w:r>
        <w:rPr>
          <w:rFonts w:hint="eastAsia" w:ascii="Times New Roman" w:hAnsi="Times New Roman" w:eastAsia="仿宋_GB2312"/>
          <w:sz w:val="32"/>
          <w:szCs w:val="32"/>
        </w:rPr>
        <w:t>）</w:t>
      </w:r>
      <w:r>
        <w:rPr>
          <w:rFonts w:ascii="Times New Roman" w:hAnsi="Times New Roman" w:eastAsia="仿宋_GB2312"/>
          <w:sz w:val="32"/>
          <w:szCs w:val="32"/>
        </w:rPr>
        <w:t>第4、5章、《建筑外墙防水工程技术规程》</w:t>
      </w:r>
      <w:r>
        <w:rPr>
          <w:rFonts w:hint="eastAsia" w:ascii="Times New Roman" w:hAnsi="Times New Roman" w:eastAsia="仿宋_GB2312"/>
          <w:sz w:val="32"/>
          <w:szCs w:val="32"/>
        </w:rPr>
        <w:t>（</w:t>
      </w:r>
      <w:r>
        <w:rPr>
          <w:rFonts w:ascii="Times New Roman" w:hAnsi="Times New Roman" w:eastAsia="仿宋_GB2312"/>
          <w:sz w:val="32"/>
          <w:szCs w:val="32"/>
        </w:rPr>
        <w:t>JGJ/T 235—2011</w:t>
      </w:r>
      <w:r>
        <w:rPr>
          <w:rFonts w:hint="eastAsia" w:ascii="Times New Roman" w:hAnsi="Times New Roman" w:eastAsia="仿宋_GB2312"/>
          <w:sz w:val="32"/>
          <w:szCs w:val="32"/>
        </w:rPr>
        <w:t>）的规定</w:t>
      </w:r>
      <w:r>
        <w:rPr>
          <w:rFonts w:ascii="Times New Roman" w:hAnsi="Times New Roman" w:eastAsia="仿宋_GB2312"/>
          <w:sz w:val="32"/>
          <w:szCs w:val="32"/>
        </w:rPr>
        <w:t>。</w:t>
      </w:r>
    </w:p>
    <w:p w14:paraId="7F8C7568">
      <w:pPr>
        <w:spacing w:line="360" w:lineRule="auto"/>
        <w:ind w:right="84" w:rightChars="40" w:firstLine="640" w:firstLineChars="200"/>
        <w:rPr>
          <w:rFonts w:ascii="Times New Roman" w:hAnsi="Times New Roman" w:eastAsia="仿宋_GB2312"/>
          <w:sz w:val="32"/>
          <w:szCs w:val="32"/>
        </w:rPr>
      </w:pPr>
      <w:r>
        <w:rPr>
          <w:rFonts w:ascii="Times New Roman" w:hAnsi="Times New Roman" w:eastAsia="仿宋_GB2312"/>
          <w:sz w:val="32"/>
          <w:szCs w:val="32"/>
        </w:rPr>
        <w:t>1</w:t>
      </w:r>
      <w:r>
        <w:rPr>
          <w:rFonts w:hint="eastAsia" w:ascii="Times New Roman" w:hAnsi="Times New Roman" w:eastAsia="仿宋_GB2312"/>
          <w:sz w:val="32"/>
          <w:szCs w:val="32"/>
        </w:rPr>
        <w:t>.</w:t>
      </w:r>
      <w:r>
        <w:rPr>
          <w:rFonts w:ascii="Times New Roman" w:hAnsi="Times New Roman" w:eastAsia="仿宋_GB2312"/>
          <w:sz w:val="32"/>
          <w:szCs w:val="32"/>
        </w:rPr>
        <w:t>防水材料</w:t>
      </w:r>
    </w:p>
    <w:p w14:paraId="249C73AA">
      <w:pPr>
        <w:spacing w:line="360" w:lineRule="auto"/>
        <w:ind w:right="84" w:rightChars="40" w:firstLine="640" w:firstLineChars="200"/>
        <w:rPr>
          <w:rFonts w:ascii="Times New Roman" w:hAnsi="Times New Roman" w:eastAsia="仿宋_GB2312"/>
          <w:sz w:val="32"/>
          <w:szCs w:val="32"/>
        </w:rPr>
      </w:pPr>
      <w:r>
        <w:rPr>
          <w:rFonts w:ascii="Times New Roman" w:hAnsi="Times New Roman" w:eastAsia="仿宋_GB2312"/>
          <w:sz w:val="32"/>
          <w:szCs w:val="32"/>
        </w:rPr>
        <w:t>防水材料应具有极佳的低温柔性、耐冻融循环、耐候性强、可靠的接缝处理能力，</w:t>
      </w:r>
      <w:r>
        <w:rPr>
          <w:rFonts w:hint="eastAsia" w:ascii="Times New Roman" w:hAnsi="Times New Roman" w:eastAsia="仿宋_GB2312"/>
          <w:sz w:val="32"/>
          <w:szCs w:val="32"/>
        </w:rPr>
        <w:t>宜</w:t>
      </w:r>
      <w:r>
        <w:rPr>
          <w:rFonts w:ascii="Times New Roman" w:hAnsi="Times New Roman" w:eastAsia="仿宋_GB2312"/>
          <w:sz w:val="32"/>
          <w:szCs w:val="32"/>
        </w:rPr>
        <w:t>选用以下防水材料（或性能类似的防水材料）：</w:t>
      </w:r>
    </w:p>
    <w:p w14:paraId="4C6FE69A">
      <w:pPr>
        <w:spacing w:line="360" w:lineRule="auto"/>
        <w:ind w:right="84" w:rightChars="40" w:firstLine="640" w:firstLineChars="200"/>
        <w:rPr>
          <w:rFonts w:ascii="Times New Roman" w:hAnsi="Times New Roman" w:eastAsia="仿宋_GB2312"/>
          <w:sz w:val="32"/>
          <w:szCs w:val="32"/>
        </w:rPr>
      </w:pPr>
      <w:r>
        <w:rPr>
          <w:rFonts w:ascii="Times New Roman" w:hAnsi="Times New Roman" w:eastAsia="仿宋_GB2312"/>
          <w:sz w:val="32"/>
          <w:szCs w:val="32"/>
        </w:rPr>
        <w:t>1）高分子防水卷材：</w:t>
      </w:r>
    </w:p>
    <w:p w14:paraId="3812D34F">
      <w:pPr>
        <w:spacing w:line="360" w:lineRule="auto"/>
        <w:ind w:right="84" w:rightChars="40" w:firstLine="640" w:firstLineChars="200"/>
        <w:rPr>
          <w:rFonts w:ascii="Times New Roman" w:hAnsi="Times New Roman" w:eastAsia="仿宋_GB2312"/>
          <w:sz w:val="32"/>
          <w:szCs w:val="32"/>
        </w:rPr>
      </w:pPr>
      <w:r>
        <w:rPr>
          <w:rFonts w:ascii="Times New Roman" w:hAnsi="Times New Roman" w:eastAsia="仿宋_GB2312"/>
          <w:sz w:val="32"/>
          <w:szCs w:val="32"/>
        </w:rPr>
        <w:t>TPO（热塑性聚烯烃）防水卷材、PVC（聚氯乙烯）防水卷材、三元乙丙橡胶（EPDM）防水卷材</w:t>
      </w:r>
      <w:r>
        <w:rPr>
          <w:rFonts w:hint="eastAsia" w:ascii="Times New Roman" w:hAnsi="Times New Roman" w:eastAsia="仿宋_GB2312"/>
          <w:sz w:val="32"/>
          <w:szCs w:val="32"/>
        </w:rPr>
        <w:t>等材料</w:t>
      </w:r>
      <w:r>
        <w:rPr>
          <w:rFonts w:ascii="Times New Roman" w:hAnsi="Times New Roman" w:eastAsia="仿宋_GB2312"/>
          <w:sz w:val="32"/>
          <w:szCs w:val="32"/>
        </w:rPr>
        <w:t>。</w:t>
      </w:r>
    </w:p>
    <w:p w14:paraId="1FEC192E">
      <w:pPr>
        <w:spacing w:line="360" w:lineRule="auto"/>
        <w:ind w:right="84" w:rightChars="40" w:firstLine="640" w:firstLineChars="200"/>
        <w:rPr>
          <w:rFonts w:ascii="Times New Roman" w:hAnsi="Times New Roman" w:eastAsia="仿宋_GB2312"/>
          <w:sz w:val="32"/>
          <w:szCs w:val="32"/>
        </w:rPr>
      </w:pPr>
      <w:r>
        <w:rPr>
          <w:rFonts w:ascii="Times New Roman" w:hAnsi="Times New Roman" w:eastAsia="仿宋_GB2312"/>
          <w:sz w:val="32"/>
          <w:szCs w:val="32"/>
        </w:rPr>
        <w:t>2）改性沥青类：</w:t>
      </w:r>
    </w:p>
    <w:p w14:paraId="48CE8609">
      <w:pPr>
        <w:spacing w:line="360" w:lineRule="auto"/>
        <w:ind w:right="84" w:rightChars="40" w:firstLine="640" w:firstLineChars="200"/>
        <w:rPr>
          <w:rFonts w:ascii="Times New Roman" w:hAnsi="Times New Roman" w:eastAsia="仿宋_GB2312"/>
          <w:sz w:val="32"/>
          <w:szCs w:val="32"/>
        </w:rPr>
      </w:pPr>
      <w:r>
        <w:rPr>
          <w:rFonts w:ascii="Times New Roman" w:hAnsi="Times New Roman" w:eastAsia="仿宋_GB2312"/>
          <w:sz w:val="32"/>
          <w:szCs w:val="32"/>
        </w:rPr>
        <w:t>SBS改性沥青卷材、自粘型改性沥青卷材（需配合热风枪辅助）</w:t>
      </w:r>
      <w:r>
        <w:rPr>
          <w:rFonts w:hint="eastAsia" w:ascii="Times New Roman" w:hAnsi="Times New Roman" w:eastAsia="仿宋_GB2312"/>
          <w:sz w:val="32"/>
          <w:szCs w:val="32"/>
        </w:rPr>
        <w:t>等材料</w:t>
      </w:r>
      <w:r>
        <w:rPr>
          <w:rFonts w:ascii="Times New Roman" w:hAnsi="Times New Roman" w:eastAsia="仿宋_GB2312"/>
          <w:sz w:val="32"/>
          <w:szCs w:val="32"/>
        </w:rPr>
        <w:t>。</w:t>
      </w:r>
    </w:p>
    <w:p w14:paraId="687DF948">
      <w:pPr>
        <w:spacing w:line="360" w:lineRule="auto"/>
        <w:ind w:right="84" w:rightChars="40" w:firstLine="640" w:firstLineChars="200"/>
        <w:rPr>
          <w:rFonts w:ascii="Times New Roman" w:hAnsi="Times New Roman" w:eastAsia="仿宋_GB2312"/>
          <w:sz w:val="32"/>
          <w:szCs w:val="32"/>
        </w:rPr>
      </w:pPr>
      <w:r>
        <w:rPr>
          <w:rFonts w:ascii="Times New Roman" w:hAnsi="Times New Roman" w:eastAsia="仿宋_GB2312"/>
          <w:sz w:val="32"/>
          <w:szCs w:val="32"/>
        </w:rPr>
        <w:t>3）防水涂料：</w:t>
      </w:r>
    </w:p>
    <w:p w14:paraId="2F036B83">
      <w:pPr>
        <w:spacing w:line="360" w:lineRule="auto"/>
        <w:ind w:right="84" w:rightChars="40" w:firstLine="640" w:firstLineChars="200"/>
        <w:rPr>
          <w:rFonts w:ascii="Times New Roman" w:hAnsi="Times New Roman" w:eastAsia="仿宋_GB2312"/>
          <w:sz w:val="32"/>
          <w:szCs w:val="32"/>
        </w:rPr>
      </w:pPr>
      <w:r>
        <w:rPr>
          <w:rFonts w:ascii="Times New Roman" w:hAnsi="Times New Roman" w:eastAsia="仿宋_GB2312"/>
          <w:sz w:val="32"/>
          <w:szCs w:val="32"/>
        </w:rPr>
        <w:t>聚氨酯防水涂料、聚脲防水涂料、聚甲</w:t>
      </w:r>
      <w:r>
        <w:rPr>
          <w:rFonts w:hint="eastAsia" w:ascii="Times New Roman" w:hAnsi="Times New Roman" w:eastAsia="仿宋_GB2312"/>
          <w:sz w:val="32"/>
          <w:szCs w:val="32"/>
        </w:rPr>
        <w:t>基</w:t>
      </w:r>
      <w:r>
        <w:rPr>
          <w:rFonts w:ascii="Times New Roman" w:hAnsi="Times New Roman" w:eastAsia="仿宋_GB2312"/>
          <w:sz w:val="32"/>
          <w:szCs w:val="32"/>
        </w:rPr>
        <w:t>丙烯酸甲酯（PMMA）防水涂料、硅烷改性聚醚防水涂料</w:t>
      </w:r>
      <w:r>
        <w:rPr>
          <w:rFonts w:hint="eastAsia" w:ascii="Times New Roman" w:hAnsi="Times New Roman" w:eastAsia="仿宋_GB2312"/>
          <w:sz w:val="32"/>
          <w:szCs w:val="32"/>
        </w:rPr>
        <w:t>等材料</w:t>
      </w:r>
      <w:r>
        <w:rPr>
          <w:rFonts w:ascii="Times New Roman" w:hAnsi="Times New Roman" w:eastAsia="仿宋_GB2312"/>
          <w:sz w:val="32"/>
          <w:szCs w:val="32"/>
        </w:rPr>
        <w:t>。</w:t>
      </w:r>
    </w:p>
    <w:p w14:paraId="4C2C100C">
      <w:pPr>
        <w:spacing w:line="360" w:lineRule="auto"/>
        <w:ind w:right="84" w:rightChars="40" w:firstLine="640" w:firstLineChars="200"/>
        <w:rPr>
          <w:rFonts w:ascii="Times New Roman" w:hAnsi="Times New Roman" w:eastAsia="仿宋_GB2312"/>
          <w:sz w:val="32"/>
          <w:szCs w:val="32"/>
        </w:rPr>
      </w:pPr>
      <w:r>
        <w:rPr>
          <w:rFonts w:ascii="Times New Roman" w:hAnsi="Times New Roman" w:eastAsia="仿宋_GB2312"/>
          <w:sz w:val="32"/>
          <w:szCs w:val="32"/>
        </w:rPr>
        <w:t>2</w:t>
      </w:r>
      <w:r>
        <w:rPr>
          <w:rFonts w:hint="eastAsia" w:ascii="Times New Roman" w:hAnsi="Times New Roman" w:eastAsia="仿宋_GB2312"/>
          <w:sz w:val="32"/>
          <w:szCs w:val="32"/>
        </w:rPr>
        <w:t>.</w:t>
      </w:r>
      <w:r>
        <w:rPr>
          <w:rFonts w:ascii="Times New Roman" w:hAnsi="Times New Roman" w:eastAsia="仿宋_GB2312"/>
          <w:sz w:val="32"/>
          <w:szCs w:val="32"/>
        </w:rPr>
        <w:t>防水构造</w:t>
      </w:r>
    </w:p>
    <w:p w14:paraId="6B16548E">
      <w:pPr>
        <w:spacing w:line="360" w:lineRule="auto"/>
        <w:ind w:right="84" w:rightChars="40" w:firstLine="640" w:firstLineChars="200"/>
        <w:rPr>
          <w:rFonts w:ascii="Times New Roman" w:hAnsi="Times New Roman" w:eastAsia="仿宋_GB2312"/>
          <w:sz w:val="32"/>
          <w:szCs w:val="32"/>
        </w:rPr>
      </w:pPr>
      <w:r>
        <w:rPr>
          <w:rFonts w:ascii="Times New Roman" w:hAnsi="Times New Roman" w:eastAsia="仿宋_GB2312"/>
          <w:sz w:val="32"/>
          <w:szCs w:val="32"/>
        </w:rPr>
        <w:t>屋面防水构造应严格执行《民用建筑通用规范》</w:t>
      </w:r>
      <w:r>
        <w:rPr>
          <w:rFonts w:hint="eastAsia" w:ascii="Times New Roman" w:hAnsi="Times New Roman" w:eastAsia="仿宋_GB2312"/>
          <w:sz w:val="32"/>
          <w:szCs w:val="32"/>
        </w:rPr>
        <w:t>（</w:t>
      </w:r>
      <w:r>
        <w:rPr>
          <w:rFonts w:ascii="Times New Roman" w:hAnsi="Times New Roman" w:eastAsia="仿宋_GB2312"/>
          <w:sz w:val="32"/>
          <w:szCs w:val="32"/>
        </w:rPr>
        <w:t>GB 55031—2022</w:t>
      </w:r>
      <w:r>
        <w:rPr>
          <w:rFonts w:hint="eastAsia" w:ascii="Times New Roman" w:hAnsi="Times New Roman" w:eastAsia="仿宋_GB2312"/>
          <w:sz w:val="32"/>
          <w:szCs w:val="32"/>
        </w:rPr>
        <w:t>）</w:t>
      </w:r>
      <w:r>
        <w:rPr>
          <w:rFonts w:ascii="Times New Roman" w:hAnsi="Times New Roman" w:eastAsia="仿宋_GB2312"/>
          <w:sz w:val="32"/>
          <w:szCs w:val="32"/>
        </w:rPr>
        <w:t>第6.1条、《建筑与市政工程防水通用规范》</w:t>
      </w:r>
      <w:r>
        <w:rPr>
          <w:rFonts w:hint="eastAsia" w:ascii="Times New Roman" w:hAnsi="Times New Roman" w:eastAsia="仿宋_GB2312"/>
          <w:sz w:val="32"/>
          <w:szCs w:val="32"/>
        </w:rPr>
        <w:t>（</w:t>
      </w:r>
      <w:r>
        <w:rPr>
          <w:rFonts w:ascii="Times New Roman" w:hAnsi="Times New Roman" w:eastAsia="仿宋_GB2312"/>
          <w:sz w:val="32"/>
          <w:szCs w:val="32"/>
        </w:rPr>
        <w:t>GB 55030—2022</w:t>
      </w:r>
      <w:r>
        <w:rPr>
          <w:rFonts w:hint="eastAsia" w:ascii="Times New Roman" w:hAnsi="Times New Roman" w:eastAsia="仿宋_GB2312"/>
          <w:sz w:val="32"/>
          <w:szCs w:val="32"/>
        </w:rPr>
        <w:t>）</w:t>
      </w:r>
      <w:r>
        <w:rPr>
          <w:rFonts w:ascii="Times New Roman" w:hAnsi="Times New Roman" w:eastAsia="仿宋_GB2312"/>
          <w:sz w:val="32"/>
          <w:szCs w:val="32"/>
        </w:rPr>
        <w:t>第4章、《屋面工程技术规范》</w:t>
      </w:r>
      <w:r>
        <w:rPr>
          <w:rFonts w:hint="eastAsia" w:ascii="Times New Roman" w:hAnsi="Times New Roman" w:eastAsia="仿宋_GB2312"/>
          <w:sz w:val="32"/>
          <w:szCs w:val="32"/>
        </w:rPr>
        <w:t>（</w:t>
      </w:r>
      <w:r>
        <w:rPr>
          <w:rFonts w:ascii="Times New Roman" w:hAnsi="Times New Roman" w:eastAsia="仿宋_GB2312"/>
          <w:sz w:val="32"/>
          <w:szCs w:val="32"/>
        </w:rPr>
        <w:t>GB 50345—2012</w:t>
      </w:r>
      <w:r>
        <w:rPr>
          <w:rFonts w:hint="eastAsia" w:ascii="Times New Roman" w:hAnsi="Times New Roman" w:eastAsia="仿宋_GB2312"/>
          <w:sz w:val="32"/>
          <w:szCs w:val="32"/>
        </w:rPr>
        <w:t>）</w:t>
      </w:r>
      <w:r>
        <w:rPr>
          <w:rFonts w:ascii="Times New Roman" w:hAnsi="Times New Roman" w:eastAsia="仿宋_GB2312"/>
          <w:sz w:val="32"/>
          <w:szCs w:val="32"/>
        </w:rPr>
        <w:t>第4章、《坡屋面工程技术规范》</w:t>
      </w:r>
      <w:r>
        <w:rPr>
          <w:rFonts w:hint="eastAsia" w:ascii="Times New Roman" w:hAnsi="Times New Roman" w:eastAsia="仿宋_GB2312"/>
          <w:sz w:val="32"/>
          <w:szCs w:val="32"/>
        </w:rPr>
        <w:t>（</w:t>
      </w:r>
      <w:r>
        <w:rPr>
          <w:rFonts w:ascii="Times New Roman" w:hAnsi="Times New Roman" w:eastAsia="仿宋_GB2312"/>
          <w:sz w:val="32"/>
          <w:szCs w:val="32"/>
        </w:rPr>
        <w:t>GB 50693—2011</w:t>
      </w:r>
      <w:r>
        <w:rPr>
          <w:rFonts w:hint="eastAsia" w:ascii="Times New Roman" w:hAnsi="Times New Roman" w:eastAsia="仿宋_GB2312"/>
          <w:sz w:val="32"/>
          <w:szCs w:val="32"/>
        </w:rPr>
        <w:t>）</w:t>
      </w:r>
      <w:r>
        <w:rPr>
          <w:rFonts w:ascii="Times New Roman" w:hAnsi="Times New Roman" w:eastAsia="仿宋_GB2312"/>
          <w:sz w:val="32"/>
          <w:szCs w:val="32"/>
        </w:rPr>
        <w:t>、《种植屋面工程技术规程》</w:t>
      </w:r>
      <w:r>
        <w:rPr>
          <w:rFonts w:hint="eastAsia" w:ascii="Times New Roman" w:hAnsi="Times New Roman" w:eastAsia="仿宋_GB2312"/>
          <w:sz w:val="32"/>
          <w:szCs w:val="32"/>
        </w:rPr>
        <w:t>（</w:t>
      </w:r>
      <w:r>
        <w:rPr>
          <w:rFonts w:ascii="Times New Roman" w:hAnsi="Times New Roman" w:eastAsia="仿宋_GB2312"/>
          <w:sz w:val="32"/>
          <w:szCs w:val="32"/>
        </w:rPr>
        <w:t>JGJ 155—2013</w:t>
      </w:r>
      <w:r>
        <w:rPr>
          <w:rFonts w:hint="eastAsia" w:ascii="Times New Roman" w:hAnsi="Times New Roman" w:eastAsia="仿宋_GB2312"/>
          <w:sz w:val="32"/>
          <w:szCs w:val="32"/>
        </w:rPr>
        <w:t>）</w:t>
      </w:r>
      <w:r>
        <w:rPr>
          <w:rFonts w:ascii="Times New Roman" w:hAnsi="Times New Roman" w:eastAsia="仿宋_GB2312"/>
          <w:sz w:val="32"/>
          <w:szCs w:val="32"/>
        </w:rPr>
        <w:t>第5章、《倒置式屋面工程技术规程》</w:t>
      </w:r>
      <w:r>
        <w:rPr>
          <w:rFonts w:hint="eastAsia" w:ascii="Times New Roman" w:hAnsi="Times New Roman" w:eastAsia="仿宋_GB2312"/>
          <w:sz w:val="32"/>
          <w:szCs w:val="32"/>
        </w:rPr>
        <w:t>（</w:t>
      </w:r>
      <w:r>
        <w:rPr>
          <w:rFonts w:ascii="Times New Roman" w:hAnsi="Times New Roman" w:eastAsia="仿宋_GB2312"/>
          <w:sz w:val="32"/>
          <w:szCs w:val="32"/>
        </w:rPr>
        <w:t>JGJ 230—2010</w:t>
      </w:r>
      <w:r>
        <w:rPr>
          <w:rFonts w:hint="eastAsia" w:ascii="Times New Roman" w:hAnsi="Times New Roman" w:eastAsia="仿宋_GB2312"/>
          <w:sz w:val="32"/>
          <w:szCs w:val="32"/>
        </w:rPr>
        <w:t>）</w:t>
      </w:r>
      <w:r>
        <w:rPr>
          <w:rFonts w:ascii="Times New Roman" w:hAnsi="Times New Roman" w:eastAsia="仿宋_GB2312"/>
          <w:sz w:val="32"/>
          <w:szCs w:val="32"/>
        </w:rPr>
        <w:t>第5章、《硬泡聚氨酯保温防水工程技术规范》</w:t>
      </w:r>
      <w:r>
        <w:rPr>
          <w:rFonts w:hint="eastAsia" w:ascii="Times New Roman" w:hAnsi="Times New Roman" w:eastAsia="仿宋_GB2312"/>
          <w:sz w:val="32"/>
          <w:szCs w:val="32"/>
        </w:rPr>
        <w:t>（</w:t>
      </w:r>
      <w:r>
        <w:rPr>
          <w:rFonts w:ascii="Times New Roman" w:hAnsi="Times New Roman" w:eastAsia="仿宋_GB2312"/>
          <w:sz w:val="32"/>
          <w:szCs w:val="32"/>
        </w:rPr>
        <w:t>GB</w:t>
      </w:r>
      <w:r>
        <w:rPr>
          <w:rFonts w:hint="eastAsia" w:ascii="Times New Roman" w:hAnsi="Times New Roman" w:eastAsia="仿宋_GB2312"/>
          <w:sz w:val="32"/>
          <w:szCs w:val="32"/>
        </w:rPr>
        <w:t xml:space="preserve"> </w:t>
      </w:r>
      <w:r>
        <w:rPr>
          <w:rFonts w:ascii="Times New Roman" w:hAnsi="Times New Roman" w:eastAsia="仿宋_GB2312"/>
          <w:sz w:val="32"/>
          <w:szCs w:val="32"/>
        </w:rPr>
        <w:t>50404—2017</w:t>
      </w:r>
      <w:r>
        <w:rPr>
          <w:rFonts w:hint="eastAsia" w:ascii="Times New Roman" w:hAnsi="Times New Roman" w:eastAsia="仿宋_GB2312"/>
          <w:sz w:val="32"/>
          <w:szCs w:val="32"/>
        </w:rPr>
        <w:t>）</w:t>
      </w:r>
      <w:r>
        <w:rPr>
          <w:rFonts w:ascii="Times New Roman" w:hAnsi="Times New Roman" w:eastAsia="仿宋_GB2312"/>
          <w:sz w:val="32"/>
          <w:szCs w:val="32"/>
        </w:rPr>
        <w:t>第4章。</w:t>
      </w:r>
    </w:p>
    <w:p w14:paraId="3C0B0947">
      <w:pPr>
        <w:spacing w:line="360" w:lineRule="auto"/>
        <w:ind w:right="84" w:rightChars="40" w:firstLine="640" w:firstLineChars="200"/>
        <w:rPr>
          <w:rFonts w:ascii="Times New Roman" w:hAnsi="Times New Roman" w:eastAsia="仿宋_GB2312"/>
          <w:sz w:val="32"/>
          <w:szCs w:val="32"/>
        </w:rPr>
      </w:pPr>
      <w:r>
        <w:rPr>
          <w:rFonts w:ascii="Times New Roman" w:hAnsi="Times New Roman" w:eastAsia="仿宋_GB2312"/>
          <w:sz w:val="32"/>
          <w:szCs w:val="32"/>
        </w:rPr>
        <w:t>外墙防水构造应严格执行《民用建筑通用规范》</w:t>
      </w:r>
      <w:r>
        <w:rPr>
          <w:rFonts w:hint="eastAsia" w:ascii="Times New Roman" w:hAnsi="Times New Roman" w:eastAsia="仿宋_GB2312"/>
          <w:sz w:val="32"/>
          <w:szCs w:val="32"/>
        </w:rPr>
        <w:t>（</w:t>
      </w:r>
      <w:r>
        <w:rPr>
          <w:rFonts w:ascii="Times New Roman" w:hAnsi="Times New Roman" w:eastAsia="仿宋_GB2312"/>
          <w:sz w:val="32"/>
          <w:szCs w:val="32"/>
        </w:rPr>
        <w:t>GB 55031—2022</w:t>
      </w:r>
      <w:r>
        <w:rPr>
          <w:rFonts w:hint="eastAsia" w:ascii="Times New Roman" w:hAnsi="Times New Roman" w:eastAsia="仿宋_GB2312"/>
          <w:sz w:val="32"/>
          <w:szCs w:val="32"/>
        </w:rPr>
        <w:t>）</w:t>
      </w:r>
      <w:r>
        <w:rPr>
          <w:rFonts w:ascii="Times New Roman" w:hAnsi="Times New Roman" w:eastAsia="仿宋_GB2312"/>
          <w:sz w:val="32"/>
          <w:szCs w:val="32"/>
        </w:rPr>
        <w:t>第6.2条、《建筑与市政工程防水通用规范》</w:t>
      </w:r>
      <w:r>
        <w:rPr>
          <w:rFonts w:hint="eastAsia" w:ascii="Times New Roman" w:hAnsi="Times New Roman" w:eastAsia="仿宋_GB2312"/>
          <w:sz w:val="32"/>
          <w:szCs w:val="32"/>
        </w:rPr>
        <w:t>（</w:t>
      </w:r>
      <w:r>
        <w:rPr>
          <w:rFonts w:ascii="Times New Roman" w:hAnsi="Times New Roman" w:eastAsia="仿宋_GB2312"/>
          <w:sz w:val="32"/>
          <w:szCs w:val="32"/>
        </w:rPr>
        <w:t>GB 55030—2022</w:t>
      </w:r>
      <w:r>
        <w:rPr>
          <w:rFonts w:hint="eastAsia" w:ascii="Times New Roman" w:hAnsi="Times New Roman" w:eastAsia="仿宋_GB2312"/>
          <w:sz w:val="32"/>
          <w:szCs w:val="32"/>
        </w:rPr>
        <w:t>）</w:t>
      </w:r>
      <w:r>
        <w:rPr>
          <w:rFonts w:ascii="Times New Roman" w:hAnsi="Times New Roman" w:eastAsia="仿宋_GB2312"/>
          <w:sz w:val="32"/>
          <w:szCs w:val="32"/>
        </w:rPr>
        <w:t>第4.5节、《外墙外保温工程技术标准》</w:t>
      </w:r>
      <w:r>
        <w:rPr>
          <w:rFonts w:hint="eastAsia" w:ascii="Times New Roman" w:hAnsi="Times New Roman" w:eastAsia="仿宋_GB2312"/>
          <w:sz w:val="32"/>
          <w:szCs w:val="32"/>
        </w:rPr>
        <w:t>（</w:t>
      </w:r>
      <w:r>
        <w:rPr>
          <w:rFonts w:ascii="Times New Roman" w:hAnsi="Times New Roman" w:eastAsia="仿宋_GB2312"/>
          <w:sz w:val="32"/>
          <w:szCs w:val="32"/>
        </w:rPr>
        <w:t>JGJ144—2019</w:t>
      </w:r>
      <w:r>
        <w:rPr>
          <w:rFonts w:hint="eastAsia" w:ascii="Times New Roman" w:hAnsi="Times New Roman" w:eastAsia="仿宋_GB2312"/>
          <w:sz w:val="32"/>
          <w:szCs w:val="32"/>
        </w:rPr>
        <w:t>）</w:t>
      </w:r>
      <w:r>
        <w:rPr>
          <w:rFonts w:ascii="Times New Roman" w:hAnsi="Times New Roman" w:eastAsia="仿宋_GB2312"/>
          <w:sz w:val="32"/>
          <w:szCs w:val="32"/>
        </w:rPr>
        <w:t>第5.1.3条、《岩棉薄抹灰外墙外保温工程技术标准》</w:t>
      </w:r>
      <w:r>
        <w:rPr>
          <w:rFonts w:hint="eastAsia" w:ascii="Times New Roman" w:hAnsi="Times New Roman" w:eastAsia="仿宋_GB2312"/>
          <w:sz w:val="32"/>
          <w:szCs w:val="32"/>
        </w:rPr>
        <w:t>（</w:t>
      </w:r>
      <w:r>
        <w:rPr>
          <w:rFonts w:ascii="Times New Roman" w:hAnsi="Times New Roman" w:eastAsia="仿宋_GB2312"/>
          <w:sz w:val="32"/>
          <w:szCs w:val="32"/>
        </w:rPr>
        <w:t>JGJ</w:t>
      </w:r>
      <w:r>
        <w:rPr>
          <w:rFonts w:hint="eastAsia" w:ascii="Times New Roman" w:hAnsi="Times New Roman" w:eastAsia="仿宋_GB2312"/>
          <w:sz w:val="32"/>
          <w:szCs w:val="32"/>
        </w:rPr>
        <w:t>/</w:t>
      </w:r>
      <w:r>
        <w:rPr>
          <w:rFonts w:ascii="Times New Roman" w:hAnsi="Times New Roman" w:eastAsia="仿宋_GB2312"/>
          <w:sz w:val="32"/>
          <w:szCs w:val="32"/>
        </w:rPr>
        <w:t>T</w:t>
      </w:r>
      <w:r>
        <w:rPr>
          <w:rFonts w:hint="eastAsia" w:ascii="Times New Roman" w:hAnsi="Times New Roman" w:eastAsia="仿宋_GB2312"/>
          <w:sz w:val="32"/>
          <w:szCs w:val="32"/>
        </w:rPr>
        <w:t xml:space="preserve"> </w:t>
      </w:r>
      <w:r>
        <w:rPr>
          <w:rFonts w:ascii="Times New Roman" w:hAnsi="Times New Roman" w:eastAsia="仿宋_GB2312"/>
          <w:sz w:val="32"/>
          <w:szCs w:val="32"/>
        </w:rPr>
        <w:t>480—2019</w:t>
      </w:r>
      <w:r>
        <w:rPr>
          <w:rFonts w:hint="eastAsia" w:ascii="Times New Roman" w:hAnsi="Times New Roman" w:eastAsia="仿宋_GB2312"/>
          <w:sz w:val="32"/>
          <w:szCs w:val="32"/>
        </w:rPr>
        <w:t>）</w:t>
      </w:r>
      <w:r>
        <w:rPr>
          <w:rFonts w:ascii="Times New Roman" w:hAnsi="Times New Roman" w:eastAsia="仿宋_GB2312"/>
          <w:sz w:val="32"/>
          <w:szCs w:val="32"/>
        </w:rPr>
        <w:t>第5.1.5条、《硬泡聚氨酯保温防水工程技术规范》</w:t>
      </w:r>
      <w:r>
        <w:rPr>
          <w:rFonts w:hint="eastAsia" w:ascii="Times New Roman" w:hAnsi="Times New Roman" w:eastAsia="仿宋_GB2312"/>
          <w:sz w:val="32"/>
          <w:szCs w:val="32"/>
        </w:rPr>
        <w:t>（</w:t>
      </w:r>
      <w:r>
        <w:rPr>
          <w:rFonts w:ascii="Times New Roman" w:hAnsi="Times New Roman" w:eastAsia="仿宋_GB2312"/>
          <w:sz w:val="32"/>
          <w:szCs w:val="32"/>
        </w:rPr>
        <w:t>GB</w:t>
      </w:r>
      <w:r>
        <w:rPr>
          <w:rFonts w:hint="eastAsia" w:ascii="Times New Roman" w:hAnsi="Times New Roman" w:eastAsia="仿宋_GB2312"/>
          <w:sz w:val="32"/>
          <w:szCs w:val="32"/>
        </w:rPr>
        <w:t xml:space="preserve"> </w:t>
      </w:r>
      <w:r>
        <w:rPr>
          <w:rFonts w:ascii="Times New Roman" w:hAnsi="Times New Roman" w:eastAsia="仿宋_GB2312"/>
          <w:sz w:val="32"/>
          <w:szCs w:val="32"/>
        </w:rPr>
        <w:t>50404—2017</w:t>
      </w:r>
      <w:r>
        <w:rPr>
          <w:rFonts w:hint="eastAsia" w:ascii="Times New Roman" w:hAnsi="Times New Roman" w:eastAsia="仿宋_GB2312"/>
          <w:sz w:val="32"/>
          <w:szCs w:val="32"/>
        </w:rPr>
        <w:t>）</w:t>
      </w:r>
      <w:r>
        <w:rPr>
          <w:rFonts w:ascii="Times New Roman" w:hAnsi="Times New Roman" w:eastAsia="仿宋_GB2312"/>
          <w:sz w:val="32"/>
          <w:szCs w:val="32"/>
        </w:rPr>
        <w:t>第5章、《建筑外墙防水工程技术规程》</w:t>
      </w:r>
      <w:r>
        <w:rPr>
          <w:rFonts w:hint="eastAsia" w:ascii="Times New Roman" w:hAnsi="Times New Roman" w:eastAsia="仿宋_GB2312"/>
          <w:sz w:val="32"/>
          <w:szCs w:val="32"/>
        </w:rPr>
        <w:t>（</w:t>
      </w:r>
      <w:r>
        <w:rPr>
          <w:rFonts w:ascii="Times New Roman" w:hAnsi="Times New Roman" w:eastAsia="仿宋_GB2312"/>
          <w:sz w:val="32"/>
          <w:szCs w:val="32"/>
        </w:rPr>
        <w:t>JGJ/T 235—2011</w:t>
      </w:r>
      <w:r>
        <w:rPr>
          <w:rFonts w:hint="eastAsia" w:ascii="Times New Roman" w:hAnsi="Times New Roman" w:eastAsia="仿宋_GB2312"/>
          <w:sz w:val="32"/>
          <w:szCs w:val="32"/>
        </w:rPr>
        <w:t>）</w:t>
      </w:r>
      <w:r>
        <w:rPr>
          <w:rFonts w:ascii="Times New Roman" w:hAnsi="Times New Roman" w:eastAsia="仿宋_GB2312"/>
          <w:sz w:val="32"/>
          <w:szCs w:val="32"/>
        </w:rPr>
        <w:t>。</w:t>
      </w:r>
    </w:p>
    <w:p w14:paraId="354DC507">
      <w:pPr>
        <w:spacing w:line="360" w:lineRule="auto"/>
        <w:ind w:right="84" w:rightChars="40" w:firstLine="640" w:firstLineChars="200"/>
        <w:rPr>
          <w:rFonts w:ascii="Times New Roman" w:hAnsi="Times New Roman" w:eastAsia="仿宋_GB2312"/>
          <w:sz w:val="32"/>
          <w:szCs w:val="32"/>
        </w:rPr>
      </w:pPr>
      <w:r>
        <w:rPr>
          <w:rFonts w:ascii="Times New Roman" w:hAnsi="Times New Roman" w:eastAsia="仿宋_GB2312"/>
          <w:sz w:val="32"/>
          <w:szCs w:val="32"/>
        </w:rPr>
        <w:t>防水构造应特别注意重点部位的设计与施工，如屋面女儿墙、山墙、屋面天沟、穿墙管道、阴阳角转角、变形缝、门窗洞口周边、外墙孔洞及装饰线脚等部位。</w:t>
      </w:r>
    </w:p>
    <w:p w14:paraId="5AB63399">
      <w:pPr>
        <w:spacing w:line="360" w:lineRule="auto"/>
        <w:ind w:right="84" w:rightChars="40" w:firstLine="640" w:firstLineChars="200"/>
        <w:rPr>
          <w:rFonts w:ascii="Times New Roman" w:hAnsi="Times New Roman" w:eastAsia="仿宋_GB2312"/>
          <w:sz w:val="32"/>
          <w:szCs w:val="32"/>
        </w:rPr>
      </w:pPr>
      <w:r>
        <w:rPr>
          <w:rFonts w:hint="eastAsia" w:ascii="Times New Roman" w:hAnsi="Times New Roman" w:eastAsia="仿宋_GB2312"/>
          <w:sz w:val="32"/>
          <w:szCs w:val="32"/>
        </w:rPr>
        <w:t>防水</w:t>
      </w:r>
      <w:r>
        <w:rPr>
          <w:rFonts w:ascii="Times New Roman" w:hAnsi="Times New Roman" w:eastAsia="仿宋_GB2312"/>
          <w:sz w:val="32"/>
          <w:szCs w:val="32"/>
        </w:rPr>
        <w:t>密封材料应严格执行《建筑与市政工程防水通用规范》</w:t>
      </w:r>
      <w:r>
        <w:rPr>
          <w:rFonts w:hint="eastAsia" w:ascii="Times New Roman" w:hAnsi="Times New Roman" w:eastAsia="仿宋_GB2312"/>
          <w:sz w:val="32"/>
          <w:szCs w:val="32"/>
        </w:rPr>
        <w:t>（</w:t>
      </w:r>
      <w:r>
        <w:rPr>
          <w:rFonts w:ascii="Times New Roman" w:hAnsi="Times New Roman" w:eastAsia="仿宋_GB2312"/>
          <w:sz w:val="32"/>
          <w:szCs w:val="32"/>
        </w:rPr>
        <w:t>GB 55030—2022</w:t>
      </w:r>
      <w:r>
        <w:rPr>
          <w:rFonts w:hint="eastAsia" w:ascii="Times New Roman" w:hAnsi="Times New Roman" w:eastAsia="仿宋_GB2312"/>
          <w:sz w:val="32"/>
          <w:szCs w:val="32"/>
        </w:rPr>
        <w:t>）</w:t>
      </w:r>
      <w:r>
        <w:rPr>
          <w:rFonts w:ascii="Times New Roman" w:hAnsi="Times New Roman" w:eastAsia="仿宋_GB2312"/>
          <w:sz w:val="32"/>
          <w:szCs w:val="32"/>
        </w:rPr>
        <w:t>第3.5.1、3.5.2的要求，</w:t>
      </w:r>
      <w:r>
        <w:rPr>
          <w:rFonts w:hint="eastAsia" w:ascii="Times New Roman" w:hAnsi="Times New Roman" w:eastAsia="仿宋_GB2312"/>
          <w:sz w:val="32"/>
          <w:szCs w:val="32"/>
        </w:rPr>
        <w:t>宜</w:t>
      </w:r>
      <w:r>
        <w:rPr>
          <w:rFonts w:ascii="Times New Roman" w:hAnsi="Times New Roman" w:eastAsia="仿宋_GB2312"/>
          <w:sz w:val="32"/>
          <w:szCs w:val="32"/>
        </w:rPr>
        <w:t>选用低温柔性硅酮密封胶、聚氨酯密封胶</w:t>
      </w:r>
      <w:r>
        <w:rPr>
          <w:rFonts w:hint="eastAsia" w:ascii="Times New Roman" w:hAnsi="Times New Roman" w:eastAsia="仿宋_GB2312"/>
          <w:sz w:val="32"/>
          <w:szCs w:val="32"/>
        </w:rPr>
        <w:t>等材料</w:t>
      </w:r>
      <w:r>
        <w:rPr>
          <w:rFonts w:ascii="Times New Roman" w:hAnsi="Times New Roman" w:eastAsia="仿宋_GB2312"/>
          <w:sz w:val="32"/>
          <w:szCs w:val="32"/>
        </w:rPr>
        <w:t>，避免低温脆裂。</w:t>
      </w:r>
    </w:p>
    <w:p w14:paraId="23D44544">
      <w:pPr>
        <w:pStyle w:val="4"/>
      </w:pPr>
      <w:bookmarkStart w:id="83" w:name="_Toc231199831"/>
      <w:bookmarkStart w:id="84" w:name="_Toc233624886"/>
      <w:r>
        <w:t>太阳能系统</w:t>
      </w:r>
      <w:bookmarkEnd w:id="83"/>
      <w:bookmarkEnd w:id="84"/>
    </w:p>
    <w:p w14:paraId="0FF1FA64">
      <w:pPr>
        <w:spacing w:line="360" w:lineRule="auto"/>
        <w:ind w:right="84" w:rightChars="40" w:firstLine="640" w:firstLineChars="200"/>
        <w:rPr>
          <w:rFonts w:ascii="Times New Roman" w:hAnsi="Times New Roman" w:eastAsia="仿宋_GB2312"/>
          <w:sz w:val="32"/>
          <w:szCs w:val="32"/>
        </w:rPr>
      </w:pPr>
      <w:r>
        <w:rPr>
          <w:rFonts w:ascii="Times New Roman" w:hAnsi="Times New Roman" w:eastAsia="仿宋_GB2312"/>
          <w:sz w:val="32"/>
          <w:szCs w:val="32"/>
        </w:rPr>
        <w:t>新建、扩建和改建建筑工程太阳能系统应按《建筑节能与可再生能源利用通用规范》</w:t>
      </w:r>
      <w:r>
        <w:rPr>
          <w:rFonts w:hint="eastAsia" w:ascii="Times New Roman" w:hAnsi="Times New Roman" w:eastAsia="仿宋_GB2312"/>
          <w:sz w:val="32"/>
          <w:szCs w:val="32"/>
        </w:rPr>
        <w:t>（</w:t>
      </w:r>
      <w:r>
        <w:rPr>
          <w:rFonts w:ascii="Times New Roman" w:hAnsi="Times New Roman" w:eastAsia="仿宋_GB2312"/>
          <w:sz w:val="32"/>
          <w:szCs w:val="32"/>
        </w:rPr>
        <w:t>GB 55015—2021</w:t>
      </w:r>
      <w:r>
        <w:rPr>
          <w:rFonts w:hint="eastAsia" w:ascii="Times New Roman" w:hAnsi="Times New Roman" w:eastAsia="仿宋_GB2312"/>
          <w:sz w:val="32"/>
          <w:szCs w:val="32"/>
        </w:rPr>
        <w:t>）</w:t>
      </w:r>
      <w:r>
        <w:rPr>
          <w:rFonts w:ascii="Times New Roman" w:hAnsi="Times New Roman" w:eastAsia="仿宋_GB2312"/>
          <w:sz w:val="32"/>
          <w:szCs w:val="32"/>
        </w:rPr>
        <w:t>第5.2.1、5.2.4条</w:t>
      </w:r>
      <w:r>
        <w:rPr>
          <w:rFonts w:hint="eastAsia" w:ascii="Times New Roman" w:hAnsi="Times New Roman" w:eastAsia="仿宋_GB2312"/>
          <w:sz w:val="32"/>
          <w:szCs w:val="32"/>
        </w:rPr>
        <w:t>、《四川省加快推动建筑领域节能降碳工作实施方案》（川办函〔2004〕102号）与房屋建筑同步设计、同步施工、同步验收</w:t>
      </w:r>
      <w:r>
        <w:rPr>
          <w:rFonts w:ascii="Times New Roman" w:hAnsi="Times New Roman" w:eastAsia="仿宋_GB2312"/>
          <w:sz w:val="32"/>
          <w:szCs w:val="32"/>
        </w:rPr>
        <w:t>，太阳能系统的设计、施工及维护应严格执行《建筑节能与可再生能源利用通用规范》第5.2节。光伏设施的设计、施工、验收应执行《建筑光伏系统应用技术标准》</w:t>
      </w:r>
      <w:r>
        <w:rPr>
          <w:rFonts w:hint="eastAsia" w:ascii="Times New Roman" w:hAnsi="Times New Roman" w:eastAsia="仿宋_GB2312"/>
          <w:sz w:val="32"/>
          <w:szCs w:val="32"/>
        </w:rPr>
        <w:t>（</w:t>
      </w:r>
      <w:r>
        <w:rPr>
          <w:rFonts w:ascii="Times New Roman" w:hAnsi="Times New Roman" w:eastAsia="仿宋_GB2312"/>
          <w:sz w:val="32"/>
          <w:szCs w:val="32"/>
        </w:rPr>
        <w:t>GB/T 51368—2019</w:t>
      </w:r>
      <w:r>
        <w:rPr>
          <w:rFonts w:hint="eastAsia" w:ascii="Times New Roman" w:hAnsi="Times New Roman" w:eastAsia="仿宋_GB2312"/>
          <w:sz w:val="32"/>
          <w:szCs w:val="32"/>
        </w:rPr>
        <w:t>）</w:t>
      </w:r>
      <w:r>
        <w:rPr>
          <w:rFonts w:ascii="Times New Roman" w:hAnsi="Times New Roman" w:eastAsia="仿宋_GB2312"/>
          <w:sz w:val="32"/>
          <w:szCs w:val="32"/>
        </w:rPr>
        <w:t>。建筑光伏系统</w:t>
      </w:r>
      <w:r>
        <w:rPr>
          <w:rFonts w:hint="eastAsia" w:ascii="Times New Roman" w:hAnsi="Times New Roman" w:eastAsia="仿宋_GB2312"/>
          <w:sz w:val="32"/>
          <w:szCs w:val="32"/>
        </w:rPr>
        <w:t>应采取防冻、防冰雪等技术措施（如优化安装倾角、采用耐低温材料、电加热融雪等）。</w:t>
      </w:r>
    </w:p>
    <w:p w14:paraId="271B005E">
      <w:pPr>
        <w:spacing w:line="360" w:lineRule="auto"/>
        <w:ind w:right="84" w:rightChars="40" w:firstLine="640" w:firstLineChars="200"/>
        <w:rPr>
          <w:rFonts w:ascii="Times New Roman" w:hAnsi="Times New Roman" w:eastAsia="仿宋_GB2312"/>
          <w:sz w:val="32"/>
          <w:szCs w:val="32"/>
        </w:rPr>
      </w:pPr>
      <w:r>
        <w:rPr>
          <w:rFonts w:ascii="Times New Roman" w:hAnsi="Times New Roman" w:eastAsia="仿宋_GB2312"/>
          <w:sz w:val="32"/>
          <w:szCs w:val="32"/>
        </w:rPr>
        <w:t>既有建筑增设或改造太阳能系统不应降低既有建筑消防性能、影响既有建筑使用功能，应严格执行《建筑节能与可再生能源利用通用规范》</w:t>
      </w:r>
      <w:r>
        <w:rPr>
          <w:rFonts w:hint="eastAsia" w:ascii="Times New Roman" w:hAnsi="Times New Roman" w:eastAsia="仿宋_GB2312"/>
          <w:sz w:val="32"/>
          <w:szCs w:val="32"/>
        </w:rPr>
        <w:t>（</w:t>
      </w:r>
      <w:r>
        <w:rPr>
          <w:rFonts w:ascii="Times New Roman" w:hAnsi="Times New Roman" w:eastAsia="仿宋_GB2312"/>
          <w:sz w:val="32"/>
          <w:szCs w:val="32"/>
        </w:rPr>
        <w:t>GB 55015—2021</w:t>
      </w:r>
      <w:r>
        <w:rPr>
          <w:rFonts w:hint="eastAsia" w:ascii="Times New Roman" w:hAnsi="Times New Roman" w:eastAsia="仿宋_GB2312"/>
          <w:sz w:val="32"/>
          <w:szCs w:val="32"/>
        </w:rPr>
        <w:t>）</w:t>
      </w:r>
      <w:r>
        <w:rPr>
          <w:rFonts w:ascii="Times New Roman" w:hAnsi="Times New Roman" w:eastAsia="仿宋_GB2312"/>
          <w:sz w:val="32"/>
          <w:szCs w:val="32"/>
        </w:rPr>
        <w:t>第5.2.2条、《既有建筑维护与改造通用规范》</w:t>
      </w:r>
      <w:r>
        <w:rPr>
          <w:rFonts w:hint="eastAsia" w:ascii="Times New Roman" w:hAnsi="Times New Roman" w:eastAsia="仿宋_GB2312"/>
          <w:sz w:val="32"/>
          <w:szCs w:val="32"/>
        </w:rPr>
        <w:t>（</w:t>
      </w:r>
      <w:r>
        <w:rPr>
          <w:rFonts w:ascii="Times New Roman" w:hAnsi="Times New Roman" w:eastAsia="仿宋_GB2312"/>
          <w:sz w:val="32"/>
          <w:szCs w:val="32"/>
        </w:rPr>
        <w:t>GB 55022—2021</w:t>
      </w:r>
      <w:r>
        <w:rPr>
          <w:rFonts w:hint="eastAsia" w:ascii="Times New Roman" w:hAnsi="Times New Roman" w:eastAsia="仿宋_GB2312"/>
          <w:sz w:val="32"/>
          <w:szCs w:val="32"/>
        </w:rPr>
        <w:t>）</w:t>
      </w:r>
      <w:r>
        <w:rPr>
          <w:rFonts w:ascii="Times New Roman" w:hAnsi="Times New Roman" w:eastAsia="仿宋_GB2312"/>
          <w:sz w:val="32"/>
          <w:szCs w:val="32"/>
        </w:rPr>
        <w:t>第5章、《既有建筑鉴定与加固通用规范》</w:t>
      </w:r>
      <w:r>
        <w:rPr>
          <w:rFonts w:hint="eastAsia" w:ascii="Times New Roman" w:hAnsi="Times New Roman" w:eastAsia="仿宋_GB2312"/>
          <w:sz w:val="32"/>
          <w:szCs w:val="32"/>
        </w:rPr>
        <w:t>（</w:t>
      </w:r>
      <w:r>
        <w:rPr>
          <w:rFonts w:ascii="Times New Roman" w:hAnsi="Times New Roman" w:eastAsia="仿宋_GB2312"/>
          <w:sz w:val="32"/>
          <w:szCs w:val="32"/>
        </w:rPr>
        <w:t>GB 55021—2021</w:t>
      </w:r>
      <w:r>
        <w:rPr>
          <w:rFonts w:hint="eastAsia" w:ascii="Times New Roman" w:hAnsi="Times New Roman" w:eastAsia="仿宋_GB2312"/>
          <w:sz w:val="32"/>
          <w:szCs w:val="32"/>
        </w:rPr>
        <w:t>）</w:t>
      </w:r>
      <w:r>
        <w:rPr>
          <w:rFonts w:ascii="Times New Roman" w:hAnsi="Times New Roman" w:eastAsia="仿宋_GB2312"/>
          <w:sz w:val="32"/>
          <w:szCs w:val="32"/>
        </w:rPr>
        <w:t>第6章的规定。</w:t>
      </w:r>
    </w:p>
    <w:p w14:paraId="1CB69D36">
      <w:pPr>
        <w:pStyle w:val="4"/>
      </w:pPr>
      <w:bookmarkStart w:id="85" w:name="_Toc233624887"/>
      <w:r>
        <w:t>建筑供暖</w:t>
      </w:r>
      <w:bookmarkEnd w:id="85"/>
    </w:p>
    <w:p w14:paraId="23696884">
      <w:pPr>
        <w:spacing w:line="360" w:lineRule="auto"/>
        <w:ind w:right="84" w:rightChars="40" w:firstLine="640" w:firstLineChars="200"/>
        <w:rPr>
          <w:rFonts w:ascii="Times New Roman" w:hAnsi="Times New Roman" w:eastAsia="仿宋_GB2312"/>
          <w:sz w:val="32"/>
          <w:szCs w:val="32"/>
        </w:rPr>
      </w:pPr>
      <w:r>
        <w:rPr>
          <w:rFonts w:ascii="Times New Roman" w:hAnsi="Times New Roman" w:eastAsia="仿宋_GB2312"/>
          <w:sz w:val="32"/>
          <w:szCs w:val="32"/>
        </w:rPr>
        <w:t>房屋建筑工程</w:t>
      </w:r>
      <w:r>
        <w:rPr>
          <w:rFonts w:hint="eastAsia" w:ascii="Times New Roman" w:hAnsi="Times New Roman" w:eastAsia="仿宋_GB2312"/>
          <w:sz w:val="32"/>
          <w:szCs w:val="32"/>
        </w:rPr>
        <w:t>应</w:t>
      </w:r>
      <w:r>
        <w:rPr>
          <w:rFonts w:ascii="Times New Roman" w:hAnsi="Times New Roman" w:eastAsia="仿宋_GB2312"/>
          <w:sz w:val="32"/>
          <w:szCs w:val="32"/>
        </w:rPr>
        <w:t>按照《民用建筑供暖通风与空气调节设计规范》</w:t>
      </w:r>
      <w:r>
        <w:rPr>
          <w:rFonts w:hint="eastAsia" w:ascii="Times New Roman" w:hAnsi="Times New Roman" w:eastAsia="仿宋_GB2312"/>
          <w:sz w:val="32"/>
          <w:szCs w:val="32"/>
        </w:rPr>
        <w:t>（</w:t>
      </w:r>
      <w:r>
        <w:rPr>
          <w:rFonts w:ascii="Times New Roman" w:hAnsi="Times New Roman" w:eastAsia="仿宋_GB2312"/>
          <w:sz w:val="32"/>
          <w:szCs w:val="32"/>
        </w:rPr>
        <w:t>GB 50736—2012</w:t>
      </w:r>
      <w:r>
        <w:rPr>
          <w:rFonts w:hint="eastAsia" w:ascii="Times New Roman" w:hAnsi="Times New Roman" w:eastAsia="仿宋_GB2312"/>
          <w:sz w:val="32"/>
          <w:szCs w:val="32"/>
        </w:rPr>
        <w:t>）</w:t>
      </w:r>
      <w:r>
        <w:rPr>
          <w:rFonts w:ascii="Times New Roman" w:hAnsi="Times New Roman" w:eastAsia="仿宋_GB2312"/>
          <w:sz w:val="32"/>
          <w:szCs w:val="32"/>
        </w:rPr>
        <w:t>第5章</w:t>
      </w:r>
      <w:r>
        <w:rPr>
          <w:rFonts w:hint="eastAsia" w:ascii="Times New Roman" w:hAnsi="Times New Roman" w:eastAsia="仿宋_GB2312"/>
          <w:sz w:val="32"/>
          <w:szCs w:val="32"/>
        </w:rPr>
        <w:t>、《四川省高寒地区民用建筑供暖通风设计标准》（DBJ51/055</w:t>
      </w:r>
      <w:r>
        <w:rPr>
          <w:rFonts w:ascii="Times New Roman" w:hAnsi="Times New Roman" w:eastAsia="仿宋_GB2312"/>
          <w:sz w:val="32"/>
          <w:szCs w:val="32"/>
        </w:rPr>
        <w:t>—</w:t>
      </w:r>
      <w:r>
        <w:rPr>
          <w:rFonts w:hint="eastAsia" w:ascii="Times New Roman" w:hAnsi="Times New Roman" w:eastAsia="仿宋_GB2312"/>
          <w:sz w:val="32"/>
          <w:szCs w:val="32"/>
        </w:rPr>
        <w:t>2016）</w:t>
      </w:r>
      <w:r>
        <w:rPr>
          <w:rFonts w:ascii="Times New Roman" w:hAnsi="Times New Roman" w:eastAsia="仿宋_GB2312"/>
          <w:sz w:val="32"/>
          <w:szCs w:val="32"/>
        </w:rPr>
        <w:t>设置供暖设施</w:t>
      </w:r>
      <w:r>
        <w:rPr>
          <w:rFonts w:hint="eastAsia" w:ascii="Times New Roman" w:hAnsi="Times New Roman" w:eastAsia="仿宋_GB2312"/>
          <w:sz w:val="32"/>
          <w:szCs w:val="32"/>
        </w:rPr>
        <w:t>。</w:t>
      </w:r>
    </w:p>
    <w:p w14:paraId="03F03535">
      <w:pPr>
        <w:spacing w:line="360" w:lineRule="auto"/>
        <w:ind w:right="84" w:rightChars="40" w:firstLine="640" w:firstLineChars="200"/>
        <w:rPr>
          <w:rFonts w:ascii="Times New Roman" w:hAnsi="Times New Roman" w:eastAsia="仿宋_GB2312"/>
          <w:sz w:val="32"/>
          <w:szCs w:val="32"/>
        </w:rPr>
      </w:pPr>
      <w:r>
        <w:rPr>
          <w:rFonts w:hint="eastAsia" w:ascii="Times New Roman" w:hAnsi="Times New Roman" w:eastAsia="仿宋_GB2312"/>
          <w:sz w:val="32"/>
          <w:szCs w:val="32"/>
        </w:rPr>
        <w:t>城镇地区宜</w:t>
      </w:r>
      <w:r>
        <w:rPr>
          <w:rFonts w:ascii="Times New Roman" w:hAnsi="Times New Roman" w:eastAsia="仿宋_GB2312"/>
          <w:sz w:val="32"/>
          <w:szCs w:val="32"/>
        </w:rPr>
        <w:t>采用集中供暖。供热管网应满足《城镇供热管网设计标准》</w:t>
      </w:r>
      <w:r>
        <w:rPr>
          <w:rFonts w:hint="eastAsia" w:ascii="Times New Roman" w:hAnsi="Times New Roman" w:eastAsia="仿宋_GB2312"/>
          <w:sz w:val="32"/>
          <w:szCs w:val="32"/>
        </w:rPr>
        <w:t>（CJJ/T34</w:t>
      </w:r>
      <w:r>
        <w:rPr>
          <w:rFonts w:ascii="Times New Roman" w:hAnsi="Times New Roman" w:eastAsia="仿宋_GB2312"/>
          <w:sz w:val="32"/>
          <w:szCs w:val="32"/>
        </w:rPr>
        <w:t>—</w:t>
      </w:r>
      <w:r>
        <w:rPr>
          <w:rFonts w:hint="eastAsia" w:ascii="Times New Roman" w:hAnsi="Times New Roman" w:eastAsia="仿宋_GB2312"/>
          <w:sz w:val="32"/>
          <w:szCs w:val="32"/>
        </w:rPr>
        <w:t>2022）</w:t>
      </w:r>
      <w:r>
        <w:rPr>
          <w:rFonts w:ascii="Times New Roman" w:hAnsi="Times New Roman" w:eastAsia="仿宋_GB2312"/>
          <w:sz w:val="32"/>
          <w:szCs w:val="32"/>
        </w:rPr>
        <w:t>的要求。</w:t>
      </w:r>
    </w:p>
    <w:p w14:paraId="3142ADD4">
      <w:pPr>
        <w:spacing w:line="360" w:lineRule="auto"/>
        <w:ind w:right="84" w:rightChars="40" w:firstLine="640" w:firstLineChars="200"/>
        <w:rPr>
          <w:rFonts w:ascii="Times New Roman" w:hAnsi="Times New Roman" w:eastAsia="仿宋_GB2312"/>
          <w:sz w:val="32"/>
          <w:szCs w:val="32"/>
        </w:rPr>
      </w:pPr>
      <w:r>
        <w:rPr>
          <w:rFonts w:ascii="Times New Roman" w:hAnsi="Times New Roman" w:eastAsia="仿宋_GB2312"/>
          <w:sz w:val="32"/>
          <w:szCs w:val="32"/>
        </w:rPr>
        <w:t>偏远地区或建筑分散的区域，</w:t>
      </w:r>
      <w:r>
        <w:rPr>
          <w:rFonts w:hint="eastAsia" w:ascii="Times New Roman" w:hAnsi="Times New Roman" w:eastAsia="仿宋_GB2312"/>
          <w:sz w:val="32"/>
          <w:szCs w:val="32"/>
        </w:rPr>
        <w:t>宜按以下方式逐步推进</w:t>
      </w:r>
      <w:r>
        <w:rPr>
          <w:rFonts w:ascii="Times New Roman" w:hAnsi="Times New Roman" w:eastAsia="仿宋_GB2312"/>
          <w:sz w:val="32"/>
          <w:szCs w:val="32"/>
        </w:rPr>
        <w:t>供暖措施：</w:t>
      </w:r>
    </w:p>
    <w:p w14:paraId="17A07FA2">
      <w:pPr>
        <w:spacing w:line="360" w:lineRule="auto"/>
        <w:ind w:right="84" w:rightChars="40" w:firstLine="640" w:firstLineChars="200"/>
        <w:rPr>
          <w:rFonts w:ascii="Times New Roman" w:hAnsi="Times New Roman" w:eastAsia="仿宋_GB2312"/>
          <w:sz w:val="32"/>
          <w:szCs w:val="32"/>
        </w:rPr>
      </w:pPr>
      <w:r>
        <w:rPr>
          <w:rFonts w:hint="eastAsia" w:ascii="Times New Roman" w:hAnsi="Times New Roman" w:eastAsia="仿宋_GB2312"/>
          <w:sz w:val="32"/>
          <w:szCs w:val="32"/>
        </w:rPr>
        <w:t>1）近</w:t>
      </w:r>
      <w:r>
        <w:rPr>
          <w:rFonts w:ascii="Times New Roman" w:hAnsi="Times New Roman" w:eastAsia="仿宋_GB2312"/>
          <w:sz w:val="32"/>
          <w:szCs w:val="32"/>
        </w:rPr>
        <w:t>期</w:t>
      </w:r>
      <w:r>
        <w:rPr>
          <w:rFonts w:hint="eastAsia" w:ascii="Times New Roman" w:hAnsi="Times New Roman" w:eastAsia="仿宋_GB2312"/>
          <w:sz w:val="32"/>
          <w:szCs w:val="32"/>
        </w:rPr>
        <w:t>，</w:t>
      </w:r>
      <w:r>
        <w:rPr>
          <w:rFonts w:ascii="Times New Roman" w:hAnsi="Times New Roman" w:eastAsia="仿宋_GB2312"/>
          <w:sz w:val="32"/>
          <w:szCs w:val="32"/>
        </w:rPr>
        <w:t>推广建筑简易保温改造+高效低排放生物质炉具或清洁煤炉。</w:t>
      </w:r>
    </w:p>
    <w:p w14:paraId="1E2E386B">
      <w:pPr>
        <w:spacing w:line="360" w:lineRule="auto"/>
        <w:ind w:right="84" w:rightChars="40" w:firstLine="640" w:firstLineChars="200"/>
        <w:rPr>
          <w:rFonts w:ascii="Times New Roman" w:hAnsi="Times New Roman" w:eastAsia="仿宋_GB2312"/>
          <w:sz w:val="32"/>
          <w:szCs w:val="32"/>
        </w:rPr>
      </w:pPr>
      <w:r>
        <w:rPr>
          <w:rFonts w:hint="eastAsia" w:ascii="Times New Roman" w:hAnsi="Times New Roman" w:eastAsia="仿宋_GB2312"/>
          <w:sz w:val="32"/>
          <w:szCs w:val="32"/>
        </w:rPr>
        <w:t>2）</w:t>
      </w:r>
      <w:r>
        <w:rPr>
          <w:rFonts w:ascii="Times New Roman" w:hAnsi="Times New Roman" w:eastAsia="仿宋_GB2312"/>
          <w:sz w:val="32"/>
          <w:szCs w:val="32"/>
        </w:rPr>
        <w:t>中期</w:t>
      </w:r>
      <w:r>
        <w:rPr>
          <w:rFonts w:hint="eastAsia" w:ascii="Times New Roman" w:hAnsi="Times New Roman" w:eastAsia="仿宋_GB2312"/>
          <w:sz w:val="32"/>
          <w:szCs w:val="32"/>
        </w:rPr>
        <w:t>，</w:t>
      </w:r>
      <w:r>
        <w:rPr>
          <w:rFonts w:ascii="Times New Roman" w:hAnsi="Times New Roman" w:eastAsia="仿宋_GB2312"/>
          <w:sz w:val="32"/>
          <w:szCs w:val="32"/>
        </w:rPr>
        <w:t>推广</w:t>
      </w:r>
      <w:r>
        <w:rPr>
          <w:rFonts w:hint="eastAsia" w:ascii="Times New Roman" w:hAnsi="Times New Roman" w:eastAsia="仿宋_GB2312"/>
          <w:sz w:val="32"/>
          <w:szCs w:val="32"/>
        </w:rPr>
        <w:t>“</w:t>
      </w:r>
      <w:r>
        <w:rPr>
          <w:rFonts w:ascii="Times New Roman" w:hAnsi="Times New Roman" w:eastAsia="仿宋_GB2312"/>
          <w:sz w:val="32"/>
          <w:szCs w:val="32"/>
        </w:rPr>
        <w:t>被动式太阳房+主动式太阳能热水+储热</w:t>
      </w:r>
      <w:r>
        <w:rPr>
          <w:rFonts w:hint="eastAsia" w:ascii="Times New Roman" w:hAnsi="Times New Roman" w:eastAsia="仿宋_GB2312"/>
          <w:sz w:val="32"/>
          <w:szCs w:val="32"/>
        </w:rPr>
        <w:t>”</w:t>
      </w:r>
      <w:r>
        <w:rPr>
          <w:rFonts w:ascii="Times New Roman" w:hAnsi="Times New Roman" w:eastAsia="仿宋_GB2312"/>
          <w:sz w:val="32"/>
          <w:szCs w:val="32"/>
        </w:rPr>
        <w:t>系统，耦合电能或生物质能作为补充。在条件较好的村庄试点低温空气源热泵。</w:t>
      </w:r>
    </w:p>
    <w:p w14:paraId="2C0BAE9E">
      <w:pPr>
        <w:spacing w:line="360" w:lineRule="auto"/>
        <w:ind w:right="84" w:rightChars="40" w:firstLine="640" w:firstLineChars="200"/>
        <w:rPr>
          <w:rFonts w:ascii="Times New Roman" w:hAnsi="Times New Roman" w:eastAsia="仿宋_GB2312"/>
          <w:sz w:val="32"/>
          <w:szCs w:val="32"/>
        </w:rPr>
      </w:pPr>
      <w:r>
        <w:rPr>
          <w:rFonts w:hint="eastAsia" w:ascii="Times New Roman" w:hAnsi="Times New Roman" w:eastAsia="仿宋_GB2312"/>
          <w:sz w:val="32"/>
          <w:szCs w:val="32"/>
        </w:rPr>
        <w:t>3）</w:t>
      </w:r>
      <w:r>
        <w:rPr>
          <w:rFonts w:ascii="Times New Roman" w:hAnsi="Times New Roman" w:eastAsia="仿宋_GB2312"/>
          <w:sz w:val="32"/>
          <w:szCs w:val="32"/>
        </w:rPr>
        <w:t>远期</w:t>
      </w:r>
      <w:r>
        <w:rPr>
          <w:rFonts w:hint="eastAsia" w:ascii="Times New Roman" w:hAnsi="Times New Roman" w:eastAsia="仿宋_GB2312"/>
          <w:sz w:val="32"/>
          <w:szCs w:val="32"/>
        </w:rPr>
        <w:t>，</w:t>
      </w:r>
      <w:r>
        <w:rPr>
          <w:rFonts w:ascii="Times New Roman" w:hAnsi="Times New Roman" w:eastAsia="仿宋_GB2312"/>
          <w:sz w:val="32"/>
          <w:szCs w:val="32"/>
        </w:rPr>
        <w:t>在聚居程度高的乡镇、村庄，建设以生物质成型燃料锅炉或太阳能集中集热为热源的小型区域供热管网。</w:t>
      </w:r>
    </w:p>
    <w:p w14:paraId="58D97624">
      <w:pPr>
        <w:pStyle w:val="4"/>
      </w:pPr>
      <w:bookmarkStart w:id="86" w:name="_Toc233624888"/>
      <w:bookmarkStart w:id="87" w:name="_Toc207011643"/>
      <w:r>
        <w:t>公厕防冻</w:t>
      </w:r>
      <w:bookmarkEnd w:id="86"/>
    </w:p>
    <w:p w14:paraId="5931CC6A">
      <w:pPr>
        <w:spacing w:line="360" w:lineRule="auto"/>
        <w:ind w:right="84" w:rightChars="40" w:firstLine="707" w:firstLineChars="221"/>
        <w:rPr>
          <w:rFonts w:ascii="Times New Roman" w:hAnsi="Times New Roman" w:eastAsia="仿宋_GB2312"/>
          <w:sz w:val="32"/>
          <w:szCs w:val="32"/>
        </w:rPr>
      </w:pPr>
      <w:r>
        <w:rPr>
          <w:rFonts w:hint="eastAsia" w:ascii="Times New Roman" w:hAnsi="Times New Roman" w:eastAsia="仿宋_GB2312"/>
          <w:sz w:val="32"/>
          <w:szCs w:val="32"/>
        </w:rPr>
        <w:t>公共厕所应执行《高海拔地区“五小”设施建设技术指南》（建办标函〔2025〕159号）第4章、《阿坝州高海拔寒冷（严寒）地区公共厕所建设指南》（2024年12月）。独立式公共厕所在电力缺乏或无法有效保障供电的情况下，应设置太阳能系统，保证有效供电；室外公共厕所入口宜设置防风门斗或挡风间（设两道节能门）；化粪池覆土厚度应大于当地冻土层厚度，位于冻土层内的化粪池侧壁应采取保温措施、使用双层保温盖板，保证化粪池的耐久性。</w:t>
      </w:r>
    </w:p>
    <w:p w14:paraId="0F8A75D7">
      <w:pPr>
        <w:spacing w:line="360" w:lineRule="auto"/>
        <w:ind w:right="84" w:rightChars="40" w:firstLine="707" w:firstLineChars="221"/>
        <w:rPr>
          <w:rFonts w:ascii="Times New Roman" w:hAnsi="Times New Roman" w:eastAsia="仿宋_GB2312"/>
          <w:sz w:val="32"/>
          <w:szCs w:val="32"/>
        </w:rPr>
      </w:pPr>
      <w:r>
        <w:rPr>
          <w:rFonts w:hint="eastAsia" w:ascii="Times New Roman" w:hAnsi="Times New Roman" w:eastAsia="仿宋_GB2312"/>
          <w:sz w:val="32"/>
          <w:szCs w:val="32"/>
        </w:rPr>
        <w:t>水冲式公共厕所管道应执行本《建设指引》“管道防冻”的规定。公共厕所的换气次数不应低于10次/小时。公共厕所的无障碍设施应严格执行《建筑与市政工程无障碍通用规范》（GB 55019—2021）、《无障碍设计规范》（GB 50763—2012）。</w:t>
      </w:r>
    </w:p>
    <w:p w14:paraId="2A268491">
      <w:pPr>
        <w:pStyle w:val="3"/>
        <w:numPr>
          <w:ilvl w:val="0"/>
          <w:numId w:val="4"/>
        </w:numPr>
        <w:spacing w:line="560" w:lineRule="exact"/>
        <w:jc w:val="center"/>
        <w:rPr>
          <w:rFonts w:ascii="Times New Roman" w:hAnsi="Times New Roman" w:eastAsia="黑体"/>
          <w:b w:val="0"/>
          <w:sz w:val="36"/>
          <w:szCs w:val="36"/>
        </w:rPr>
      </w:pPr>
      <w:bookmarkStart w:id="88" w:name="_Toc233624889"/>
      <w:r>
        <w:rPr>
          <w:rFonts w:ascii="Times New Roman" w:hAnsi="Times New Roman" w:eastAsia="黑体"/>
          <w:b w:val="0"/>
          <w:sz w:val="36"/>
          <w:szCs w:val="36"/>
        </w:rPr>
        <w:t>结构</w:t>
      </w:r>
      <w:r>
        <w:rPr>
          <w:rFonts w:hint="eastAsia" w:ascii="Times New Roman" w:hAnsi="Times New Roman" w:eastAsia="黑体"/>
          <w:b w:val="0"/>
          <w:sz w:val="36"/>
          <w:szCs w:val="36"/>
        </w:rPr>
        <w:t>工程</w:t>
      </w:r>
      <w:bookmarkEnd w:id="88"/>
    </w:p>
    <w:p w14:paraId="53EE5E77">
      <w:pPr>
        <w:pStyle w:val="4"/>
      </w:pPr>
      <w:bookmarkStart w:id="89" w:name="_Toc207091331"/>
      <w:r>
        <w:rPr>
          <w:rFonts w:hint="eastAsia"/>
        </w:rPr>
        <w:t xml:space="preserve"> </w:t>
      </w:r>
      <w:bookmarkStart w:id="90" w:name="_Toc233624890"/>
      <w:r>
        <w:t>季节冻土工程建设管控</w:t>
      </w:r>
      <w:bookmarkEnd w:id="89"/>
      <w:bookmarkEnd w:id="90"/>
    </w:p>
    <w:p w14:paraId="05ED1B86">
      <w:pPr>
        <w:spacing w:line="360" w:lineRule="auto"/>
        <w:ind w:right="84" w:rightChars="40" w:firstLine="640" w:firstLineChars="200"/>
        <w:rPr>
          <w:rFonts w:hint="eastAsia" w:ascii="Times New Roman" w:hAnsi="Times New Roman" w:eastAsia="仿宋_GB2312"/>
          <w:bCs/>
          <w:sz w:val="32"/>
          <w:szCs w:val="32"/>
        </w:rPr>
      </w:pPr>
      <w:r>
        <w:rPr>
          <w:rFonts w:ascii="Times New Roman" w:hAnsi="Times New Roman" w:eastAsia="仿宋_GB2312"/>
          <w:bCs/>
          <w:sz w:val="32"/>
          <w:szCs w:val="32"/>
        </w:rPr>
        <w:t>各县（市）住房城乡建设主管部门应通过当地</w:t>
      </w:r>
      <w:r>
        <w:rPr>
          <w:rFonts w:ascii="Times New Roman" w:hAnsi="Times New Roman" w:eastAsia="仿宋_GB2312"/>
          <w:sz w:val="32"/>
          <w:szCs w:val="32"/>
        </w:rPr>
        <w:t>自然资源局</w:t>
      </w:r>
      <w:r>
        <w:rPr>
          <w:rFonts w:ascii="Times New Roman" w:hAnsi="Times New Roman" w:eastAsia="仿宋_GB2312"/>
          <w:bCs/>
          <w:sz w:val="32"/>
          <w:szCs w:val="32"/>
        </w:rPr>
        <w:t>和</w:t>
      </w:r>
      <w:r>
        <w:rPr>
          <w:rFonts w:ascii="Times New Roman" w:hAnsi="Times New Roman" w:eastAsia="仿宋_GB2312"/>
          <w:sz w:val="32"/>
          <w:szCs w:val="32"/>
        </w:rPr>
        <w:t>气象局查询</w:t>
      </w:r>
      <w:r>
        <w:rPr>
          <w:rFonts w:ascii="Times New Roman" w:hAnsi="Times New Roman" w:eastAsia="仿宋_GB2312"/>
          <w:bCs/>
          <w:sz w:val="32"/>
          <w:szCs w:val="32"/>
        </w:rPr>
        <w:t>域内各乡镇季节冻土深度数据，并向社会公布用于工程建设管控，数据可五年修正一次。</w:t>
      </w:r>
    </w:p>
    <w:p w14:paraId="55A39D25">
      <w:pPr>
        <w:pStyle w:val="12"/>
        <w:jc w:val="center"/>
        <w:rPr>
          <w:rFonts w:ascii="仿宋"/>
          <w:b w:val="0"/>
          <w:bCs/>
          <w:szCs w:val="32"/>
        </w:rPr>
      </w:pPr>
      <w:r>
        <w:rPr>
          <w:rFonts w:hint="eastAsia"/>
        </w:rPr>
        <w:t xml:space="preserve">表 </w:t>
      </w:r>
      <w:r>
        <w:rPr>
          <w:rFonts w:hint="eastAsia"/>
        </w:rPr>
        <w:fldChar w:fldCharType="begin"/>
      </w:r>
      <w:r>
        <w:instrText xml:space="preserve"> </w:instrText>
      </w:r>
      <w:r>
        <w:rPr>
          <w:rFonts w:hint="eastAsia"/>
        </w:rPr>
        <w:instrText xml:space="preserve">STYLEREF 1 \s</w:instrText>
      </w:r>
      <w:r>
        <w:instrText xml:space="preserve"> </w:instrText>
      </w:r>
      <w:r>
        <w:fldChar w:fldCharType="separate"/>
      </w:r>
      <w:r>
        <w:rPr>
          <w:rFonts w:hint="eastAsia"/>
        </w:rPr>
        <w:t>三</w:t>
      </w:r>
      <w:r>
        <w:fldChar w:fldCharType="end"/>
      </w:r>
      <w:r>
        <w:noBreakHyphen/>
      </w:r>
      <w:r>
        <w:rPr>
          <w:rFonts w:hint="eastAsia"/>
        </w:rPr>
        <w:fldChar w:fldCharType="begin"/>
      </w:r>
      <w:r>
        <w:instrText xml:space="preserve"> </w:instrText>
      </w:r>
      <w:r>
        <w:rPr>
          <w:rFonts w:hint="eastAsia"/>
        </w:rPr>
        <w:instrText xml:space="preserve">SEQ 表 \* ARABIC \s 1</w:instrText>
      </w:r>
      <w:r>
        <w:instrText xml:space="preserve"> </w:instrText>
      </w:r>
      <w:r>
        <w:fldChar w:fldCharType="separate"/>
      </w:r>
      <w:r>
        <w:t>1</w:t>
      </w:r>
      <w:r>
        <w:fldChar w:fldCharType="end"/>
      </w:r>
      <w:r>
        <w:rPr>
          <w:rFonts w:hint="eastAsia" w:ascii="仿宋"/>
          <w:szCs w:val="32"/>
        </w:rPr>
        <w:t>各市、县季节冻土深度管控参考值</w:t>
      </w:r>
    </w:p>
    <w:tbl>
      <w:tblPr>
        <w:tblStyle w:val="2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54"/>
        <w:gridCol w:w="2181"/>
        <w:gridCol w:w="2601"/>
        <w:gridCol w:w="2286"/>
      </w:tblGrid>
      <w:tr w14:paraId="44C236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2" w:hRule="atLeast"/>
          <w:jc w:val="center"/>
        </w:trPr>
        <w:tc>
          <w:tcPr>
            <w:vMerge w:val="restart"/>
            <w:vAlign w:val="center"/>
          </w:tcPr>
          <w:p w14:paraId="5BA621F0">
            <w:pPr>
              <w:spacing w:line="560" w:lineRule="exact"/>
              <w:ind w:right="84" w:rightChars="40"/>
              <w:jc w:val="center"/>
              <w:rPr>
                <w:rFonts w:ascii="Times New Roman" w:hAnsi="Times New Roman" w:eastAsia="仿宋_GB2312"/>
                <w:bCs/>
                <w:sz w:val="24"/>
                <w:szCs w:val="24"/>
              </w:rPr>
            </w:pPr>
            <w:r>
              <w:rPr>
                <w:rFonts w:ascii="Times New Roman" w:hAnsi="Times New Roman" w:eastAsia="仿宋_GB2312"/>
                <w:bCs/>
                <w:sz w:val="24"/>
                <w:szCs w:val="24"/>
              </w:rPr>
              <w:t>海拔（米）</w:t>
            </w:r>
          </w:p>
        </w:tc>
        <w:tc>
          <w:tcPr>
            <w:gridSpan w:val="3"/>
            <w:vAlign w:val="center"/>
          </w:tcPr>
          <w:p w14:paraId="07920410">
            <w:pPr>
              <w:spacing w:line="560" w:lineRule="exact"/>
              <w:ind w:right="84" w:rightChars="40"/>
              <w:jc w:val="center"/>
              <w:rPr>
                <w:rFonts w:ascii="Times New Roman" w:hAnsi="Times New Roman" w:eastAsia="仿宋_GB2312"/>
                <w:bCs/>
                <w:sz w:val="24"/>
                <w:szCs w:val="24"/>
              </w:rPr>
            </w:pPr>
            <w:r>
              <w:rPr>
                <w:rFonts w:ascii="Times New Roman" w:hAnsi="Times New Roman" w:eastAsia="仿宋_GB2312"/>
                <w:bCs/>
                <w:sz w:val="24"/>
                <w:szCs w:val="24"/>
              </w:rPr>
              <w:t>市、县</w:t>
            </w:r>
          </w:p>
        </w:tc>
      </w:tr>
      <w:tr w14:paraId="5D3D64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4" w:hRule="atLeast"/>
          <w:jc w:val="center"/>
        </w:trPr>
        <w:tc>
          <w:tcPr>
            <w:vMerge w:val="continue"/>
            <w:vAlign w:val="center"/>
          </w:tcPr>
          <w:p w14:paraId="30553A47"/>
        </w:tc>
        <w:tc>
          <w:tcPr>
            <w:vAlign w:val="center"/>
          </w:tcPr>
          <w:p w14:paraId="42166861">
            <w:pPr>
              <w:ind w:right="84" w:rightChars="40"/>
              <w:jc w:val="center"/>
              <w:rPr>
                <w:rFonts w:ascii="Times New Roman" w:hAnsi="Times New Roman" w:eastAsia="仿宋_GB2312"/>
                <w:sz w:val="24"/>
                <w:szCs w:val="24"/>
              </w:rPr>
            </w:pPr>
            <w:r>
              <w:rPr>
                <w:rFonts w:ascii="Times New Roman" w:hAnsi="Times New Roman" w:eastAsia="仿宋_GB2312"/>
                <w:sz w:val="24"/>
                <w:szCs w:val="24"/>
              </w:rPr>
              <w:t>汶川、理县、茂县、九寨沟</w:t>
            </w:r>
          </w:p>
        </w:tc>
        <w:tc>
          <w:tcPr>
            <w:vAlign w:val="center"/>
          </w:tcPr>
          <w:p w14:paraId="79BFFB61">
            <w:pPr>
              <w:ind w:right="84" w:rightChars="40"/>
              <w:jc w:val="center"/>
              <w:rPr>
                <w:rFonts w:ascii="Times New Roman" w:hAnsi="Times New Roman" w:eastAsia="仿宋_GB2312"/>
                <w:sz w:val="24"/>
                <w:szCs w:val="24"/>
              </w:rPr>
            </w:pPr>
            <w:r>
              <w:rPr>
                <w:rFonts w:ascii="Times New Roman" w:hAnsi="Times New Roman" w:eastAsia="仿宋_GB2312"/>
                <w:sz w:val="24"/>
                <w:szCs w:val="24"/>
              </w:rPr>
              <w:t>马尔康、金川、小金、松潘、黑水</w:t>
            </w:r>
          </w:p>
        </w:tc>
        <w:tc>
          <w:tcPr>
            <w:vAlign w:val="center"/>
          </w:tcPr>
          <w:p w14:paraId="4A212FB0">
            <w:pPr>
              <w:ind w:right="84" w:rightChars="40"/>
              <w:jc w:val="center"/>
              <w:rPr>
                <w:rFonts w:ascii="Times New Roman" w:hAnsi="Times New Roman" w:eastAsia="仿宋_GB2312"/>
                <w:sz w:val="24"/>
                <w:szCs w:val="24"/>
              </w:rPr>
            </w:pPr>
            <w:r>
              <w:rPr>
                <w:rFonts w:ascii="Times New Roman" w:hAnsi="Times New Roman" w:eastAsia="仿宋_GB2312"/>
                <w:sz w:val="24"/>
                <w:szCs w:val="24"/>
              </w:rPr>
              <w:t>若尔盖、红原、阿坝、壤塘</w:t>
            </w:r>
          </w:p>
        </w:tc>
      </w:tr>
      <w:tr w14:paraId="09FA9B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vAlign w:val="center"/>
          </w:tcPr>
          <w:p w14:paraId="06480FD7">
            <w:pPr>
              <w:spacing w:line="560" w:lineRule="exact"/>
              <w:ind w:right="84" w:rightChars="40"/>
              <w:jc w:val="center"/>
              <w:rPr>
                <w:rFonts w:ascii="Times New Roman" w:hAnsi="Times New Roman" w:eastAsia="仿宋_GB2312"/>
                <w:bCs/>
                <w:sz w:val="24"/>
                <w:szCs w:val="24"/>
              </w:rPr>
            </w:pPr>
            <w:r>
              <w:rPr>
                <w:rFonts w:ascii="Times New Roman" w:hAnsi="Times New Roman" w:eastAsia="仿宋_GB2312"/>
                <w:bCs/>
                <w:sz w:val="24"/>
                <w:szCs w:val="24"/>
              </w:rPr>
              <w:t>1500以下</w:t>
            </w:r>
          </w:p>
        </w:tc>
        <w:tc>
          <w:tcPr>
            <w:vAlign w:val="center"/>
          </w:tcPr>
          <w:p w14:paraId="3D9D49D1">
            <w:pPr>
              <w:spacing w:line="560" w:lineRule="exact"/>
              <w:ind w:right="84" w:rightChars="40"/>
              <w:jc w:val="center"/>
              <w:rPr>
                <w:rFonts w:ascii="Times New Roman" w:hAnsi="Times New Roman" w:eastAsia="仿宋_GB2312"/>
                <w:bCs/>
                <w:sz w:val="24"/>
                <w:szCs w:val="24"/>
              </w:rPr>
            </w:pPr>
            <w:r>
              <w:rPr>
                <w:rFonts w:ascii="Times New Roman" w:hAnsi="Times New Roman" w:eastAsia="仿宋_GB2312"/>
                <w:bCs/>
                <w:sz w:val="24"/>
                <w:szCs w:val="24"/>
              </w:rPr>
              <w:t>不考虑</w:t>
            </w:r>
          </w:p>
        </w:tc>
        <w:tc>
          <w:tcPr>
            <w:vAlign w:val="center"/>
          </w:tcPr>
          <w:p w14:paraId="0586EF7E">
            <w:pPr>
              <w:spacing w:line="560" w:lineRule="exact"/>
              <w:ind w:right="84" w:rightChars="40"/>
              <w:jc w:val="center"/>
              <w:rPr>
                <w:rFonts w:ascii="Times New Roman" w:hAnsi="Times New Roman" w:eastAsia="仿宋_GB2312"/>
                <w:bCs/>
                <w:sz w:val="24"/>
                <w:szCs w:val="24"/>
              </w:rPr>
            </w:pPr>
            <w:r>
              <w:rPr>
                <w:rFonts w:ascii="Times New Roman" w:hAnsi="Times New Roman" w:eastAsia="仿宋_GB2312"/>
                <w:bCs/>
                <w:sz w:val="24"/>
                <w:szCs w:val="24"/>
              </w:rPr>
              <w:t>/</w:t>
            </w:r>
          </w:p>
        </w:tc>
        <w:tc>
          <w:tcPr>
            <w:vAlign w:val="center"/>
          </w:tcPr>
          <w:p w14:paraId="77191DE9">
            <w:pPr>
              <w:spacing w:line="560" w:lineRule="exact"/>
              <w:ind w:right="84" w:rightChars="40"/>
              <w:jc w:val="center"/>
              <w:rPr>
                <w:rFonts w:ascii="Times New Roman" w:hAnsi="Times New Roman" w:eastAsia="仿宋_GB2312"/>
                <w:bCs/>
                <w:sz w:val="24"/>
                <w:szCs w:val="24"/>
              </w:rPr>
            </w:pPr>
            <w:r>
              <w:rPr>
                <w:rFonts w:ascii="Times New Roman" w:hAnsi="Times New Roman" w:eastAsia="仿宋_GB2312"/>
                <w:bCs/>
                <w:sz w:val="24"/>
                <w:szCs w:val="24"/>
              </w:rPr>
              <w:t>/</w:t>
            </w:r>
          </w:p>
        </w:tc>
      </w:tr>
      <w:tr w14:paraId="42EE23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vAlign w:val="center"/>
          </w:tcPr>
          <w:p w14:paraId="2529D055">
            <w:pPr>
              <w:spacing w:line="560" w:lineRule="exact"/>
              <w:ind w:right="84" w:rightChars="40"/>
              <w:jc w:val="center"/>
              <w:rPr>
                <w:rFonts w:ascii="Times New Roman" w:hAnsi="Times New Roman" w:eastAsia="仿宋_GB2312"/>
                <w:bCs/>
                <w:sz w:val="24"/>
                <w:szCs w:val="24"/>
              </w:rPr>
            </w:pPr>
            <w:r>
              <w:rPr>
                <w:rFonts w:ascii="Times New Roman" w:hAnsi="Times New Roman" w:eastAsia="仿宋_GB2312"/>
                <w:bCs/>
                <w:sz w:val="24"/>
                <w:szCs w:val="24"/>
              </w:rPr>
              <w:t>1500~2000</w:t>
            </w:r>
          </w:p>
        </w:tc>
        <w:tc>
          <w:tcPr>
            <w:vAlign w:val="center"/>
          </w:tcPr>
          <w:p w14:paraId="730D45D3">
            <w:pPr>
              <w:spacing w:line="560" w:lineRule="exact"/>
              <w:ind w:right="84" w:rightChars="40"/>
              <w:jc w:val="center"/>
              <w:rPr>
                <w:rFonts w:ascii="Times New Roman" w:hAnsi="Times New Roman" w:eastAsia="仿宋_GB2312"/>
                <w:bCs/>
                <w:sz w:val="24"/>
                <w:szCs w:val="24"/>
              </w:rPr>
            </w:pPr>
            <w:r>
              <w:rPr>
                <w:rFonts w:ascii="Times New Roman" w:hAnsi="Times New Roman" w:eastAsia="仿宋_GB2312"/>
                <w:bCs/>
                <w:sz w:val="24"/>
                <w:szCs w:val="24"/>
              </w:rPr>
              <w:t>0.5米</w:t>
            </w:r>
          </w:p>
        </w:tc>
        <w:tc>
          <w:tcPr>
            <w:vAlign w:val="center"/>
          </w:tcPr>
          <w:p w14:paraId="4415D422">
            <w:pPr>
              <w:spacing w:line="560" w:lineRule="exact"/>
              <w:ind w:right="84" w:rightChars="40"/>
              <w:jc w:val="center"/>
              <w:rPr>
                <w:rFonts w:ascii="Times New Roman" w:hAnsi="Times New Roman" w:eastAsia="仿宋_GB2312"/>
                <w:bCs/>
                <w:sz w:val="24"/>
                <w:szCs w:val="24"/>
              </w:rPr>
            </w:pPr>
            <w:r>
              <w:rPr>
                <w:rFonts w:ascii="Times New Roman" w:hAnsi="Times New Roman" w:eastAsia="仿宋_GB2312"/>
                <w:bCs/>
                <w:sz w:val="24"/>
                <w:szCs w:val="24"/>
              </w:rPr>
              <w:t>0.5米</w:t>
            </w:r>
          </w:p>
        </w:tc>
        <w:tc>
          <w:tcPr>
            <w:vAlign w:val="center"/>
          </w:tcPr>
          <w:p w14:paraId="1A6BF4DB">
            <w:pPr>
              <w:spacing w:line="560" w:lineRule="exact"/>
              <w:ind w:right="84" w:rightChars="40"/>
              <w:jc w:val="center"/>
              <w:rPr>
                <w:rFonts w:ascii="Times New Roman" w:hAnsi="Times New Roman" w:eastAsia="仿宋_GB2312"/>
                <w:bCs/>
                <w:sz w:val="24"/>
                <w:szCs w:val="24"/>
              </w:rPr>
            </w:pPr>
            <w:r>
              <w:rPr>
                <w:rFonts w:ascii="Times New Roman" w:hAnsi="Times New Roman" w:eastAsia="仿宋_GB2312"/>
                <w:bCs/>
                <w:sz w:val="24"/>
                <w:szCs w:val="24"/>
              </w:rPr>
              <w:t>/</w:t>
            </w:r>
          </w:p>
        </w:tc>
      </w:tr>
      <w:tr w14:paraId="4522B9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vAlign w:val="center"/>
          </w:tcPr>
          <w:p w14:paraId="360CCA1E">
            <w:pPr>
              <w:spacing w:line="560" w:lineRule="exact"/>
              <w:ind w:right="84" w:rightChars="40"/>
              <w:jc w:val="center"/>
              <w:rPr>
                <w:rFonts w:ascii="Times New Roman" w:hAnsi="Times New Roman" w:eastAsia="仿宋_GB2312"/>
                <w:bCs/>
                <w:sz w:val="24"/>
                <w:szCs w:val="24"/>
              </w:rPr>
            </w:pPr>
            <w:r>
              <w:rPr>
                <w:rFonts w:ascii="Times New Roman" w:hAnsi="Times New Roman" w:eastAsia="仿宋_GB2312"/>
                <w:bCs/>
                <w:sz w:val="24"/>
                <w:szCs w:val="24"/>
              </w:rPr>
              <w:t>2000~3000</w:t>
            </w:r>
          </w:p>
        </w:tc>
        <w:tc>
          <w:tcPr>
            <w:vAlign w:val="center"/>
          </w:tcPr>
          <w:p w14:paraId="3E92EBD6">
            <w:pPr>
              <w:spacing w:line="560" w:lineRule="exact"/>
              <w:ind w:right="84" w:rightChars="40"/>
              <w:jc w:val="center"/>
              <w:rPr>
                <w:rFonts w:ascii="Times New Roman" w:hAnsi="Times New Roman" w:eastAsia="仿宋_GB2312"/>
                <w:bCs/>
                <w:sz w:val="24"/>
                <w:szCs w:val="24"/>
              </w:rPr>
            </w:pPr>
            <w:r>
              <w:rPr>
                <w:rFonts w:ascii="Times New Roman" w:hAnsi="Times New Roman" w:eastAsia="仿宋_GB2312"/>
                <w:bCs/>
                <w:sz w:val="24"/>
                <w:szCs w:val="24"/>
              </w:rPr>
              <w:t>0.8米</w:t>
            </w:r>
          </w:p>
        </w:tc>
        <w:tc>
          <w:tcPr>
            <w:vAlign w:val="center"/>
          </w:tcPr>
          <w:p w14:paraId="7DD37341">
            <w:pPr>
              <w:spacing w:line="560" w:lineRule="exact"/>
              <w:ind w:right="84" w:rightChars="40"/>
              <w:jc w:val="center"/>
              <w:rPr>
                <w:rFonts w:ascii="Times New Roman" w:hAnsi="Times New Roman" w:eastAsia="仿宋_GB2312"/>
                <w:bCs/>
                <w:sz w:val="24"/>
                <w:szCs w:val="24"/>
              </w:rPr>
            </w:pPr>
            <w:r>
              <w:rPr>
                <w:rFonts w:ascii="Times New Roman" w:hAnsi="Times New Roman" w:eastAsia="仿宋_GB2312"/>
                <w:bCs/>
                <w:sz w:val="24"/>
                <w:szCs w:val="24"/>
              </w:rPr>
              <w:t>0.8米</w:t>
            </w:r>
          </w:p>
        </w:tc>
        <w:tc>
          <w:tcPr>
            <w:vAlign w:val="center"/>
          </w:tcPr>
          <w:p w14:paraId="435694C3">
            <w:pPr>
              <w:spacing w:line="560" w:lineRule="exact"/>
              <w:ind w:right="84" w:rightChars="40"/>
              <w:jc w:val="center"/>
              <w:rPr>
                <w:rFonts w:ascii="Times New Roman" w:hAnsi="Times New Roman" w:eastAsia="仿宋_GB2312"/>
                <w:bCs/>
                <w:sz w:val="24"/>
                <w:szCs w:val="24"/>
              </w:rPr>
            </w:pPr>
            <w:r>
              <w:rPr>
                <w:rFonts w:ascii="Times New Roman" w:hAnsi="Times New Roman" w:eastAsia="仿宋_GB2312"/>
                <w:bCs/>
                <w:sz w:val="24"/>
                <w:szCs w:val="24"/>
              </w:rPr>
              <w:t>0.8米</w:t>
            </w:r>
          </w:p>
        </w:tc>
      </w:tr>
      <w:tr w14:paraId="675288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vAlign w:val="center"/>
          </w:tcPr>
          <w:p w14:paraId="43A666E3">
            <w:pPr>
              <w:spacing w:line="560" w:lineRule="exact"/>
              <w:ind w:right="84" w:rightChars="40"/>
              <w:jc w:val="center"/>
              <w:rPr>
                <w:rFonts w:ascii="Times New Roman" w:hAnsi="Times New Roman" w:eastAsia="仿宋_GB2312"/>
                <w:bCs/>
                <w:sz w:val="24"/>
                <w:szCs w:val="24"/>
              </w:rPr>
            </w:pPr>
            <w:r>
              <w:rPr>
                <w:rFonts w:ascii="Times New Roman" w:hAnsi="Times New Roman" w:eastAsia="仿宋_GB2312"/>
                <w:bCs/>
                <w:sz w:val="24"/>
                <w:szCs w:val="24"/>
              </w:rPr>
              <w:t>3000~3600</w:t>
            </w:r>
          </w:p>
        </w:tc>
        <w:tc>
          <w:tcPr>
            <w:vAlign w:val="center"/>
          </w:tcPr>
          <w:p w14:paraId="30CC09E5">
            <w:pPr>
              <w:spacing w:line="560" w:lineRule="exact"/>
              <w:ind w:right="84" w:rightChars="40"/>
              <w:jc w:val="center"/>
              <w:rPr>
                <w:rFonts w:ascii="Times New Roman" w:hAnsi="Times New Roman" w:eastAsia="仿宋_GB2312"/>
                <w:bCs/>
                <w:sz w:val="24"/>
                <w:szCs w:val="24"/>
              </w:rPr>
            </w:pPr>
            <w:r>
              <w:rPr>
                <w:rFonts w:ascii="Times New Roman" w:hAnsi="Times New Roman" w:eastAsia="仿宋_GB2312"/>
                <w:bCs/>
                <w:sz w:val="24"/>
                <w:szCs w:val="24"/>
              </w:rPr>
              <w:t>1.2米</w:t>
            </w:r>
          </w:p>
        </w:tc>
        <w:tc>
          <w:tcPr>
            <w:vAlign w:val="center"/>
          </w:tcPr>
          <w:p w14:paraId="66D7DAD5">
            <w:pPr>
              <w:spacing w:line="560" w:lineRule="exact"/>
              <w:ind w:right="84" w:rightChars="40"/>
              <w:jc w:val="center"/>
              <w:rPr>
                <w:rFonts w:ascii="Times New Roman" w:hAnsi="Times New Roman" w:eastAsia="仿宋_GB2312"/>
                <w:bCs/>
                <w:sz w:val="24"/>
                <w:szCs w:val="24"/>
              </w:rPr>
            </w:pPr>
            <w:r>
              <w:rPr>
                <w:rFonts w:ascii="Times New Roman" w:hAnsi="Times New Roman" w:eastAsia="仿宋_GB2312"/>
                <w:bCs/>
                <w:sz w:val="24"/>
                <w:szCs w:val="24"/>
              </w:rPr>
              <w:t>1.2米</w:t>
            </w:r>
          </w:p>
        </w:tc>
        <w:tc>
          <w:tcPr>
            <w:vAlign w:val="center"/>
          </w:tcPr>
          <w:p w14:paraId="7BEEBF7F">
            <w:pPr>
              <w:spacing w:line="560" w:lineRule="exact"/>
              <w:ind w:right="84" w:rightChars="40"/>
              <w:jc w:val="center"/>
              <w:rPr>
                <w:rFonts w:ascii="Times New Roman" w:hAnsi="Times New Roman" w:eastAsia="仿宋_GB2312"/>
                <w:bCs/>
                <w:sz w:val="24"/>
                <w:szCs w:val="24"/>
              </w:rPr>
            </w:pPr>
            <w:r>
              <w:rPr>
                <w:rFonts w:ascii="Times New Roman" w:hAnsi="Times New Roman" w:eastAsia="仿宋_GB2312"/>
                <w:bCs/>
                <w:sz w:val="24"/>
                <w:szCs w:val="24"/>
              </w:rPr>
              <w:t>1.2~</w:t>
            </w:r>
            <w:r>
              <w:rPr>
                <w:rFonts w:hint="eastAsia"/>
                <w:bCs/>
                <w:sz w:val="24"/>
                <w:szCs w:val="24"/>
              </w:rPr>
              <w:t>1.5</w:t>
            </w:r>
            <w:r>
              <w:rPr>
                <w:rFonts w:ascii="Times New Roman" w:hAnsi="Times New Roman" w:eastAsia="仿宋_GB2312"/>
                <w:bCs/>
                <w:sz w:val="24"/>
                <w:szCs w:val="24"/>
              </w:rPr>
              <w:t>米</w:t>
            </w:r>
          </w:p>
        </w:tc>
      </w:tr>
    </w:tbl>
    <w:p w14:paraId="34AEFCE6">
      <w:pPr>
        <w:pStyle w:val="4"/>
      </w:pPr>
      <w:bookmarkStart w:id="91" w:name="_Toc207091332"/>
      <w:bookmarkStart w:id="92" w:name="_Toc233624891"/>
      <w:bookmarkStart w:id="93" w:name="_Toc215762479"/>
      <w:r>
        <w:t>季节冻土区地基基础设计</w:t>
      </w:r>
      <w:bookmarkEnd w:id="91"/>
      <w:r>
        <w:t>要求</w:t>
      </w:r>
      <w:bookmarkEnd w:id="92"/>
      <w:bookmarkEnd w:id="93"/>
    </w:p>
    <w:p w14:paraId="788FDF78">
      <w:pPr>
        <w:spacing w:line="560" w:lineRule="exact"/>
        <w:ind w:right="84" w:rightChars="40" w:firstLine="707" w:firstLineChars="221"/>
        <w:rPr>
          <w:rFonts w:ascii="Times New Roman" w:hAnsi="Times New Roman" w:eastAsia="仿宋_GB2312"/>
          <w:bCs/>
          <w:sz w:val="32"/>
          <w:szCs w:val="32"/>
        </w:rPr>
      </w:pPr>
      <w:r>
        <w:rPr>
          <w:rFonts w:ascii="Times New Roman" w:hAnsi="Times New Roman" w:eastAsia="仿宋_GB2312"/>
          <w:bCs/>
          <w:sz w:val="32"/>
          <w:szCs w:val="32"/>
        </w:rPr>
        <w:t>在有季节冻土的镇、乡进行工程建设时，建筑地基基础设计必须严格执行《冻土地区建筑地基基础设计规范》（JGJ 118</w:t>
      </w:r>
      <w:r>
        <w:rPr>
          <w:rFonts w:ascii="Times New Roman" w:hAnsi="Times New Roman" w:eastAsia="仿宋_GB2312"/>
          <w:sz w:val="32"/>
          <w:szCs w:val="32"/>
        </w:rPr>
        <w:t>—</w:t>
      </w:r>
      <w:r>
        <w:rPr>
          <w:rFonts w:ascii="Times New Roman" w:hAnsi="Times New Roman" w:eastAsia="仿宋_GB2312"/>
          <w:bCs/>
          <w:sz w:val="32"/>
          <w:szCs w:val="32"/>
        </w:rPr>
        <w:t>2011）之各项规定。执行情况纳入施工图审查要点。</w:t>
      </w:r>
    </w:p>
    <w:p w14:paraId="24CCFC31">
      <w:pPr>
        <w:pStyle w:val="4"/>
      </w:pPr>
      <w:r>
        <w:t xml:space="preserve"> </w:t>
      </w:r>
      <w:bookmarkStart w:id="94" w:name="_Toc207091333"/>
      <w:bookmarkStart w:id="95" w:name="_Toc233624892"/>
      <w:bookmarkStart w:id="96" w:name="_Toc215762480"/>
      <w:r>
        <w:t>基本雪压补充</w:t>
      </w:r>
      <w:bookmarkEnd w:id="94"/>
      <w:bookmarkEnd w:id="95"/>
      <w:bookmarkEnd w:id="96"/>
    </w:p>
    <w:p w14:paraId="1CD4F9E1">
      <w:pPr>
        <w:spacing w:line="560" w:lineRule="exact"/>
        <w:ind w:right="84" w:rightChars="40" w:firstLine="707" w:firstLineChars="221"/>
        <w:rPr>
          <w:rFonts w:ascii="Times New Roman" w:hAnsi="Times New Roman" w:eastAsia="仿宋_GB2312"/>
          <w:bCs/>
          <w:sz w:val="32"/>
          <w:szCs w:val="32"/>
        </w:rPr>
      </w:pPr>
      <w:r>
        <w:rPr>
          <w:rFonts w:ascii="Times New Roman" w:hAnsi="Times New Roman" w:eastAsia="仿宋_GB2312"/>
          <w:bCs/>
          <w:sz w:val="32"/>
          <w:szCs w:val="32"/>
        </w:rPr>
        <w:t>《建筑结构荷载规范》（GB</w:t>
      </w:r>
      <w:r>
        <w:rPr>
          <w:rFonts w:hint="eastAsia" w:ascii="Times New Roman" w:hAnsi="Times New Roman" w:eastAsia="仿宋_GB2312"/>
          <w:bCs/>
          <w:sz w:val="32"/>
          <w:szCs w:val="32"/>
        </w:rPr>
        <w:t xml:space="preserve"> </w:t>
      </w:r>
      <w:r>
        <w:rPr>
          <w:rFonts w:ascii="Times New Roman" w:hAnsi="Times New Roman" w:eastAsia="仿宋_GB2312"/>
          <w:bCs/>
          <w:sz w:val="32"/>
          <w:szCs w:val="32"/>
        </w:rPr>
        <w:t>50009</w:t>
      </w:r>
      <w:r>
        <w:rPr>
          <w:rFonts w:ascii="Times New Roman" w:hAnsi="Times New Roman" w:eastAsia="仿宋_GB2312"/>
          <w:sz w:val="32"/>
          <w:szCs w:val="32"/>
        </w:rPr>
        <w:t>—</w:t>
      </w:r>
      <w:r>
        <w:rPr>
          <w:rFonts w:ascii="Times New Roman" w:hAnsi="Times New Roman" w:eastAsia="仿宋_GB2312"/>
          <w:bCs/>
          <w:sz w:val="32"/>
          <w:szCs w:val="32"/>
        </w:rPr>
        <w:t>2012）中未明确基本雪压的县域可按该规范附录E方法确定，暂无统计样本时可参考临近县域取值</w:t>
      </w:r>
      <w:r>
        <w:rPr>
          <w:rFonts w:hint="eastAsia" w:ascii="Times New Roman" w:hAnsi="Times New Roman" w:eastAsia="仿宋_GB2312"/>
          <w:bCs/>
          <w:sz w:val="32"/>
          <w:szCs w:val="32"/>
        </w:rPr>
        <w:t>，</w:t>
      </w:r>
      <w:r>
        <w:rPr>
          <w:rFonts w:ascii="Times New Roman" w:hAnsi="Times New Roman" w:eastAsia="仿宋_GB2312"/>
          <w:bCs/>
          <w:sz w:val="32"/>
          <w:szCs w:val="32"/>
        </w:rPr>
        <w:t>汶川、理县、茂县、九寨沟、金川、黑水可参考马尔康取值</w:t>
      </w:r>
      <w:r>
        <w:rPr>
          <w:rFonts w:hint="eastAsia" w:ascii="Times New Roman" w:hAnsi="Times New Roman" w:eastAsia="仿宋_GB2312"/>
          <w:bCs/>
          <w:sz w:val="32"/>
          <w:szCs w:val="32"/>
        </w:rPr>
        <w:t>，</w:t>
      </w:r>
      <w:r>
        <w:rPr>
          <w:rFonts w:ascii="Times New Roman" w:hAnsi="Times New Roman" w:eastAsia="仿宋_GB2312"/>
          <w:bCs/>
          <w:sz w:val="32"/>
          <w:szCs w:val="32"/>
        </w:rPr>
        <w:t>壤塘可参考阿坝</w:t>
      </w:r>
      <w:r>
        <w:rPr>
          <w:rFonts w:hint="eastAsia" w:ascii="Times New Roman" w:hAnsi="Times New Roman" w:eastAsia="仿宋_GB2312"/>
          <w:bCs/>
          <w:sz w:val="32"/>
          <w:szCs w:val="32"/>
        </w:rPr>
        <w:t>县</w:t>
      </w:r>
      <w:r>
        <w:rPr>
          <w:rFonts w:ascii="Times New Roman" w:hAnsi="Times New Roman" w:eastAsia="仿宋_GB2312"/>
          <w:bCs/>
          <w:sz w:val="32"/>
          <w:szCs w:val="32"/>
        </w:rPr>
        <w:t>取值。</w:t>
      </w:r>
      <w:r>
        <w:rPr>
          <w:rFonts w:hint="eastAsia" w:ascii="Times New Roman" w:hAnsi="Times New Roman" w:eastAsia="仿宋_GB2312"/>
          <w:bCs/>
          <w:sz w:val="32"/>
          <w:szCs w:val="32"/>
        </w:rPr>
        <w:t>详见下表：</w:t>
      </w:r>
    </w:p>
    <w:p w14:paraId="37D8B117">
      <w:pPr>
        <w:pStyle w:val="12"/>
        <w:jc w:val="center"/>
        <w:rPr>
          <w:rFonts w:ascii="仿宋"/>
          <w:b w:val="0"/>
          <w:bCs/>
          <w:szCs w:val="32"/>
        </w:rPr>
      </w:pPr>
      <w:r>
        <w:rPr>
          <w:rFonts w:hint="eastAsia"/>
        </w:rPr>
        <w:t xml:space="preserve">表 </w:t>
      </w:r>
      <w:r>
        <w:rPr>
          <w:rFonts w:hint="eastAsia"/>
        </w:rPr>
        <w:fldChar w:fldCharType="begin"/>
      </w:r>
      <w:r>
        <w:instrText xml:space="preserve"> </w:instrText>
      </w:r>
      <w:r>
        <w:rPr>
          <w:rFonts w:hint="eastAsia"/>
        </w:rPr>
        <w:instrText xml:space="preserve">STYLEREF 1 \s</w:instrText>
      </w:r>
      <w:r>
        <w:instrText xml:space="preserve"> </w:instrText>
      </w:r>
      <w:r>
        <w:fldChar w:fldCharType="separate"/>
      </w:r>
      <w:r>
        <w:rPr>
          <w:rFonts w:hint="eastAsia"/>
        </w:rPr>
        <w:t>三</w:t>
      </w:r>
      <w:r>
        <w:fldChar w:fldCharType="end"/>
      </w:r>
      <w:r>
        <w:noBreakHyphen/>
      </w:r>
      <w:r>
        <w:rPr>
          <w:rFonts w:hint="eastAsia"/>
        </w:rPr>
        <w:fldChar w:fldCharType="begin"/>
      </w:r>
      <w:r>
        <w:instrText xml:space="preserve"> </w:instrText>
      </w:r>
      <w:r>
        <w:rPr>
          <w:rFonts w:hint="eastAsia"/>
        </w:rPr>
        <w:instrText xml:space="preserve">SEQ 表 \* ARABIC \s 1</w:instrText>
      </w:r>
      <w:r>
        <w:instrText xml:space="preserve"> </w:instrText>
      </w:r>
      <w:r>
        <w:fldChar w:fldCharType="separate"/>
      </w:r>
      <w:r>
        <w:t>2</w:t>
      </w:r>
      <w:r>
        <w:fldChar w:fldCharType="end"/>
      </w:r>
      <w:r>
        <w:rPr>
          <w:rFonts w:hint="eastAsia" w:ascii="仿宋"/>
          <w:szCs w:val="32"/>
        </w:rPr>
        <w:t>基本雪压一览表</w:t>
      </w:r>
    </w:p>
    <w:tbl>
      <w:tblPr>
        <w:tblStyle w:val="2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849"/>
        <w:gridCol w:w="851"/>
        <w:gridCol w:w="851"/>
        <w:gridCol w:w="971"/>
      </w:tblGrid>
      <w:tr w14:paraId="081F81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8" w:hRule="atLeast"/>
          <w:jc w:val="center"/>
        </w:trPr>
        <w:tc>
          <w:tcPr>
            <w:vMerge w:val="restart"/>
            <w:vAlign w:val="center"/>
          </w:tcPr>
          <w:p w14:paraId="1ED7BFBB">
            <w:pPr>
              <w:ind w:right="84" w:rightChars="40"/>
              <w:jc w:val="center"/>
              <w:rPr>
                <w:rFonts w:ascii="Times New Roman" w:hAnsi="Times New Roman" w:eastAsia="仿宋_GB2312"/>
                <w:b/>
                <w:bCs/>
                <w:sz w:val="24"/>
                <w:szCs w:val="24"/>
              </w:rPr>
            </w:pPr>
            <w:r>
              <w:rPr>
                <w:rFonts w:hint="eastAsia" w:ascii="Times New Roman" w:hAnsi="Times New Roman" w:eastAsia="仿宋_GB2312"/>
                <w:b/>
                <w:bCs/>
                <w:sz w:val="24"/>
                <w:szCs w:val="24"/>
              </w:rPr>
              <w:t>县（市）</w:t>
            </w:r>
          </w:p>
        </w:tc>
        <w:tc>
          <w:tcPr>
            <w:gridSpan w:val="3"/>
            <w:vAlign w:val="center"/>
          </w:tcPr>
          <w:p w14:paraId="2BE2B9A4">
            <w:pPr>
              <w:ind w:right="84" w:rightChars="40"/>
              <w:jc w:val="center"/>
              <w:rPr>
                <w:rFonts w:ascii="Times New Roman" w:hAnsi="Times New Roman" w:eastAsia="仿宋_GB2312"/>
                <w:b/>
                <w:bCs/>
                <w:sz w:val="24"/>
                <w:szCs w:val="24"/>
              </w:rPr>
            </w:pPr>
            <w:r>
              <w:rPr>
                <w:rFonts w:hint="eastAsia" w:ascii="Times New Roman" w:hAnsi="Times New Roman" w:eastAsia="仿宋_GB2312"/>
                <w:b/>
                <w:bCs/>
                <w:sz w:val="24"/>
                <w:szCs w:val="24"/>
              </w:rPr>
              <w:t>基本雪压（</w:t>
            </w:r>
            <w:r>
              <w:rPr>
                <w:rFonts w:hint="eastAsia" w:ascii="Times New Roman" w:hAnsi="Times New Roman" w:eastAsia="仿宋_GB2312"/>
                <w:bCs/>
                <w:sz w:val="24"/>
                <w:szCs w:val="24"/>
              </w:rPr>
              <w:t>k</w:t>
            </w:r>
            <w:r>
              <w:rPr>
                <w:rFonts w:ascii="Times New Roman" w:hAnsi="Times New Roman" w:eastAsia="仿宋_GB2312"/>
                <w:bCs/>
                <w:sz w:val="24"/>
                <w:szCs w:val="24"/>
              </w:rPr>
              <w:t>N/</w:t>
            </w:r>
            <w:r>
              <w:rPr>
                <w:rFonts w:hint="eastAsia" w:ascii="Times New Roman" w:hAnsi="Times New Roman" w:eastAsia="仿宋_GB2312"/>
                <w:bCs/>
                <w:sz w:val="24"/>
                <w:szCs w:val="24"/>
              </w:rPr>
              <w:t>m</w:t>
            </w:r>
            <w:r>
              <w:rPr>
                <w:rFonts w:hint="eastAsia" w:ascii="Times New Roman" w:hAnsi="Times New Roman" w:eastAsia="仿宋_GB2312"/>
                <w:bCs/>
                <w:sz w:val="24"/>
                <w:szCs w:val="24"/>
                <w:vertAlign w:val="superscript"/>
              </w:rPr>
              <w:t>2</w:t>
            </w:r>
            <w:r>
              <w:rPr>
                <w:rFonts w:hint="eastAsia" w:ascii="Times New Roman" w:hAnsi="Times New Roman" w:eastAsia="仿宋_GB2312"/>
                <w:b/>
                <w:bCs/>
                <w:sz w:val="24"/>
                <w:szCs w:val="24"/>
              </w:rPr>
              <w:t>）</w:t>
            </w:r>
          </w:p>
        </w:tc>
      </w:tr>
      <w:tr w14:paraId="39C793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7" w:hRule="atLeast"/>
          <w:jc w:val="center"/>
        </w:trPr>
        <w:tc>
          <w:tcPr>
            <w:vMerge w:val="continue"/>
            <w:vAlign w:val="center"/>
          </w:tcPr>
          <w:p w14:paraId="0CC23A65"/>
        </w:tc>
        <w:tc>
          <w:tcPr>
            <w:vAlign w:val="center"/>
          </w:tcPr>
          <w:p w14:paraId="0B7C093B">
            <w:pPr>
              <w:ind w:right="84" w:rightChars="40"/>
              <w:jc w:val="center"/>
              <w:rPr>
                <w:rFonts w:ascii="Times New Roman" w:hAnsi="Times New Roman" w:eastAsia="仿宋_GB2312"/>
                <w:b/>
                <w:bCs/>
                <w:sz w:val="24"/>
                <w:szCs w:val="24"/>
              </w:rPr>
            </w:pPr>
            <w:r>
              <w:rPr>
                <w:rFonts w:ascii="Times New Roman" w:hAnsi="Times New Roman" w:eastAsia="仿宋_GB2312"/>
                <w:b/>
                <w:bCs/>
                <w:sz w:val="24"/>
                <w:szCs w:val="24"/>
              </w:rPr>
              <w:t>R=10</w:t>
            </w:r>
          </w:p>
        </w:tc>
        <w:tc>
          <w:tcPr>
            <w:vAlign w:val="center"/>
          </w:tcPr>
          <w:p w14:paraId="562DAECA">
            <w:pPr>
              <w:ind w:right="84" w:rightChars="40"/>
              <w:jc w:val="center"/>
              <w:rPr>
                <w:rFonts w:ascii="Times New Roman" w:hAnsi="Times New Roman" w:eastAsia="仿宋_GB2312"/>
                <w:b/>
                <w:bCs/>
                <w:sz w:val="24"/>
                <w:szCs w:val="24"/>
              </w:rPr>
            </w:pPr>
            <w:r>
              <w:rPr>
                <w:rFonts w:ascii="Times New Roman" w:hAnsi="Times New Roman" w:eastAsia="仿宋_GB2312"/>
                <w:b/>
                <w:bCs/>
                <w:sz w:val="24"/>
                <w:szCs w:val="24"/>
              </w:rPr>
              <w:t>R=50</w:t>
            </w:r>
          </w:p>
        </w:tc>
        <w:tc>
          <w:tcPr>
            <w:vAlign w:val="center"/>
          </w:tcPr>
          <w:p w14:paraId="12BCE829">
            <w:pPr>
              <w:ind w:right="84" w:rightChars="40"/>
              <w:jc w:val="center"/>
              <w:rPr>
                <w:rFonts w:ascii="Times New Roman" w:hAnsi="Times New Roman" w:eastAsia="仿宋_GB2312"/>
                <w:b/>
                <w:bCs/>
                <w:sz w:val="24"/>
                <w:szCs w:val="24"/>
              </w:rPr>
            </w:pPr>
            <w:r>
              <w:rPr>
                <w:rFonts w:ascii="Times New Roman" w:hAnsi="Times New Roman" w:eastAsia="仿宋_GB2312"/>
                <w:b/>
                <w:bCs/>
                <w:sz w:val="24"/>
                <w:szCs w:val="24"/>
              </w:rPr>
              <w:t>R=100</w:t>
            </w:r>
          </w:p>
        </w:tc>
      </w:tr>
      <w:tr w14:paraId="34423D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 w:hRule="atLeast"/>
          <w:jc w:val="center"/>
        </w:trPr>
        <w:tc>
          <w:tcPr>
            <w:vAlign w:val="center"/>
          </w:tcPr>
          <w:p w14:paraId="7931E9D6">
            <w:pPr>
              <w:ind w:right="84" w:rightChars="40"/>
              <w:jc w:val="center"/>
              <w:rPr>
                <w:rFonts w:ascii="Times New Roman" w:hAnsi="Times New Roman" w:eastAsia="仿宋_GB2312"/>
                <w:bCs/>
                <w:sz w:val="24"/>
                <w:szCs w:val="24"/>
              </w:rPr>
            </w:pPr>
            <w:r>
              <w:rPr>
                <w:rFonts w:hint="eastAsia" w:ascii="Times New Roman" w:hAnsi="Times New Roman" w:eastAsia="仿宋_GB2312"/>
                <w:sz w:val="24"/>
                <w:szCs w:val="24"/>
              </w:rPr>
              <w:t>马尔康（</w:t>
            </w:r>
            <w:r>
              <w:rPr>
                <w:rFonts w:ascii="Times New Roman" w:hAnsi="Times New Roman" w:eastAsia="仿宋_GB2312"/>
                <w:sz w:val="24"/>
                <w:szCs w:val="24"/>
              </w:rPr>
              <w:t>汶川、理县、茂县、九寨沟</w:t>
            </w:r>
            <w:r>
              <w:rPr>
                <w:rFonts w:hint="eastAsia" w:ascii="Times New Roman" w:hAnsi="Times New Roman" w:eastAsia="仿宋_GB2312"/>
                <w:sz w:val="24"/>
                <w:szCs w:val="24"/>
              </w:rPr>
              <w:t>、</w:t>
            </w:r>
            <w:r>
              <w:rPr>
                <w:rFonts w:ascii="Times New Roman" w:hAnsi="Times New Roman" w:eastAsia="仿宋_GB2312"/>
                <w:sz w:val="24"/>
                <w:szCs w:val="24"/>
              </w:rPr>
              <w:t>金川、黑水</w:t>
            </w:r>
            <w:r>
              <w:rPr>
                <w:rFonts w:hint="eastAsia" w:ascii="Times New Roman" w:hAnsi="Times New Roman" w:eastAsia="仿宋_GB2312"/>
                <w:sz w:val="24"/>
                <w:szCs w:val="24"/>
              </w:rPr>
              <w:t>参考执行）</w:t>
            </w:r>
          </w:p>
        </w:tc>
        <w:tc>
          <w:tcPr>
            <w:vAlign w:val="center"/>
          </w:tcPr>
          <w:p w14:paraId="12BC8108">
            <w:pPr>
              <w:spacing w:line="560" w:lineRule="exact"/>
              <w:ind w:right="84" w:rightChars="40"/>
              <w:jc w:val="center"/>
              <w:rPr>
                <w:rFonts w:ascii="Times New Roman" w:hAnsi="Times New Roman" w:eastAsia="仿宋_GB2312"/>
                <w:bCs/>
                <w:sz w:val="24"/>
                <w:szCs w:val="24"/>
              </w:rPr>
            </w:pPr>
            <w:r>
              <w:rPr>
                <w:rFonts w:ascii="Times New Roman" w:hAnsi="Times New Roman" w:eastAsia="仿宋_GB2312"/>
                <w:bCs/>
                <w:sz w:val="24"/>
                <w:szCs w:val="24"/>
              </w:rPr>
              <w:t xml:space="preserve">0.15 </w:t>
            </w:r>
          </w:p>
        </w:tc>
        <w:tc>
          <w:tcPr>
            <w:vAlign w:val="center"/>
          </w:tcPr>
          <w:p w14:paraId="4B3795A6">
            <w:pPr>
              <w:spacing w:line="560" w:lineRule="exact"/>
              <w:ind w:right="84" w:rightChars="40"/>
              <w:jc w:val="center"/>
              <w:rPr>
                <w:rFonts w:ascii="Times New Roman" w:hAnsi="Times New Roman" w:eastAsia="仿宋_GB2312"/>
                <w:bCs/>
                <w:sz w:val="24"/>
                <w:szCs w:val="24"/>
              </w:rPr>
            </w:pPr>
            <w:r>
              <w:rPr>
                <w:rFonts w:ascii="Times New Roman" w:hAnsi="Times New Roman" w:eastAsia="仿宋_GB2312"/>
                <w:bCs/>
                <w:sz w:val="24"/>
                <w:szCs w:val="24"/>
              </w:rPr>
              <w:t xml:space="preserve">0.25 </w:t>
            </w:r>
          </w:p>
        </w:tc>
        <w:tc>
          <w:tcPr>
            <w:vAlign w:val="center"/>
          </w:tcPr>
          <w:p w14:paraId="12A64257">
            <w:pPr>
              <w:spacing w:line="560" w:lineRule="exact"/>
              <w:ind w:right="84" w:rightChars="40"/>
              <w:jc w:val="center"/>
              <w:rPr>
                <w:rFonts w:ascii="Times New Roman" w:hAnsi="Times New Roman" w:eastAsia="仿宋_GB2312"/>
                <w:bCs/>
                <w:sz w:val="24"/>
                <w:szCs w:val="24"/>
              </w:rPr>
            </w:pPr>
            <w:r>
              <w:rPr>
                <w:rFonts w:ascii="Times New Roman" w:hAnsi="Times New Roman" w:eastAsia="仿宋_GB2312"/>
                <w:bCs/>
                <w:sz w:val="24"/>
                <w:szCs w:val="24"/>
              </w:rPr>
              <w:t xml:space="preserve">0.30 </w:t>
            </w:r>
          </w:p>
        </w:tc>
      </w:tr>
      <w:tr w14:paraId="23023B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jc w:val="center"/>
        </w:trPr>
        <w:tc>
          <w:p w14:paraId="488A42CB">
            <w:pPr>
              <w:spacing w:line="560" w:lineRule="exact"/>
              <w:ind w:right="84" w:rightChars="40"/>
              <w:jc w:val="center"/>
              <w:rPr>
                <w:rFonts w:ascii="Times New Roman" w:hAnsi="Times New Roman" w:eastAsia="仿宋_GB2312"/>
                <w:bCs/>
                <w:sz w:val="24"/>
                <w:szCs w:val="24"/>
              </w:rPr>
            </w:pPr>
            <w:r>
              <w:rPr>
                <w:rFonts w:hint="eastAsia" w:ascii="Times New Roman" w:hAnsi="Times New Roman" w:eastAsia="仿宋_GB2312"/>
                <w:sz w:val="24"/>
                <w:szCs w:val="24"/>
              </w:rPr>
              <w:t>阿坝（</w:t>
            </w:r>
            <w:r>
              <w:rPr>
                <w:rFonts w:ascii="Times New Roman" w:hAnsi="Times New Roman" w:eastAsia="仿宋_GB2312"/>
                <w:sz w:val="24"/>
                <w:szCs w:val="24"/>
              </w:rPr>
              <w:t>壤塘</w:t>
            </w:r>
            <w:r>
              <w:rPr>
                <w:rFonts w:hint="eastAsia" w:ascii="Times New Roman" w:hAnsi="Times New Roman" w:eastAsia="仿宋_GB2312"/>
                <w:sz w:val="24"/>
                <w:szCs w:val="24"/>
              </w:rPr>
              <w:t>参考执行）</w:t>
            </w:r>
          </w:p>
        </w:tc>
        <w:tc>
          <w:tcPr>
            <w:vAlign w:val="center"/>
          </w:tcPr>
          <w:p w14:paraId="2912B7EC">
            <w:pPr>
              <w:spacing w:line="560" w:lineRule="exact"/>
              <w:ind w:right="84" w:rightChars="40"/>
              <w:jc w:val="center"/>
              <w:rPr>
                <w:rFonts w:ascii="Times New Roman" w:hAnsi="Times New Roman" w:eastAsia="仿宋_GB2312"/>
                <w:bCs/>
                <w:sz w:val="24"/>
                <w:szCs w:val="24"/>
              </w:rPr>
            </w:pPr>
            <w:r>
              <w:rPr>
                <w:rFonts w:ascii="Times New Roman" w:hAnsi="Times New Roman" w:eastAsia="仿宋_GB2312"/>
                <w:bCs/>
                <w:sz w:val="24"/>
                <w:szCs w:val="24"/>
              </w:rPr>
              <w:t xml:space="preserve">0.25 </w:t>
            </w:r>
          </w:p>
        </w:tc>
        <w:tc>
          <w:tcPr>
            <w:vAlign w:val="center"/>
          </w:tcPr>
          <w:p w14:paraId="347484DF">
            <w:pPr>
              <w:spacing w:line="560" w:lineRule="exact"/>
              <w:ind w:right="84" w:rightChars="40"/>
              <w:jc w:val="center"/>
              <w:rPr>
                <w:rFonts w:ascii="Times New Roman" w:hAnsi="Times New Roman" w:eastAsia="仿宋_GB2312"/>
                <w:bCs/>
                <w:sz w:val="24"/>
                <w:szCs w:val="24"/>
              </w:rPr>
            </w:pPr>
            <w:r>
              <w:rPr>
                <w:rFonts w:ascii="Times New Roman" w:hAnsi="Times New Roman" w:eastAsia="仿宋_GB2312"/>
                <w:bCs/>
                <w:sz w:val="24"/>
                <w:szCs w:val="24"/>
              </w:rPr>
              <w:t>0.40</w:t>
            </w:r>
          </w:p>
        </w:tc>
        <w:tc>
          <w:tcPr>
            <w:vAlign w:val="center"/>
          </w:tcPr>
          <w:p w14:paraId="2D56B315">
            <w:pPr>
              <w:spacing w:line="560" w:lineRule="exact"/>
              <w:ind w:right="84" w:rightChars="40"/>
              <w:jc w:val="center"/>
              <w:rPr>
                <w:rFonts w:ascii="Times New Roman" w:hAnsi="Times New Roman" w:eastAsia="仿宋_GB2312"/>
                <w:bCs/>
                <w:sz w:val="24"/>
                <w:szCs w:val="24"/>
              </w:rPr>
            </w:pPr>
            <w:r>
              <w:rPr>
                <w:rFonts w:ascii="Times New Roman" w:hAnsi="Times New Roman" w:eastAsia="仿宋_GB2312"/>
                <w:bCs/>
                <w:sz w:val="24"/>
                <w:szCs w:val="24"/>
              </w:rPr>
              <w:t xml:space="preserve">0.45 </w:t>
            </w:r>
          </w:p>
        </w:tc>
      </w:tr>
      <w:tr w14:paraId="414BD4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jc w:val="center"/>
        </w:trPr>
        <w:tc>
          <w:p w14:paraId="71FEDA5F">
            <w:pPr>
              <w:spacing w:line="560" w:lineRule="exact"/>
              <w:ind w:right="84" w:rightChars="40"/>
              <w:jc w:val="center"/>
              <w:rPr>
                <w:rFonts w:ascii="Times New Roman" w:hAnsi="Times New Roman" w:eastAsia="仿宋_GB2312"/>
                <w:sz w:val="24"/>
                <w:szCs w:val="24"/>
              </w:rPr>
            </w:pPr>
            <w:r>
              <w:rPr>
                <w:rFonts w:hint="eastAsia" w:ascii="Times New Roman" w:hAnsi="Times New Roman" w:eastAsia="仿宋_GB2312"/>
                <w:sz w:val="24"/>
                <w:szCs w:val="24"/>
              </w:rPr>
              <w:t>红原</w:t>
            </w:r>
          </w:p>
        </w:tc>
        <w:tc>
          <w:tcPr>
            <w:vAlign w:val="center"/>
          </w:tcPr>
          <w:p w14:paraId="7ECA89D4">
            <w:pPr>
              <w:spacing w:line="560" w:lineRule="exact"/>
              <w:ind w:right="84" w:rightChars="40"/>
              <w:jc w:val="center"/>
              <w:rPr>
                <w:rFonts w:ascii="Times New Roman" w:hAnsi="Times New Roman" w:eastAsia="仿宋_GB2312"/>
                <w:bCs/>
                <w:sz w:val="24"/>
                <w:szCs w:val="24"/>
              </w:rPr>
            </w:pPr>
            <w:r>
              <w:rPr>
                <w:rFonts w:hint="eastAsia" w:ascii="Times New Roman" w:hAnsi="Times New Roman" w:eastAsia="仿宋_GB2312"/>
                <w:bCs/>
                <w:sz w:val="24"/>
                <w:szCs w:val="24"/>
              </w:rPr>
              <w:t>0.25</w:t>
            </w:r>
          </w:p>
        </w:tc>
        <w:tc>
          <w:tcPr>
            <w:vAlign w:val="center"/>
          </w:tcPr>
          <w:p w14:paraId="39B6988E">
            <w:pPr>
              <w:spacing w:line="560" w:lineRule="exact"/>
              <w:ind w:right="84" w:rightChars="40"/>
              <w:jc w:val="center"/>
              <w:rPr>
                <w:rFonts w:ascii="Times New Roman" w:hAnsi="Times New Roman" w:eastAsia="仿宋_GB2312"/>
                <w:bCs/>
                <w:sz w:val="24"/>
                <w:szCs w:val="24"/>
              </w:rPr>
            </w:pPr>
            <w:r>
              <w:rPr>
                <w:rFonts w:hint="eastAsia" w:ascii="Times New Roman" w:hAnsi="Times New Roman" w:eastAsia="仿宋_GB2312"/>
                <w:bCs/>
                <w:sz w:val="24"/>
                <w:szCs w:val="24"/>
              </w:rPr>
              <w:t>0.40</w:t>
            </w:r>
          </w:p>
        </w:tc>
        <w:tc>
          <w:tcPr>
            <w:vAlign w:val="center"/>
          </w:tcPr>
          <w:p w14:paraId="5F06BF40">
            <w:pPr>
              <w:spacing w:line="560" w:lineRule="exact"/>
              <w:ind w:right="84" w:rightChars="40"/>
              <w:jc w:val="center"/>
              <w:rPr>
                <w:rFonts w:ascii="Times New Roman" w:hAnsi="Times New Roman" w:eastAsia="仿宋_GB2312"/>
                <w:bCs/>
                <w:sz w:val="24"/>
                <w:szCs w:val="24"/>
              </w:rPr>
            </w:pPr>
            <w:r>
              <w:rPr>
                <w:rFonts w:hint="eastAsia" w:ascii="Times New Roman" w:hAnsi="Times New Roman" w:eastAsia="仿宋_GB2312"/>
                <w:bCs/>
                <w:sz w:val="24"/>
                <w:szCs w:val="24"/>
              </w:rPr>
              <w:t>0.45</w:t>
            </w:r>
          </w:p>
        </w:tc>
      </w:tr>
      <w:tr w14:paraId="37439C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jc w:val="center"/>
        </w:trPr>
        <w:tc>
          <w:p w14:paraId="7DB7B0EB">
            <w:pPr>
              <w:spacing w:line="560" w:lineRule="exact"/>
              <w:ind w:right="84" w:rightChars="40"/>
              <w:jc w:val="center"/>
              <w:rPr>
                <w:rFonts w:ascii="Times New Roman" w:hAnsi="Times New Roman" w:eastAsia="仿宋_GB2312"/>
                <w:sz w:val="24"/>
                <w:szCs w:val="24"/>
              </w:rPr>
            </w:pPr>
            <w:r>
              <w:rPr>
                <w:rFonts w:hint="eastAsia" w:ascii="Times New Roman" w:hAnsi="Times New Roman" w:eastAsia="仿宋_GB2312"/>
                <w:sz w:val="24"/>
                <w:szCs w:val="24"/>
              </w:rPr>
              <w:t>小金</w:t>
            </w:r>
          </w:p>
        </w:tc>
        <w:tc>
          <w:tcPr>
            <w:vAlign w:val="center"/>
          </w:tcPr>
          <w:p w14:paraId="5E5604F4">
            <w:pPr>
              <w:spacing w:line="560" w:lineRule="exact"/>
              <w:ind w:right="84" w:rightChars="40"/>
              <w:jc w:val="center"/>
              <w:rPr>
                <w:rFonts w:ascii="Times New Roman" w:hAnsi="Times New Roman" w:eastAsia="仿宋_GB2312"/>
                <w:bCs/>
                <w:sz w:val="24"/>
                <w:szCs w:val="24"/>
              </w:rPr>
            </w:pPr>
            <w:r>
              <w:rPr>
                <w:rFonts w:hint="eastAsia" w:ascii="Times New Roman" w:hAnsi="Times New Roman" w:eastAsia="仿宋_GB2312"/>
                <w:bCs/>
                <w:sz w:val="24"/>
                <w:szCs w:val="24"/>
              </w:rPr>
              <w:t>0.10</w:t>
            </w:r>
          </w:p>
        </w:tc>
        <w:tc>
          <w:tcPr>
            <w:vAlign w:val="center"/>
          </w:tcPr>
          <w:p w14:paraId="23782922">
            <w:pPr>
              <w:spacing w:line="560" w:lineRule="exact"/>
              <w:ind w:right="84" w:rightChars="40"/>
              <w:jc w:val="center"/>
              <w:rPr>
                <w:rFonts w:ascii="Times New Roman" w:hAnsi="Times New Roman" w:eastAsia="仿宋_GB2312"/>
                <w:bCs/>
                <w:sz w:val="24"/>
                <w:szCs w:val="24"/>
              </w:rPr>
            </w:pPr>
            <w:r>
              <w:rPr>
                <w:rFonts w:hint="eastAsia" w:ascii="Times New Roman" w:hAnsi="Times New Roman" w:eastAsia="仿宋_GB2312"/>
                <w:bCs/>
                <w:sz w:val="24"/>
                <w:szCs w:val="24"/>
              </w:rPr>
              <w:t>0.15</w:t>
            </w:r>
          </w:p>
        </w:tc>
        <w:tc>
          <w:tcPr>
            <w:vAlign w:val="center"/>
          </w:tcPr>
          <w:p w14:paraId="52550DA1">
            <w:pPr>
              <w:spacing w:line="560" w:lineRule="exact"/>
              <w:ind w:right="84" w:rightChars="40"/>
              <w:jc w:val="center"/>
              <w:rPr>
                <w:rFonts w:ascii="Times New Roman" w:hAnsi="Times New Roman" w:eastAsia="仿宋_GB2312"/>
                <w:bCs/>
                <w:sz w:val="24"/>
                <w:szCs w:val="24"/>
              </w:rPr>
            </w:pPr>
            <w:r>
              <w:rPr>
                <w:rFonts w:hint="eastAsia" w:ascii="Times New Roman" w:hAnsi="Times New Roman" w:eastAsia="仿宋_GB2312"/>
                <w:bCs/>
                <w:sz w:val="24"/>
                <w:szCs w:val="24"/>
              </w:rPr>
              <w:t>0.15</w:t>
            </w:r>
          </w:p>
        </w:tc>
      </w:tr>
      <w:tr w14:paraId="667231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jc w:val="center"/>
        </w:trPr>
        <w:tc>
          <w:p w14:paraId="720C8939">
            <w:pPr>
              <w:spacing w:line="560" w:lineRule="exact"/>
              <w:ind w:right="84" w:rightChars="40"/>
              <w:jc w:val="center"/>
              <w:rPr>
                <w:rFonts w:ascii="Times New Roman" w:hAnsi="Times New Roman" w:eastAsia="仿宋_GB2312"/>
                <w:sz w:val="24"/>
                <w:szCs w:val="24"/>
              </w:rPr>
            </w:pPr>
            <w:r>
              <w:rPr>
                <w:rFonts w:hint="eastAsia" w:ascii="Times New Roman" w:hAnsi="Times New Roman" w:eastAsia="仿宋_GB2312"/>
                <w:sz w:val="24"/>
                <w:szCs w:val="24"/>
              </w:rPr>
              <w:t>松潘</w:t>
            </w:r>
          </w:p>
        </w:tc>
        <w:tc>
          <w:tcPr>
            <w:vAlign w:val="center"/>
          </w:tcPr>
          <w:p w14:paraId="633062DC">
            <w:pPr>
              <w:spacing w:line="560" w:lineRule="exact"/>
              <w:ind w:right="84" w:rightChars="40"/>
              <w:jc w:val="center"/>
              <w:rPr>
                <w:rFonts w:ascii="Times New Roman" w:hAnsi="Times New Roman" w:eastAsia="仿宋_GB2312"/>
                <w:bCs/>
                <w:sz w:val="24"/>
                <w:szCs w:val="24"/>
              </w:rPr>
            </w:pPr>
            <w:r>
              <w:rPr>
                <w:rFonts w:hint="eastAsia" w:ascii="Times New Roman" w:hAnsi="Times New Roman" w:eastAsia="仿宋_GB2312"/>
                <w:bCs/>
                <w:sz w:val="24"/>
                <w:szCs w:val="24"/>
              </w:rPr>
              <w:t>0.20</w:t>
            </w:r>
          </w:p>
        </w:tc>
        <w:tc>
          <w:tcPr>
            <w:vAlign w:val="center"/>
          </w:tcPr>
          <w:p w14:paraId="3BF21A77">
            <w:pPr>
              <w:spacing w:line="560" w:lineRule="exact"/>
              <w:ind w:right="84" w:rightChars="40"/>
              <w:jc w:val="center"/>
              <w:rPr>
                <w:rFonts w:ascii="Times New Roman" w:hAnsi="Times New Roman" w:eastAsia="仿宋_GB2312"/>
                <w:bCs/>
                <w:sz w:val="24"/>
                <w:szCs w:val="24"/>
              </w:rPr>
            </w:pPr>
            <w:r>
              <w:rPr>
                <w:rFonts w:hint="eastAsia" w:ascii="Times New Roman" w:hAnsi="Times New Roman" w:eastAsia="仿宋_GB2312"/>
                <w:bCs/>
                <w:sz w:val="24"/>
                <w:szCs w:val="24"/>
              </w:rPr>
              <w:t>0.30</w:t>
            </w:r>
          </w:p>
        </w:tc>
        <w:tc>
          <w:tcPr>
            <w:vAlign w:val="center"/>
          </w:tcPr>
          <w:p w14:paraId="2A2593D6">
            <w:pPr>
              <w:spacing w:line="560" w:lineRule="exact"/>
              <w:ind w:right="84" w:rightChars="40"/>
              <w:jc w:val="center"/>
              <w:rPr>
                <w:rFonts w:ascii="Times New Roman" w:hAnsi="Times New Roman" w:eastAsia="仿宋_GB2312"/>
                <w:bCs/>
                <w:sz w:val="24"/>
                <w:szCs w:val="24"/>
              </w:rPr>
            </w:pPr>
            <w:r>
              <w:rPr>
                <w:rFonts w:hint="eastAsia" w:ascii="Times New Roman" w:hAnsi="Times New Roman" w:eastAsia="仿宋_GB2312"/>
                <w:bCs/>
                <w:sz w:val="24"/>
                <w:szCs w:val="24"/>
              </w:rPr>
              <w:t>0.35</w:t>
            </w:r>
          </w:p>
        </w:tc>
      </w:tr>
    </w:tbl>
    <w:p w14:paraId="6DFD764C">
      <w:pPr>
        <w:pStyle w:val="4"/>
      </w:pPr>
      <w:bookmarkStart w:id="97" w:name="_Toc233624893"/>
      <w:r>
        <w:rPr>
          <w:rFonts w:hint="eastAsia"/>
        </w:rPr>
        <w:t>危旧住房</w:t>
      </w:r>
      <w:r>
        <w:t>抗震加固管理</w:t>
      </w:r>
      <w:bookmarkEnd w:id="97"/>
    </w:p>
    <w:p w14:paraId="577993C0">
      <w:pPr>
        <w:spacing w:line="560" w:lineRule="exact"/>
        <w:ind w:firstLine="640" w:firstLineChars="200"/>
        <w:rPr>
          <w:rFonts w:ascii="Times New Roman" w:hAnsi="Times New Roman" w:eastAsia="仿宋_GB2312"/>
          <w:bCs/>
          <w:sz w:val="32"/>
          <w:szCs w:val="32"/>
        </w:rPr>
      </w:pPr>
      <w:r>
        <w:rPr>
          <w:rFonts w:ascii="Times New Roman" w:hAnsi="Times New Roman" w:eastAsia="仿宋_GB2312"/>
          <w:sz w:val="32"/>
          <w:szCs w:val="32"/>
        </w:rPr>
        <w:t>各县（市）住房城乡建设主管部门应结合城市体检工作开展，全面摸清属地建成区内</w:t>
      </w:r>
      <w:r>
        <w:rPr>
          <w:rFonts w:hint="eastAsia" w:ascii="Times New Roman" w:hAnsi="Times New Roman" w:eastAsia="仿宋_GB2312"/>
          <w:sz w:val="32"/>
          <w:szCs w:val="32"/>
        </w:rPr>
        <w:t>危旧住房</w:t>
      </w:r>
      <w:r>
        <w:rPr>
          <w:rFonts w:ascii="Times New Roman" w:hAnsi="Times New Roman" w:eastAsia="仿宋_GB2312"/>
          <w:sz w:val="32"/>
          <w:szCs w:val="32"/>
        </w:rPr>
        <w:t>基本情况，建立房屋档案，</w:t>
      </w:r>
      <w:r>
        <w:rPr>
          <w:rFonts w:hint="eastAsia" w:ascii="Times New Roman" w:hAnsi="Times New Roman" w:eastAsia="仿宋_GB2312"/>
          <w:sz w:val="32"/>
          <w:szCs w:val="32"/>
        </w:rPr>
        <w:t>并依据《建筑抗震鉴定标准》（GB 50023—2009）进行抗震鉴定，根据鉴定结果明确危旧住房抗震加固的技术标准，</w:t>
      </w:r>
      <w:r>
        <w:rPr>
          <w:rFonts w:ascii="Times New Roman" w:hAnsi="Times New Roman" w:eastAsia="仿宋_GB2312"/>
          <w:sz w:val="32"/>
          <w:szCs w:val="32"/>
        </w:rPr>
        <w:t>逐年分片、分段推进抗震加固工作。</w:t>
      </w:r>
      <w:r>
        <w:rPr>
          <w:rFonts w:hint="eastAsia" w:ascii="Times New Roman" w:hAnsi="Times New Roman" w:eastAsia="仿宋_GB2312"/>
          <w:sz w:val="32"/>
          <w:szCs w:val="32"/>
        </w:rPr>
        <w:t>年末制定来年抗震加固工程量</w:t>
      </w:r>
      <w:r>
        <w:rPr>
          <w:rFonts w:ascii="Times New Roman" w:hAnsi="Times New Roman" w:eastAsia="仿宋_GB2312"/>
          <w:sz w:val="32"/>
          <w:szCs w:val="32"/>
        </w:rPr>
        <w:t>和资金需求计划，并向各级相关部门争取专项资金，同时也可向社会和业主筹资。</w:t>
      </w:r>
    </w:p>
    <w:p w14:paraId="428696F0">
      <w:pPr>
        <w:pStyle w:val="3"/>
        <w:numPr>
          <w:ilvl w:val="0"/>
          <w:numId w:val="4"/>
        </w:numPr>
        <w:spacing w:line="560" w:lineRule="exact"/>
        <w:jc w:val="center"/>
        <w:rPr>
          <w:rFonts w:ascii="Times New Roman" w:hAnsi="Times New Roman" w:eastAsia="黑体"/>
          <w:b w:val="0"/>
          <w:sz w:val="36"/>
          <w:szCs w:val="36"/>
        </w:rPr>
      </w:pPr>
      <w:bookmarkStart w:id="98" w:name="_Toc233624894"/>
      <w:r>
        <w:rPr>
          <w:rFonts w:ascii="Times New Roman" w:hAnsi="Times New Roman" w:eastAsia="黑体"/>
          <w:b w:val="0"/>
          <w:sz w:val="36"/>
          <w:szCs w:val="36"/>
        </w:rPr>
        <w:t>市政道路</w:t>
      </w:r>
      <w:bookmarkEnd w:id="98"/>
    </w:p>
    <w:p w14:paraId="1A0E76AF">
      <w:pPr>
        <w:pStyle w:val="4"/>
      </w:pPr>
      <w:bookmarkStart w:id="99" w:name="_Toc233624895"/>
      <w:r>
        <w:t>道路建筑限界</w:t>
      </w:r>
      <w:bookmarkEnd w:id="99"/>
    </w:p>
    <w:p w14:paraId="36A6B961">
      <w:pPr>
        <w:spacing w:line="560" w:lineRule="exact"/>
        <w:ind w:right="84" w:rightChars="40" w:firstLine="707" w:firstLineChars="221"/>
        <w:rPr>
          <w:rFonts w:ascii="Times New Roman" w:hAnsi="Times New Roman" w:eastAsia="仿宋_GB2312"/>
          <w:sz w:val="32"/>
          <w:szCs w:val="32"/>
        </w:rPr>
      </w:pPr>
      <w:r>
        <w:rPr>
          <w:rFonts w:ascii="Times New Roman" w:hAnsi="Times New Roman" w:eastAsia="仿宋_GB2312"/>
          <w:sz w:val="32"/>
          <w:szCs w:val="32"/>
        </w:rPr>
        <w:t>道路建筑限界应严格执行《城市道路交通工程项目规范》（GB 55011—2021）第3.1.4条、《城市道路工程设计规范》（CJJ 37—2012</w:t>
      </w:r>
      <w:r>
        <w:rPr>
          <w:rFonts w:hint="eastAsia" w:ascii="Times New Roman" w:hAnsi="Times New Roman" w:eastAsia="仿宋_GB2312"/>
          <w:kern w:val="44"/>
          <w:sz w:val="32"/>
          <w:szCs w:val="32"/>
        </w:rPr>
        <w:t>〔</w:t>
      </w:r>
      <w:r>
        <w:rPr>
          <w:rFonts w:hint="eastAsia" w:ascii="Times New Roman" w:hAnsi="Times New Roman" w:eastAsia="仿宋_GB2312"/>
          <w:bCs/>
          <w:sz w:val="32"/>
          <w:szCs w:val="32"/>
        </w:rPr>
        <w:t>20</w:t>
      </w:r>
      <w:r>
        <w:rPr>
          <w:rFonts w:ascii="Times New Roman" w:hAnsi="Times New Roman" w:eastAsia="仿宋_GB2312"/>
          <w:bCs/>
          <w:sz w:val="32"/>
          <w:szCs w:val="32"/>
        </w:rPr>
        <w:t>16</w:t>
      </w:r>
      <w:r>
        <w:rPr>
          <w:rFonts w:hint="eastAsia" w:ascii="Times New Roman" w:hAnsi="Times New Roman" w:eastAsia="仿宋_GB2312"/>
          <w:bCs/>
          <w:sz w:val="32"/>
          <w:szCs w:val="32"/>
        </w:rPr>
        <w:t>年版〕</w:t>
      </w:r>
      <w:r>
        <w:rPr>
          <w:rFonts w:ascii="Times New Roman" w:hAnsi="Times New Roman" w:eastAsia="仿宋_GB2312"/>
          <w:sz w:val="32"/>
          <w:szCs w:val="32"/>
        </w:rPr>
        <w:t>）第3.4条对限界和净高的要求。道路建筑限界内不得有任何物体侵入。</w:t>
      </w:r>
    </w:p>
    <w:p w14:paraId="48FA9EDA">
      <w:pPr>
        <w:pStyle w:val="12"/>
        <w:jc w:val="center"/>
        <w:rPr>
          <w:rFonts w:ascii="仿宋"/>
          <w:b w:val="0"/>
          <w:bCs/>
          <w:szCs w:val="32"/>
        </w:rPr>
      </w:pPr>
      <w:r>
        <w:rPr>
          <w:rFonts w:hint="eastAsia"/>
        </w:rPr>
        <w:t xml:space="preserve">表 </w:t>
      </w:r>
      <w:r>
        <w:rPr>
          <w:rFonts w:hint="eastAsia"/>
        </w:rPr>
        <w:fldChar w:fldCharType="begin"/>
      </w:r>
      <w:r>
        <w:instrText xml:space="preserve"> </w:instrText>
      </w:r>
      <w:r>
        <w:rPr>
          <w:rFonts w:hint="eastAsia"/>
        </w:rPr>
        <w:instrText xml:space="preserve">STYLEREF 1 \s</w:instrText>
      </w:r>
      <w:r>
        <w:instrText xml:space="preserve"> </w:instrText>
      </w:r>
      <w:r>
        <w:fldChar w:fldCharType="separate"/>
      </w:r>
      <w:r>
        <w:rPr>
          <w:rFonts w:hint="eastAsia"/>
        </w:rPr>
        <w:t>三</w:t>
      </w:r>
      <w:r>
        <w:fldChar w:fldCharType="end"/>
      </w:r>
      <w:r>
        <w:noBreakHyphen/>
      </w:r>
      <w:r>
        <w:rPr>
          <w:rFonts w:hint="eastAsia"/>
        </w:rPr>
        <w:fldChar w:fldCharType="begin"/>
      </w:r>
      <w:r>
        <w:instrText xml:space="preserve"> </w:instrText>
      </w:r>
      <w:r>
        <w:rPr>
          <w:rFonts w:hint="eastAsia"/>
        </w:rPr>
        <w:instrText xml:space="preserve">SEQ 表 \* ARABIC \s 1</w:instrText>
      </w:r>
      <w:r>
        <w:instrText xml:space="preserve"> </w:instrText>
      </w:r>
      <w:r>
        <w:fldChar w:fldCharType="separate"/>
      </w:r>
      <w:r>
        <w:t>3</w:t>
      </w:r>
      <w:r>
        <w:fldChar w:fldCharType="end"/>
      </w:r>
      <w:r>
        <w:rPr>
          <w:rFonts w:hint="eastAsia" w:ascii="仿宋"/>
          <w:szCs w:val="32"/>
        </w:rPr>
        <w:t>道路最小净高</w:t>
      </w:r>
    </w:p>
    <w:tbl>
      <w:tblPr>
        <w:tblStyle w:val="29"/>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15" w:type="dxa"/>
          <w:left w:w="15" w:type="dxa"/>
          <w:bottom w:w="15" w:type="dxa"/>
          <w:right w:w="15" w:type="dxa"/>
        </w:tblCellMar>
      </w:tblPr>
      <w:tblGrid>
        <w:gridCol w:w="1109"/>
        <w:gridCol w:w="1953"/>
        <w:gridCol w:w="3464"/>
        <w:gridCol w:w="1790"/>
      </w:tblGrid>
      <w:tr w14:paraId="40FEAEB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892" w:hRule="atLeast"/>
        </w:trPr>
        <w:tc>
          <w:tcPr>
            <w:tcW w:w="3062" w:type="dxa"/>
            <w:gridSpan w:val="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14:paraId="53E85705">
            <w:pPr>
              <w:jc w:val="center"/>
              <w:rPr>
                <w:rFonts w:ascii="仿宋_GB2312" w:eastAsia="仿宋_GB2312"/>
                <w:sz w:val="24"/>
                <w:szCs w:val="24"/>
              </w:rPr>
            </w:pPr>
            <w:r>
              <w:rPr>
                <w:rFonts w:hint="eastAsia" w:ascii="仿宋_GB2312" w:eastAsia="仿宋_GB2312"/>
                <w:sz w:val="24"/>
                <w:szCs w:val="24"/>
              </w:rPr>
              <w:t>道路种类</w:t>
            </w:r>
          </w:p>
        </w:tc>
        <w:tc>
          <w:tcPr>
            <w:tcW w:w="3464"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14:paraId="33A4EE2D">
            <w:pPr>
              <w:jc w:val="center"/>
              <w:rPr>
                <w:rFonts w:ascii="仿宋_GB2312" w:eastAsia="仿宋_GB2312"/>
                <w:sz w:val="24"/>
                <w:szCs w:val="24"/>
              </w:rPr>
            </w:pPr>
            <w:r>
              <w:rPr>
                <w:rFonts w:hint="eastAsia" w:ascii="仿宋_GB2312" w:eastAsia="仿宋_GB2312"/>
                <w:sz w:val="24"/>
                <w:szCs w:val="24"/>
              </w:rPr>
              <w:t>通行车辆类型、行人</w:t>
            </w:r>
          </w:p>
        </w:tc>
        <w:tc>
          <w:tcPr>
            <w:tcW w:w="1790"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14:paraId="6A8C0831">
            <w:pPr>
              <w:jc w:val="center"/>
              <w:rPr>
                <w:rFonts w:ascii="仿宋_GB2312" w:eastAsia="仿宋_GB2312"/>
                <w:sz w:val="24"/>
                <w:szCs w:val="24"/>
              </w:rPr>
            </w:pPr>
            <w:r>
              <w:rPr>
                <w:rFonts w:hint="eastAsia" w:ascii="仿宋_GB2312" w:eastAsia="仿宋_GB2312"/>
                <w:sz w:val="24"/>
                <w:szCs w:val="24"/>
              </w:rPr>
              <w:t>最小净高</w:t>
            </w:r>
          </w:p>
          <w:p w14:paraId="787AF76F">
            <w:pPr>
              <w:jc w:val="center"/>
              <w:rPr>
                <w:rFonts w:ascii="仿宋_GB2312" w:eastAsia="仿宋_GB2312"/>
                <w:sz w:val="24"/>
                <w:szCs w:val="24"/>
              </w:rPr>
            </w:pPr>
            <w:r>
              <w:rPr>
                <w:rFonts w:hint="eastAsia" w:ascii="仿宋_GB2312" w:eastAsia="仿宋_GB2312"/>
                <w:sz w:val="24"/>
                <w:szCs w:val="24"/>
              </w:rPr>
              <w:t>（m）</w:t>
            </w:r>
          </w:p>
        </w:tc>
      </w:tr>
      <w:tr w14:paraId="2EE3C8E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48" w:hRule="atLeast"/>
        </w:trPr>
        <w:tc>
          <w:tcPr>
            <w:tcW w:w="1109" w:type="dxa"/>
            <w:vMerge w:val="restart"/>
            <w:tcBorders>
              <w:top w:val="single" w:color="000000" w:sz="4" w:space="0"/>
              <w:left w:val="single" w:color="000000" w:sz="4" w:space="0"/>
              <w:bottom w:val="nil"/>
              <w:right w:val="single" w:color="000000" w:sz="4" w:space="0"/>
            </w:tcBorders>
            <w:tcMar>
              <w:top w:w="0" w:type="dxa"/>
              <w:left w:w="0" w:type="dxa"/>
              <w:bottom w:w="0" w:type="dxa"/>
              <w:right w:w="0" w:type="dxa"/>
            </w:tcMar>
            <w:vAlign w:val="center"/>
          </w:tcPr>
          <w:p w14:paraId="5EE5044C">
            <w:pPr>
              <w:jc w:val="center"/>
              <w:rPr>
                <w:rFonts w:ascii="仿宋_GB2312" w:eastAsia="仿宋_GB2312"/>
                <w:sz w:val="24"/>
                <w:szCs w:val="24"/>
              </w:rPr>
            </w:pPr>
            <w:r>
              <w:rPr>
                <w:rFonts w:hint="eastAsia" w:ascii="仿宋_GB2312" w:eastAsia="仿宋_GB2312"/>
                <w:sz w:val="24"/>
                <w:szCs w:val="24"/>
              </w:rPr>
              <w:t>机动车道</w:t>
            </w:r>
          </w:p>
        </w:tc>
        <w:tc>
          <w:tcPr>
            <w:tcW w:w="1953"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14:paraId="2B210D89">
            <w:pPr>
              <w:jc w:val="center"/>
              <w:rPr>
                <w:rFonts w:ascii="仿宋_GB2312" w:eastAsia="仿宋_GB2312"/>
                <w:sz w:val="24"/>
                <w:szCs w:val="24"/>
              </w:rPr>
            </w:pPr>
            <w:r>
              <w:rPr>
                <w:rFonts w:hint="eastAsia" w:ascii="仿宋_GB2312" w:eastAsia="仿宋_GB2312"/>
                <w:sz w:val="24"/>
                <w:szCs w:val="24"/>
              </w:rPr>
              <w:t>混行车道</w:t>
            </w:r>
          </w:p>
        </w:tc>
        <w:tc>
          <w:tcPr>
            <w:tcW w:w="3464"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14:paraId="27F75161">
            <w:pPr>
              <w:jc w:val="center"/>
              <w:rPr>
                <w:rFonts w:ascii="仿宋_GB2312" w:eastAsia="仿宋_GB2312"/>
                <w:sz w:val="24"/>
                <w:szCs w:val="24"/>
              </w:rPr>
            </w:pPr>
            <w:r>
              <w:rPr>
                <w:rFonts w:hint="eastAsia" w:ascii="仿宋_GB2312" w:eastAsia="仿宋_GB2312"/>
                <w:sz w:val="24"/>
                <w:szCs w:val="24"/>
              </w:rPr>
              <w:t>小客车、大型客车、铰接客车</w:t>
            </w:r>
          </w:p>
        </w:tc>
        <w:tc>
          <w:tcPr>
            <w:tcW w:w="1790"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14:paraId="6C8D70DD">
            <w:pPr>
              <w:jc w:val="center"/>
              <w:rPr>
                <w:rFonts w:ascii="仿宋_GB2312" w:eastAsia="仿宋_GB2312"/>
                <w:sz w:val="24"/>
                <w:szCs w:val="24"/>
              </w:rPr>
            </w:pPr>
            <w:r>
              <w:rPr>
                <w:rFonts w:hint="eastAsia" w:ascii="仿宋_GB2312" w:eastAsia="仿宋_GB2312"/>
                <w:sz w:val="24"/>
                <w:szCs w:val="24"/>
              </w:rPr>
              <w:t>4.5</w:t>
            </w:r>
          </w:p>
        </w:tc>
      </w:tr>
      <w:tr w14:paraId="01D115D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58" w:hRule="atLeast"/>
        </w:trPr>
        <w:tc>
          <w:tcPr>
            <w:tcW w:w="1109" w:type="dxa"/>
            <w:vMerge w:val="continue"/>
            <w:tcBorders>
              <w:top w:val="single" w:color="000000" w:sz="4" w:space="0"/>
              <w:left w:val="single" w:color="000000" w:sz="4" w:space="0"/>
              <w:bottom w:val="nil"/>
              <w:right w:val="single" w:color="000000" w:sz="4" w:space="0"/>
            </w:tcBorders>
            <w:vAlign w:val="center"/>
          </w:tcPr>
          <w:p w14:paraId="661810A5"/>
        </w:tc>
        <w:tc>
          <w:tcPr>
            <w:tcW w:w="1953"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14:paraId="2D4CE0FE">
            <w:pPr>
              <w:jc w:val="center"/>
              <w:rPr>
                <w:rFonts w:ascii="仿宋_GB2312" w:eastAsia="仿宋_GB2312"/>
                <w:sz w:val="24"/>
                <w:szCs w:val="24"/>
              </w:rPr>
            </w:pPr>
            <w:r>
              <w:rPr>
                <w:rFonts w:hint="eastAsia" w:ascii="仿宋_GB2312" w:eastAsia="仿宋_GB2312"/>
                <w:sz w:val="24"/>
                <w:szCs w:val="24"/>
              </w:rPr>
              <w:t>小客车专用车道</w:t>
            </w:r>
          </w:p>
        </w:tc>
        <w:tc>
          <w:tcPr>
            <w:tcW w:w="3464"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14:paraId="1546F4C3">
            <w:pPr>
              <w:jc w:val="center"/>
              <w:rPr>
                <w:rFonts w:ascii="仿宋_GB2312" w:eastAsia="仿宋_GB2312"/>
                <w:sz w:val="24"/>
                <w:szCs w:val="24"/>
              </w:rPr>
            </w:pPr>
            <w:r>
              <w:rPr>
                <w:rFonts w:hint="eastAsia" w:ascii="仿宋_GB2312" w:eastAsia="仿宋_GB2312"/>
                <w:sz w:val="24"/>
                <w:szCs w:val="24"/>
              </w:rPr>
              <w:t>小客车</w:t>
            </w:r>
          </w:p>
        </w:tc>
        <w:tc>
          <w:tcPr>
            <w:tcW w:w="1790"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14:paraId="59F3A171">
            <w:pPr>
              <w:jc w:val="center"/>
              <w:rPr>
                <w:rFonts w:ascii="仿宋_GB2312" w:eastAsia="仿宋_GB2312"/>
                <w:sz w:val="24"/>
                <w:szCs w:val="24"/>
              </w:rPr>
            </w:pPr>
            <w:r>
              <w:rPr>
                <w:rFonts w:hint="eastAsia" w:ascii="仿宋_GB2312" w:eastAsia="仿宋_GB2312"/>
                <w:sz w:val="24"/>
                <w:szCs w:val="24"/>
              </w:rPr>
              <w:t>3.5</w:t>
            </w:r>
          </w:p>
        </w:tc>
      </w:tr>
      <w:tr w14:paraId="18F29B6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48" w:hRule="atLeast"/>
        </w:trPr>
        <w:tc>
          <w:tcPr>
            <w:tcW w:w="3062" w:type="dxa"/>
            <w:gridSpan w:val="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14:paraId="73AF3052">
            <w:pPr>
              <w:jc w:val="center"/>
              <w:rPr>
                <w:rFonts w:ascii="仿宋_GB2312" w:eastAsia="仿宋_GB2312"/>
                <w:sz w:val="24"/>
                <w:szCs w:val="24"/>
              </w:rPr>
            </w:pPr>
            <w:r>
              <w:rPr>
                <w:rFonts w:hint="eastAsia" w:ascii="仿宋_GB2312" w:eastAsia="仿宋_GB2312"/>
                <w:sz w:val="24"/>
                <w:szCs w:val="24"/>
              </w:rPr>
              <w:t>非机动车道</w:t>
            </w:r>
          </w:p>
        </w:tc>
        <w:tc>
          <w:tcPr>
            <w:tcW w:w="3464"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14:paraId="6CA57E4C">
            <w:pPr>
              <w:jc w:val="center"/>
              <w:rPr>
                <w:rFonts w:ascii="仿宋_GB2312" w:eastAsia="仿宋_GB2312"/>
                <w:sz w:val="24"/>
                <w:szCs w:val="24"/>
              </w:rPr>
            </w:pPr>
            <w:r>
              <w:rPr>
                <w:rFonts w:hint="eastAsia" w:ascii="仿宋_GB2312" w:eastAsia="仿宋_GB2312"/>
                <w:sz w:val="24"/>
                <w:szCs w:val="24"/>
              </w:rPr>
              <w:t>自行车、三轮车</w:t>
            </w:r>
          </w:p>
        </w:tc>
        <w:tc>
          <w:tcPr>
            <w:tcW w:w="1790"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14:paraId="57E20D81">
            <w:pPr>
              <w:jc w:val="center"/>
              <w:rPr>
                <w:rFonts w:ascii="仿宋_GB2312" w:eastAsia="仿宋_GB2312"/>
                <w:sz w:val="24"/>
                <w:szCs w:val="24"/>
              </w:rPr>
            </w:pPr>
            <w:r>
              <w:rPr>
                <w:rFonts w:hint="eastAsia" w:ascii="仿宋_GB2312" w:eastAsia="仿宋_GB2312"/>
                <w:sz w:val="24"/>
                <w:szCs w:val="24"/>
              </w:rPr>
              <w:t>2.5</w:t>
            </w:r>
          </w:p>
        </w:tc>
      </w:tr>
      <w:tr w14:paraId="24C6F48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33" w:hRule="atLeast"/>
        </w:trPr>
        <w:tc>
          <w:tcPr>
            <w:tcW w:w="3062" w:type="dxa"/>
            <w:gridSpan w:val="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14:paraId="2F6B234A">
            <w:pPr>
              <w:jc w:val="center"/>
              <w:rPr>
                <w:rFonts w:ascii="仿宋_GB2312" w:eastAsia="仿宋_GB2312"/>
                <w:sz w:val="24"/>
                <w:szCs w:val="24"/>
              </w:rPr>
            </w:pPr>
            <w:r>
              <w:rPr>
                <w:rFonts w:hint="eastAsia" w:ascii="仿宋_GB2312" w:eastAsia="仿宋_GB2312"/>
                <w:sz w:val="24"/>
                <w:szCs w:val="24"/>
              </w:rPr>
              <w:t>人行道</w:t>
            </w:r>
          </w:p>
        </w:tc>
        <w:tc>
          <w:tcPr>
            <w:tcW w:w="3464"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14:paraId="03C548B6">
            <w:pPr>
              <w:jc w:val="center"/>
              <w:rPr>
                <w:rFonts w:ascii="仿宋_GB2312" w:eastAsia="仿宋_GB2312"/>
                <w:sz w:val="24"/>
                <w:szCs w:val="24"/>
              </w:rPr>
            </w:pPr>
            <w:r>
              <w:rPr>
                <w:rFonts w:hint="eastAsia" w:ascii="仿宋_GB2312" w:eastAsia="仿宋_GB2312"/>
                <w:sz w:val="24"/>
                <w:szCs w:val="24"/>
              </w:rPr>
              <w:t>行人</w:t>
            </w:r>
          </w:p>
        </w:tc>
        <w:tc>
          <w:tcPr>
            <w:tcW w:w="1790"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14:paraId="768D56A8">
            <w:pPr>
              <w:jc w:val="center"/>
              <w:rPr>
                <w:rFonts w:ascii="仿宋_GB2312" w:eastAsia="仿宋_GB2312"/>
                <w:sz w:val="24"/>
                <w:szCs w:val="24"/>
              </w:rPr>
            </w:pPr>
            <w:r>
              <w:rPr>
                <w:rFonts w:hint="eastAsia" w:ascii="仿宋_GB2312" w:eastAsia="仿宋_GB2312"/>
                <w:sz w:val="24"/>
                <w:szCs w:val="24"/>
              </w:rPr>
              <w:t>2.5</w:t>
            </w:r>
          </w:p>
        </w:tc>
      </w:tr>
    </w:tbl>
    <w:p w14:paraId="782E97DA">
      <w:pPr>
        <w:spacing w:line="560" w:lineRule="exact"/>
        <w:ind w:right="84" w:rightChars="40" w:firstLine="707" w:firstLineChars="221"/>
        <w:rPr>
          <w:rFonts w:ascii="Times New Roman" w:hAnsi="Times New Roman" w:eastAsia="仿宋_GB2312"/>
          <w:sz w:val="32"/>
          <w:szCs w:val="32"/>
        </w:rPr>
      </w:pPr>
      <w:r>
        <w:rPr>
          <w:rFonts w:hint="eastAsia" w:ascii="Times New Roman" w:hAnsi="Times New Roman" w:eastAsia="仿宋_GB2312"/>
          <w:sz w:val="32"/>
          <w:szCs w:val="32"/>
        </w:rPr>
        <w:t>对加铺罩面、冬季积雪的道路，净高宜适当预留。</w:t>
      </w:r>
    </w:p>
    <w:p w14:paraId="253C80CC">
      <w:pPr>
        <w:pStyle w:val="4"/>
      </w:pPr>
      <w:bookmarkStart w:id="100" w:name="_Toc233624896"/>
      <w:r>
        <w:t>路面防冻层</w:t>
      </w:r>
      <w:bookmarkEnd w:id="100"/>
    </w:p>
    <w:p w14:paraId="4D5BF188">
      <w:pPr>
        <w:spacing w:line="560" w:lineRule="exact"/>
        <w:ind w:right="84" w:rightChars="40" w:firstLine="707" w:firstLineChars="221"/>
        <w:rPr>
          <w:rFonts w:ascii="Times New Roman" w:hAnsi="Times New Roman" w:eastAsia="仿宋_GB2312"/>
          <w:sz w:val="32"/>
          <w:szCs w:val="32"/>
        </w:rPr>
      </w:pPr>
      <w:r>
        <w:rPr>
          <w:rFonts w:ascii="Times New Roman" w:hAnsi="Times New Roman" w:eastAsia="仿宋_GB2312"/>
          <w:sz w:val="32"/>
          <w:szCs w:val="32"/>
        </w:rPr>
        <w:t>在高寒地区，城镇道路路面应根据当地情况设置防冻层，路面总厚度不应小于《城镇道路路面设计规范》（CJJ 169—</w:t>
      </w:r>
      <w:r>
        <w:rPr>
          <w:rFonts w:hint="eastAsia" w:ascii="Times New Roman" w:hAnsi="Times New Roman" w:eastAsia="仿宋_GB2312"/>
          <w:sz w:val="32"/>
          <w:szCs w:val="32"/>
        </w:rPr>
        <w:t>2012</w:t>
      </w:r>
      <w:r>
        <w:rPr>
          <w:rFonts w:ascii="Times New Roman" w:hAnsi="Times New Roman" w:eastAsia="仿宋_GB2312"/>
          <w:sz w:val="32"/>
          <w:szCs w:val="32"/>
        </w:rPr>
        <w:t>）3.2.6条中规定的沥青路面和水泥混凝土路面最小防冻厚度。</w:t>
      </w:r>
    </w:p>
    <w:p w14:paraId="699F5A65">
      <w:pPr>
        <w:spacing w:line="560" w:lineRule="exact"/>
        <w:ind w:right="84" w:rightChars="40" w:firstLine="707" w:firstLineChars="221"/>
        <w:rPr>
          <w:rFonts w:hint="eastAsia" w:ascii="Times New Roman" w:hAnsi="Times New Roman" w:eastAsia="仿宋_GB2312"/>
          <w:sz w:val="32"/>
          <w:szCs w:val="32"/>
        </w:rPr>
      </w:pPr>
    </w:p>
    <w:p w14:paraId="1A38D9FD">
      <w:pPr>
        <w:pStyle w:val="12"/>
        <w:jc w:val="center"/>
        <w:rPr>
          <w:rFonts w:ascii="仿宋"/>
          <w:b w:val="0"/>
          <w:bCs/>
          <w:szCs w:val="32"/>
        </w:rPr>
      </w:pPr>
      <w:r>
        <w:rPr>
          <w:rFonts w:hint="eastAsia"/>
        </w:rPr>
        <w:t xml:space="preserve">表 </w:t>
      </w:r>
      <w:r>
        <w:rPr>
          <w:rFonts w:hint="eastAsia"/>
        </w:rPr>
        <w:fldChar w:fldCharType="begin"/>
      </w:r>
      <w:r>
        <w:instrText xml:space="preserve"> </w:instrText>
      </w:r>
      <w:r>
        <w:rPr>
          <w:rFonts w:hint="eastAsia"/>
        </w:rPr>
        <w:instrText xml:space="preserve">STYLEREF 1 \s</w:instrText>
      </w:r>
      <w:r>
        <w:instrText xml:space="preserve"> </w:instrText>
      </w:r>
      <w:r>
        <w:fldChar w:fldCharType="separate"/>
      </w:r>
      <w:r>
        <w:rPr>
          <w:rFonts w:hint="eastAsia"/>
        </w:rPr>
        <w:t>三</w:t>
      </w:r>
      <w:r>
        <w:fldChar w:fldCharType="end"/>
      </w:r>
      <w:r>
        <w:noBreakHyphen/>
      </w:r>
      <w:r>
        <w:rPr>
          <w:rFonts w:hint="eastAsia"/>
        </w:rPr>
        <w:fldChar w:fldCharType="begin"/>
      </w:r>
      <w:r>
        <w:instrText xml:space="preserve"> </w:instrText>
      </w:r>
      <w:r>
        <w:rPr>
          <w:rFonts w:hint="eastAsia"/>
        </w:rPr>
        <w:instrText xml:space="preserve">SEQ 表 \* ARABIC \s 1</w:instrText>
      </w:r>
      <w:r>
        <w:instrText xml:space="preserve"> </w:instrText>
      </w:r>
      <w:r>
        <w:fldChar w:fldCharType="separate"/>
      </w:r>
      <w:r>
        <w:t>4</w:t>
      </w:r>
      <w:r>
        <w:fldChar w:fldCharType="end"/>
      </w:r>
      <w:r>
        <w:rPr>
          <w:rFonts w:hint="eastAsia" w:ascii="仿宋"/>
          <w:szCs w:val="32"/>
        </w:rPr>
        <w:t>沥青路面最小防冻厚度（cm）</w:t>
      </w:r>
    </w:p>
    <w:tbl>
      <w:tblPr>
        <w:tblStyle w:val="29"/>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15" w:type="dxa"/>
          <w:left w:w="15" w:type="dxa"/>
          <w:bottom w:w="15" w:type="dxa"/>
          <w:right w:w="15" w:type="dxa"/>
        </w:tblCellMar>
      </w:tblPr>
      <w:tblGrid>
        <w:gridCol w:w="944"/>
        <w:gridCol w:w="1124"/>
        <w:gridCol w:w="1037"/>
        <w:gridCol w:w="1036"/>
        <w:gridCol w:w="1036"/>
        <w:gridCol w:w="1076"/>
        <w:gridCol w:w="1036"/>
        <w:gridCol w:w="1037"/>
      </w:tblGrid>
      <w:tr w14:paraId="41E16E2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0" w:hRule="atLeast"/>
        </w:trPr>
        <w:tc>
          <w:tcPr>
            <w:tcW w:w="944" w:type="dxa"/>
            <w:vMerge w:val="restart"/>
            <w:tcBorders>
              <w:top w:val="single" w:color="auto" w:sz="4" w:space="0"/>
              <w:left w:val="single" w:color="000000" w:sz="4" w:space="0"/>
              <w:bottom w:val="nil"/>
              <w:right w:val="single" w:color="000000" w:sz="4" w:space="0"/>
            </w:tcBorders>
            <w:vAlign w:val="center"/>
          </w:tcPr>
          <w:p w14:paraId="2074FD38">
            <w:pPr>
              <w:pStyle w:val="41"/>
              <w:spacing w:before="0" w:beforeAutospacing="0" w:after="0" w:afterAutospacing="0" w:line="480" w:lineRule="exact"/>
              <w:jc w:val="center"/>
              <w:rPr>
                <w:rFonts w:ascii="仿宋" w:eastAsia="仿宋"/>
              </w:rPr>
            </w:pPr>
            <w:r>
              <w:rPr>
                <w:rFonts w:hint="eastAsia" w:ascii="仿宋" w:eastAsia="仿宋"/>
                <w:spacing w:val="-5"/>
              </w:rPr>
              <w:t>路基</w:t>
            </w:r>
          </w:p>
          <w:p w14:paraId="1F0E6E49">
            <w:pPr>
              <w:pStyle w:val="41"/>
              <w:spacing w:before="0" w:beforeAutospacing="0" w:after="0" w:afterAutospacing="0" w:line="480" w:lineRule="exact"/>
              <w:jc w:val="center"/>
              <w:rPr>
                <w:rFonts w:ascii="仿宋" w:eastAsia="仿宋"/>
              </w:rPr>
            </w:pPr>
            <w:r>
              <w:rPr>
                <w:rFonts w:hint="eastAsia" w:ascii="仿宋" w:eastAsia="仿宋"/>
                <w:spacing w:val="6"/>
              </w:rPr>
              <w:t>类型</w:t>
            </w:r>
          </w:p>
        </w:tc>
        <w:tc>
          <w:tcPr>
            <w:tcW w:w="1124" w:type="dxa"/>
            <w:vMerge w:val="restart"/>
            <w:tcBorders>
              <w:top w:val="single" w:color="auto" w:sz="4" w:space="0"/>
              <w:left w:val="single" w:color="000000" w:sz="4" w:space="0"/>
              <w:bottom w:val="nil"/>
              <w:right w:val="single" w:color="000000" w:sz="4" w:space="0"/>
            </w:tcBorders>
            <w:vAlign w:val="center"/>
          </w:tcPr>
          <w:p w14:paraId="14413A87">
            <w:pPr>
              <w:pStyle w:val="41"/>
              <w:spacing w:before="0" w:beforeAutospacing="0" w:after="0" w:afterAutospacing="0" w:line="480" w:lineRule="exact"/>
              <w:jc w:val="center"/>
              <w:rPr>
                <w:rFonts w:ascii="仿宋" w:eastAsia="仿宋"/>
              </w:rPr>
            </w:pPr>
            <w:r>
              <w:rPr>
                <w:rFonts w:hint="eastAsia" w:ascii="仿宋" w:eastAsia="仿宋"/>
                <w:spacing w:val="-2"/>
              </w:rPr>
              <w:t>道路冻深</w:t>
            </w:r>
          </w:p>
        </w:tc>
        <w:tc>
          <w:tcPr>
            <w:tcW w:w="3109" w:type="dxa"/>
            <w:gridSpan w:val="3"/>
            <w:tcBorders>
              <w:top w:val="single" w:color="auto" w:sz="4" w:space="0"/>
              <w:left w:val="single" w:color="000000" w:sz="4" w:space="0"/>
              <w:bottom w:val="single" w:color="000000" w:sz="4" w:space="0"/>
              <w:right w:val="single" w:color="000000" w:sz="4" w:space="0"/>
            </w:tcBorders>
            <w:tcMar>
              <w:top w:w="0" w:type="dxa"/>
              <w:left w:w="0" w:type="dxa"/>
              <w:bottom w:w="0" w:type="dxa"/>
              <w:right w:w="0" w:type="dxa"/>
            </w:tcMar>
            <w:vAlign w:val="center"/>
          </w:tcPr>
          <w:p w14:paraId="1192FA7A">
            <w:pPr>
              <w:pStyle w:val="41"/>
              <w:spacing w:before="0" w:beforeAutospacing="0" w:after="0" w:afterAutospacing="0" w:line="480" w:lineRule="exact"/>
              <w:jc w:val="center"/>
              <w:rPr>
                <w:rFonts w:ascii="仿宋" w:eastAsia="仿宋"/>
                <w:spacing w:val="-2"/>
              </w:rPr>
            </w:pPr>
            <w:r>
              <w:rPr>
                <w:rFonts w:hint="eastAsia" w:ascii="仿宋" w:eastAsia="仿宋"/>
                <w:spacing w:val="-1"/>
              </w:rPr>
              <w:t>粘性土、细亚砂土路床</w:t>
            </w:r>
          </w:p>
        </w:tc>
        <w:tc>
          <w:tcPr>
            <w:tcW w:w="3148" w:type="dxa"/>
            <w:gridSpan w:val="3"/>
            <w:tcBorders>
              <w:top w:val="single" w:color="auto" w:sz="4" w:space="0"/>
              <w:left w:val="single" w:color="000000" w:sz="4" w:space="0"/>
              <w:bottom w:val="single" w:color="000000" w:sz="4" w:space="0"/>
              <w:right w:val="single" w:color="000000" w:sz="4" w:space="0"/>
            </w:tcBorders>
            <w:tcMar>
              <w:top w:w="0" w:type="dxa"/>
              <w:left w:w="0" w:type="dxa"/>
              <w:bottom w:w="0" w:type="dxa"/>
              <w:right w:w="0" w:type="dxa"/>
            </w:tcMar>
            <w:vAlign w:val="center"/>
          </w:tcPr>
          <w:p w14:paraId="3FAE2A13">
            <w:pPr>
              <w:pStyle w:val="41"/>
              <w:spacing w:before="0" w:beforeAutospacing="0" w:after="0" w:afterAutospacing="0" w:line="480" w:lineRule="exact"/>
              <w:jc w:val="center"/>
              <w:rPr>
                <w:rFonts w:ascii="仿宋" w:eastAsia="仿宋"/>
                <w:spacing w:val="-2"/>
              </w:rPr>
            </w:pPr>
            <w:r>
              <w:rPr>
                <w:rFonts w:hint="eastAsia" w:ascii="仿宋" w:eastAsia="仿宋"/>
                <w:spacing w:val="-2"/>
              </w:rPr>
              <w:t>粉性土路床</w:t>
            </w:r>
          </w:p>
        </w:tc>
      </w:tr>
      <w:tr w14:paraId="17A94D8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0" w:hRule="atLeast"/>
        </w:trPr>
        <w:tc>
          <w:tcPr>
            <w:tcW w:w="944" w:type="dxa"/>
            <w:vMerge w:val="continue"/>
            <w:tcBorders>
              <w:top w:val="single" w:color="000000" w:sz="4" w:space="0"/>
              <w:left w:val="single" w:color="000000" w:sz="4" w:space="0"/>
              <w:bottom w:val="nil"/>
              <w:right w:val="single" w:color="000000" w:sz="4" w:space="0"/>
            </w:tcBorders>
            <w:vAlign w:val="center"/>
          </w:tcPr>
          <w:p w14:paraId="150010D4"/>
        </w:tc>
        <w:tc>
          <w:tcPr>
            <w:tcW w:w="1124" w:type="dxa"/>
            <w:vMerge w:val="continue"/>
            <w:tcBorders>
              <w:top w:val="single" w:color="000000" w:sz="4" w:space="0"/>
              <w:left w:val="single" w:color="000000" w:sz="4" w:space="0"/>
              <w:bottom w:val="nil"/>
              <w:right w:val="single" w:color="000000" w:sz="4" w:space="0"/>
            </w:tcBorders>
            <w:vAlign w:val="center"/>
          </w:tcPr>
          <w:p w14:paraId="01394D28"/>
        </w:tc>
        <w:tc>
          <w:tcPr>
            <w:tcW w:w="1037"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14:paraId="44542291">
            <w:pPr>
              <w:pStyle w:val="41"/>
              <w:spacing w:before="0" w:beforeAutospacing="0" w:after="0" w:afterAutospacing="0" w:line="480" w:lineRule="exact"/>
              <w:jc w:val="center"/>
              <w:rPr>
                <w:rFonts w:ascii="仿宋" w:eastAsia="仿宋"/>
              </w:rPr>
            </w:pPr>
            <w:r>
              <w:rPr>
                <w:rFonts w:hint="eastAsia" w:ascii="仿宋" w:eastAsia="仿宋"/>
                <w:spacing w:val="-2"/>
              </w:rPr>
              <w:t>砂石类</w:t>
            </w:r>
          </w:p>
        </w:tc>
        <w:tc>
          <w:tcPr>
            <w:tcW w:w="1036"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14:paraId="6400C860">
            <w:pPr>
              <w:pStyle w:val="41"/>
              <w:spacing w:before="0" w:beforeAutospacing="0" w:after="0" w:afterAutospacing="0" w:line="480" w:lineRule="exact"/>
              <w:jc w:val="center"/>
              <w:rPr>
                <w:rFonts w:ascii="仿宋" w:eastAsia="仿宋"/>
              </w:rPr>
            </w:pPr>
            <w:r>
              <w:rPr>
                <w:rFonts w:hint="eastAsia" w:ascii="仿宋" w:eastAsia="仿宋"/>
                <w:spacing w:val="-2"/>
              </w:rPr>
              <w:t>稳定土类</w:t>
            </w:r>
          </w:p>
        </w:tc>
        <w:tc>
          <w:tcPr>
            <w:tcW w:w="1036" w:type="dxa"/>
            <w:tcBorders>
              <w:top w:val="single" w:color="auto" w:sz="4" w:space="0"/>
              <w:left w:val="single" w:color="000000" w:sz="4" w:space="0"/>
              <w:bottom w:val="single" w:color="000000" w:sz="4" w:space="0"/>
              <w:right w:val="single" w:color="000000" w:sz="4" w:space="0"/>
            </w:tcBorders>
            <w:tcMar>
              <w:top w:w="0" w:type="dxa"/>
              <w:left w:w="0" w:type="dxa"/>
              <w:bottom w:w="0" w:type="dxa"/>
              <w:right w:w="0" w:type="dxa"/>
            </w:tcMar>
            <w:vAlign w:val="center"/>
          </w:tcPr>
          <w:p w14:paraId="27931259">
            <w:pPr>
              <w:pStyle w:val="41"/>
              <w:spacing w:before="0" w:beforeAutospacing="0" w:after="0" w:afterAutospacing="0" w:line="480" w:lineRule="exact"/>
              <w:jc w:val="center"/>
              <w:rPr>
                <w:rFonts w:ascii="仿宋" w:eastAsia="仿宋"/>
              </w:rPr>
            </w:pPr>
            <w:r>
              <w:rPr>
                <w:rFonts w:hint="eastAsia" w:ascii="仿宋" w:eastAsia="仿宋"/>
                <w:spacing w:val="-2"/>
              </w:rPr>
              <w:t>工业废料类</w:t>
            </w:r>
          </w:p>
        </w:tc>
        <w:tc>
          <w:tcPr>
            <w:tcW w:w="1076" w:type="dxa"/>
            <w:tcBorders>
              <w:top w:val="single" w:color="auto" w:sz="4" w:space="0"/>
              <w:left w:val="single" w:color="000000" w:sz="4" w:space="0"/>
              <w:bottom w:val="single" w:color="000000" w:sz="4" w:space="0"/>
              <w:right w:val="single" w:color="000000" w:sz="4" w:space="0"/>
            </w:tcBorders>
            <w:tcMar>
              <w:top w:w="0" w:type="dxa"/>
              <w:left w:w="0" w:type="dxa"/>
              <w:bottom w:w="0" w:type="dxa"/>
              <w:right w:w="0" w:type="dxa"/>
            </w:tcMar>
            <w:vAlign w:val="center"/>
          </w:tcPr>
          <w:p w14:paraId="123FF28F">
            <w:pPr>
              <w:pStyle w:val="41"/>
              <w:spacing w:before="0" w:beforeAutospacing="0" w:after="0" w:afterAutospacing="0" w:line="480" w:lineRule="exact"/>
              <w:jc w:val="center"/>
              <w:rPr>
                <w:rFonts w:ascii="仿宋" w:eastAsia="仿宋"/>
              </w:rPr>
            </w:pPr>
            <w:r>
              <w:rPr>
                <w:rFonts w:hint="eastAsia" w:ascii="仿宋" w:eastAsia="仿宋"/>
                <w:spacing w:val="-2"/>
              </w:rPr>
              <w:t>砂石类</w:t>
            </w:r>
          </w:p>
        </w:tc>
        <w:tc>
          <w:tcPr>
            <w:tcW w:w="1036" w:type="dxa"/>
            <w:tcBorders>
              <w:top w:val="single" w:color="auto" w:sz="4" w:space="0"/>
              <w:left w:val="single" w:color="000000" w:sz="4" w:space="0"/>
              <w:bottom w:val="single" w:color="000000" w:sz="4" w:space="0"/>
              <w:right w:val="single" w:color="000000" w:sz="4" w:space="0"/>
            </w:tcBorders>
            <w:tcMar>
              <w:top w:w="0" w:type="dxa"/>
              <w:left w:w="0" w:type="dxa"/>
              <w:bottom w:w="0" w:type="dxa"/>
              <w:right w:w="0" w:type="dxa"/>
            </w:tcMar>
            <w:vAlign w:val="center"/>
          </w:tcPr>
          <w:p w14:paraId="751E3E75">
            <w:pPr>
              <w:pStyle w:val="41"/>
              <w:spacing w:before="0" w:beforeAutospacing="0" w:after="0" w:afterAutospacing="0" w:line="480" w:lineRule="exact"/>
              <w:jc w:val="center"/>
              <w:rPr>
                <w:rFonts w:ascii="仿宋" w:eastAsia="仿宋"/>
              </w:rPr>
            </w:pPr>
            <w:r>
              <w:rPr>
                <w:rFonts w:hint="eastAsia" w:ascii="仿宋" w:eastAsia="仿宋"/>
                <w:spacing w:val="-2"/>
              </w:rPr>
              <w:t>稳定土类</w:t>
            </w:r>
          </w:p>
        </w:tc>
        <w:tc>
          <w:tcPr>
            <w:tcW w:w="1036" w:type="dxa"/>
            <w:tcBorders>
              <w:top w:val="single" w:color="auto" w:sz="4" w:space="0"/>
              <w:left w:val="single" w:color="000000" w:sz="4" w:space="0"/>
              <w:bottom w:val="single" w:color="000000" w:sz="4" w:space="0"/>
              <w:right w:val="single" w:color="000000" w:sz="4" w:space="0"/>
            </w:tcBorders>
            <w:tcMar>
              <w:top w:w="0" w:type="dxa"/>
              <w:left w:w="0" w:type="dxa"/>
              <w:bottom w:w="0" w:type="dxa"/>
              <w:right w:w="0" w:type="dxa"/>
            </w:tcMar>
            <w:vAlign w:val="center"/>
          </w:tcPr>
          <w:p w14:paraId="4D5A9DC3">
            <w:pPr>
              <w:pStyle w:val="41"/>
              <w:spacing w:before="0" w:beforeAutospacing="0" w:after="0" w:afterAutospacing="0" w:line="480" w:lineRule="exact"/>
              <w:jc w:val="center"/>
              <w:rPr>
                <w:rFonts w:ascii="仿宋" w:eastAsia="仿宋"/>
              </w:rPr>
            </w:pPr>
            <w:r>
              <w:rPr>
                <w:rFonts w:hint="eastAsia" w:ascii="仿宋" w:eastAsia="仿宋"/>
                <w:spacing w:val="-2"/>
              </w:rPr>
              <w:t>工业废料类</w:t>
            </w:r>
          </w:p>
        </w:tc>
      </w:tr>
      <w:tr w14:paraId="362AEF3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0" w:hRule="atLeast"/>
        </w:trPr>
        <w:tc>
          <w:tcPr>
            <w:tcW w:w="944" w:type="dxa"/>
            <w:vMerge w:val="restart"/>
            <w:tcBorders>
              <w:top w:val="single" w:color="000000" w:sz="4" w:space="0"/>
              <w:left w:val="single" w:color="000000" w:sz="4" w:space="0"/>
              <w:bottom w:val="nil"/>
              <w:right w:val="single" w:color="000000" w:sz="4" w:space="0"/>
            </w:tcBorders>
            <w:tcMar>
              <w:top w:w="0" w:type="dxa"/>
              <w:left w:w="0" w:type="dxa"/>
              <w:bottom w:w="0" w:type="dxa"/>
              <w:right w:w="0" w:type="dxa"/>
            </w:tcMar>
            <w:vAlign w:val="center"/>
          </w:tcPr>
          <w:p w14:paraId="2CCA5FE2">
            <w:pPr>
              <w:pStyle w:val="41"/>
              <w:spacing w:before="0" w:beforeAutospacing="0" w:after="0" w:afterAutospacing="0" w:line="480" w:lineRule="exact"/>
              <w:jc w:val="center"/>
              <w:rPr>
                <w:rFonts w:ascii="仿宋" w:eastAsia="仿宋"/>
              </w:rPr>
            </w:pPr>
            <w:r>
              <w:rPr>
                <w:rFonts w:hint="eastAsia" w:ascii="仿宋" w:eastAsia="仿宋"/>
                <w:spacing w:val="4"/>
              </w:rPr>
              <w:t>中湿</w:t>
            </w:r>
          </w:p>
        </w:tc>
        <w:tc>
          <w:tcPr>
            <w:tcW w:w="1124"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14:paraId="12E2FBD1">
            <w:pPr>
              <w:pStyle w:val="41"/>
              <w:spacing w:before="0" w:beforeAutospacing="0" w:after="0" w:afterAutospacing="0" w:line="480" w:lineRule="exact"/>
              <w:jc w:val="center"/>
              <w:rPr>
                <w:rFonts w:ascii="仿宋" w:eastAsia="仿宋"/>
              </w:rPr>
            </w:pPr>
            <w:r>
              <w:rPr>
                <w:rFonts w:hint="eastAsia" w:ascii="仿宋" w:eastAsia="仿宋"/>
                <w:spacing w:val="-3"/>
              </w:rPr>
              <w:t>50</w:t>
            </w:r>
            <w:r>
              <w:rPr>
                <w:rFonts w:hint="eastAsia" w:ascii="Times New Roman" w:hAnsi="Times New Roman" w:eastAsia="仿宋_GB2312"/>
                <w:sz w:val="32"/>
                <w:szCs w:val="32"/>
              </w:rPr>
              <w:t>~</w:t>
            </w:r>
            <w:r>
              <w:rPr>
                <w:rFonts w:hint="eastAsia" w:ascii="仿宋" w:eastAsia="仿宋"/>
                <w:spacing w:val="-3"/>
              </w:rPr>
              <w:t>100</w:t>
            </w:r>
          </w:p>
        </w:tc>
        <w:tc>
          <w:tcPr>
            <w:tcW w:w="1037"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14:paraId="4F25630E">
            <w:pPr>
              <w:pStyle w:val="41"/>
              <w:spacing w:before="0" w:beforeAutospacing="0" w:after="0" w:afterAutospacing="0" w:line="480" w:lineRule="exact"/>
              <w:jc w:val="center"/>
              <w:rPr>
                <w:rFonts w:ascii="仿宋" w:eastAsia="仿宋"/>
              </w:rPr>
            </w:pPr>
            <w:r>
              <w:rPr>
                <w:rFonts w:hint="eastAsia" w:ascii="仿宋" w:eastAsia="仿宋"/>
                <w:spacing w:val="-2"/>
              </w:rPr>
              <w:t>40</w:t>
            </w:r>
            <w:r>
              <w:rPr>
                <w:rFonts w:hint="eastAsia" w:ascii="Times New Roman" w:hAnsi="Times New Roman" w:eastAsia="仿宋_GB2312"/>
                <w:sz w:val="32"/>
                <w:szCs w:val="32"/>
              </w:rPr>
              <w:t>~</w:t>
            </w:r>
            <w:r>
              <w:rPr>
                <w:rFonts w:hint="eastAsia" w:ascii="仿宋" w:eastAsia="仿宋"/>
                <w:spacing w:val="-2"/>
              </w:rPr>
              <w:t>45</w:t>
            </w:r>
          </w:p>
        </w:tc>
        <w:tc>
          <w:tcPr>
            <w:tcW w:w="1036"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14:paraId="55654621">
            <w:pPr>
              <w:pStyle w:val="41"/>
              <w:spacing w:before="0" w:beforeAutospacing="0" w:after="0" w:afterAutospacing="0" w:line="480" w:lineRule="exact"/>
              <w:jc w:val="center"/>
              <w:rPr>
                <w:rFonts w:ascii="仿宋" w:eastAsia="仿宋"/>
              </w:rPr>
            </w:pPr>
            <w:r>
              <w:rPr>
                <w:rFonts w:hint="eastAsia" w:ascii="仿宋" w:eastAsia="仿宋"/>
                <w:spacing w:val="-3"/>
              </w:rPr>
              <w:t>35</w:t>
            </w:r>
            <w:r>
              <w:rPr>
                <w:rFonts w:hint="eastAsia" w:ascii="Times New Roman" w:hAnsi="Times New Roman" w:eastAsia="仿宋_GB2312"/>
                <w:sz w:val="32"/>
                <w:szCs w:val="32"/>
              </w:rPr>
              <w:t>~</w:t>
            </w:r>
            <w:r>
              <w:rPr>
                <w:rFonts w:hint="eastAsia" w:ascii="仿宋" w:eastAsia="仿宋"/>
                <w:spacing w:val="-3"/>
              </w:rPr>
              <w:t>40</w:t>
            </w:r>
          </w:p>
        </w:tc>
        <w:tc>
          <w:tcPr>
            <w:tcW w:w="1036"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14:paraId="2E97615F">
            <w:pPr>
              <w:pStyle w:val="41"/>
              <w:spacing w:before="0" w:beforeAutospacing="0" w:after="0" w:afterAutospacing="0" w:line="480" w:lineRule="exact"/>
              <w:jc w:val="center"/>
              <w:rPr>
                <w:rFonts w:ascii="仿宋" w:eastAsia="仿宋"/>
              </w:rPr>
            </w:pPr>
            <w:r>
              <w:rPr>
                <w:rFonts w:hint="eastAsia" w:ascii="仿宋" w:eastAsia="仿宋"/>
                <w:spacing w:val="-3"/>
              </w:rPr>
              <w:t>30</w:t>
            </w:r>
            <w:r>
              <w:rPr>
                <w:rFonts w:hint="eastAsia" w:ascii="Times New Roman" w:hAnsi="Times New Roman" w:eastAsia="仿宋_GB2312"/>
                <w:sz w:val="32"/>
                <w:szCs w:val="32"/>
              </w:rPr>
              <w:t>~</w:t>
            </w:r>
            <w:r>
              <w:rPr>
                <w:rFonts w:hint="eastAsia" w:ascii="仿宋" w:eastAsia="仿宋"/>
                <w:spacing w:val="-3"/>
              </w:rPr>
              <w:t>35</w:t>
            </w:r>
          </w:p>
        </w:tc>
        <w:tc>
          <w:tcPr>
            <w:tcW w:w="1076"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14:paraId="0A03CC05">
            <w:pPr>
              <w:pStyle w:val="41"/>
              <w:spacing w:before="0" w:beforeAutospacing="0" w:after="0" w:afterAutospacing="0" w:line="480" w:lineRule="exact"/>
              <w:jc w:val="center"/>
              <w:rPr>
                <w:rFonts w:ascii="仿宋" w:eastAsia="仿宋"/>
              </w:rPr>
            </w:pPr>
            <w:r>
              <w:rPr>
                <w:rFonts w:hint="eastAsia" w:ascii="仿宋" w:eastAsia="仿宋"/>
                <w:spacing w:val="-2"/>
              </w:rPr>
              <w:t>45</w:t>
            </w:r>
            <w:r>
              <w:rPr>
                <w:rFonts w:hint="eastAsia" w:ascii="Times New Roman" w:hAnsi="Times New Roman" w:eastAsia="仿宋_GB2312"/>
                <w:sz w:val="32"/>
                <w:szCs w:val="32"/>
              </w:rPr>
              <w:t>~</w:t>
            </w:r>
            <w:r>
              <w:rPr>
                <w:rFonts w:hint="eastAsia" w:ascii="仿宋" w:eastAsia="仿宋"/>
                <w:spacing w:val="-2"/>
              </w:rPr>
              <w:t>50</w:t>
            </w:r>
          </w:p>
        </w:tc>
        <w:tc>
          <w:tcPr>
            <w:tcW w:w="1036"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14:paraId="0E77FEA9">
            <w:pPr>
              <w:pStyle w:val="41"/>
              <w:spacing w:before="0" w:beforeAutospacing="0" w:after="0" w:afterAutospacing="0" w:line="480" w:lineRule="exact"/>
              <w:jc w:val="center"/>
              <w:rPr>
                <w:rFonts w:ascii="仿宋" w:eastAsia="仿宋"/>
              </w:rPr>
            </w:pPr>
            <w:r>
              <w:rPr>
                <w:rFonts w:hint="eastAsia" w:ascii="仿宋" w:eastAsia="仿宋"/>
                <w:spacing w:val="-2"/>
              </w:rPr>
              <w:t>40</w:t>
            </w:r>
            <w:r>
              <w:rPr>
                <w:rFonts w:hint="eastAsia" w:ascii="Times New Roman" w:hAnsi="Times New Roman" w:eastAsia="仿宋_GB2312"/>
                <w:sz w:val="32"/>
                <w:szCs w:val="32"/>
              </w:rPr>
              <w:t>~</w:t>
            </w:r>
            <w:r>
              <w:rPr>
                <w:rFonts w:hint="eastAsia" w:ascii="仿宋" w:eastAsia="仿宋"/>
                <w:spacing w:val="-2"/>
              </w:rPr>
              <w:t>45</w:t>
            </w:r>
          </w:p>
        </w:tc>
        <w:tc>
          <w:tcPr>
            <w:tcW w:w="1036"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14:paraId="78325555">
            <w:pPr>
              <w:pStyle w:val="41"/>
              <w:spacing w:before="0" w:beforeAutospacing="0" w:after="0" w:afterAutospacing="0" w:line="480" w:lineRule="exact"/>
              <w:jc w:val="center"/>
              <w:rPr>
                <w:rFonts w:ascii="仿宋" w:eastAsia="仿宋"/>
              </w:rPr>
            </w:pPr>
            <w:r>
              <w:rPr>
                <w:rFonts w:hint="eastAsia" w:ascii="仿宋" w:eastAsia="仿宋"/>
                <w:spacing w:val="-3"/>
              </w:rPr>
              <w:t>30</w:t>
            </w:r>
            <w:r>
              <w:rPr>
                <w:rFonts w:hint="eastAsia" w:ascii="Times New Roman" w:hAnsi="Times New Roman" w:eastAsia="仿宋_GB2312"/>
                <w:sz w:val="32"/>
                <w:szCs w:val="32"/>
              </w:rPr>
              <w:t>~</w:t>
            </w:r>
            <w:r>
              <w:rPr>
                <w:rFonts w:hint="eastAsia" w:ascii="仿宋" w:eastAsia="仿宋"/>
                <w:spacing w:val="-3"/>
              </w:rPr>
              <w:t>40</w:t>
            </w:r>
          </w:p>
        </w:tc>
      </w:tr>
      <w:tr w14:paraId="28ECABB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0" w:hRule="atLeast"/>
        </w:trPr>
        <w:tc>
          <w:tcPr>
            <w:tcW w:w="944" w:type="dxa"/>
            <w:vMerge w:val="continue"/>
            <w:tcBorders>
              <w:top w:val="single" w:color="000000" w:sz="4" w:space="0"/>
              <w:left w:val="single" w:color="000000" w:sz="4" w:space="0"/>
              <w:bottom w:val="nil"/>
              <w:right w:val="single" w:color="000000" w:sz="4" w:space="0"/>
            </w:tcBorders>
            <w:vAlign w:val="center"/>
          </w:tcPr>
          <w:p w14:paraId="4A039AD3"/>
        </w:tc>
        <w:tc>
          <w:tcPr>
            <w:tcW w:w="1124"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14:paraId="56E68113">
            <w:pPr>
              <w:pStyle w:val="41"/>
              <w:spacing w:before="0" w:beforeAutospacing="0" w:after="0" w:afterAutospacing="0" w:line="480" w:lineRule="exact"/>
              <w:jc w:val="center"/>
              <w:rPr>
                <w:rFonts w:ascii="仿宋" w:eastAsia="仿宋"/>
              </w:rPr>
            </w:pPr>
            <w:r>
              <w:rPr>
                <w:rFonts w:hint="eastAsia" w:ascii="仿宋" w:eastAsia="仿宋"/>
                <w:spacing w:val="-4"/>
              </w:rPr>
              <w:t>100</w:t>
            </w:r>
            <w:r>
              <w:rPr>
                <w:rFonts w:hint="eastAsia" w:ascii="Times New Roman" w:hAnsi="Times New Roman" w:eastAsia="仿宋_GB2312"/>
                <w:sz w:val="32"/>
                <w:szCs w:val="32"/>
              </w:rPr>
              <w:t>~</w:t>
            </w:r>
            <w:r>
              <w:rPr>
                <w:rFonts w:hint="eastAsia" w:ascii="仿宋" w:eastAsia="仿宋"/>
                <w:spacing w:val="-4"/>
              </w:rPr>
              <w:t>150</w:t>
            </w:r>
          </w:p>
        </w:tc>
        <w:tc>
          <w:tcPr>
            <w:tcW w:w="1037"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14:paraId="4D4D96E6">
            <w:pPr>
              <w:pStyle w:val="41"/>
              <w:spacing w:before="0" w:beforeAutospacing="0" w:after="0" w:afterAutospacing="0" w:line="480" w:lineRule="exact"/>
              <w:jc w:val="center"/>
              <w:rPr>
                <w:rFonts w:ascii="仿宋" w:eastAsia="仿宋"/>
              </w:rPr>
            </w:pPr>
            <w:r>
              <w:rPr>
                <w:rFonts w:hint="eastAsia" w:ascii="仿宋" w:eastAsia="仿宋"/>
                <w:spacing w:val="-2"/>
              </w:rPr>
              <w:t>45</w:t>
            </w:r>
            <w:r>
              <w:rPr>
                <w:rFonts w:hint="eastAsia" w:ascii="Times New Roman" w:hAnsi="Times New Roman" w:eastAsia="仿宋_GB2312"/>
                <w:sz w:val="32"/>
                <w:szCs w:val="32"/>
              </w:rPr>
              <w:t>~</w:t>
            </w:r>
            <w:r>
              <w:rPr>
                <w:rFonts w:hint="eastAsia" w:ascii="仿宋" w:eastAsia="仿宋"/>
                <w:spacing w:val="-2"/>
              </w:rPr>
              <w:t>50</w:t>
            </w:r>
          </w:p>
        </w:tc>
        <w:tc>
          <w:tcPr>
            <w:tcW w:w="1036"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14:paraId="1933C5F5">
            <w:pPr>
              <w:pStyle w:val="41"/>
              <w:spacing w:before="0" w:beforeAutospacing="0" w:after="0" w:afterAutospacing="0" w:line="480" w:lineRule="exact"/>
              <w:jc w:val="center"/>
              <w:rPr>
                <w:rFonts w:ascii="仿宋" w:eastAsia="仿宋"/>
              </w:rPr>
            </w:pPr>
            <w:r>
              <w:rPr>
                <w:rFonts w:hint="eastAsia" w:ascii="仿宋" w:eastAsia="仿宋"/>
                <w:spacing w:val="-2"/>
              </w:rPr>
              <w:t>40</w:t>
            </w:r>
            <w:r>
              <w:rPr>
                <w:rFonts w:hint="eastAsia" w:ascii="Times New Roman" w:hAnsi="Times New Roman" w:eastAsia="仿宋_GB2312"/>
                <w:sz w:val="32"/>
                <w:szCs w:val="32"/>
              </w:rPr>
              <w:t>~</w:t>
            </w:r>
            <w:r>
              <w:rPr>
                <w:rFonts w:hint="eastAsia" w:ascii="仿宋" w:eastAsia="仿宋"/>
                <w:spacing w:val="-2"/>
              </w:rPr>
              <w:t>45</w:t>
            </w:r>
          </w:p>
        </w:tc>
        <w:tc>
          <w:tcPr>
            <w:tcW w:w="1036"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14:paraId="4C425E4F">
            <w:pPr>
              <w:pStyle w:val="41"/>
              <w:spacing w:before="0" w:beforeAutospacing="0" w:after="0" w:afterAutospacing="0" w:line="480" w:lineRule="exact"/>
              <w:jc w:val="center"/>
              <w:rPr>
                <w:rFonts w:ascii="仿宋" w:eastAsia="仿宋"/>
              </w:rPr>
            </w:pPr>
            <w:r>
              <w:rPr>
                <w:rFonts w:hint="eastAsia" w:ascii="仿宋" w:eastAsia="仿宋"/>
                <w:spacing w:val="-3"/>
              </w:rPr>
              <w:t>35</w:t>
            </w:r>
            <w:r>
              <w:rPr>
                <w:rFonts w:hint="eastAsia" w:ascii="Times New Roman" w:hAnsi="Times New Roman" w:eastAsia="仿宋_GB2312"/>
                <w:sz w:val="32"/>
                <w:szCs w:val="32"/>
              </w:rPr>
              <w:t>~</w:t>
            </w:r>
            <w:r>
              <w:rPr>
                <w:rFonts w:hint="eastAsia" w:ascii="仿宋" w:eastAsia="仿宋"/>
                <w:spacing w:val="-3"/>
              </w:rPr>
              <w:t>40</w:t>
            </w:r>
          </w:p>
        </w:tc>
        <w:tc>
          <w:tcPr>
            <w:tcW w:w="1076"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14:paraId="377A24A1">
            <w:pPr>
              <w:pStyle w:val="41"/>
              <w:spacing w:before="0" w:beforeAutospacing="0" w:after="0" w:afterAutospacing="0" w:line="480" w:lineRule="exact"/>
              <w:jc w:val="center"/>
              <w:rPr>
                <w:rFonts w:ascii="仿宋" w:eastAsia="仿宋"/>
              </w:rPr>
            </w:pPr>
            <w:r>
              <w:rPr>
                <w:rFonts w:hint="eastAsia" w:ascii="仿宋" w:eastAsia="仿宋"/>
                <w:spacing w:val="-3"/>
              </w:rPr>
              <w:t>50</w:t>
            </w:r>
            <w:r>
              <w:rPr>
                <w:rFonts w:hint="eastAsia" w:ascii="Times New Roman" w:hAnsi="Times New Roman" w:eastAsia="仿宋_GB2312"/>
                <w:sz w:val="32"/>
                <w:szCs w:val="32"/>
              </w:rPr>
              <w:t>~</w:t>
            </w:r>
            <w:r>
              <w:rPr>
                <w:rFonts w:hint="eastAsia" w:ascii="仿宋" w:eastAsia="仿宋"/>
                <w:spacing w:val="-3"/>
              </w:rPr>
              <w:t>60</w:t>
            </w:r>
          </w:p>
        </w:tc>
        <w:tc>
          <w:tcPr>
            <w:tcW w:w="1036"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14:paraId="33D19E18">
            <w:pPr>
              <w:pStyle w:val="41"/>
              <w:spacing w:before="0" w:beforeAutospacing="0" w:after="0" w:afterAutospacing="0" w:line="480" w:lineRule="exact"/>
              <w:jc w:val="center"/>
              <w:rPr>
                <w:rFonts w:ascii="仿宋" w:eastAsia="仿宋"/>
              </w:rPr>
            </w:pPr>
            <w:r>
              <w:rPr>
                <w:rFonts w:hint="eastAsia" w:ascii="仿宋" w:eastAsia="仿宋"/>
                <w:spacing w:val="-2"/>
              </w:rPr>
              <w:t>45</w:t>
            </w:r>
            <w:r>
              <w:rPr>
                <w:rFonts w:hint="eastAsia" w:ascii="Times New Roman" w:hAnsi="Times New Roman" w:eastAsia="仿宋_GB2312"/>
                <w:sz w:val="32"/>
                <w:szCs w:val="32"/>
              </w:rPr>
              <w:t>~</w:t>
            </w:r>
            <w:r>
              <w:rPr>
                <w:rFonts w:hint="eastAsia" w:ascii="仿宋" w:eastAsia="仿宋"/>
                <w:spacing w:val="-2"/>
              </w:rPr>
              <w:t>50</w:t>
            </w:r>
          </w:p>
        </w:tc>
        <w:tc>
          <w:tcPr>
            <w:tcW w:w="1036"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14:paraId="3DD71A46">
            <w:pPr>
              <w:pStyle w:val="41"/>
              <w:spacing w:before="0" w:beforeAutospacing="0" w:after="0" w:afterAutospacing="0" w:line="480" w:lineRule="exact"/>
              <w:jc w:val="center"/>
              <w:rPr>
                <w:rFonts w:ascii="仿宋" w:eastAsia="仿宋"/>
              </w:rPr>
            </w:pPr>
            <w:r>
              <w:rPr>
                <w:rFonts w:hint="eastAsia" w:ascii="仿宋" w:eastAsia="仿宋"/>
                <w:spacing w:val="-2"/>
              </w:rPr>
              <w:t>40</w:t>
            </w:r>
            <w:r>
              <w:rPr>
                <w:rFonts w:hint="eastAsia" w:ascii="Times New Roman" w:hAnsi="Times New Roman" w:eastAsia="仿宋_GB2312"/>
                <w:sz w:val="32"/>
                <w:szCs w:val="32"/>
              </w:rPr>
              <w:t>~</w:t>
            </w:r>
            <w:r>
              <w:rPr>
                <w:rFonts w:hint="eastAsia" w:ascii="仿宋" w:eastAsia="仿宋"/>
                <w:spacing w:val="-2"/>
              </w:rPr>
              <w:t>45</w:t>
            </w:r>
          </w:p>
        </w:tc>
      </w:tr>
      <w:tr w14:paraId="1DA96D9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0" w:hRule="atLeast"/>
        </w:trPr>
        <w:tc>
          <w:tcPr>
            <w:tcW w:w="944" w:type="dxa"/>
            <w:vMerge w:val="continue"/>
            <w:tcBorders>
              <w:top w:val="single" w:color="000000" w:sz="4" w:space="0"/>
              <w:left w:val="single" w:color="000000" w:sz="4" w:space="0"/>
              <w:bottom w:val="nil"/>
              <w:right w:val="single" w:color="000000" w:sz="4" w:space="0"/>
            </w:tcBorders>
            <w:vAlign w:val="center"/>
          </w:tcPr>
          <w:p w14:paraId="6BAD7ECA"/>
        </w:tc>
        <w:tc>
          <w:tcPr>
            <w:tcW w:w="1124"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14:paraId="6ADF6A39">
            <w:pPr>
              <w:pStyle w:val="41"/>
              <w:spacing w:before="0" w:beforeAutospacing="0" w:after="0" w:afterAutospacing="0" w:line="480" w:lineRule="exact"/>
              <w:jc w:val="center"/>
              <w:rPr>
                <w:rFonts w:ascii="仿宋" w:eastAsia="仿宋"/>
              </w:rPr>
            </w:pPr>
            <w:r>
              <w:rPr>
                <w:rFonts w:hint="eastAsia" w:ascii="仿宋" w:eastAsia="仿宋"/>
                <w:spacing w:val="-4"/>
              </w:rPr>
              <w:t>150</w:t>
            </w:r>
            <w:r>
              <w:rPr>
                <w:rFonts w:hint="eastAsia" w:ascii="Times New Roman" w:hAnsi="Times New Roman" w:eastAsia="仿宋_GB2312"/>
                <w:sz w:val="32"/>
                <w:szCs w:val="32"/>
              </w:rPr>
              <w:t>~</w:t>
            </w:r>
            <w:r>
              <w:rPr>
                <w:rFonts w:hint="eastAsia" w:ascii="仿宋" w:eastAsia="仿宋"/>
                <w:spacing w:val="-4"/>
              </w:rPr>
              <w:t>200</w:t>
            </w:r>
          </w:p>
        </w:tc>
        <w:tc>
          <w:tcPr>
            <w:tcW w:w="1037"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14:paraId="46193D58">
            <w:pPr>
              <w:pStyle w:val="41"/>
              <w:spacing w:before="0" w:beforeAutospacing="0" w:after="0" w:afterAutospacing="0" w:line="480" w:lineRule="exact"/>
              <w:jc w:val="center"/>
              <w:rPr>
                <w:rFonts w:ascii="仿宋" w:eastAsia="仿宋"/>
              </w:rPr>
            </w:pPr>
            <w:r>
              <w:rPr>
                <w:rFonts w:hint="eastAsia" w:ascii="仿宋" w:eastAsia="仿宋"/>
                <w:spacing w:val="-3"/>
              </w:rPr>
              <w:t>50</w:t>
            </w:r>
            <w:r>
              <w:rPr>
                <w:rFonts w:hint="eastAsia" w:ascii="Times New Roman" w:hAnsi="Times New Roman" w:eastAsia="仿宋_GB2312"/>
                <w:sz w:val="32"/>
                <w:szCs w:val="32"/>
              </w:rPr>
              <w:t>~</w:t>
            </w:r>
            <w:r>
              <w:rPr>
                <w:rFonts w:hint="eastAsia" w:ascii="仿宋" w:eastAsia="仿宋"/>
                <w:spacing w:val="-3"/>
              </w:rPr>
              <w:t>60</w:t>
            </w:r>
          </w:p>
        </w:tc>
        <w:tc>
          <w:tcPr>
            <w:tcW w:w="1036"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14:paraId="079C462E">
            <w:pPr>
              <w:pStyle w:val="41"/>
              <w:spacing w:before="0" w:beforeAutospacing="0" w:after="0" w:afterAutospacing="0" w:line="480" w:lineRule="exact"/>
              <w:jc w:val="center"/>
              <w:rPr>
                <w:rFonts w:ascii="仿宋" w:eastAsia="仿宋"/>
              </w:rPr>
            </w:pPr>
            <w:r>
              <w:rPr>
                <w:rFonts w:hint="eastAsia" w:ascii="仿宋" w:eastAsia="仿宋"/>
                <w:spacing w:val="-2"/>
              </w:rPr>
              <w:t>45</w:t>
            </w:r>
            <w:r>
              <w:rPr>
                <w:rFonts w:hint="eastAsia" w:ascii="Times New Roman" w:hAnsi="Times New Roman" w:eastAsia="仿宋_GB2312"/>
                <w:sz w:val="32"/>
                <w:szCs w:val="32"/>
              </w:rPr>
              <w:t>~</w:t>
            </w:r>
            <w:r>
              <w:rPr>
                <w:rFonts w:hint="eastAsia" w:ascii="仿宋" w:eastAsia="仿宋"/>
                <w:spacing w:val="-2"/>
              </w:rPr>
              <w:t>55</w:t>
            </w:r>
          </w:p>
        </w:tc>
        <w:tc>
          <w:tcPr>
            <w:tcW w:w="1036"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14:paraId="3774F3EE">
            <w:pPr>
              <w:pStyle w:val="41"/>
              <w:spacing w:before="0" w:beforeAutospacing="0" w:after="0" w:afterAutospacing="0" w:line="480" w:lineRule="exact"/>
              <w:jc w:val="center"/>
              <w:rPr>
                <w:rFonts w:ascii="仿宋" w:eastAsia="仿宋"/>
              </w:rPr>
            </w:pPr>
            <w:r>
              <w:rPr>
                <w:rFonts w:hint="eastAsia" w:ascii="仿宋" w:eastAsia="仿宋"/>
                <w:spacing w:val="-2"/>
              </w:rPr>
              <w:t>40</w:t>
            </w:r>
            <w:r>
              <w:rPr>
                <w:rFonts w:hint="eastAsia" w:ascii="Times New Roman" w:hAnsi="Times New Roman" w:eastAsia="仿宋_GB2312"/>
                <w:sz w:val="32"/>
                <w:szCs w:val="32"/>
              </w:rPr>
              <w:t>~</w:t>
            </w:r>
            <w:r>
              <w:rPr>
                <w:rFonts w:hint="eastAsia" w:ascii="仿宋" w:eastAsia="仿宋"/>
                <w:spacing w:val="-2"/>
              </w:rPr>
              <w:t>50</w:t>
            </w:r>
          </w:p>
        </w:tc>
        <w:tc>
          <w:tcPr>
            <w:tcW w:w="1076"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14:paraId="5FF3D32E">
            <w:pPr>
              <w:pStyle w:val="41"/>
              <w:spacing w:before="0" w:beforeAutospacing="0" w:after="0" w:afterAutospacing="0" w:line="480" w:lineRule="exact"/>
              <w:jc w:val="center"/>
              <w:rPr>
                <w:rFonts w:ascii="仿宋" w:eastAsia="仿宋"/>
              </w:rPr>
            </w:pPr>
            <w:r>
              <w:rPr>
                <w:rFonts w:hint="eastAsia" w:ascii="仿宋" w:eastAsia="仿宋"/>
                <w:spacing w:val="-2"/>
              </w:rPr>
              <w:t>60</w:t>
            </w:r>
            <w:r>
              <w:rPr>
                <w:rFonts w:hint="eastAsia" w:ascii="Times New Roman" w:hAnsi="Times New Roman" w:eastAsia="仿宋_GB2312"/>
                <w:sz w:val="32"/>
                <w:szCs w:val="32"/>
              </w:rPr>
              <w:t>~</w:t>
            </w:r>
            <w:r>
              <w:rPr>
                <w:rFonts w:hint="eastAsia" w:ascii="仿宋" w:eastAsia="仿宋"/>
                <w:spacing w:val="-2"/>
              </w:rPr>
              <w:t>70</w:t>
            </w:r>
          </w:p>
        </w:tc>
        <w:tc>
          <w:tcPr>
            <w:tcW w:w="1036"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14:paraId="48C52E90">
            <w:pPr>
              <w:pStyle w:val="41"/>
              <w:spacing w:before="0" w:beforeAutospacing="0" w:after="0" w:afterAutospacing="0" w:line="480" w:lineRule="exact"/>
              <w:jc w:val="center"/>
              <w:rPr>
                <w:rFonts w:ascii="仿宋" w:eastAsia="仿宋"/>
              </w:rPr>
            </w:pPr>
            <w:r>
              <w:rPr>
                <w:rFonts w:hint="eastAsia" w:ascii="仿宋" w:eastAsia="仿宋"/>
                <w:spacing w:val="-3"/>
              </w:rPr>
              <w:t>50</w:t>
            </w:r>
            <w:r>
              <w:rPr>
                <w:rFonts w:hint="eastAsia" w:ascii="Times New Roman" w:hAnsi="Times New Roman" w:eastAsia="仿宋_GB2312"/>
                <w:sz w:val="32"/>
                <w:szCs w:val="32"/>
              </w:rPr>
              <w:t>~</w:t>
            </w:r>
            <w:r>
              <w:rPr>
                <w:rFonts w:hint="eastAsia" w:ascii="仿宋" w:eastAsia="仿宋"/>
                <w:spacing w:val="-3"/>
              </w:rPr>
              <w:t>60</w:t>
            </w:r>
          </w:p>
        </w:tc>
        <w:tc>
          <w:tcPr>
            <w:tcW w:w="1036"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14:paraId="2A239931">
            <w:pPr>
              <w:pStyle w:val="41"/>
              <w:spacing w:before="0" w:beforeAutospacing="0" w:after="0" w:afterAutospacing="0" w:line="480" w:lineRule="exact"/>
              <w:jc w:val="center"/>
              <w:rPr>
                <w:rFonts w:ascii="仿宋" w:eastAsia="仿宋"/>
              </w:rPr>
            </w:pPr>
            <w:r>
              <w:rPr>
                <w:rFonts w:hint="eastAsia" w:ascii="仿宋" w:eastAsia="仿宋"/>
                <w:spacing w:val="-2"/>
              </w:rPr>
              <w:t>45</w:t>
            </w:r>
            <w:r>
              <w:rPr>
                <w:rFonts w:hint="eastAsia" w:ascii="Times New Roman" w:hAnsi="Times New Roman" w:eastAsia="仿宋_GB2312"/>
                <w:sz w:val="32"/>
                <w:szCs w:val="32"/>
              </w:rPr>
              <w:t>~</w:t>
            </w:r>
            <w:r>
              <w:rPr>
                <w:rFonts w:hint="eastAsia" w:ascii="仿宋" w:eastAsia="仿宋"/>
                <w:spacing w:val="-2"/>
              </w:rPr>
              <w:t>50</w:t>
            </w:r>
          </w:p>
        </w:tc>
      </w:tr>
      <w:tr w14:paraId="27111C2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0" w:hRule="atLeast"/>
        </w:trPr>
        <w:tc>
          <w:tcPr>
            <w:tcW w:w="944" w:type="dxa"/>
            <w:vMerge w:val="continue"/>
            <w:tcBorders>
              <w:top w:val="single" w:color="000000" w:sz="4" w:space="0"/>
              <w:left w:val="single" w:color="000000" w:sz="4" w:space="0"/>
              <w:bottom w:val="nil"/>
              <w:right w:val="single" w:color="000000" w:sz="4" w:space="0"/>
            </w:tcBorders>
            <w:vAlign w:val="center"/>
          </w:tcPr>
          <w:p w14:paraId="4D458B1A"/>
        </w:tc>
        <w:tc>
          <w:tcPr>
            <w:tcW w:w="1124"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14:paraId="3EC0D3FF">
            <w:pPr>
              <w:pStyle w:val="41"/>
              <w:spacing w:before="0" w:beforeAutospacing="0" w:after="0" w:afterAutospacing="0" w:line="480" w:lineRule="exact"/>
              <w:jc w:val="center"/>
              <w:rPr>
                <w:rFonts w:ascii="仿宋" w:eastAsia="仿宋"/>
              </w:rPr>
            </w:pPr>
            <w:r>
              <w:rPr>
                <w:rFonts w:hint="eastAsia" w:ascii="仿宋" w:eastAsia="仿宋"/>
                <w:spacing w:val="-3"/>
              </w:rPr>
              <w:t>&gt;200</w:t>
            </w:r>
          </w:p>
        </w:tc>
        <w:tc>
          <w:tcPr>
            <w:tcW w:w="1037"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14:paraId="33D09043">
            <w:pPr>
              <w:pStyle w:val="41"/>
              <w:spacing w:before="0" w:beforeAutospacing="0" w:after="0" w:afterAutospacing="0" w:line="480" w:lineRule="exact"/>
              <w:jc w:val="center"/>
              <w:rPr>
                <w:rFonts w:ascii="仿宋" w:eastAsia="仿宋"/>
              </w:rPr>
            </w:pPr>
            <w:r>
              <w:rPr>
                <w:rFonts w:hint="eastAsia" w:ascii="仿宋" w:eastAsia="仿宋"/>
                <w:spacing w:val="-2"/>
              </w:rPr>
              <w:t>60</w:t>
            </w:r>
            <w:r>
              <w:rPr>
                <w:rFonts w:hint="eastAsia" w:ascii="Times New Roman" w:hAnsi="Times New Roman" w:eastAsia="仿宋_GB2312"/>
                <w:sz w:val="32"/>
                <w:szCs w:val="32"/>
              </w:rPr>
              <w:t>~</w:t>
            </w:r>
            <w:r>
              <w:rPr>
                <w:rFonts w:hint="eastAsia" w:ascii="仿宋" w:eastAsia="仿宋"/>
                <w:spacing w:val="-2"/>
              </w:rPr>
              <w:t>70</w:t>
            </w:r>
          </w:p>
        </w:tc>
        <w:tc>
          <w:tcPr>
            <w:tcW w:w="1036"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14:paraId="26D086D7">
            <w:pPr>
              <w:pStyle w:val="41"/>
              <w:spacing w:before="0" w:beforeAutospacing="0" w:after="0" w:afterAutospacing="0" w:line="480" w:lineRule="exact"/>
              <w:jc w:val="center"/>
              <w:rPr>
                <w:rFonts w:ascii="仿宋" w:eastAsia="仿宋"/>
              </w:rPr>
            </w:pPr>
            <w:r>
              <w:rPr>
                <w:rFonts w:hint="eastAsia" w:ascii="仿宋" w:eastAsia="仿宋"/>
                <w:spacing w:val="-3"/>
              </w:rPr>
              <w:t>55</w:t>
            </w:r>
            <w:r>
              <w:rPr>
                <w:rFonts w:hint="eastAsia" w:ascii="Times New Roman" w:hAnsi="Times New Roman" w:eastAsia="仿宋_GB2312"/>
                <w:sz w:val="32"/>
                <w:szCs w:val="32"/>
              </w:rPr>
              <w:t>~</w:t>
            </w:r>
            <w:r>
              <w:rPr>
                <w:rFonts w:hint="eastAsia" w:ascii="仿宋" w:eastAsia="仿宋"/>
                <w:spacing w:val="-3"/>
              </w:rPr>
              <w:t>65</w:t>
            </w:r>
          </w:p>
        </w:tc>
        <w:tc>
          <w:tcPr>
            <w:tcW w:w="1036"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14:paraId="592861EA">
            <w:pPr>
              <w:pStyle w:val="41"/>
              <w:spacing w:before="0" w:beforeAutospacing="0" w:after="0" w:afterAutospacing="0" w:line="480" w:lineRule="exact"/>
              <w:jc w:val="center"/>
              <w:rPr>
                <w:rFonts w:ascii="仿宋" w:eastAsia="仿宋"/>
              </w:rPr>
            </w:pPr>
            <w:r>
              <w:rPr>
                <w:rFonts w:hint="eastAsia" w:ascii="仿宋" w:eastAsia="仿宋"/>
                <w:spacing w:val="-3"/>
              </w:rPr>
              <w:t>50</w:t>
            </w:r>
            <w:r>
              <w:rPr>
                <w:rFonts w:hint="eastAsia" w:ascii="Times New Roman" w:hAnsi="Times New Roman" w:eastAsia="仿宋_GB2312"/>
                <w:sz w:val="32"/>
                <w:szCs w:val="32"/>
              </w:rPr>
              <w:t>~</w:t>
            </w:r>
            <w:r>
              <w:rPr>
                <w:rFonts w:hint="eastAsia" w:ascii="仿宋" w:eastAsia="仿宋"/>
                <w:spacing w:val="-3"/>
              </w:rPr>
              <w:t>55</w:t>
            </w:r>
          </w:p>
        </w:tc>
        <w:tc>
          <w:tcPr>
            <w:tcW w:w="1076"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14:paraId="01D8E8E3">
            <w:pPr>
              <w:pStyle w:val="41"/>
              <w:spacing w:before="0" w:beforeAutospacing="0" w:after="0" w:afterAutospacing="0" w:line="480" w:lineRule="exact"/>
              <w:jc w:val="center"/>
              <w:rPr>
                <w:rFonts w:ascii="仿宋" w:eastAsia="仿宋"/>
              </w:rPr>
            </w:pPr>
            <w:r>
              <w:rPr>
                <w:rFonts w:hint="eastAsia" w:ascii="仿宋" w:eastAsia="仿宋"/>
                <w:spacing w:val="-3"/>
              </w:rPr>
              <w:t>70</w:t>
            </w:r>
            <w:r>
              <w:rPr>
                <w:rFonts w:hint="eastAsia" w:ascii="Times New Roman" w:hAnsi="Times New Roman" w:eastAsia="仿宋_GB2312"/>
                <w:sz w:val="32"/>
                <w:szCs w:val="32"/>
              </w:rPr>
              <w:t>~</w:t>
            </w:r>
            <w:r>
              <w:rPr>
                <w:rFonts w:hint="eastAsia" w:ascii="仿宋" w:eastAsia="仿宋"/>
                <w:spacing w:val="-3"/>
              </w:rPr>
              <w:t>75</w:t>
            </w:r>
          </w:p>
        </w:tc>
        <w:tc>
          <w:tcPr>
            <w:tcW w:w="1036"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14:paraId="72482750">
            <w:pPr>
              <w:pStyle w:val="41"/>
              <w:spacing w:before="0" w:beforeAutospacing="0" w:after="0" w:afterAutospacing="0" w:line="480" w:lineRule="exact"/>
              <w:jc w:val="center"/>
              <w:rPr>
                <w:rFonts w:ascii="仿宋" w:eastAsia="仿宋"/>
              </w:rPr>
            </w:pPr>
            <w:r>
              <w:rPr>
                <w:rFonts w:hint="eastAsia" w:ascii="仿宋" w:eastAsia="仿宋"/>
                <w:spacing w:val="-2"/>
              </w:rPr>
              <w:t>60</w:t>
            </w:r>
            <w:r>
              <w:rPr>
                <w:rFonts w:hint="eastAsia" w:ascii="Times New Roman" w:hAnsi="Times New Roman" w:eastAsia="仿宋_GB2312"/>
                <w:sz w:val="32"/>
                <w:szCs w:val="32"/>
              </w:rPr>
              <w:t>~</w:t>
            </w:r>
            <w:r>
              <w:rPr>
                <w:rFonts w:hint="eastAsia" w:ascii="仿宋" w:eastAsia="仿宋"/>
                <w:spacing w:val="-2"/>
              </w:rPr>
              <w:t>70</w:t>
            </w:r>
          </w:p>
        </w:tc>
        <w:tc>
          <w:tcPr>
            <w:tcW w:w="1036"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14:paraId="473E2EF9">
            <w:pPr>
              <w:pStyle w:val="41"/>
              <w:spacing w:before="0" w:beforeAutospacing="0" w:after="0" w:afterAutospacing="0" w:line="480" w:lineRule="exact"/>
              <w:jc w:val="center"/>
              <w:rPr>
                <w:rFonts w:ascii="仿宋" w:eastAsia="仿宋"/>
              </w:rPr>
            </w:pPr>
            <w:r>
              <w:rPr>
                <w:rFonts w:hint="eastAsia" w:ascii="仿宋" w:eastAsia="仿宋"/>
                <w:spacing w:val="-3"/>
              </w:rPr>
              <w:t>50</w:t>
            </w:r>
            <w:r>
              <w:rPr>
                <w:rFonts w:hint="eastAsia" w:ascii="Times New Roman" w:hAnsi="Times New Roman" w:eastAsia="仿宋_GB2312"/>
                <w:sz w:val="32"/>
                <w:szCs w:val="32"/>
              </w:rPr>
              <w:t>~</w:t>
            </w:r>
            <w:r>
              <w:rPr>
                <w:rFonts w:hint="eastAsia" w:ascii="仿宋" w:eastAsia="仿宋"/>
                <w:spacing w:val="-3"/>
              </w:rPr>
              <w:t>65</w:t>
            </w:r>
          </w:p>
        </w:tc>
      </w:tr>
      <w:tr w14:paraId="77D6402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0" w:hRule="atLeast"/>
        </w:trPr>
        <w:tc>
          <w:tcPr>
            <w:tcW w:w="944" w:type="dxa"/>
            <w:vMerge w:val="restart"/>
            <w:tcBorders>
              <w:top w:val="single" w:color="000000" w:sz="4" w:space="0"/>
              <w:left w:val="single" w:color="000000" w:sz="4" w:space="0"/>
              <w:bottom w:val="nil"/>
              <w:right w:val="single" w:color="000000" w:sz="4" w:space="0"/>
            </w:tcBorders>
            <w:tcMar>
              <w:top w:w="0" w:type="dxa"/>
              <w:left w:w="0" w:type="dxa"/>
              <w:bottom w:w="0" w:type="dxa"/>
              <w:right w:w="0" w:type="dxa"/>
            </w:tcMar>
            <w:vAlign w:val="center"/>
          </w:tcPr>
          <w:p w14:paraId="109DE8E3">
            <w:pPr>
              <w:pStyle w:val="41"/>
              <w:spacing w:before="0" w:beforeAutospacing="0" w:after="0" w:afterAutospacing="0" w:line="480" w:lineRule="exact"/>
              <w:jc w:val="center"/>
              <w:rPr>
                <w:rFonts w:ascii="仿宋" w:eastAsia="仿宋"/>
              </w:rPr>
            </w:pPr>
            <w:r>
              <w:rPr>
                <w:rFonts w:hint="eastAsia" w:ascii="仿宋" w:eastAsia="仿宋"/>
                <w:spacing w:val="-2"/>
              </w:rPr>
              <w:t>潮湿</w:t>
            </w:r>
          </w:p>
        </w:tc>
        <w:tc>
          <w:tcPr>
            <w:tcW w:w="1124"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14:paraId="7898EE0E">
            <w:pPr>
              <w:pStyle w:val="41"/>
              <w:spacing w:before="0" w:beforeAutospacing="0" w:after="0" w:afterAutospacing="0" w:line="480" w:lineRule="exact"/>
              <w:jc w:val="center"/>
              <w:rPr>
                <w:rFonts w:ascii="仿宋" w:eastAsia="仿宋"/>
              </w:rPr>
            </w:pPr>
            <w:r>
              <w:rPr>
                <w:rFonts w:hint="eastAsia" w:ascii="仿宋" w:eastAsia="仿宋"/>
                <w:spacing w:val="-2"/>
              </w:rPr>
              <w:t>60</w:t>
            </w:r>
            <w:r>
              <w:rPr>
                <w:rFonts w:hint="eastAsia" w:ascii="Times New Roman" w:hAnsi="Times New Roman" w:eastAsia="仿宋_GB2312"/>
                <w:sz w:val="32"/>
                <w:szCs w:val="32"/>
              </w:rPr>
              <w:t>~</w:t>
            </w:r>
            <w:r>
              <w:rPr>
                <w:rFonts w:hint="eastAsia" w:ascii="仿宋" w:eastAsia="仿宋"/>
                <w:spacing w:val="-2"/>
              </w:rPr>
              <w:t>100</w:t>
            </w:r>
          </w:p>
        </w:tc>
        <w:tc>
          <w:tcPr>
            <w:tcW w:w="1037"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14:paraId="16083577">
            <w:pPr>
              <w:pStyle w:val="41"/>
              <w:spacing w:before="0" w:beforeAutospacing="0" w:after="0" w:afterAutospacing="0" w:line="480" w:lineRule="exact"/>
              <w:jc w:val="center"/>
              <w:rPr>
                <w:rFonts w:ascii="仿宋" w:eastAsia="仿宋"/>
              </w:rPr>
            </w:pPr>
            <w:r>
              <w:rPr>
                <w:rFonts w:hint="eastAsia" w:ascii="仿宋" w:eastAsia="仿宋"/>
                <w:spacing w:val="-2"/>
              </w:rPr>
              <w:t>45</w:t>
            </w:r>
            <w:r>
              <w:rPr>
                <w:rFonts w:hint="eastAsia" w:ascii="Times New Roman" w:hAnsi="Times New Roman" w:eastAsia="仿宋_GB2312"/>
                <w:sz w:val="32"/>
                <w:szCs w:val="32"/>
              </w:rPr>
              <w:t>~</w:t>
            </w:r>
            <w:r>
              <w:rPr>
                <w:rFonts w:hint="eastAsia" w:ascii="仿宋" w:eastAsia="仿宋"/>
                <w:spacing w:val="-2"/>
              </w:rPr>
              <w:t>55</w:t>
            </w:r>
          </w:p>
        </w:tc>
        <w:tc>
          <w:tcPr>
            <w:tcW w:w="1036"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14:paraId="1B5528F5">
            <w:pPr>
              <w:pStyle w:val="41"/>
              <w:spacing w:before="0" w:beforeAutospacing="0" w:after="0" w:afterAutospacing="0" w:line="480" w:lineRule="exact"/>
              <w:jc w:val="center"/>
              <w:rPr>
                <w:rFonts w:ascii="仿宋" w:eastAsia="仿宋"/>
              </w:rPr>
            </w:pPr>
            <w:r>
              <w:rPr>
                <w:rFonts w:hint="eastAsia" w:ascii="仿宋" w:eastAsia="仿宋"/>
                <w:spacing w:val="-2"/>
              </w:rPr>
              <w:t>40</w:t>
            </w:r>
            <w:r>
              <w:rPr>
                <w:rFonts w:hint="eastAsia" w:ascii="Times New Roman" w:hAnsi="Times New Roman" w:eastAsia="仿宋_GB2312"/>
                <w:sz w:val="32"/>
                <w:szCs w:val="32"/>
              </w:rPr>
              <w:t>~</w:t>
            </w:r>
            <w:r>
              <w:rPr>
                <w:rFonts w:hint="eastAsia" w:ascii="仿宋" w:eastAsia="仿宋"/>
                <w:spacing w:val="-2"/>
              </w:rPr>
              <w:t>50</w:t>
            </w:r>
          </w:p>
        </w:tc>
        <w:tc>
          <w:tcPr>
            <w:tcW w:w="1036"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14:paraId="715FD784">
            <w:pPr>
              <w:pStyle w:val="41"/>
              <w:spacing w:before="0" w:beforeAutospacing="0" w:after="0" w:afterAutospacing="0" w:line="480" w:lineRule="exact"/>
              <w:jc w:val="center"/>
              <w:rPr>
                <w:rFonts w:ascii="仿宋" w:eastAsia="仿宋"/>
              </w:rPr>
            </w:pPr>
            <w:r>
              <w:rPr>
                <w:rFonts w:hint="eastAsia" w:ascii="仿宋" w:eastAsia="仿宋"/>
                <w:spacing w:val="-3"/>
              </w:rPr>
              <w:t>35</w:t>
            </w:r>
            <w:r>
              <w:rPr>
                <w:rFonts w:hint="eastAsia" w:ascii="Times New Roman" w:hAnsi="Times New Roman" w:eastAsia="仿宋_GB2312"/>
                <w:sz w:val="32"/>
                <w:szCs w:val="32"/>
              </w:rPr>
              <w:t>~</w:t>
            </w:r>
            <w:r>
              <w:rPr>
                <w:rFonts w:hint="eastAsia" w:ascii="仿宋" w:eastAsia="仿宋"/>
                <w:spacing w:val="-3"/>
              </w:rPr>
              <w:t>45</w:t>
            </w:r>
          </w:p>
        </w:tc>
        <w:tc>
          <w:tcPr>
            <w:tcW w:w="1076"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14:paraId="308EA11F">
            <w:pPr>
              <w:pStyle w:val="41"/>
              <w:spacing w:before="0" w:beforeAutospacing="0" w:after="0" w:afterAutospacing="0" w:line="480" w:lineRule="exact"/>
              <w:jc w:val="center"/>
              <w:rPr>
                <w:rFonts w:ascii="仿宋" w:eastAsia="仿宋"/>
              </w:rPr>
            </w:pPr>
            <w:r>
              <w:rPr>
                <w:rFonts w:hint="eastAsia" w:ascii="仿宋" w:eastAsia="仿宋"/>
                <w:spacing w:val="-3"/>
              </w:rPr>
              <w:t>50</w:t>
            </w:r>
            <w:r>
              <w:rPr>
                <w:rFonts w:hint="eastAsia" w:ascii="Times New Roman" w:hAnsi="Times New Roman" w:eastAsia="仿宋_GB2312"/>
                <w:sz w:val="32"/>
                <w:szCs w:val="32"/>
              </w:rPr>
              <w:t>~</w:t>
            </w:r>
            <w:r>
              <w:rPr>
                <w:rFonts w:hint="eastAsia" w:ascii="仿宋" w:eastAsia="仿宋"/>
                <w:spacing w:val="-3"/>
              </w:rPr>
              <w:t>60</w:t>
            </w:r>
          </w:p>
        </w:tc>
        <w:tc>
          <w:tcPr>
            <w:tcW w:w="1036"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14:paraId="3533A216">
            <w:pPr>
              <w:pStyle w:val="41"/>
              <w:spacing w:before="0" w:beforeAutospacing="0" w:after="0" w:afterAutospacing="0" w:line="480" w:lineRule="exact"/>
              <w:jc w:val="center"/>
              <w:rPr>
                <w:rFonts w:ascii="仿宋" w:eastAsia="仿宋"/>
              </w:rPr>
            </w:pPr>
            <w:r>
              <w:rPr>
                <w:rFonts w:hint="eastAsia" w:ascii="仿宋" w:eastAsia="仿宋"/>
                <w:spacing w:val="-2"/>
              </w:rPr>
              <w:t>45</w:t>
            </w:r>
            <w:r>
              <w:rPr>
                <w:rFonts w:hint="eastAsia" w:ascii="Times New Roman" w:hAnsi="Times New Roman" w:eastAsia="仿宋_GB2312"/>
                <w:sz w:val="32"/>
                <w:szCs w:val="32"/>
              </w:rPr>
              <w:t>~</w:t>
            </w:r>
            <w:r>
              <w:rPr>
                <w:rFonts w:hint="eastAsia" w:ascii="仿宋" w:eastAsia="仿宋"/>
                <w:spacing w:val="-2"/>
              </w:rPr>
              <w:t>55</w:t>
            </w:r>
          </w:p>
        </w:tc>
        <w:tc>
          <w:tcPr>
            <w:tcW w:w="1036"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14:paraId="329C0D1A">
            <w:pPr>
              <w:pStyle w:val="41"/>
              <w:spacing w:before="0" w:beforeAutospacing="0" w:after="0" w:afterAutospacing="0" w:line="480" w:lineRule="exact"/>
              <w:jc w:val="center"/>
              <w:rPr>
                <w:rFonts w:ascii="仿宋" w:eastAsia="仿宋"/>
              </w:rPr>
            </w:pPr>
            <w:r>
              <w:rPr>
                <w:rFonts w:hint="eastAsia" w:ascii="仿宋" w:eastAsia="仿宋"/>
                <w:spacing w:val="-2"/>
              </w:rPr>
              <w:t>40</w:t>
            </w:r>
            <w:r>
              <w:rPr>
                <w:rFonts w:hint="eastAsia" w:ascii="Times New Roman" w:hAnsi="Times New Roman" w:eastAsia="仿宋_GB2312"/>
                <w:sz w:val="32"/>
                <w:szCs w:val="32"/>
              </w:rPr>
              <w:t>~</w:t>
            </w:r>
            <w:r>
              <w:rPr>
                <w:rFonts w:hint="eastAsia" w:ascii="仿宋" w:eastAsia="仿宋"/>
                <w:spacing w:val="-2"/>
              </w:rPr>
              <w:t>50</w:t>
            </w:r>
          </w:p>
        </w:tc>
      </w:tr>
      <w:tr w14:paraId="7D5A8FB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0" w:hRule="atLeast"/>
        </w:trPr>
        <w:tc>
          <w:tcPr>
            <w:tcW w:w="944" w:type="dxa"/>
            <w:vMerge w:val="continue"/>
            <w:tcBorders>
              <w:top w:val="single" w:color="000000" w:sz="4" w:space="0"/>
              <w:left w:val="single" w:color="000000" w:sz="4" w:space="0"/>
              <w:bottom w:val="nil"/>
              <w:right w:val="single" w:color="000000" w:sz="4" w:space="0"/>
            </w:tcBorders>
            <w:vAlign w:val="center"/>
          </w:tcPr>
          <w:p w14:paraId="4B67888E"/>
        </w:tc>
        <w:tc>
          <w:tcPr>
            <w:tcW w:w="1124"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14:paraId="3F0A5B9D">
            <w:pPr>
              <w:pStyle w:val="41"/>
              <w:spacing w:before="0" w:beforeAutospacing="0" w:after="0" w:afterAutospacing="0" w:line="480" w:lineRule="exact"/>
              <w:jc w:val="center"/>
              <w:rPr>
                <w:rFonts w:ascii="仿宋" w:eastAsia="仿宋"/>
              </w:rPr>
            </w:pPr>
            <w:r>
              <w:rPr>
                <w:rFonts w:hint="eastAsia" w:ascii="仿宋" w:eastAsia="仿宋"/>
                <w:spacing w:val="-4"/>
              </w:rPr>
              <w:t>100</w:t>
            </w:r>
            <w:r>
              <w:rPr>
                <w:rFonts w:hint="eastAsia" w:ascii="Times New Roman" w:hAnsi="Times New Roman" w:eastAsia="仿宋_GB2312"/>
                <w:sz w:val="32"/>
                <w:szCs w:val="32"/>
              </w:rPr>
              <w:t>~</w:t>
            </w:r>
            <w:r>
              <w:rPr>
                <w:rFonts w:hint="eastAsia" w:ascii="仿宋" w:eastAsia="仿宋"/>
                <w:spacing w:val="-4"/>
              </w:rPr>
              <w:t>150</w:t>
            </w:r>
          </w:p>
        </w:tc>
        <w:tc>
          <w:tcPr>
            <w:tcW w:w="1037"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14:paraId="19FC2B82">
            <w:pPr>
              <w:pStyle w:val="41"/>
              <w:spacing w:before="0" w:beforeAutospacing="0" w:after="0" w:afterAutospacing="0" w:line="480" w:lineRule="exact"/>
              <w:jc w:val="center"/>
              <w:rPr>
                <w:rFonts w:ascii="仿宋" w:eastAsia="仿宋"/>
              </w:rPr>
            </w:pPr>
            <w:r>
              <w:rPr>
                <w:rFonts w:hint="eastAsia" w:ascii="仿宋" w:eastAsia="仿宋"/>
                <w:spacing w:val="-3"/>
              </w:rPr>
              <w:t>55</w:t>
            </w:r>
            <w:r>
              <w:rPr>
                <w:rFonts w:hint="eastAsia" w:ascii="Times New Roman" w:hAnsi="Times New Roman" w:eastAsia="仿宋_GB2312"/>
                <w:sz w:val="32"/>
                <w:szCs w:val="32"/>
              </w:rPr>
              <w:t>~</w:t>
            </w:r>
            <w:r>
              <w:rPr>
                <w:rFonts w:hint="eastAsia" w:ascii="仿宋" w:eastAsia="仿宋"/>
                <w:spacing w:val="-3"/>
              </w:rPr>
              <w:t>60</w:t>
            </w:r>
          </w:p>
        </w:tc>
        <w:tc>
          <w:tcPr>
            <w:tcW w:w="1036"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14:paraId="3AFBE6E1">
            <w:pPr>
              <w:pStyle w:val="41"/>
              <w:spacing w:before="0" w:beforeAutospacing="0" w:after="0" w:afterAutospacing="0" w:line="480" w:lineRule="exact"/>
              <w:jc w:val="center"/>
              <w:rPr>
                <w:rFonts w:ascii="仿宋" w:eastAsia="仿宋"/>
              </w:rPr>
            </w:pPr>
            <w:r>
              <w:rPr>
                <w:rFonts w:hint="eastAsia" w:ascii="仿宋" w:eastAsia="仿宋"/>
                <w:spacing w:val="-3"/>
              </w:rPr>
              <w:t>50</w:t>
            </w:r>
            <w:r>
              <w:rPr>
                <w:rFonts w:hint="eastAsia" w:ascii="Times New Roman" w:hAnsi="Times New Roman" w:eastAsia="仿宋_GB2312"/>
                <w:sz w:val="32"/>
                <w:szCs w:val="32"/>
              </w:rPr>
              <w:t>~</w:t>
            </w:r>
            <w:r>
              <w:rPr>
                <w:rFonts w:hint="eastAsia" w:ascii="仿宋" w:eastAsia="仿宋"/>
                <w:spacing w:val="-3"/>
              </w:rPr>
              <w:t>55</w:t>
            </w:r>
          </w:p>
        </w:tc>
        <w:tc>
          <w:tcPr>
            <w:tcW w:w="1036"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14:paraId="1188905A">
            <w:pPr>
              <w:pStyle w:val="41"/>
              <w:spacing w:before="0" w:beforeAutospacing="0" w:after="0" w:afterAutospacing="0" w:line="480" w:lineRule="exact"/>
              <w:jc w:val="center"/>
              <w:rPr>
                <w:rFonts w:ascii="仿宋" w:eastAsia="仿宋"/>
              </w:rPr>
            </w:pPr>
            <w:r>
              <w:rPr>
                <w:rFonts w:hint="eastAsia" w:ascii="仿宋" w:eastAsia="仿宋"/>
                <w:spacing w:val="-2"/>
              </w:rPr>
              <w:t>45</w:t>
            </w:r>
            <w:r>
              <w:rPr>
                <w:rFonts w:hint="eastAsia" w:ascii="Times New Roman" w:hAnsi="Times New Roman" w:eastAsia="仿宋_GB2312"/>
                <w:sz w:val="32"/>
                <w:szCs w:val="32"/>
              </w:rPr>
              <w:t>~</w:t>
            </w:r>
            <w:r>
              <w:rPr>
                <w:rFonts w:hint="eastAsia" w:ascii="仿宋" w:eastAsia="仿宋"/>
                <w:spacing w:val="-2"/>
              </w:rPr>
              <w:t>50</w:t>
            </w:r>
          </w:p>
        </w:tc>
        <w:tc>
          <w:tcPr>
            <w:tcW w:w="1076"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14:paraId="1F830BB9">
            <w:pPr>
              <w:pStyle w:val="41"/>
              <w:spacing w:before="0" w:beforeAutospacing="0" w:after="0" w:afterAutospacing="0" w:line="480" w:lineRule="exact"/>
              <w:jc w:val="center"/>
              <w:rPr>
                <w:rFonts w:ascii="仿宋" w:eastAsia="仿宋"/>
              </w:rPr>
            </w:pPr>
            <w:r>
              <w:rPr>
                <w:rFonts w:hint="eastAsia" w:ascii="仿宋" w:eastAsia="仿宋"/>
                <w:spacing w:val="-2"/>
              </w:rPr>
              <w:t>60</w:t>
            </w:r>
            <w:r>
              <w:rPr>
                <w:rFonts w:hint="eastAsia" w:ascii="Times New Roman" w:hAnsi="Times New Roman" w:eastAsia="仿宋_GB2312"/>
                <w:sz w:val="32"/>
                <w:szCs w:val="32"/>
              </w:rPr>
              <w:t>~</w:t>
            </w:r>
            <w:r>
              <w:rPr>
                <w:rFonts w:hint="eastAsia" w:ascii="仿宋" w:eastAsia="仿宋"/>
                <w:spacing w:val="-2"/>
              </w:rPr>
              <w:t>70</w:t>
            </w:r>
          </w:p>
        </w:tc>
        <w:tc>
          <w:tcPr>
            <w:tcW w:w="1036"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14:paraId="3EB07631">
            <w:pPr>
              <w:pStyle w:val="41"/>
              <w:spacing w:before="0" w:beforeAutospacing="0" w:after="0" w:afterAutospacing="0" w:line="480" w:lineRule="exact"/>
              <w:jc w:val="center"/>
              <w:rPr>
                <w:rFonts w:ascii="仿宋" w:eastAsia="仿宋"/>
              </w:rPr>
            </w:pPr>
            <w:r>
              <w:rPr>
                <w:rFonts w:hint="eastAsia" w:ascii="仿宋" w:eastAsia="仿宋"/>
                <w:spacing w:val="-3"/>
              </w:rPr>
              <w:t>55</w:t>
            </w:r>
            <w:r>
              <w:rPr>
                <w:rFonts w:hint="eastAsia" w:ascii="Times New Roman" w:hAnsi="Times New Roman" w:eastAsia="仿宋_GB2312"/>
                <w:sz w:val="32"/>
                <w:szCs w:val="32"/>
              </w:rPr>
              <w:t>~</w:t>
            </w:r>
            <w:r>
              <w:rPr>
                <w:rFonts w:hint="eastAsia" w:ascii="仿宋" w:eastAsia="仿宋"/>
                <w:spacing w:val="-3"/>
              </w:rPr>
              <w:t>65</w:t>
            </w:r>
          </w:p>
        </w:tc>
        <w:tc>
          <w:tcPr>
            <w:tcW w:w="1036"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14:paraId="46B65455">
            <w:pPr>
              <w:pStyle w:val="41"/>
              <w:spacing w:before="0" w:beforeAutospacing="0" w:after="0" w:afterAutospacing="0" w:line="480" w:lineRule="exact"/>
              <w:jc w:val="center"/>
              <w:rPr>
                <w:rFonts w:ascii="仿宋" w:eastAsia="仿宋"/>
              </w:rPr>
            </w:pPr>
            <w:r>
              <w:rPr>
                <w:rFonts w:hint="eastAsia" w:ascii="仿宋" w:eastAsia="仿宋"/>
                <w:spacing w:val="-3"/>
              </w:rPr>
              <w:t>50</w:t>
            </w:r>
            <w:r>
              <w:rPr>
                <w:rFonts w:hint="eastAsia" w:ascii="Times New Roman" w:hAnsi="Times New Roman" w:eastAsia="仿宋_GB2312"/>
                <w:sz w:val="32"/>
                <w:szCs w:val="32"/>
              </w:rPr>
              <w:t>~</w:t>
            </w:r>
            <w:r>
              <w:rPr>
                <w:rFonts w:hint="eastAsia" w:ascii="仿宋" w:eastAsia="仿宋"/>
                <w:spacing w:val="-3"/>
              </w:rPr>
              <w:t>60</w:t>
            </w:r>
          </w:p>
        </w:tc>
      </w:tr>
      <w:tr w14:paraId="6222652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0" w:hRule="atLeast"/>
        </w:trPr>
        <w:tc>
          <w:tcPr>
            <w:tcW w:w="944" w:type="dxa"/>
            <w:vMerge w:val="continue"/>
            <w:tcBorders>
              <w:top w:val="single" w:color="000000" w:sz="4" w:space="0"/>
              <w:left w:val="single" w:color="000000" w:sz="4" w:space="0"/>
              <w:bottom w:val="nil"/>
              <w:right w:val="single" w:color="000000" w:sz="4" w:space="0"/>
            </w:tcBorders>
            <w:vAlign w:val="center"/>
          </w:tcPr>
          <w:p w14:paraId="123BCF74"/>
        </w:tc>
        <w:tc>
          <w:tcPr>
            <w:tcW w:w="1124"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14:paraId="55935791">
            <w:pPr>
              <w:pStyle w:val="41"/>
              <w:spacing w:before="0" w:beforeAutospacing="0" w:after="0" w:afterAutospacing="0" w:line="480" w:lineRule="exact"/>
              <w:jc w:val="center"/>
              <w:rPr>
                <w:rFonts w:ascii="仿宋" w:eastAsia="仿宋"/>
              </w:rPr>
            </w:pPr>
            <w:r>
              <w:rPr>
                <w:rFonts w:hint="eastAsia" w:ascii="仿宋" w:eastAsia="仿宋"/>
                <w:spacing w:val="-4"/>
              </w:rPr>
              <w:t>150</w:t>
            </w:r>
            <w:r>
              <w:rPr>
                <w:rFonts w:hint="eastAsia" w:ascii="Times New Roman" w:hAnsi="Times New Roman" w:eastAsia="仿宋_GB2312"/>
                <w:sz w:val="32"/>
                <w:szCs w:val="32"/>
              </w:rPr>
              <w:t>~</w:t>
            </w:r>
            <w:r>
              <w:rPr>
                <w:rFonts w:hint="eastAsia" w:ascii="仿宋" w:eastAsia="仿宋"/>
                <w:spacing w:val="-4"/>
              </w:rPr>
              <w:t>200</w:t>
            </w:r>
          </w:p>
        </w:tc>
        <w:tc>
          <w:tcPr>
            <w:tcW w:w="1037"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14:paraId="61214138">
            <w:pPr>
              <w:pStyle w:val="41"/>
              <w:spacing w:before="0" w:beforeAutospacing="0" w:after="0" w:afterAutospacing="0" w:line="480" w:lineRule="exact"/>
              <w:jc w:val="center"/>
              <w:rPr>
                <w:rFonts w:ascii="仿宋" w:eastAsia="仿宋"/>
              </w:rPr>
            </w:pPr>
            <w:r>
              <w:rPr>
                <w:rFonts w:hint="eastAsia" w:ascii="仿宋" w:eastAsia="仿宋"/>
                <w:spacing w:val="-2"/>
              </w:rPr>
              <w:t>60</w:t>
            </w:r>
            <w:r>
              <w:rPr>
                <w:rFonts w:hint="eastAsia" w:ascii="Times New Roman" w:hAnsi="Times New Roman" w:eastAsia="仿宋_GB2312"/>
                <w:sz w:val="32"/>
                <w:szCs w:val="32"/>
              </w:rPr>
              <w:t>~</w:t>
            </w:r>
            <w:r>
              <w:rPr>
                <w:rFonts w:hint="eastAsia" w:ascii="仿宋" w:eastAsia="仿宋"/>
                <w:spacing w:val="-2"/>
              </w:rPr>
              <w:t>70</w:t>
            </w:r>
          </w:p>
        </w:tc>
        <w:tc>
          <w:tcPr>
            <w:tcW w:w="1036"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14:paraId="7F496F86">
            <w:pPr>
              <w:pStyle w:val="41"/>
              <w:spacing w:before="0" w:beforeAutospacing="0" w:after="0" w:afterAutospacing="0" w:line="480" w:lineRule="exact"/>
              <w:jc w:val="center"/>
              <w:rPr>
                <w:rFonts w:ascii="仿宋" w:eastAsia="仿宋"/>
              </w:rPr>
            </w:pPr>
            <w:r>
              <w:rPr>
                <w:rFonts w:hint="eastAsia" w:ascii="仿宋" w:eastAsia="仿宋"/>
                <w:spacing w:val="-3"/>
              </w:rPr>
              <w:t>55</w:t>
            </w:r>
            <w:r>
              <w:rPr>
                <w:rFonts w:hint="eastAsia" w:ascii="Times New Roman" w:hAnsi="Times New Roman" w:eastAsia="仿宋_GB2312"/>
                <w:sz w:val="32"/>
                <w:szCs w:val="32"/>
              </w:rPr>
              <w:t>~</w:t>
            </w:r>
            <w:r>
              <w:rPr>
                <w:rFonts w:hint="eastAsia" w:ascii="仿宋" w:eastAsia="仿宋"/>
                <w:spacing w:val="-3"/>
              </w:rPr>
              <w:t>65</w:t>
            </w:r>
          </w:p>
        </w:tc>
        <w:tc>
          <w:tcPr>
            <w:tcW w:w="1036"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14:paraId="13005D13">
            <w:pPr>
              <w:pStyle w:val="41"/>
              <w:spacing w:before="0" w:beforeAutospacing="0" w:after="0" w:afterAutospacing="0" w:line="480" w:lineRule="exact"/>
              <w:jc w:val="center"/>
              <w:rPr>
                <w:rFonts w:ascii="仿宋" w:eastAsia="仿宋"/>
              </w:rPr>
            </w:pPr>
            <w:r>
              <w:rPr>
                <w:rFonts w:hint="eastAsia" w:ascii="仿宋" w:eastAsia="仿宋"/>
                <w:spacing w:val="-3"/>
              </w:rPr>
              <w:t>50</w:t>
            </w:r>
            <w:r>
              <w:rPr>
                <w:rFonts w:hint="eastAsia" w:ascii="Times New Roman" w:hAnsi="Times New Roman" w:eastAsia="仿宋_GB2312"/>
                <w:sz w:val="32"/>
                <w:szCs w:val="32"/>
              </w:rPr>
              <w:t>~</w:t>
            </w:r>
            <w:r>
              <w:rPr>
                <w:rFonts w:hint="eastAsia" w:ascii="仿宋" w:eastAsia="仿宋"/>
                <w:spacing w:val="-3"/>
              </w:rPr>
              <w:t>55</w:t>
            </w:r>
          </w:p>
        </w:tc>
        <w:tc>
          <w:tcPr>
            <w:tcW w:w="1076"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14:paraId="1FF0FC7E">
            <w:pPr>
              <w:pStyle w:val="41"/>
              <w:spacing w:before="0" w:beforeAutospacing="0" w:after="0" w:afterAutospacing="0" w:line="480" w:lineRule="exact"/>
              <w:jc w:val="center"/>
              <w:rPr>
                <w:rFonts w:ascii="仿宋" w:eastAsia="仿宋"/>
              </w:rPr>
            </w:pPr>
            <w:r>
              <w:rPr>
                <w:rFonts w:hint="eastAsia" w:ascii="仿宋" w:eastAsia="仿宋"/>
                <w:spacing w:val="-3"/>
              </w:rPr>
              <w:t>70</w:t>
            </w:r>
            <w:r>
              <w:rPr>
                <w:rFonts w:hint="eastAsia" w:ascii="Times New Roman" w:hAnsi="Times New Roman" w:eastAsia="仿宋_GB2312"/>
                <w:sz w:val="32"/>
                <w:szCs w:val="32"/>
              </w:rPr>
              <w:t>~</w:t>
            </w:r>
            <w:r>
              <w:rPr>
                <w:rFonts w:hint="eastAsia" w:ascii="仿宋" w:eastAsia="仿宋"/>
                <w:spacing w:val="-3"/>
              </w:rPr>
              <w:t>80</w:t>
            </w:r>
          </w:p>
        </w:tc>
        <w:tc>
          <w:tcPr>
            <w:tcW w:w="1036"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14:paraId="797C4BAF">
            <w:pPr>
              <w:pStyle w:val="41"/>
              <w:spacing w:before="0" w:beforeAutospacing="0" w:after="0" w:afterAutospacing="0" w:line="480" w:lineRule="exact"/>
              <w:jc w:val="center"/>
              <w:rPr>
                <w:rFonts w:ascii="仿宋" w:eastAsia="仿宋"/>
              </w:rPr>
            </w:pPr>
            <w:r>
              <w:rPr>
                <w:rFonts w:hint="eastAsia" w:ascii="仿宋" w:eastAsia="仿宋"/>
                <w:spacing w:val="-2"/>
              </w:rPr>
              <w:t>65</w:t>
            </w:r>
            <w:r>
              <w:rPr>
                <w:rFonts w:hint="eastAsia" w:ascii="Times New Roman" w:hAnsi="Times New Roman" w:eastAsia="仿宋_GB2312"/>
                <w:sz w:val="32"/>
                <w:szCs w:val="32"/>
              </w:rPr>
              <w:t>~</w:t>
            </w:r>
            <w:r>
              <w:rPr>
                <w:rFonts w:hint="eastAsia" w:ascii="仿宋" w:eastAsia="仿宋"/>
                <w:spacing w:val="-2"/>
              </w:rPr>
              <w:t>70</w:t>
            </w:r>
          </w:p>
        </w:tc>
        <w:tc>
          <w:tcPr>
            <w:tcW w:w="1036"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14:paraId="39E1A1B5">
            <w:pPr>
              <w:pStyle w:val="41"/>
              <w:spacing w:before="0" w:beforeAutospacing="0" w:after="0" w:afterAutospacing="0" w:line="480" w:lineRule="exact"/>
              <w:jc w:val="center"/>
              <w:rPr>
                <w:rFonts w:ascii="仿宋" w:eastAsia="仿宋"/>
              </w:rPr>
            </w:pPr>
            <w:r>
              <w:rPr>
                <w:rFonts w:hint="eastAsia" w:ascii="仿宋" w:eastAsia="仿宋"/>
                <w:spacing w:val="-2"/>
              </w:rPr>
              <w:t>60</w:t>
            </w:r>
            <w:r>
              <w:rPr>
                <w:rFonts w:hint="eastAsia" w:ascii="Times New Roman" w:hAnsi="Times New Roman" w:eastAsia="仿宋_GB2312"/>
                <w:sz w:val="32"/>
                <w:szCs w:val="32"/>
              </w:rPr>
              <w:t>~</w:t>
            </w:r>
            <w:r>
              <w:rPr>
                <w:rFonts w:hint="eastAsia" w:ascii="仿宋" w:eastAsia="仿宋"/>
                <w:spacing w:val="-2"/>
              </w:rPr>
              <w:t>65</w:t>
            </w:r>
          </w:p>
        </w:tc>
      </w:tr>
      <w:tr w14:paraId="05237CD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0" w:hRule="atLeast"/>
        </w:trPr>
        <w:tc>
          <w:tcPr>
            <w:tcW w:w="944" w:type="dxa"/>
            <w:vMerge w:val="continue"/>
            <w:tcBorders>
              <w:top w:val="single" w:color="000000" w:sz="4" w:space="0"/>
              <w:left w:val="single" w:color="000000" w:sz="4" w:space="0"/>
              <w:bottom w:val="single" w:color="auto" w:sz="4" w:space="0"/>
              <w:right w:val="single" w:color="000000" w:sz="4" w:space="0"/>
            </w:tcBorders>
            <w:vAlign w:val="center"/>
          </w:tcPr>
          <w:p w14:paraId="694494BA"/>
        </w:tc>
        <w:tc>
          <w:tcPr>
            <w:tcW w:w="1124" w:type="dxa"/>
            <w:tcBorders>
              <w:top w:val="single" w:color="000000" w:sz="4" w:space="0"/>
              <w:left w:val="single" w:color="000000" w:sz="4" w:space="0"/>
              <w:bottom w:val="single" w:color="auto" w:sz="4" w:space="0"/>
              <w:right w:val="single" w:color="000000" w:sz="4" w:space="0"/>
            </w:tcBorders>
            <w:tcMar>
              <w:top w:w="0" w:type="dxa"/>
              <w:left w:w="0" w:type="dxa"/>
              <w:bottom w:w="0" w:type="dxa"/>
              <w:right w:w="0" w:type="dxa"/>
            </w:tcMar>
            <w:vAlign w:val="center"/>
          </w:tcPr>
          <w:p w14:paraId="6A0C3FAB">
            <w:pPr>
              <w:pStyle w:val="41"/>
              <w:spacing w:before="0" w:beforeAutospacing="0" w:after="0" w:afterAutospacing="0" w:line="480" w:lineRule="exact"/>
              <w:jc w:val="center"/>
              <w:rPr>
                <w:rFonts w:ascii="仿宋" w:eastAsia="仿宋"/>
              </w:rPr>
            </w:pPr>
            <w:r>
              <w:rPr>
                <w:rFonts w:hint="eastAsia" w:ascii="仿宋" w:eastAsia="仿宋"/>
                <w:spacing w:val="-3"/>
              </w:rPr>
              <w:t>&gt;200</w:t>
            </w:r>
          </w:p>
        </w:tc>
        <w:tc>
          <w:tcPr>
            <w:tcW w:w="1037"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14:paraId="74137D8E">
            <w:pPr>
              <w:pStyle w:val="41"/>
              <w:spacing w:before="0" w:beforeAutospacing="0" w:after="0" w:afterAutospacing="0" w:line="480" w:lineRule="exact"/>
              <w:jc w:val="center"/>
              <w:rPr>
                <w:rFonts w:ascii="仿宋" w:eastAsia="仿宋"/>
              </w:rPr>
            </w:pPr>
            <w:r>
              <w:rPr>
                <w:rFonts w:hint="eastAsia" w:ascii="仿宋" w:eastAsia="仿宋"/>
                <w:spacing w:val="-3"/>
              </w:rPr>
              <w:t>70</w:t>
            </w:r>
            <w:r>
              <w:rPr>
                <w:rFonts w:hint="eastAsia" w:ascii="Times New Roman" w:hAnsi="Times New Roman" w:eastAsia="仿宋_GB2312"/>
                <w:sz w:val="32"/>
                <w:szCs w:val="32"/>
              </w:rPr>
              <w:t>~</w:t>
            </w:r>
            <w:r>
              <w:rPr>
                <w:rFonts w:hint="eastAsia" w:ascii="仿宋" w:eastAsia="仿宋"/>
                <w:spacing w:val="-3"/>
              </w:rPr>
              <w:t>80</w:t>
            </w:r>
          </w:p>
        </w:tc>
        <w:tc>
          <w:tcPr>
            <w:tcW w:w="1036"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14:paraId="10014B20">
            <w:pPr>
              <w:pStyle w:val="41"/>
              <w:spacing w:before="0" w:beforeAutospacing="0" w:after="0" w:afterAutospacing="0" w:line="480" w:lineRule="exact"/>
              <w:jc w:val="center"/>
              <w:rPr>
                <w:rFonts w:ascii="仿宋" w:eastAsia="仿宋"/>
              </w:rPr>
            </w:pPr>
            <w:r>
              <w:rPr>
                <w:rFonts w:hint="eastAsia" w:ascii="仿宋" w:eastAsia="仿宋"/>
                <w:spacing w:val="-2"/>
              </w:rPr>
              <w:t>65</w:t>
            </w:r>
            <w:r>
              <w:rPr>
                <w:rFonts w:hint="eastAsia" w:ascii="Times New Roman" w:hAnsi="Times New Roman" w:eastAsia="仿宋_GB2312"/>
                <w:sz w:val="32"/>
                <w:szCs w:val="32"/>
              </w:rPr>
              <w:t>~</w:t>
            </w:r>
            <w:r>
              <w:rPr>
                <w:rFonts w:hint="eastAsia" w:ascii="仿宋" w:eastAsia="仿宋"/>
                <w:spacing w:val="-2"/>
              </w:rPr>
              <w:t>75</w:t>
            </w:r>
          </w:p>
        </w:tc>
        <w:tc>
          <w:tcPr>
            <w:tcW w:w="1036"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14:paraId="565F84C4">
            <w:pPr>
              <w:pStyle w:val="41"/>
              <w:spacing w:before="0" w:beforeAutospacing="0" w:after="0" w:afterAutospacing="0" w:line="480" w:lineRule="exact"/>
              <w:jc w:val="center"/>
              <w:rPr>
                <w:rFonts w:ascii="仿宋" w:eastAsia="仿宋"/>
              </w:rPr>
            </w:pPr>
            <w:r>
              <w:rPr>
                <w:rFonts w:hint="eastAsia" w:ascii="仿宋" w:eastAsia="仿宋"/>
                <w:spacing w:val="-3"/>
              </w:rPr>
              <w:t>55</w:t>
            </w:r>
            <w:r>
              <w:rPr>
                <w:rFonts w:hint="eastAsia" w:ascii="Times New Roman" w:hAnsi="Times New Roman" w:eastAsia="仿宋_GB2312"/>
                <w:sz w:val="32"/>
                <w:szCs w:val="32"/>
              </w:rPr>
              <w:t>~</w:t>
            </w:r>
            <w:r>
              <w:rPr>
                <w:rFonts w:hint="eastAsia" w:ascii="仿宋" w:eastAsia="仿宋"/>
                <w:spacing w:val="-3"/>
              </w:rPr>
              <w:t>70</w:t>
            </w:r>
          </w:p>
        </w:tc>
        <w:tc>
          <w:tcPr>
            <w:tcW w:w="1076"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14:paraId="619FDF8E">
            <w:pPr>
              <w:pStyle w:val="41"/>
              <w:spacing w:before="0" w:beforeAutospacing="0" w:after="0" w:afterAutospacing="0" w:line="480" w:lineRule="exact"/>
              <w:jc w:val="center"/>
              <w:rPr>
                <w:rFonts w:ascii="仿宋" w:eastAsia="仿宋"/>
              </w:rPr>
            </w:pPr>
            <w:r>
              <w:rPr>
                <w:rFonts w:hint="eastAsia" w:ascii="仿宋" w:eastAsia="仿宋"/>
                <w:spacing w:val="-2"/>
              </w:rPr>
              <w:t>80</w:t>
            </w:r>
            <w:r>
              <w:rPr>
                <w:rFonts w:hint="eastAsia" w:ascii="Times New Roman" w:hAnsi="Times New Roman" w:eastAsia="仿宋_GB2312"/>
                <w:sz w:val="32"/>
                <w:szCs w:val="32"/>
              </w:rPr>
              <w:t>~</w:t>
            </w:r>
            <w:r>
              <w:rPr>
                <w:rFonts w:hint="eastAsia" w:ascii="仿宋" w:eastAsia="仿宋"/>
                <w:spacing w:val="-2"/>
              </w:rPr>
              <w:t>100</w:t>
            </w:r>
          </w:p>
        </w:tc>
        <w:tc>
          <w:tcPr>
            <w:tcW w:w="1036"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14:paraId="6AA42084">
            <w:pPr>
              <w:pStyle w:val="41"/>
              <w:spacing w:before="0" w:beforeAutospacing="0" w:after="0" w:afterAutospacing="0" w:line="480" w:lineRule="exact"/>
              <w:jc w:val="center"/>
              <w:rPr>
                <w:rFonts w:ascii="仿宋" w:eastAsia="仿宋"/>
              </w:rPr>
            </w:pPr>
            <w:r>
              <w:rPr>
                <w:rFonts w:hint="eastAsia" w:ascii="仿宋" w:eastAsia="仿宋"/>
                <w:spacing w:val="-3"/>
              </w:rPr>
              <w:t>70</w:t>
            </w:r>
            <w:r>
              <w:rPr>
                <w:rFonts w:hint="eastAsia" w:ascii="Times New Roman" w:hAnsi="Times New Roman" w:eastAsia="仿宋_GB2312"/>
                <w:sz w:val="32"/>
                <w:szCs w:val="32"/>
              </w:rPr>
              <w:t>~</w:t>
            </w:r>
            <w:r>
              <w:rPr>
                <w:rFonts w:hint="eastAsia" w:ascii="仿宋" w:eastAsia="仿宋"/>
                <w:spacing w:val="-3"/>
              </w:rPr>
              <w:t>90</w:t>
            </w:r>
          </w:p>
        </w:tc>
        <w:tc>
          <w:tcPr>
            <w:tcW w:w="1036"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14:paraId="6EC3103B">
            <w:pPr>
              <w:pStyle w:val="41"/>
              <w:spacing w:before="0" w:beforeAutospacing="0" w:after="0" w:afterAutospacing="0" w:line="480" w:lineRule="exact"/>
              <w:jc w:val="center"/>
              <w:rPr>
                <w:rFonts w:ascii="仿宋" w:eastAsia="仿宋"/>
              </w:rPr>
            </w:pPr>
            <w:r>
              <w:rPr>
                <w:rFonts w:hint="eastAsia" w:ascii="仿宋" w:eastAsia="仿宋"/>
                <w:spacing w:val="-2"/>
              </w:rPr>
              <w:t>65</w:t>
            </w:r>
            <w:r>
              <w:rPr>
                <w:rFonts w:hint="eastAsia" w:ascii="Times New Roman" w:hAnsi="Times New Roman" w:eastAsia="仿宋_GB2312"/>
                <w:sz w:val="32"/>
                <w:szCs w:val="32"/>
              </w:rPr>
              <w:t>~</w:t>
            </w:r>
            <w:r>
              <w:rPr>
                <w:rFonts w:hint="eastAsia" w:ascii="仿宋" w:eastAsia="仿宋"/>
                <w:spacing w:val="-2"/>
              </w:rPr>
              <w:t>80</w:t>
            </w:r>
          </w:p>
        </w:tc>
      </w:tr>
    </w:tbl>
    <w:p w14:paraId="58EEF278">
      <w:pPr>
        <w:pStyle w:val="12"/>
        <w:jc w:val="center"/>
        <w:rPr>
          <w:rFonts w:ascii="仿宋"/>
          <w:b w:val="0"/>
          <w:bCs/>
          <w:szCs w:val="32"/>
        </w:rPr>
      </w:pPr>
      <w:r>
        <w:rPr>
          <w:rFonts w:hint="eastAsia"/>
        </w:rPr>
        <w:t xml:space="preserve">表 </w:t>
      </w:r>
      <w:r>
        <w:rPr>
          <w:rFonts w:hint="eastAsia"/>
        </w:rPr>
        <w:fldChar w:fldCharType="begin"/>
      </w:r>
      <w:r>
        <w:instrText xml:space="preserve"> </w:instrText>
      </w:r>
      <w:r>
        <w:rPr>
          <w:rFonts w:hint="eastAsia"/>
        </w:rPr>
        <w:instrText xml:space="preserve">STYLEREF 1 \s</w:instrText>
      </w:r>
      <w:r>
        <w:instrText xml:space="preserve"> </w:instrText>
      </w:r>
      <w:r>
        <w:fldChar w:fldCharType="separate"/>
      </w:r>
      <w:r>
        <w:rPr>
          <w:rFonts w:hint="eastAsia"/>
        </w:rPr>
        <w:t>三</w:t>
      </w:r>
      <w:r>
        <w:fldChar w:fldCharType="end"/>
      </w:r>
      <w:r>
        <w:noBreakHyphen/>
      </w:r>
      <w:r>
        <w:rPr>
          <w:rFonts w:hint="eastAsia"/>
        </w:rPr>
        <w:fldChar w:fldCharType="begin"/>
      </w:r>
      <w:r>
        <w:instrText xml:space="preserve"> </w:instrText>
      </w:r>
      <w:r>
        <w:rPr>
          <w:rFonts w:hint="eastAsia"/>
        </w:rPr>
        <w:instrText xml:space="preserve">SEQ 表 \* ARABIC \s 1</w:instrText>
      </w:r>
      <w:r>
        <w:instrText xml:space="preserve"> </w:instrText>
      </w:r>
      <w:r>
        <w:fldChar w:fldCharType="separate"/>
      </w:r>
      <w:r>
        <w:t>5</w:t>
      </w:r>
      <w:r>
        <w:fldChar w:fldCharType="end"/>
      </w:r>
      <w:r>
        <w:rPr>
          <w:rFonts w:hint="eastAsia" w:ascii="仿宋"/>
          <w:szCs w:val="32"/>
        </w:rPr>
        <w:t>水泥混凝土路面最小防冻厚度（cm）</w:t>
      </w:r>
    </w:p>
    <w:tbl>
      <w:tblPr>
        <w:tblStyle w:val="29"/>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15" w:type="dxa"/>
          <w:left w:w="15" w:type="dxa"/>
          <w:bottom w:w="15" w:type="dxa"/>
          <w:right w:w="15" w:type="dxa"/>
        </w:tblCellMar>
      </w:tblPr>
      <w:tblGrid>
        <w:gridCol w:w="679"/>
        <w:gridCol w:w="2994"/>
        <w:gridCol w:w="1166"/>
        <w:gridCol w:w="1146"/>
        <w:gridCol w:w="1178"/>
        <w:gridCol w:w="1153"/>
      </w:tblGrid>
      <w:tr w14:paraId="1F18D01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4" w:hRule="atLeast"/>
          <w:tblHeader/>
        </w:trPr>
        <w:tc>
          <w:tcPr>
            <w:tcW w:w="679" w:type="dxa"/>
            <w:vMerge w:val="restart"/>
            <w:tcBorders>
              <w:top w:val="single" w:color="000000" w:sz="4" w:space="0"/>
              <w:left w:val="single" w:color="000000" w:sz="4" w:space="0"/>
              <w:bottom w:val="nil"/>
              <w:right w:val="single" w:color="000000" w:sz="4" w:space="0"/>
            </w:tcBorders>
            <w:tcMar>
              <w:top w:w="0" w:type="dxa"/>
              <w:left w:w="0" w:type="dxa"/>
              <w:bottom w:w="0" w:type="dxa"/>
              <w:right w:w="0" w:type="dxa"/>
            </w:tcMar>
            <w:vAlign w:val="center"/>
          </w:tcPr>
          <w:p w14:paraId="2076A662">
            <w:pPr>
              <w:jc w:val="center"/>
              <w:rPr>
                <w:rFonts w:ascii="仿宋" w:eastAsia="仿宋"/>
                <w:sz w:val="24"/>
                <w:szCs w:val="24"/>
              </w:rPr>
            </w:pPr>
            <w:r>
              <w:rPr>
                <w:rFonts w:hint="eastAsia" w:ascii="仿宋" w:eastAsia="仿宋"/>
                <w:sz w:val="24"/>
                <w:szCs w:val="24"/>
              </w:rPr>
              <w:t>路基 类型</w:t>
            </w:r>
          </w:p>
        </w:tc>
        <w:tc>
          <w:tcPr>
            <w:tcW w:w="2994" w:type="dxa"/>
            <w:vMerge w:val="restart"/>
            <w:tcBorders>
              <w:top w:val="single" w:color="000000" w:sz="4" w:space="0"/>
              <w:left w:val="single" w:color="000000" w:sz="4" w:space="0"/>
              <w:bottom w:val="nil"/>
              <w:right w:val="single" w:color="000000" w:sz="4" w:space="0"/>
            </w:tcBorders>
            <w:tcMar>
              <w:top w:w="0" w:type="dxa"/>
              <w:left w:w="0" w:type="dxa"/>
              <w:bottom w:w="0" w:type="dxa"/>
              <w:right w:w="0" w:type="dxa"/>
            </w:tcMar>
            <w:vAlign w:val="center"/>
          </w:tcPr>
          <w:p w14:paraId="25777D11">
            <w:pPr>
              <w:jc w:val="center"/>
              <w:rPr>
                <w:rFonts w:ascii="仿宋" w:eastAsia="仿宋"/>
                <w:sz w:val="24"/>
                <w:szCs w:val="24"/>
              </w:rPr>
            </w:pPr>
            <w:r>
              <w:rPr>
                <w:rFonts w:hint="eastAsia" w:ascii="仿宋" w:eastAsia="仿宋"/>
                <w:sz w:val="24"/>
                <w:szCs w:val="24"/>
              </w:rPr>
              <w:t>路基土质</w:t>
            </w:r>
          </w:p>
        </w:tc>
        <w:tc>
          <w:tcPr>
            <w:tcW w:w="4643" w:type="dxa"/>
            <w:gridSpan w:val="4"/>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14:paraId="69B4E917">
            <w:pPr>
              <w:jc w:val="center"/>
              <w:rPr>
                <w:rFonts w:ascii="仿宋" w:eastAsia="仿宋"/>
                <w:sz w:val="24"/>
                <w:szCs w:val="24"/>
              </w:rPr>
            </w:pPr>
            <w:r>
              <w:rPr>
                <w:rFonts w:hint="eastAsia" w:ascii="仿宋" w:eastAsia="仿宋"/>
                <w:sz w:val="24"/>
                <w:szCs w:val="24"/>
              </w:rPr>
              <w:t>道路冻深</w:t>
            </w:r>
          </w:p>
        </w:tc>
      </w:tr>
      <w:tr w14:paraId="633374C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8" w:hRule="atLeast"/>
          <w:tblHeader/>
        </w:trPr>
        <w:tc>
          <w:tcPr>
            <w:tcW w:w="679" w:type="dxa"/>
            <w:vMerge w:val="continue"/>
            <w:tcBorders>
              <w:top w:val="single" w:color="000000" w:sz="4" w:space="0"/>
              <w:left w:val="single" w:color="000000" w:sz="4" w:space="0"/>
              <w:bottom w:val="nil"/>
              <w:right w:val="single" w:color="000000" w:sz="4" w:space="0"/>
            </w:tcBorders>
            <w:vAlign w:val="center"/>
          </w:tcPr>
          <w:p w14:paraId="50B59C6F"/>
        </w:tc>
        <w:tc>
          <w:tcPr>
            <w:tcW w:w="2994" w:type="dxa"/>
            <w:vMerge w:val="continue"/>
            <w:tcBorders>
              <w:top w:val="single" w:color="000000" w:sz="4" w:space="0"/>
              <w:left w:val="single" w:color="000000" w:sz="4" w:space="0"/>
              <w:bottom w:val="nil"/>
              <w:right w:val="single" w:color="000000" w:sz="4" w:space="0"/>
            </w:tcBorders>
            <w:vAlign w:val="center"/>
          </w:tcPr>
          <w:p w14:paraId="41B87D76"/>
        </w:tc>
        <w:tc>
          <w:tcPr>
            <w:tcW w:w="1166"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14:paraId="1694EA73">
            <w:pPr>
              <w:jc w:val="center"/>
              <w:rPr>
                <w:rFonts w:ascii="仿宋" w:eastAsia="仿宋"/>
                <w:sz w:val="24"/>
                <w:szCs w:val="24"/>
              </w:rPr>
            </w:pPr>
            <w:r>
              <w:rPr>
                <w:rFonts w:hint="eastAsia" w:ascii="仿宋" w:eastAsia="仿宋"/>
                <w:sz w:val="24"/>
                <w:szCs w:val="24"/>
              </w:rPr>
              <w:t>50</w:t>
            </w:r>
            <w:r>
              <w:rPr>
                <w:rFonts w:hint="eastAsia" w:ascii="Times New Roman" w:hAnsi="Times New Roman" w:eastAsia="仿宋_GB2312"/>
                <w:sz w:val="32"/>
                <w:szCs w:val="32"/>
              </w:rPr>
              <w:t>~</w:t>
            </w:r>
            <w:r>
              <w:rPr>
                <w:rFonts w:hint="eastAsia" w:ascii="仿宋" w:eastAsia="仿宋"/>
                <w:sz w:val="24"/>
                <w:szCs w:val="24"/>
              </w:rPr>
              <w:t>100</w:t>
            </w:r>
          </w:p>
        </w:tc>
        <w:tc>
          <w:tcPr>
            <w:tcW w:w="1146"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14:paraId="6D4A555C">
            <w:pPr>
              <w:jc w:val="center"/>
              <w:rPr>
                <w:rFonts w:ascii="仿宋" w:eastAsia="仿宋"/>
                <w:sz w:val="24"/>
                <w:szCs w:val="24"/>
              </w:rPr>
            </w:pPr>
            <w:r>
              <w:rPr>
                <w:rFonts w:hint="eastAsia" w:ascii="仿宋" w:eastAsia="仿宋"/>
                <w:sz w:val="24"/>
                <w:szCs w:val="24"/>
              </w:rPr>
              <w:t>101</w:t>
            </w:r>
            <w:r>
              <w:rPr>
                <w:rFonts w:hint="eastAsia" w:ascii="Times New Roman" w:hAnsi="Times New Roman" w:eastAsia="仿宋_GB2312"/>
                <w:sz w:val="32"/>
                <w:szCs w:val="32"/>
              </w:rPr>
              <w:t>~</w:t>
            </w:r>
            <w:r>
              <w:rPr>
                <w:rFonts w:hint="eastAsia" w:ascii="仿宋" w:eastAsia="仿宋"/>
                <w:sz w:val="24"/>
                <w:szCs w:val="24"/>
              </w:rPr>
              <w:t>150</w:t>
            </w:r>
          </w:p>
        </w:tc>
        <w:tc>
          <w:tcPr>
            <w:tcW w:w="1178"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14:paraId="618EA0FB">
            <w:pPr>
              <w:jc w:val="center"/>
              <w:rPr>
                <w:rFonts w:ascii="仿宋" w:eastAsia="仿宋"/>
                <w:sz w:val="24"/>
                <w:szCs w:val="24"/>
              </w:rPr>
            </w:pPr>
            <w:r>
              <w:rPr>
                <w:rFonts w:hint="eastAsia" w:ascii="仿宋" w:eastAsia="仿宋"/>
                <w:sz w:val="24"/>
                <w:szCs w:val="24"/>
              </w:rPr>
              <w:t>151</w:t>
            </w:r>
            <w:r>
              <w:rPr>
                <w:rFonts w:hint="eastAsia" w:ascii="Times New Roman" w:hAnsi="Times New Roman" w:eastAsia="仿宋_GB2312"/>
                <w:sz w:val="32"/>
                <w:szCs w:val="32"/>
              </w:rPr>
              <w:t>~</w:t>
            </w:r>
            <w:r>
              <w:rPr>
                <w:rFonts w:hint="eastAsia" w:ascii="仿宋" w:eastAsia="仿宋"/>
                <w:sz w:val="24"/>
                <w:szCs w:val="24"/>
              </w:rPr>
              <w:t>200</w:t>
            </w:r>
          </w:p>
        </w:tc>
        <w:tc>
          <w:tcPr>
            <w:tcW w:w="1153"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14:paraId="5D5A9D56">
            <w:pPr>
              <w:jc w:val="center"/>
              <w:rPr>
                <w:rFonts w:ascii="仿宋" w:eastAsia="仿宋"/>
                <w:sz w:val="24"/>
                <w:szCs w:val="24"/>
              </w:rPr>
            </w:pPr>
            <w:r>
              <w:rPr>
                <w:rFonts w:hint="eastAsia" w:ascii="仿宋" w:eastAsia="仿宋"/>
                <w:sz w:val="24"/>
                <w:szCs w:val="24"/>
              </w:rPr>
              <w:t>&gt;200</w:t>
            </w:r>
          </w:p>
        </w:tc>
      </w:tr>
      <w:tr w14:paraId="720BCAB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8" w:hRule="atLeast"/>
        </w:trPr>
        <w:tc>
          <w:tcPr>
            <w:tcW w:w="679" w:type="dxa"/>
            <w:vMerge w:val="restart"/>
            <w:tcBorders>
              <w:top w:val="single" w:color="000000" w:sz="4" w:space="0"/>
              <w:left w:val="single" w:color="000000" w:sz="4" w:space="0"/>
              <w:bottom w:val="nil"/>
              <w:right w:val="single" w:color="000000" w:sz="4" w:space="0"/>
            </w:tcBorders>
            <w:tcMar>
              <w:top w:w="0" w:type="dxa"/>
              <w:left w:w="0" w:type="dxa"/>
              <w:bottom w:w="0" w:type="dxa"/>
              <w:right w:w="0" w:type="dxa"/>
            </w:tcMar>
            <w:vAlign w:val="center"/>
          </w:tcPr>
          <w:p w14:paraId="07636DE0">
            <w:pPr>
              <w:jc w:val="center"/>
              <w:rPr>
                <w:rFonts w:ascii="仿宋" w:eastAsia="仿宋"/>
                <w:sz w:val="24"/>
                <w:szCs w:val="24"/>
              </w:rPr>
            </w:pPr>
            <w:r>
              <w:rPr>
                <w:rFonts w:hint="eastAsia" w:ascii="仿宋" w:eastAsia="仿宋"/>
                <w:sz w:val="24"/>
                <w:szCs w:val="24"/>
              </w:rPr>
              <w:t>中湿</w:t>
            </w:r>
          </w:p>
        </w:tc>
        <w:tc>
          <w:tcPr>
            <w:tcW w:w="2994"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14:paraId="379241B7">
            <w:pPr>
              <w:jc w:val="center"/>
              <w:rPr>
                <w:rFonts w:ascii="仿宋" w:eastAsia="仿宋"/>
                <w:sz w:val="24"/>
                <w:szCs w:val="24"/>
              </w:rPr>
            </w:pPr>
            <w:r>
              <w:rPr>
                <w:rFonts w:hint="eastAsia" w:ascii="仿宋" w:eastAsia="仿宋"/>
                <w:sz w:val="24"/>
                <w:szCs w:val="24"/>
              </w:rPr>
              <w:t>低、中、高液限粘土</w:t>
            </w:r>
          </w:p>
        </w:tc>
        <w:tc>
          <w:tcPr>
            <w:tcW w:w="1166"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14:paraId="77A0A7D9">
            <w:pPr>
              <w:jc w:val="center"/>
              <w:rPr>
                <w:rFonts w:ascii="仿宋" w:eastAsia="仿宋"/>
                <w:sz w:val="24"/>
                <w:szCs w:val="24"/>
              </w:rPr>
            </w:pPr>
            <w:r>
              <w:rPr>
                <w:rFonts w:hint="eastAsia" w:ascii="仿宋" w:eastAsia="仿宋"/>
                <w:sz w:val="24"/>
                <w:szCs w:val="24"/>
              </w:rPr>
              <w:t>30</w:t>
            </w:r>
            <w:r>
              <w:rPr>
                <w:rFonts w:hint="eastAsia" w:ascii="Times New Roman" w:hAnsi="Times New Roman" w:eastAsia="仿宋_GB2312"/>
                <w:sz w:val="32"/>
                <w:szCs w:val="32"/>
              </w:rPr>
              <w:t>~</w:t>
            </w:r>
            <w:r>
              <w:rPr>
                <w:rFonts w:hint="eastAsia" w:ascii="仿宋" w:eastAsia="仿宋"/>
                <w:sz w:val="24"/>
                <w:szCs w:val="24"/>
              </w:rPr>
              <w:t>50</w:t>
            </w:r>
          </w:p>
        </w:tc>
        <w:tc>
          <w:tcPr>
            <w:tcW w:w="1146"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14:paraId="4002397C">
            <w:pPr>
              <w:jc w:val="center"/>
              <w:rPr>
                <w:rFonts w:ascii="仿宋" w:eastAsia="仿宋"/>
                <w:sz w:val="24"/>
                <w:szCs w:val="24"/>
              </w:rPr>
            </w:pPr>
            <w:r>
              <w:rPr>
                <w:rFonts w:hint="eastAsia" w:ascii="仿宋" w:eastAsia="仿宋"/>
                <w:sz w:val="24"/>
                <w:szCs w:val="24"/>
              </w:rPr>
              <w:t>40</w:t>
            </w:r>
            <w:r>
              <w:rPr>
                <w:rFonts w:hint="eastAsia" w:ascii="Times New Roman" w:hAnsi="Times New Roman" w:eastAsia="仿宋_GB2312"/>
                <w:sz w:val="32"/>
                <w:szCs w:val="32"/>
              </w:rPr>
              <w:t>~</w:t>
            </w:r>
            <w:r>
              <w:rPr>
                <w:rFonts w:hint="eastAsia" w:ascii="仿宋" w:eastAsia="仿宋"/>
                <w:sz w:val="24"/>
                <w:szCs w:val="24"/>
              </w:rPr>
              <w:t>60</w:t>
            </w:r>
          </w:p>
        </w:tc>
        <w:tc>
          <w:tcPr>
            <w:tcW w:w="1178"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14:paraId="6DD06C07">
            <w:pPr>
              <w:jc w:val="center"/>
              <w:rPr>
                <w:rFonts w:ascii="仿宋" w:eastAsia="仿宋"/>
                <w:sz w:val="24"/>
                <w:szCs w:val="24"/>
              </w:rPr>
            </w:pPr>
            <w:r>
              <w:rPr>
                <w:rFonts w:hint="eastAsia" w:ascii="仿宋" w:eastAsia="仿宋"/>
                <w:sz w:val="24"/>
                <w:szCs w:val="24"/>
              </w:rPr>
              <w:t>50</w:t>
            </w:r>
            <w:r>
              <w:rPr>
                <w:rFonts w:hint="eastAsia" w:ascii="Times New Roman" w:hAnsi="Times New Roman" w:eastAsia="仿宋_GB2312"/>
                <w:sz w:val="32"/>
                <w:szCs w:val="32"/>
              </w:rPr>
              <w:t>~</w:t>
            </w:r>
            <w:r>
              <w:rPr>
                <w:rFonts w:hint="eastAsia" w:ascii="仿宋" w:eastAsia="仿宋"/>
                <w:sz w:val="24"/>
                <w:szCs w:val="24"/>
              </w:rPr>
              <w:t>70</w:t>
            </w:r>
          </w:p>
        </w:tc>
        <w:tc>
          <w:tcPr>
            <w:tcW w:w="1153"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14:paraId="3992196F">
            <w:pPr>
              <w:jc w:val="center"/>
              <w:rPr>
                <w:rFonts w:ascii="仿宋" w:eastAsia="仿宋"/>
                <w:sz w:val="24"/>
                <w:szCs w:val="24"/>
              </w:rPr>
            </w:pPr>
            <w:r>
              <w:rPr>
                <w:rFonts w:hint="eastAsia" w:ascii="仿宋" w:eastAsia="仿宋"/>
                <w:sz w:val="24"/>
                <w:szCs w:val="24"/>
              </w:rPr>
              <w:t>60</w:t>
            </w:r>
            <w:r>
              <w:rPr>
                <w:rFonts w:hint="eastAsia" w:ascii="Times New Roman" w:hAnsi="Times New Roman" w:eastAsia="仿宋_GB2312"/>
                <w:sz w:val="32"/>
                <w:szCs w:val="32"/>
              </w:rPr>
              <w:t>~</w:t>
            </w:r>
            <w:r>
              <w:rPr>
                <w:rFonts w:hint="eastAsia" w:ascii="仿宋" w:eastAsia="仿宋"/>
                <w:sz w:val="24"/>
                <w:szCs w:val="24"/>
              </w:rPr>
              <w:t>95</w:t>
            </w:r>
          </w:p>
        </w:tc>
      </w:tr>
      <w:tr w14:paraId="27E1F03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8" w:hRule="atLeast"/>
        </w:trPr>
        <w:tc>
          <w:tcPr>
            <w:tcW w:w="679" w:type="dxa"/>
            <w:vMerge w:val="continue"/>
            <w:tcBorders>
              <w:top w:val="single" w:color="000000" w:sz="4" w:space="0"/>
              <w:left w:val="single" w:color="000000" w:sz="4" w:space="0"/>
              <w:bottom w:val="nil"/>
              <w:right w:val="single" w:color="000000" w:sz="4" w:space="0"/>
            </w:tcBorders>
            <w:vAlign w:val="center"/>
          </w:tcPr>
          <w:p w14:paraId="03816BF0"/>
        </w:tc>
        <w:tc>
          <w:tcPr>
            <w:tcW w:w="2994"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14:paraId="1858796B">
            <w:pPr>
              <w:jc w:val="center"/>
              <w:rPr>
                <w:rFonts w:ascii="仿宋" w:eastAsia="仿宋"/>
                <w:sz w:val="24"/>
                <w:szCs w:val="24"/>
              </w:rPr>
            </w:pPr>
            <w:r>
              <w:rPr>
                <w:rFonts w:hint="eastAsia" w:ascii="仿宋" w:eastAsia="仿宋"/>
                <w:sz w:val="24"/>
                <w:szCs w:val="24"/>
              </w:rPr>
              <w:t>粉土，粉质低、中液限粘土</w:t>
            </w:r>
          </w:p>
        </w:tc>
        <w:tc>
          <w:tcPr>
            <w:tcW w:w="1166"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14:paraId="43120BAD">
            <w:pPr>
              <w:jc w:val="center"/>
              <w:rPr>
                <w:rFonts w:ascii="仿宋" w:eastAsia="仿宋"/>
                <w:sz w:val="24"/>
                <w:szCs w:val="24"/>
              </w:rPr>
            </w:pPr>
            <w:r>
              <w:rPr>
                <w:rFonts w:hint="eastAsia" w:ascii="仿宋" w:eastAsia="仿宋"/>
                <w:sz w:val="24"/>
                <w:szCs w:val="24"/>
              </w:rPr>
              <w:t>40</w:t>
            </w:r>
            <w:r>
              <w:rPr>
                <w:rFonts w:hint="eastAsia" w:ascii="Times New Roman" w:hAnsi="Times New Roman" w:eastAsia="仿宋_GB2312"/>
                <w:sz w:val="32"/>
                <w:szCs w:val="32"/>
              </w:rPr>
              <w:t>~</w:t>
            </w:r>
            <w:r>
              <w:rPr>
                <w:rFonts w:hint="eastAsia" w:ascii="仿宋" w:eastAsia="仿宋"/>
                <w:sz w:val="24"/>
                <w:szCs w:val="24"/>
              </w:rPr>
              <w:t>60</w:t>
            </w:r>
          </w:p>
        </w:tc>
        <w:tc>
          <w:tcPr>
            <w:tcW w:w="1146"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14:paraId="515054C7">
            <w:pPr>
              <w:jc w:val="center"/>
              <w:rPr>
                <w:rFonts w:ascii="仿宋" w:eastAsia="仿宋"/>
                <w:sz w:val="24"/>
                <w:szCs w:val="24"/>
              </w:rPr>
            </w:pPr>
            <w:r>
              <w:rPr>
                <w:rFonts w:hint="eastAsia" w:ascii="仿宋" w:eastAsia="仿宋"/>
                <w:sz w:val="24"/>
                <w:szCs w:val="24"/>
              </w:rPr>
              <w:t>50</w:t>
            </w:r>
            <w:r>
              <w:rPr>
                <w:rFonts w:hint="eastAsia" w:ascii="Times New Roman" w:hAnsi="Times New Roman" w:eastAsia="仿宋_GB2312"/>
                <w:sz w:val="32"/>
                <w:szCs w:val="32"/>
              </w:rPr>
              <w:t>~</w:t>
            </w:r>
            <w:r>
              <w:rPr>
                <w:rFonts w:hint="eastAsia" w:ascii="仿宋" w:eastAsia="仿宋"/>
                <w:sz w:val="24"/>
                <w:szCs w:val="24"/>
              </w:rPr>
              <w:t>70</w:t>
            </w:r>
          </w:p>
        </w:tc>
        <w:tc>
          <w:tcPr>
            <w:tcW w:w="1178"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14:paraId="333BF549">
            <w:pPr>
              <w:jc w:val="center"/>
              <w:rPr>
                <w:rFonts w:ascii="仿宋" w:eastAsia="仿宋"/>
                <w:sz w:val="24"/>
                <w:szCs w:val="24"/>
              </w:rPr>
            </w:pPr>
            <w:r>
              <w:rPr>
                <w:rFonts w:hint="eastAsia" w:ascii="仿宋" w:eastAsia="仿宋"/>
                <w:sz w:val="24"/>
                <w:szCs w:val="24"/>
              </w:rPr>
              <w:t>60</w:t>
            </w:r>
            <w:r>
              <w:rPr>
                <w:rFonts w:hint="eastAsia" w:ascii="Times New Roman" w:hAnsi="Times New Roman" w:eastAsia="仿宋_GB2312"/>
                <w:sz w:val="32"/>
                <w:szCs w:val="32"/>
              </w:rPr>
              <w:t>~</w:t>
            </w:r>
            <w:r>
              <w:rPr>
                <w:rFonts w:hint="eastAsia" w:ascii="仿宋" w:eastAsia="仿宋"/>
                <w:sz w:val="24"/>
                <w:szCs w:val="24"/>
              </w:rPr>
              <w:t>85</w:t>
            </w:r>
          </w:p>
        </w:tc>
        <w:tc>
          <w:tcPr>
            <w:tcW w:w="1153"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14:paraId="1E158889">
            <w:pPr>
              <w:jc w:val="center"/>
              <w:rPr>
                <w:rFonts w:ascii="仿宋" w:eastAsia="仿宋"/>
                <w:sz w:val="24"/>
                <w:szCs w:val="24"/>
              </w:rPr>
            </w:pPr>
            <w:r>
              <w:rPr>
                <w:rFonts w:hint="eastAsia" w:ascii="仿宋" w:eastAsia="仿宋"/>
                <w:sz w:val="24"/>
                <w:szCs w:val="24"/>
              </w:rPr>
              <w:t>70</w:t>
            </w:r>
            <w:r>
              <w:rPr>
                <w:rFonts w:hint="eastAsia" w:ascii="Times New Roman" w:hAnsi="Times New Roman" w:eastAsia="仿宋_GB2312"/>
                <w:sz w:val="32"/>
                <w:szCs w:val="32"/>
              </w:rPr>
              <w:t>~</w:t>
            </w:r>
            <w:r>
              <w:rPr>
                <w:rFonts w:hint="eastAsia" w:ascii="仿宋" w:eastAsia="仿宋"/>
                <w:sz w:val="24"/>
                <w:szCs w:val="24"/>
              </w:rPr>
              <w:t>110</w:t>
            </w:r>
          </w:p>
        </w:tc>
      </w:tr>
      <w:tr w14:paraId="5162DC8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8" w:hRule="atLeast"/>
        </w:trPr>
        <w:tc>
          <w:tcPr>
            <w:tcW w:w="679" w:type="dxa"/>
            <w:vMerge w:val="restart"/>
            <w:tcBorders>
              <w:top w:val="single" w:color="000000" w:sz="4" w:space="0"/>
              <w:left w:val="single" w:color="000000" w:sz="4" w:space="0"/>
              <w:bottom w:val="nil"/>
              <w:right w:val="single" w:color="000000" w:sz="4" w:space="0"/>
            </w:tcBorders>
            <w:tcMar>
              <w:top w:w="0" w:type="dxa"/>
              <w:left w:w="0" w:type="dxa"/>
              <w:bottom w:w="0" w:type="dxa"/>
              <w:right w:w="0" w:type="dxa"/>
            </w:tcMar>
            <w:vAlign w:val="center"/>
          </w:tcPr>
          <w:p w14:paraId="3BC924CC">
            <w:pPr>
              <w:jc w:val="center"/>
              <w:rPr>
                <w:rFonts w:ascii="仿宋" w:eastAsia="仿宋"/>
                <w:sz w:val="24"/>
                <w:szCs w:val="24"/>
              </w:rPr>
            </w:pPr>
            <w:r>
              <w:rPr>
                <w:rFonts w:hint="eastAsia" w:ascii="仿宋" w:eastAsia="仿宋"/>
                <w:sz w:val="24"/>
                <w:szCs w:val="24"/>
              </w:rPr>
              <w:t>潮湿</w:t>
            </w:r>
          </w:p>
        </w:tc>
        <w:tc>
          <w:tcPr>
            <w:tcW w:w="2994"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14:paraId="71290E92">
            <w:pPr>
              <w:jc w:val="center"/>
              <w:rPr>
                <w:rFonts w:ascii="仿宋" w:eastAsia="仿宋"/>
                <w:sz w:val="24"/>
                <w:szCs w:val="24"/>
              </w:rPr>
            </w:pPr>
            <w:r>
              <w:rPr>
                <w:rFonts w:hint="eastAsia" w:ascii="仿宋" w:eastAsia="仿宋"/>
                <w:sz w:val="24"/>
                <w:szCs w:val="24"/>
              </w:rPr>
              <w:t>低、中、高液限粘土</w:t>
            </w:r>
          </w:p>
        </w:tc>
        <w:tc>
          <w:tcPr>
            <w:tcW w:w="1166"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14:paraId="6879D3F1">
            <w:pPr>
              <w:jc w:val="center"/>
              <w:rPr>
                <w:rFonts w:ascii="仿宋" w:eastAsia="仿宋"/>
                <w:sz w:val="24"/>
                <w:szCs w:val="24"/>
              </w:rPr>
            </w:pPr>
            <w:r>
              <w:rPr>
                <w:rFonts w:hint="eastAsia" w:ascii="仿宋" w:eastAsia="仿宋"/>
                <w:sz w:val="24"/>
                <w:szCs w:val="24"/>
              </w:rPr>
              <w:t>40</w:t>
            </w:r>
            <w:r>
              <w:rPr>
                <w:rFonts w:hint="eastAsia" w:ascii="Times New Roman" w:hAnsi="Times New Roman" w:eastAsia="仿宋_GB2312"/>
                <w:sz w:val="32"/>
                <w:szCs w:val="32"/>
              </w:rPr>
              <w:t>~</w:t>
            </w:r>
            <w:r>
              <w:rPr>
                <w:rFonts w:hint="eastAsia" w:ascii="仿宋" w:eastAsia="仿宋"/>
                <w:sz w:val="24"/>
                <w:szCs w:val="24"/>
              </w:rPr>
              <w:t>60</w:t>
            </w:r>
          </w:p>
        </w:tc>
        <w:tc>
          <w:tcPr>
            <w:tcW w:w="1146"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14:paraId="70AD7233">
            <w:pPr>
              <w:jc w:val="center"/>
              <w:rPr>
                <w:rFonts w:ascii="仿宋" w:eastAsia="仿宋"/>
                <w:sz w:val="24"/>
                <w:szCs w:val="24"/>
              </w:rPr>
            </w:pPr>
            <w:r>
              <w:rPr>
                <w:rFonts w:hint="eastAsia" w:ascii="仿宋" w:eastAsia="仿宋"/>
                <w:sz w:val="24"/>
                <w:szCs w:val="24"/>
              </w:rPr>
              <w:t>50</w:t>
            </w:r>
            <w:r>
              <w:rPr>
                <w:rFonts w:hint="eastAsia" w:ascii="Times New Roman" w:hAnsi="Times New Roman" w:eastAsia="仿宋_GB2312"/>
                <w:sz w:val="32"/>
                <w:szCs w:val="32"/>
              </w:rPr>
              <w:t>~</w:t>
            </w:r>
            <w:r>
              <w:rPr>
                <w:rFonts w:hint="eastAsia" w:ascii="仿宋" w:eastAsia="仿宋"/>
                <w:sz w:val="24"/>
                <w:szCs w:val="24"/>
              </w:rPr>
              <w:t>70</w:t>
            </w:r>
          </w:p>
        </w:tc>
        <w:tc>
          <w:tcPr>
            <w:tcW w:w="1178"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14:paraId="31A70ABA">
            <w:pPr>
              <w:jc w:val="center"/>
              <w:rPr>
                <w:rFonts w:ascii="仿宋" w:eastAsia="仿宋"/>
                <w:sz w:val="24"/>
                <w:szCs w:val="24"/>
              </w:rPr>
            </w:pPr>
            <w:r>
              <w:rPr>
                <w:rFonts w:hint="eastAsia" w:ascii="仿宋" w:eastAsia="仿宋"/>
                <w:sz w:val="24"/>
                <w:szCs w:val="24"/>
              </w:rPr>
              <w:t>60</w:t>
            </w:r>
            <w:r>
              <w:rPr>
                <w:rFonts w:hint="eastAsia" w:ascii="Times New Roman" w:hAnsi="Times New Roman" w:eastAsia="仿宋_GB2312"/>
                <w:sz w:val="32"/>
                <w:szCs w:val="32"/>
              </w:rPr>
              <w:t>~</w:t>
            </w:r>
            <w:r>
              <w:rPr>
                <w:rFonts w:hint="eastAsia" w:ascii="仿宋" w:eastAsia="仿宋"/>
                <w:sz w:val="24"/>
                <w:szCs w:val="24"/>
              </w:rPr>
              <w:t>90</w:t>
            </w:r>
          </w:p>
        </w:tc>
        <w:tc>
          <w:tcPr>
            <w:tcW w:w="1153"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14:paraId="753B69F3">
            <w:pPr>
              <w:jc w:val="center"/>
              <w:rPr>
                <w:rFonts w:ascii="仿宋" w:eastAsia="仿宋"/>
                <w:sz w:val="24"/>
                <w:szCs w:val="24"/>
              </w:rPr>
            </w:pPr>
            <w:r>
              <w:rPr>
                <w:rFonts w:hint="eastAsia" w:ascii="仿宋" w:eastAsia="仿宋"/>
                <w:sz w:val="24"/>
                <w:szCs w:val="24"/>
              </w:rPr>
              <w:t>75</w:t>
            </w:r>
            <w:r>
              <w:rPr>
                <w:rFonts w:hint="eastAsia" w:ascii="Times New Roman" w:hAnsi="Times New Roman" w:eastAsia="仿宋_GB2312"/>
                <w:sz w:val="32"/>
                <w:szCs w:val="32"/>
              </w:rPr>
              <w:t>~</w:t>
            </w:r>
            <w:r>
              <w:rPr>
                <w:rFonts w:hint="eastAsia" w:ascii="仿宋" w:eastAsia="仿宋"/>
                <w:sz w:val="24"/>
                <w:szCs w:val="24"/>
              </w:rPr>
              <w:t>120</w:t>
            </w:r>
          </w:p>
        </w:tc>
      </w:tr>
      <w:tr w14:paraId="5B773E8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03" w:hRule="atLeast"/>
        </w:trPr>
        <w:tc>
          <w:tcPr>
            <w:tcW w:w="679" w:type="dxa"/>
            <w:vMerge w:val="continue"/>
            <w:tcBorders>
              <w:top w:val="single" w:color="000000" w:sz="4" w:space="0"/>
              <w:left w:val="single" w:color="000000" w:sz="4" w:space="0"/>
              <w:bottom w:val="single" w:color="auto" w:sz="4" w:space="0"/>
              <w:right w:val="single" w:color="000000" w:sz="4" w:space="0"/>
            </w:tcBorders>
            <w:vAlign w:val="center"/>
          </w:tcPr>
          <w:p w14:paraId="3F86DC03"/>
        </w:tc>
        <w:tc>
          <w:tcPr>
            <w:tcW w:w="2994" w:type="dxa"/>
            <w:tcBorders>
              <w:top w:val="single" w:color="000000" w:sz="4" w:space="0"/>
              <w:left w:val="single" w:color="000000" w:sz="4" w:space="0"/>
              <w:bottom w:val="single" w:color="auto" w:sz="4" w:space="0"/>
              <w:right w:val="single" w:color="000000" w:sz="4" w:space="0"/>
            </w:tcBorders>
            <w:tcMar>
              <w:top w:w="0" w:type="dxa"/>
              <w:left w:w="0" w:type="dxa"/>
              <w:bottom w:w="0" w:type="dxa"/>
              <w:right w:w="0" w:type="dxa"/>
            </w:tcMar>
            <w:vAlign w:val="center"/>
          </w:tcPr>
          <w:p w14:paraId="74303D52">
            <w:pPr>
              <w:jc w:val="center"/>
              <w:rPr>
                <w:rFonts w:ascii="仿宋" w:eastAsia="仿宋"/>
                <w:sz w:val="24"/>
                <w:szCs w:val="24"/>
              </w:rPr>
            </w:pPr>
            <w:r>
              <w:rPr>
                <w:rFonts w:hint="eastAsia" w:ascii="仿宋" w:eastAsia="仿宋"/>
                <w:sz w:val="24"/>
                <w:szCs w:val="24"/>
              </w:rPr>
              <w:t>粉土，粉质低、中液限粘土</w:t>
            </w:r>
          </w:p>
        </w:tc>
        <w:tc>
          <w:tcPr>
            <w:tcW w:w="1166"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14:paraId="7C778137">
            <w:pPr>
              <w:jc w:val="center"/>
              <w:rPr>
                <w:rFonts w:ascii="仿宋" w:eastAsia="仿宋"/>
                <w:sz w:val="24"/>
                <w:szCs w:val="24"/>
              </w:rPr>
            </w:pPr>
            <w:r>
              <w:rPr>
                <w:rFonts w:hint="eastAsia" w:ascii="仿宋" w:eastAsia="仿宋"/>
                <w:sz w:val="24"/>
                <w:szCs w:val="24"/>
              </w:rPr>
              <w:t>45</w:t>
            </w:r>
            <w:r>
              <w:rPr>
                <w:rFonts w:hint="eastAsia" w:ascii="Times New Roman" w:hAnsi="Times New Roman" w:eastAsia="仿宋_GB2312"/>
                <w:sz w:val="32"/>
                <w:szCs w:val="32"/>
              </w:rPr>
              <w:t>~</w:t>
            </w:r>
            <w:r>
              <w:rPr>
                <w:rFonts w:hint="eastAsia" w:ascii="仿宋" w:eastAsia="仿宋"/>
                <w:sz w:val="24"/>
                <w:szCs w:val="24"/>
              </w:rPr>
              <w:t>70</w:t>
            </w:r>
          </w:p>
        </w:tc>
        <w:tc>
          <w:tcPr>
            <w:tcW w:w="1146"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14:paraId="2B0A0462">
            <w:pPr>
              <w:jc w:val="center"/>
              <w:rPr>
                <w:rFonts w:ascii="仿宋" w:eastAsia="仿宋"/>
                <w:sz w:val="24"/>
                <w:szCs w:val="24"/>
              </w:rPr>
            </w:pPr>
            <w:r>
              <w:rPr>
                <w:rFonts w:hint="eastAsia" w:ascii="仿宋" w:eastAsia="仿宋"/>
                <w:sz w:val="24"/>
                <w:szCs w:val="24"/>
              </w:rPr>
              <w:t>55</w:t>
            </w:r>
            <w:r>
              <w:rPr>
                <w:rFonts w:hint="eastAsia" w:ascii="Times New Roman" w:hAnsi="Times New Roman" w:eastAsia="仿宋_GB2312"/>
                <w:sz w:val="32"/>
                <w:szCs w:val="32"/>
              </w:rPr>
              <w:t>~</w:t>
            </w:r>
            <w:r>
              <w:rPr>
                <w:rFonts w:hint="eastAsia" w:ascii="仿宋" w:eastAsia="仿宋"/>
                <w:sz w:val="24"/>
                <w:szCs w:val="24"/>
              </w:rPr>
              <w:t>80</w:t>
            </w:r>
          </w:p>
        </w:tc>
        <w:tc>
          <w:tcPr>
            <w:tcW w:w="1178"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14:paraId="3A3EC90B">
            <w:pPr>
              <w:jc w:val="center"/>
              <w:rPr>
                <w:rFonts w:ascii="仿宋" w:eastAsia="仿宋"/>
                <w:sz w:val="24"/>
                <w:szCs w:val="24"/>
              </w:rPr>
            </w:pPr>
            <w:r>
              <w:rPr>
                <w:rFonts w:hint="eastAsia" w:ascii="仿宋" w:eastAsia="仿宋"/>
                <w:sz w:val="24"/>
                <w:szCs w:val="24"/>
              </w:rPr>
              <w:t>70</w:t>
            </w:r>
            <w:r>
              <w:rPr>
                <w:rFonts w:hint="eastAsia" w:ascii="Times New Roman" w:hAnsi="Times New Roman" w:eastAsia="仿宋_GB2312"/>
                <w:sz w:val="32"/>
                <w:szCs w:val="32"/>
              </w:rPr>
              <w:t>~</w:t>
            </w:r>
            <w:r>
              <w:rPr>
                <w:rFonts w:hint="eastAsia" w:ascii="仿宋" w:eastAsia="仿宋"/>
                <w:sz w:val="24"/>
                <w:szCs w:val="24"/>
              </w:rPr>
              <w:t>100</w:t>
            </w:r>
          </w:p>
        </w:tc>
        <w:tc>
          <w:tcPr>
            <w:tcW w:w="1153"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14:paraId="4015E628">
            <w:pPr>
              <w:jc w:val="center"/>
              <w:rPr>
                <w:rFonts w:ascii="仿宋" w:eastAsia="仿宋"/>
                <w:sz w:val="24"/>
                <w:szCs w:val="24"/>
              </w:rPr>
            </w:pPr>
            <w:r>
              <w:rPr>
                <w:rFonts w:hint="eastAsia" w:ascii="仿宋" w:eastAsia="仿宋"/>
                <w:sz w:val="24"/>
                <w:szCs w:val="24"/>
              </w:rPr>
              <w:t>80</w:t>
            </w:r>
            <w:r>
              <w:rPr>
                <w:rFonts w:hint="eastAsia" w:ascii="Times New Roman" w:hAnsi="Times New Roman" w:eastAsia="仿宋_GB2312"/>
                <w:sz w:val="32"/>
                <w:szCs w:val="32"/>
              </w:rPr>
              <w:t>~</w:t>
            </w:r>
            <w:r>
              <w:rPr>
                <w:rFonts w:hint="eastAsia" w:ascii="仿宋" w:eastAsia="仿宋"/>
                <w:sz w:val="24"/>
                <w:szCs w:val="24"/>
              </w:rPr>
              <w:t>130</w:t>
            </w:r>
          </w:p>
        </w:tc>
      </w:tr>
    </w:tbl>
    <w:p w14:paraId="3DC69B97">
      <w:pPr>
        <w:pStyle w:val="4"/>
      </w:pPr>
      <w:bookmarkStart w:id="101" w:name="_Toc233624897"/>
      <w:r>
        <w:t>室外铺装</w:t>
      </w:r>
      <w:bookmarkEnd w:id="101"/>
    </w:p>
    <w:p w14:paraId="7BA70036">
      <w:pPr>
        <w:spacing w:line="560" w:lineRule="exact"/>
        <w:ind w:right="84" w:rightChars="40" w:firstLine="707" w:firstLineChars="221"/>
        <w:rPr>
          <w:rFonts w:ascii="Times New Roman" w:hAnsi="Times New Roman" w:eastAsia="仿宋_GB2312"/>
          <w:sz w:val="32"/>
          <w:szCs w:val="32"/>
        </w:rPr>
      </w:pPr>
      <w:r>
        <w:rPr>
          <w:rFonts w:ascii="Times New Roman" w:hAnsi="Times New Roman" w:eastAsia="仿宋_GB2312"/>
          <w:sz w:val="32"/>
          <w:szCs w:val="32"/>
        </w:rPr>
        <w:t>在高寒地区，步行街、小区道路、人行道、公园道路、广场，</w:t>
      </w:r>
      <w:r>
        <w:rPr>
          <w:rFonts w:hint="eastAsia" w:ascii="Times New Roman" w:hAnsi="Times New Roman" w:eastAsia="仿宋_GB2312"/>
          <w:sz w:val="32"/>
          <w:szCs w:val="32"/>
        </w:rPr>
        <w:t>不宜</w:t>
      </w:r>
      <w:r>
        <w:rPr>
          <w:rFonts w:ascii="Times New Roman" w:hAnsi="Times New Roman" w:eastAsia="仿宋_GB2312"/>
          <w:sz w:val="32"/>
          <w:szCs w:val="32"/>
        </w:rPr>
        <w:t>采用透水路面、压模混凝土路面；</w:t>
      </w:r>
      <w:r>
        <w:rPr>
          <w:rFonts w:hint="eastAsia" w:ascii="Times New Roman" w:hAnsi="Times New Roman" w:eastAsia="仿宋_GB2312"/>
          <w:sz w:val="32"/>
          <w:szCs w:val="32"/>
        </w:rPr>
        <w:t>宜</w:t>
      </w:r>
      <w:r>
        <w:rPr>
          <w:rFonts w:ascii="Times New Roman" w:hAnsi="Times New Roman" w:eastAsia="仿宋_GB2312"/>
          <w:sz w:val="32"/>
          <w:szCs w:val="32"/>
        </w:rPr>
        <w:t>采用抗冻性能好、吸水率较低的天然石材铺砌式路面或性能相似的人造板材等，其结构组合设计应满足抗冻融要求；石材物理性能应满足《广场路面用天然石材》（JC/T 2114—</w:t>
      </w:r>
      <w:r>
        <w:rPr>
          <w:rFonts w:hint="eastAsia" w:ascii="Times New Roman" w:hAnsi="Times New Roman" w:eastAsia="仿宋_GB2312"/>
          <w:sz w:val="32"/>
          <w:szCs w:val="32"/>
        </w:rPr>
        <w:t>2012</w:t>
      </w:r>
      <w:r>
        <w:rPr>
          <w:rFonts w:ascii="Times New Roman" w:hAnsi="Times New Roman" w:eastAsia="仿宋_GB2312"/>
          <w:sz w:val="32"/>
          <w:szCs w:val="32"/>
        </w:rPr>
        <w:t>）第5.4条要求。采用混凝土砖时，应严格执行《混凝土路面砖》（GB 28635—</w:t>
      </w:r>
      <w:r>
        <w:rPr>
          <w:rFonts w:hint="eastAsia" w:ascii="Times New Roman" w:hAnsi="Times New Roman" w:eastAsia="仿宋_GB2312"/>
          <w:sz w:val="32"/>
          <w:szCs w:val="32"/>
        </w:rPr>
        <w:t>2012</w:t>
      </w:r>
      <w:r>
        <w:rPr>
          <w:rFonts w:ascii="Times New Roman" w:hAnsi="Times New Roman" w:eastAsia="仿宋_GB2312"/>
          <w:sz w:val="32"/>
          <w:szCs w:val="32"/>
        </w:rPr>
        <w:t>）6.4条要求，其吸水率应不大于6.5%；经D50次冻融</w:t>
      </w:r>
      <w:r>
        <w:rPr>
          <w:rFonts w:hint="eastAsia" w:ascii="Times New Roman" w:hAnsi="Times New Roman" w:eastAsia="仿宋_GB2312"/>
          <w:sz w:val="32"/>
          <w:szCs w:val="32"/>
        </w:rPr>
        <w:t>试验</w:t>
      </w:r>
      <w:r>
        <w:rPr>
          <w:rFonts w:ascii="Times New Roman" w:hAnsi="Times New Roman" w:eastAsia="仿宋_GB2312"/>
          <w:sz w:val="32"/>
          <w:szCs w:val="32"/>
        </w:rPr>
        <w:t>的强度损失率应不大于20.0%。</w:t>
      </w:r>
    </w:p>
    <w:p w14:paraId="7C127F53">
      <w:pPr>
        <w:pStyle w:val="4"/>
      </w:pPr>
      <w:bookmarkStart w:id="102" w:name="_Toc233624898"/>
      <w:r>
        <w:t>路面材料指标</w:t>
      </w:r>
      <w:bookmarkEnd w:id="102"/>
    </w:p>
    <w:p w14:paraId="76706583">
      <w:pPr>
        <w:spacing w:line="560" w:lineRule="exact"/>
        <w:ind w:firstLine="707" w:firstLineChars="221"/>
        <w:rPr>
          <w:rFonts w:ascii="Times New Roman" w:hAnsi="Times New Roman" w:eastAsia="仿宋_GB2312"/>
          <w:sz w:val="32"/>
          <w:szCs w:val="32"/>
        </w:rPr>
      </w:pPr>
      <w:r>
        <w:rPr>
          <w:rFonts w:ascii="Times New Roman" w:hAnsi="Times New Roman" w:eastAsia="仿宋_GB2312"/>
          <w:sz w:val="32"/>
          <w:szCs w:val="32"/>
        </w:rPr>
        <w:t>在高寒地区，路面沥青</w:t>
      </w:r>
      <w:r>
        <w:rPr>
          <w:rFonts w:hint="eastAsia" w:ascii="Times New Roman" w:hAnsi="Times New Roman" w:eastAsia="仿宋_GB2312"/>
          <w:sz w:val="32"/>
          <w:szCs w:val="32"/>
        </w:rPr>
        <w:t>宜</w:t>
      </w:r>
      <w:r>
        <w:rPr>
          <w:rFonts w:ascii="Times New Roman" w:hAnsi="Times New Roman" w:eastAsia="仿宋_GB2312"/>
          <w:sz w:val="32"/>
          <w:szCs w:val="32"/>
        </w:rPr>
        <w:t>采用针入度较大、黏度较低、温度敏感性小、应力松弛性能好的沥青材料，面层可使用聚合物改性沥青。采用吸水率小的集料，粗集料的吸水率应小于2.0%。</w:t>
      </w:r>
    </w:p>
    <w:p w14:paraId="4C1834B7">
      <w:pPr>
        <w:spacing w:line="560" w:lineRule="exact"/>
        <w:ind w:right="84" w:rightChars="40" w:firstLine="707" w:firstLineChars="221"/>
        <w:rPr>
          <w:rFonts w:ascii="Times New Roman" w:hAnsi="Times New Roman" w:eastAsia="仿宋_GB2312"/>
          <w:sz w:val="32"/>
          <w:szCs w:val="32"/>
        </w:rPr>
      </w:pPr>
      <w:r>
        <w:rPr>
          <w:rFonts w:ascii="Times New Roman" w:hAnsi="Times New Roman" w:eastAsia="仿宋_GB2312"/>
          <w:sz w:val="32"/>
          <w:szCs w:val="32"/>
        </w:rPr>
        <w:t>季节性冻土地区应验算沥青面层低温开裂指数。</w:t>
      </w:r>
    </w:p>
    <w:p w14:paraId="70197D94">
      <w:pPr>
        <w:pStyle w:val="4"/>
      </w:pPr>
      <w:bookmarkStart w:id="103" w:name="_Toc233624899"/>
      <w:r>
        <w:t>检查井</w:t>
      </w:r>
      <w:r>
        <w:rPr>
          <w:rFonts w:hint="eastAsia"/>
        </w:rPr>
        <w:t>周边</w:t>
      </w:r>
      <w:r>
        <w:t>路面加强</w:t>
      </w:r>
      <w:bookmarkEnd w:id="103"/>
    </w:p>
    <w:p w14:paraId="335B6A37">
      <w:pPr>
        <w:spacing w:line="560" w:lineRule="exact"/>
        <w:ind w:right="84" w:rightChars="40" w:firstLine="707" w:firstLineChars="221"/>
        <w:rPr>
          <w:rFonts w:ascii="Times New Roman" w:hAnsi="Times New Roman" w:eastAsia="仿宋_GB2312"/>
          <w:sz w:val="32"/>
          <w:szCs w:val="32"/>
        </w:rPr>
      </w:pPr>
      <w:r>
        <w:rPr>
          <w:rFonts w:ascii="Times New Roman" w:hAnsi="Times New Roman" w:eastAsia="仿宋_GB2312"/>
          <w:sz w:val="32"/>
          <w:szCs w:val="32"/>
        </w:rPr>
        <w:t>检查井周边路基回填应采用渗水性好、容易压实的砂、砾石材料。在检查井位于机动车路面时，</w:t>
      </w:r>
      <w:r>
        <w:rPr>
          <w:rFonts w:hint="eastAsia" w:ascii="Times New Roman" w:hAnsi="Times New Roman" w:eastAsia="仿宋_GB2312"/>
          <w:sz w:val="32"/>
          <w:szCs w:val="32"/>
        </w:rPr>
        <w:t>宜</w:t>
      </w:r>
      <w:r>
        <w:rPr>
          <w:rFonts w:ascii="Times New Roman" w:hAnsi="Times New Roman" w:eastAsia="仿宋_GB2312"/>
          <w:sz w:val="32"/>
          <w:szCs w:val="32"/>
        </w:rPr>
        <w:t>在井圈周围路面基层设置环状刚性过渡段带，采用C25或C30</w:t>
      </w:r>
      <w:r>
        <w:rPr>
          <w:rFonts w:hint="eastAsia" w:ascii="Times New Roman" w:hAnsi="Times New Roman" w:eastAsia="仿宋_GB2312"/>
          <w:sz w:val="32"/>
          <w:szCs w:val="32"/>
        </w:rPr>
        <w:t>配筋</w:t>
      </w:r>
      <w:r>
        <w:rPr>
          <w:rFonts w:ascii="Times New Roman" w:hAnsi="Times New Roman" w:eastAsia="仿宋_GB2312"/>
          <w:sz w:val="32"/>
          <w:szCs w:val="32"/>
        </w:rPr>
        <w:t>混凝土现浇</w:t>
      </w:r>
      <w:r>
        <w:rPr>
          <w:rFonts w:hint="eastAsia" w:ascii="Times New Roman" w:hAnsi="Times New Roman" w:eastAsia="仿宋_GB2312"/>
          <w:sz w:val="32"/>
          <w:szCs w:val="32"/>
        </w:rPr>
        <w:t>。</w:t>
      </w:r>
    </w:p>
    <w:p w14:paraId="50E670E6">
      <w:pPr>
        <w:pStyle w:val="4"/>
      </w:pPr>
      <w:bookmarkStart w:id="104" w:name="_Toc233624900"/>
      <w:r>
        <w:t>路面抗滑标准</w:t>
      </w:r>
      <w:bookmarkEnd w:id="104"/>
    </w:p>
    <w:p w14:paraId="0187BCA2">
      <w:pPr>
        <w:spacing w:line="560" w:lineRule="exact"/>
        <w:ind w:firstLine="707" w:firstLineChars="221"/>
        <w:rPr>
          <w:rFonts w:ascii="Times New Roman" w:hAnsi="Times New Roman" w:eastAsia="仿宋_GB2312"/>
          <w:sz w:val="32"/>
          <w:szCs w:val="32"/>
        </w:rPr>
      </w:pPr>
      <w:r>
        <w:rPr>
          <w:rFonts w:hint="eastAsia" w:ascii="Times New Roman" w:hAnsi="Times New Roman" w:eastAsia="仿宋_GB2312"/>
          <w:sz w:val="32"/>
          <w:szCs w:val="32"/>
        </w:rPr>
        <w:t>一般地区</w:t>
      </w:r>
      <w:r>
        <w:rPr>
          <w:rFonts w:ascii="Times New Roman" w:hAnsi="Times New Roman" w:eastAsia="仿宋_GB2312"/>
          <w:sz w:val="32"/>
          <w:szCs w:val="32"/>
        </w:rPr>
        <w:t>路面抗滑性能应符合《城镇道路路面设计规范》（CJJ 169—</w:t>
      </w:r>
      <w:r>
        <w:rPr>
          <w:rFonts w:hint="eastAsia" w:ascii="Times New Roman" w:hAnsi="Times New Roman" w:eastAsia="仿宋_GB2312"/>
          <w:sz w:val="32"/>
          <w:szCs w:val="32"/>
        </w:rPr>
        <w:t>2012）第</w:t>
      </w:r>
      <w:r>
        <w:rPr>
          <w:rFonts w:ascii="Times New Roman" w:hAnsi="Times New Roman" w:eastAsia="仿宋_GB2312"/>
          <w:sz w:val="32"/>
          <w:szCs w:val="32"/>
        </w:rPr>
        <w:t>3.2.8条沥青路面和水泥混凝土路面抗滑要求。</w:t>
      </w:r>
    </w:p>
    <w:p w14:paraId="69DE1F6B">
      <w:pPr>
        <w:spacing w:line="560" w:lineRule="exact"/>
        <w:ind w:right="84" w:rightChars="40" w:firstLine="707" w:firstLineChars="221"/>
        <w:rPr>
          <w:rFonts w:ascii="Times New Roman" w:hAnsi="Times New Roman" w:eastAsia="仿宋_GB2312"/>
          <w:sz w:val="32"/>
          <w:szCs w:val="32"/>
        </w:rPr>
      </w:pPr>
      <w:r>
        <w:rPr>
          <w:rFonts w:ascii="Times New Roman" w:hAnsi="Times New Roman" w:eastAsia="仿宋_GB2312"/>
          <w:sz w:val="32"/>
          <w:szCs w:val="32"/>
        </w:rPr>
        <w:t>室外人行路面防滑应符合《</w:t>
      </w:r>
      <w:bookmarkStart w:id="105" w:name="OLE_LINK2"/>
      <w:r>
        <w:rPr>
          <w:rFonts w:ascii="Times New Roman" w:hAnsi="Times New Roman" w:eastAsia="仿宋_GB2312"/>
          <w:sz w:val="32"/>
          <w:szCs w:val="32"/>
        </w:rPr>
        <w:t>建筑地面工程防滑技术规程</w:t>
      </w:r>
      <w:bookmarkEnd w:id="105"/>
      <w:r>
        <w:rPr>
          <w:rFonts w:ascii="Times New Roman" w:hAnsi="Times New Roman" w:eastAsia="仿宋_GB2312"/>
          <w:sz w:val="32"/>
          <w:szCs w:val="32"/>
        </w:rPr>
        <w:t>》（JGJ/T 331—</w:t>
      </w:r>
      <w:r>
        <w:rPr>
          <w:rFonts w:hint="eastAsia" w:ascii="Times New Roman" w:hAnsi="Times New Roman" w:eastAsia="仿宋_GB2312"/>
          <w:sz w:val="32"/>
          <w:szCs w:val="32"/>
        </w:rPr>
        <w:t>2014</w:t>
      </w:r>
      <w:r>
        <w:rPr>
          <w:rFonts w:ascii="Times New Roman" w:hAnsi="Times New Roman" w:eastAsia="仿宋_GB2312"/>
          <w:sz w:val="32"/>
          <w:szCs w:val="32"/>
        </w:rPr>
        <w:t>）</w:t>
      </w:r>
      <w:r>
        <w:rPr>
          <w:rFonts w:hint="eastAsia" w:ascii="Times New Roman" w:hAnsi="Times New Roman" w:eastAsia="仿宋_GB2312"/>
          <w:sz w:val="32"/>
          <w:szCs w:val="32"/>
        </w:rPr>
        <w:t>第</w:t>
      </w:r>
      <w:r>
        <w:rPr>
          <w:rFonts w:ascii="Times New Roman" w:hAnsi="Times New Roman" w:eastAsia="仿宋_GB2312"/>
          <w:sz w:val="32"/>
          <w:szCs w:val="32"/>
        </w:rPr>
        <w:t>3.0.3条要求。</w:t>
      </w:r>
    </w:p>
    <w:p w14:paraId="43C68715">
      <w:pPr>
        <w:pStyle w:val="12"/>
        <w:jc w:val="center"/>
        <w:rPr>
          <w:rFonts w:ascii="仿宋"/>
          <w:b w:val="0"/>
          <w:bCs/>
          <w:szCs w:val="32"/>
        </w:rPr>
      </w:pPr>
      <w:r>
        <w:rPr>
          <w:rFonts w:hint="eastAsia"/>
        </w:rPr>
        <w:t xml:space="preserve">表 </w:t>
      </w:r>
      <w:r>
        <w:rPr>
          <w:rFonts w:hint="eastAsia"/>
        </w:rPr>
        <w:fldChar w:fldCharType="begin"/>
      </w:r>
      <w:r>
        <w:instrText xml:space="preserve"> </w:instrText>
      </w:r>
      <w:r>
        <w:rPr>
          <w:rFonts w:hint="eastAsia"/>
        </w:rPr>
        <w:instrText xml:space="preserve">STYLEREF 1 \s</w:instrText>
      </w:r>
      <w:r>
        <w:instrText xml:space="preserve"> </w:instrText>
      </w:r>
      <w:r>
        <w:fldChar w:fldCharType="separate"/>
      </w:r>
      <w:r>
        <w:rPr>
          <w:rFonts w:hint="eastAsia"/>
        </w:rPr>
        <w:t>三</w:t>
      </w:r>
      <w:r>
        <w:fldChar w:fldCharType="end"/>
      </w:r>
      <w:r>
        <w:noBreakHyphen/>
      </w:r>
      <w:r>
        <w:rPr>
          <w:rFonts w:hint="eastAsia"/>
        </w:rPr>
        <w:fldChar w:fldCharType="begin"/>
      </w:r>
      <w:r>
        <w:instrText xml:space="preserve"> </w:instrText>
      </w:r>
      <w:r>
        <w:rPr>
          <w:rFonts w:hint="eastAsia"/>
        </w:rPr>
        <w:instrText xml:space="preserve">SEQ 表 \* ARABIC \s 1</w:instrText>
      </w:r>
      <w:r>
        <w:instrText xml:space="preserve"> </w:instrText>
      </w:r>
      <w:r>
        <w:fldChar w:fldCharType="separate"/>
      </w:r>
      <w:r>
        <w:t>6</w:t>
      </w:r>
      <w:r>
        <w:fldChar w:fldCharType="end"/>
      </w:r>
      <w:r>
        <w:rPr>
          <w:rFonts w:hint="eastAsia" w:ascii="仿宋"/>
          <w:szCs w:val="32"/>
        </w:rPr>
        <w:t>沥青路面抗滑性能指标</w:t>
      </w:r>
    </w:p>
    <w:tbl>
      <w:tblPr>
        <w:tblStyle w:val="29"/>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15" w:type="dxa"/>
          <w:left w:w="15" w:type="dxa"/>
          <w:bottom w:w="15" w:type="dxa"/>
          <w:right w:w="15" w:type="dxa"/>
        </w:tblCellMar>
      </w:tblPr>
      <w:tblGrid>
        <w:gridCol w:w="2744"/>
        <w:gridCol w:w="2952"/>
        <w:gridCol w:w="2620"/>
      </w:tblGrid>
      <w:tr w14:paraId="75CF91F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567" w:hRule="atLeast"/>
        </w:trPr>
        <w:tc>
          <w:tcPr>
            <w:tcW w:w="2744" w:type="dxa"/>
            <w:vMerge w:val="restart"/>
            <w:tcBorders>
              <w:top w:val="single" w:color="000000" w:sz="4" w:space="0"/>
              <w:left w:val="single" w:color="000000" w:sz="4" w:space="0"/>
              <w:bottom w:val="nil"/>
              <w:right w:val="single" w:color="000000" w:sz="4" w:space="0"/>
            </w:tcBorders>
            <w:tcMar>
              <w:top w:w="0" w:type="dxa"/>
              <w:left w:w="0" w:type="dxa"/>
              <w:bottom w:w="0" w:type="dxa"/>
              <w:right w:w="0" w:type="dxa"/>
            </w:tcMar>
            <w:vAlign w:val="center"/>
          </w:tcPr>
          <w:p w14:paraId="6B484F8E">
            <w:pPr>
              <w:spacing w:line="480" w:lineRule="exact"/>
              <w:jc w:val="center"/>
              <w:rPr>
                <w:rFonts w:ascii="仿宋" w:eastAsia="仿宋"/>
                <w:sz w:val="24"/>
                <w:szCs w:val="24"/>
              </w:rPr>
            </w:pPr>
            <w:r>
              <w:rPr>
                <w:rFonts w:hint="eastAsia" w:ascii="仿宋" w:eastAsia="仿宋"/>
                <w:sz w:val="24"/>
                <w:szCs w:val="24"/>
              </w:rPr>
              <w:t>年平均降雨量</w:t>
            </w:r>
          </w:p>
          <w:p w14:paraId="48A0D6DD">
            <w:pPr>
              <w:spacing w:line="480" w:lineRule="exact"/>
              <w:jc w:val="center"/>
              <w:rPr>
                <w:rFonts w:ascii="仿宋" w:eastAsia="仿宋"/>
                <w:sz w:val="24"/>
                <w:szCs w:val="24"/>
              </w:rPr>
            </w:pPr>
            <w:r>
              <w:rPr>
                <w:rFonts w:hint="eastAsia" w:ascii="仿宋" w:eastAsia="仿宋"/>
                <w:sz w:val="24"/>
                <w:szCs w:val="24"/>
              </w:rPr>
              <w:t>（mm）</w:t>
            </w:r>
          </w:p>
        </w:tc>
        <w:tc>
          <w:tcPr>
            <w:tcW w:w="5572" w:type="dxa"/>
            <w:gridSpan w:val="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14:paraId="27CEAA04">
            <w:pPr>
              <w:spacing w:line="480" w:lineRule="exact"/>
              <w:jc w:val="center"/>
              <w:rPr>
                <w:rFonts w:ascii="仿宋" w:eastAsia="仿宋"/>
                <w:sz w:val="24"/>
                <w:szCs w:val="24"/>
              </w:rPr>
            </w:pPr>
            <w:r>
              <w:rPr>
                <w:rFonts w:hint="eastAsia" w:ascii="仿宋" w:eastAsia="仿宋"/>
                <w:sz w:val="24"/>
                <w:szCs w:val="24"/>
              </w:rPr>
              <w:t>质 量 验 收 值</w:t>
            </w:r>
          </w:p>
        </w:tc>
      </w:tr>
      <w:tr w14:paraId="4FC1685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567" w:hRule="atLeast"/>
        </w:trPr>
        <w:tc>
          <w:tcPr>
            <w:tcW w:w="2744" w:type="dxa"/>
            <w:vMerge w:val="continue"/>
            <w:tcBorders>
              <w:top w:val="single" w:color="000000" w:sz="4" w:space="0"/>
              <w:left w:val="single" w:color="000000" w:sz="4" w:space="0"/>
              <w:bottom w:val="nil"/>
              <w:right w:val="single" w:color="000000" w:sz="4" w:space="0"/>
            </w:tcBorders>
            <w:vAlign w:val="center"/>
          </w:tcPr>
          <w:p w14:paraId="5BE10F1E"/>
        </w:tc>
        <w:tc>
          <w:tcPr>
            <w:tcW w:w="2952"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14:paraId="42C682D8">
            <w:pPr>
              <w:spacing w:line="480" w:lineRule="exact"/>
              <w:jc w:val="center"/>
              <w:rPr>
                <w:rFonts w:ascii="仿宋" w:eastAsia="仿宋"/>
                <w:sz w:val="24"/>
                <w:szCs w:val="24"/>
              </w:rPr>
            </w:pPr>
            <w:r>
              <w:rPr>
                <w:rFonts w:hint="eastAsia" w:ascii="仿宋" w:eastAsia="仿宋"/>
                <w:sz w:val="24"/>
                <w:szCs w:val="24"/>
              </w:rPr>
              <w:t>横向力系数SFC</w:t>
            </w:r>
            <w:r>
              <w:rPr>
                <w:rFonts w:hint="eastAsia" w:ascii="Cambria Math" w:hAnsi="Cambria Math" w:eastAsia="仿宋" w:cs="Cambria Math"/>
                <w:sz w:val="24"/>
                <w:szCs w:val="24"/>
                <w:vertAlign w:val="subscript"/>
              </w:rPr>
              <w:t>60</w:t>
            </w:r>
          </w:p>
        </w:tc>
        <w:tc>
          <w:tcPr>
            <w:tcW w:w="2620"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14:paraId="78C4D205">
            <w:pPr>
              <w:spacing w:line="480" w:lineRule="exact"/>
              <w:jc w:val="center"/>
              <w:rPr>
                <w:rFonts w:ascii="仿宋" w:eastAsia="仿宋"/>
                <w:sz w:val="24"/>
                <w:szCs w:val="24"/>
              </w:rPr>
            </w:pPr>
            <w:r>
              <w:rPr>
                <w:rFonts w:hint="eastAsia" w:ascii="仿宋" w:eastAsia="仿宋"/>
                <w:sz w:val="24"/>
                <w:szCs w:val="24"/>
              </w:rPr>
              <w:t>构造深度TD（mm）</w:t>
            </w:r>
          </w:p>
        </w:tc>
      </w:tr>
      <w:tr w14:paraId="30C8E8F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567" w:hRule="atLeast"/>
        </w:trPr>
        <w:tc>
          <w:tcPr>
            <w:tcW w:w="2744"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14:paraId="5D53C12E">
            <w:pPr>
              <w:spacing w:line="480" w:lineRule="exact"/>
              <w:jc w:val="center"/>
              <w:rPr>
                <w:rFonts w:ascii="仿宋" w:eastAsia="仿宋"/>
                <w:sz w:val="24"/>
                <w:szCs w:val="24"/>
              </w:rPr>
            </w:pPr>
            <w:r>
              <w:rPr>
                <w:rFonts w:hint="eastAsia" w:ascii="仿宋" w:eastAsia="仿宋"/>
                <w:sz w:val="24"/>
                <w:szCs w:val="24"/>
              </w:rPr>
              <w:t>&gt;1000</w:t>
            </w:r>
          </w:p>
        </w:tc>
        <w:tc>
          <w:tcPr>
            <w:tcW w:w="2952"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14:paraId="2FEC3FA4">
            <w:pPr>
              <w:spacing w:line="480" w:lineRule="exact"/>
              <w:jc w:val="center"/>
              <w:rPr>
                <w:rFonts w:ascii="仿宋" w:eastAsia="仿宋"/>
                <w:sz w:val="24"/>
                <w:szCs w:val="24"/>
              </w:rPr>
            </w:pPr>
            <w:r>
              <w:rPr>
                <w:rFonts w:hint="eastAsia" w:ascii="仿宋" w:eastAsia="仿宋"/>
                <w:sz w:val="24"/>
                <w:szCs w:val="24"/>
              </w:rPr>
              <w:t>≥54</w:t>
            </w:r>
          </w:p>
        </w:tc>
        <w:tc>
          <w:tcPr>
            <w:tcW w:w="2620"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14:paraId="6BD8F22A">
            <w:pPr>
              <w:spacing w:line="480" w:lineRule="exact"/>
              <w:jc w:val="center"/>
              <w:rPr>
                <w:rFonts w:ascii="仿宋" w:eastAsia="仿宋"/>
                <w:sz w:val="24"/>
                <w:szCs w:val="24"/>
              </w:rPr>
            </w:pPr>
            <w:r>
              <w:rPr>
                <w:rFonts w:hint="eastAsia" w:ascii="仿宋" w:eastAsia="仿宋"/>
                <w:sz w:val="24"/>
                <w:szCs w:val="24"/>
              </w:rPr>
              <w:t>≥0.55</w:t>
            </w:r>
          </w:p>
        </w:tc>
      </w:tr>
      <w:tr w14:paraId="3AB54E4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567" w:hRule="atLeast"/>
        </w:trPr>
        <w:tc>
          <w:tcPr>
            <w:tcW w:w="2744"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14:paraId="513B5686">
            <w:pPr>
              <w:spacing w:line="480" w:lineRule="exact"/>
              <w:jc w:val="center"/>
              <w:rPr>
                <w:rFonts w:ascii="仿宋" w:eastAsia="仿宋"/>
                <w:sz w:val="24"/>
                <w:szCs w:val="24"/>
              </w:rPr>
            </w:pPr>
            <w:r>
              <w:rPr>
                <w:rFonts w:hint="eastAsia" w:ascii="仿宋" w:eastAsia="仿宋"/>
                <w:sz w:val="24"/>
                <w:szCs w:val="24"/>
              </w:rPr>
              <w:t>500</w:t>
            </w:r>
            <w:r>
              <w:rPr>
                <w:rFonts w:hint="eastAsia" w:ascii="Times New Roman" w:hAnsi="Times New Roman" w:eastAsia="仿宋_GB2312"/>
                <w:sz w:val="32"/>
                <w:szCs w:val="32"/>
              </w:rPr>
              <w:t>~</w:t>
            </w:r>
            <w:r>
              <w:rPr>
                <w:rFonts w:hint="eastAsia" w:ascii="仿宋" w:eastAsia="仿宋"/>
                <w:sz w:val="24"/>
                <w:szCs w:val="24"/>
              </w:rPr>
              <w:t>1000</w:t>
            </w:r>
          </w:p>
        </w:tc>
        <w:tc>
          <w:tcPr>
            <w:tcW w:w="2952"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14:paraId="117EE252">
            <w:pPr>
              <w:spacing w:line="480" w:lineRule="exact"/>
              <w:jc w:val="center"/>
              <w:rPr>
                <w:rFonts w:ascii="仿宋" w:eastAsia="仿宋"/>
                <w:sz w:val="24"/>
                <w:szCs w:val="24"/>
              </w:rPr>
            </w:pPr>
            <w:r>
              <w:rPr>
                <w:rFonts w:hint="eastAsia" w:ascii="仿宋" w:eastAsia="仿宋"/>
                <w:sz w:val="24"/>
                <w:szCs w:val="24"/>
              </w:rPr>
              <w:t>≥50</w:t>
            </w:r>
          </w:p>
        </w:tc>
        <w:tc>
          <w:tcPr>
            <w:tcW w:w="2620"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14:paraId="05085C6E">
            <w:pPr>
              <w:spacing w:line="480" w:lineRule="exact"/>
              <w:jc w:val="center"/>
              <w:rPr>
                <w:rFonts w:ascii="仿宋" w:eastAsia="仿宋"/>
                <w:sz w:val="24"/>
                <w:szCs w:val="24"/>
              </w:rPr>
            </w:pPr>
            <w:r>
              <w:rPr>
                <w:rFonts w:hint="eastAsia" w:ascii="仿宋" w:eastAsia="仿宋"/>
                <w:sz w:val="24"/>
                <w:szCs w:val="24"/>
              </w:rPr>
              <w:t>≥0.50</w:t>
            </w:r>
          </w:p>
        </w:tc>
      </w:tr>
      <w:tr w14:paraId="784697F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567" w:hRule="atLeast"/>
        </w:trPr>
        <w:tc>
          <w:tcPr>
            <w:tcW w:w="2744"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14:paraId="762BF35C">
            <w:pPr>
              <w:spacing w:line="480" w:lineRule="exact"/>
              <w:jc w:val="center"/>
              <w:rPr>
                <w:rFonts w:ascii="仿宋" w:eastAsia="仿宋"/>
                <w:sz w:val="24"/>
                <w:szCs w:val="24"/>
              </w:rPr>
            </w:pPr>
            <w:r>
              <w:rPr>
                <w:rFonts w:hint="eastAsia" w:ascii="仿宋" w:eastAsia="仿宋"/>
                <w:sz w:val="24"/>
                <w:szCs w:val="24"/>
              </w:rPr>
              <w:t>250</w:t>
            </w:r>
            <w:r>
              <w:rPr>
                <w:rFonts w:hint="eastAsia" w:ascii="Times New Roman" w:hAnsi="Times New Roman" w:eastAsia="仿宋_GB2312"/>
                <w:sz w:val="32"/>
                <w:szCs w:val="32"/>
              </w:rPr>
              <w:t>~</w:t>
            </w:r>
            <w:r>
              <w:rPr>
                <w:rFonts w:hint="eastAsia" w:ascii="仿宋" w:eastAsia="仿宋"/>
                <w:sz w:val="24"/>
                <w:szCs w:val="24"/>
              </w:rPr>
              <w:t>500</w:t>
            </w:r>
          </w:p>
        </w:tc>
        <w:tc>
          <w:tcPr>
            <w:tcW w:w="2952"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14:paraId="33453D54">
            <w:pPr>
              <w:spacing w:line="480" w:lineRule="exact"/>
              <w:jc w:val="center"/>
              <w:rPr>
                <w:rFonts w:ascii="仿宋" w:eastAsia="仿宋"/>
                <w:sz w:val="24"/>
                <w:szCs w:val="24"/>
              </w:rPr>
            </w:pPr>
            <w:r>
              <w:rPr>
                <w:rFonts w:hint="eastAsia" w:ascii="仿宋" w:eastAsia="仿宋"/>
                <w:sz w:val="24"/>
                <w:szCs w:val="24"/>
              </w:rPr>
              <w:t>≥45</w:t>
            </w:r>
          </w:p>
        </w:tc>
        <w:tc>
          <w:tcPr>
            <w:tcW w:w="2620"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14:paraId="2FC2AF58">
            <w:pPr>
              <w:spacing w:line="480" w:lineRule="exact"/>
              <w:jc w:val="center"/>
              <w:rPr>
                <w:rFonts w:ascii="仿宋" w:eastAsia="仿宋"/>
                <w:sz w:val="24"/>
                <w:szCs w:val="24"/>
              </w:rPr>
            </w:pPr>
            <w:r>
              <w:rPr>
                <w:rFonts w:hint="eastAsia" w:ascii="仿宋" w:eastAsia="仿宋"/>
                <w:sz w:val="24"/>
                <w:szCs w:val="24"/>
              </w:rPr>
              <w:t>≥0.45</w:t>
            </w:r>
          </w:p>
        </w:tc>
      </w:tr>
    </w:tbl>
    <w:p w14:paraId="5295DCF9">
      <w:pPr>
        <w:pStyle w:val="12"/>
        <w:jc w:val="center"/>
        <w:rPr>
          <w:rFonts w:ascii="仿宋"/>
          <w:b w:val="0"/>
          <w:bCs/>
          <w:szCs w:val="32"/>
        </w:rPr>
      </w:pPr>
      <w:r>
        <w:rPr>
          <w:rFonts w:hint="eastAsia"/>
        </w:rPr>
        <w:t xml:space="preserve">表 </w:t>
      </w:r>
      <w:r>
        <w:rPr>
          <w:rFonts w:hint="eastAsia"/>
        </w:rPr>
        <w:fldChar w:fldCharType="begin"/>
      </w:r>
      <w:r>
        <w:instrText xml:space="preserve"> </w:instrText>
      </w:r>
      <w:r>
        <w:rPr>
          <w:rFonts w:hint="eastAsia"/>
        </w:rPr>
        <w:instrText xml:space="preserve">STYLEREF 1 \s</w:instrText>
      </w:r>
      <w:r>
        <w:instrText xml:space="preserve"> </w:instrText>
      </w:r>
      <w:r>
        <w:fldChar w:fldCharType="separate"/>
      </w:r>
      <w:r>
        <w:rPr>
          <w:rFonts w:hint="eastAsia"/>
        </w:rPr>
        <w:t>三</w:t>
      </w:r>
      <w:r>
        <w:fldChar w:fldCharType="end"/>
      </w:r>
      <w:r>
        <w:noBreakHyphen/>
      </w:r>
      <w:r>
        <w:rPr>
          <w:rFonts w:hint="eastAsia"/>
        </w:rPr>
        <w:fldChar w:fldCharType="begin"/>
      </w:r>
      <w:r>
        <w:instrText xml:space="preserve"> </w:instrText>
      </w:r>
      <w:r>
        <w:rPr>
          <w:rFonts w:hint="eastAsia"/>
        </w:rPr>
        <w:instrText xml:space="preserve">SEQ 表 \* ARABIC \s 1</w:instrText>
      </w:r>
      <w:r>
        <w:instrText xml:space="preserve"> </w:instrText>
      </w:r>
      <w:r>
        <w:fldChar w:fldCharType="separate"/>
      </w:r>
      <w:r>
        <w:t>7</w:t>
      </w:r>
      <w:r>
        <w:fldChar w:fldCharType="end"/>
      </w:r>
      <w:r>
        <w:rPr>
          <w:rFonts w:hint="eastAsia" w:ascii="仿宋"/>
          <w:szCs w:val="32"/>
        </w:rPr>
        <w:t>水泥混凝土面层的表面构造深度要求</w:t>
      </w:r>
    </w:p>
    <w:tbl>
      <w:tblPr>
        <w:tblStyle w:val="29"/>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15" w:type="dxa"/>
          <w:left w:w="15" w:type="dxa"/>
          <w:bottom w:w="15" w:type="dxa"/>
          <w:right w:w="15" w:type="dxa"/>
        </w:tblCellMar>
      </w:tblPr>
      <w:tblGrid>
        <w:gridCol w:w="2699"/>
        <w:gridCol w:w="2975"/>
        <w:gridCol w:w="2642"/>
      </w:tblGrid>
      <w:tr w14:paraId="1AECACE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567" w:hRule="atLeast"/>
        </w:trPr>
        <w:tc>
          <w:tcPr>
            <w:tcW w:w="2699"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14:paraId="0CE0A504">
            <w:pPr>
              <w:spacing w:line="480" w:lineRule="exact"/>
              <w:jc w:val="center"/>
              <w:rPr>
                <w:rFonts w:ascii="仿宋" w:eastAsia="仿宋"/>
                <w:sz w:val="24"/>
                <w:szCs w:val="24"/>
              </w:rPr>
            </w:pPr>
            <w:r>
              <w:rPr>
                <w:rFonts w:hint="eastAsia" w:ascii="仿宋" w:eastAsia="仿宋"/>
                <w:sz w:val="24"/>
                <w:szCs w:val="24"/>
              </w:rPr>
              <w:t>道路等级</w:t>
            </w:r>
          </w:p>
        </w:tc>
        <w:tc>
          <w:tcPr>
            <w:tcW w:w="2975"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14:paraId="6D642963">
            <w:pPr>
              <w:spacing w:line="480" w:lineRule="exact"/>
              <w:jc w:val="center"/>
              <w:rPr>
                <w:rFonts w:ascii="仿宋" w:eastAsia="仿宋"/>
                <w:sz w:val="24"/>
                <w:szCs w:val="24"/>
              </w:rPr>
            </w:pPr>
            <w:r>
              <w:rPr>
                <w:rFonts w:hint="eastAsia" w:ascii="仿宋" w:eastAsia="仿宋"/>
                <w:sz w:val="24"/>
                <w:szCs w:val="24"/>
              </w:rPr>
              <w:t>快速路、主干路</w:t>
            </w:r>
          </w:p>
        </w:tc>
        <w:tc>
          <w:tcPr>
            <w:tcW w:w="2641"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14:paraId="71A12086">
            <w:pPr>
              <w:spacing w:line="480" w:lineRule="exact"/>
              <w:jc w:val="center"/>
              <w:rPr>
                <w:rFonts w:ascii="仿宋" w:eastAsia="仿宋"/>
                <w:sz w:val="24"/>
                <w:szCs w:val="24"/>
              </w:rPr>
            </w:pPr>
            <w:r>
              <w:rPr>
                <w:rFonts w:hint="eastAsia" w:ascii="仿宋" w:eastAsia="仿宋"/>
                <w:sz w:val="24"/>
                <w:szCs w:val="24"/>
              </w:rPr>
              <w:t>次干路、支路</w:t>
            </w:r>
          </w:p>
        </w:tc>
      </w:tr>
      <w:tr w14:paraId="2478ED5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567" w:hRule="atLeast"/>
        </w:trPr>
        <w:tc>
          <w:tcPr>
            <w:tcW w:w="2699"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14:paraId="52D64FC2">
            <w:pPr>
              <w:spacing w:line="480" w:lineRule="exact"/>
              <w:jc w:val="center"/>
              <w:rPr>
                <w:rFonts w:ascii="仿宋" w:eastAsia="仿宋"/>
                <w:sz w:val="24"/>
                <w:szCs w:val="24"/>
              </w:rPr>
            </w:pPr>
            <w:r>
              <w:rPr>
                <w:rFonts w:hint="eastAsia" w:ascii="仿宋" w:eastAsia="仿宋"/>
                <w:sz w:val="24"/>
                <w:szCs w:val="24"/>
              </w:rPr>
              <w:t>一般路段</w:t>
            </w:r>
          </w:p>
        </w:tc>
        <w:tc>
          <w:tcPr>
            <w:tcW w:w="2975"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14:paraId="2D4D7AE7">
            <w:pPr>
              <w:spacing w:line="480" w:lineRule="exact"/>
              <w:jc w:val="center"/>
              <w:rPr>
                <w:rFonts w:ascii="仿宋" w:eastAsia="仿宋"/>
                <w:sz w:val="24"/>
                <w:szCs w:val="24"/>
              </w:rPr>
            </w:pPr>
            <w:r>
              <w:rPr>
                <w:rFonts w:hint="eastAsia" w:ascii="仿宋" w:eastAsia="仿宋"/>
                <w:sz w:val="24"/>
                <w:szCs w:val="24"/>
              </w:rPr>
              <w:t>0.70</w:t>
            </w:r>
            <w:r>
              <w:rPr>
                <w:rFonts w:hint="eastAsia" w:ascii="Times New Roman" w:hAnsi="Times New Roman" w:eastAsia="仿宋_GB2312"/>
                <w:sz w:val="32"/>
                <w:szCs w:val="32"/>
              </w:rPr>
              <w:t>~</w:t>
            </w:r>
            <w:r>
              <w:rPr>
                <w:rFonts w:hint="eastAsia" w:ascii="仿宋" w:eastAsia="仿宋"/>
                <w:sz w:val="24"/>
                <w:szCs w:val="24"/>
              </w:rPr>
              <w:t>1.10</w:t>
            </w:r>
          </w:p>
        </w:tc>
        <w:tc>
          <w:tcPr>
            <w:tcW w:w="2641"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14:paraId="7E190281">
            <w:pPr>
              <w:spacing w:line="480" w:lineRule="exact"/>
              <w:jc w:val="center"/>
              <w:rPr>
                <w:rFonts w:ascii="仿宋" w:eastAsia="仿宋"/>
                <w:sz w:val="24"/>
                <w:szCs w:val="24"/>
              </w:rPr>
            </w:pPr>
            <w:r>
              <w:rPr>
                <w:rFonts w:hint="eastAsia" w:ascii="仿宋" w:eastAsia="仿宋"/>
                <w:sz w:val="24"/>
                <w:szCs w:val="24"/>
              </w:rPr>
              <w:t>0.50</w:t>
            </w:r>
            <w:r>
              <w:rPr>
                <w:rFonts w:hint="eastAsia" w:ascii="Times New Roman" w:hAnsi="Times New Roman" w:eastAsia="仿宋_GB2312"/>
                <w:sz w:val="32"/>
                <w:szCs w:val="32"/>
              </w:rPr>
              <w:t>~</w:t>
            </w:r>
            <w:r>
              <w:rPr>
                <w:rFonts w:hint="eastAsia" w:ascii="仿宋" w:eastAsia="仿宋"/>
                <w:sz w:val="24"/>
                <w:szCs w:val="24"/>
              </w:rPr>
              <w:t>0.90</w:t>
            </w:r>
          </w:p>
        </w:tc>
      </w:tr>
      <w:tr w14:paraId="03C0985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567" w:hRule="atLeast"/>
        </w:trPr>
        <w:tc>
          <w:tcPr>
            <w:tcW w:w="2699"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14:paraId="7B31AF55">
            <w:pPr>
              <w:spacing w:line="480" w:lineRule="exact"/>
              <w:jc w:val="center"/>
              <w:rPr>
                <w:rFonts w:ascii="仿宋" w:eastAsia="仿宋"/>
                <w:sz w:val="24"/>
                <w:szCs w:val="24"/>
              </w:rPr>
            </w:pPr>
            <w:r>
              <w:rPr>
                <w:rFonts w:hint="eastAsia" w:ascii="仿宋" w:eastAsia="仿宋"/>
                <w:sz w:val="24"/>
                <w:szCs w:val="24"/>
              </w:rPr>
              <w:t>特殊路段</w:t>
            </w:r>
          </w:p>
        </w:tc>
        <w:tc>
          <w:tcPr>
            <w:tcW w:w="2975"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14:paraId="587FCC3C">
            <w:pPr>
              <w:spacing w:line="480" w:lineRule="exact"/>
              <w:jc w:val="center"/>
              <w:rPr>
                <w:rFonts w:ascii="仿宋" w:eastAsia="仿宋"/>
                <w:sz w:val="24"/>
                <w:szCs w:val="24"/>
              </w:rPr>
            </w:pPr>
            <w:r>
              <w:rPr>
                <w:rFonts w:hint="eastAsia" w:ascii="仿宋" w:eastAsia="仿宋"/>
                <w:sz w:val="24"/>
                <w:szCs w:val="24"/>
              </w:rPr>
              <w:t>0.80</w:t>
            </w:r>
            <w:r>
              <w:rPr>
                <w:rFonts w:hint="eastAsia" w:ascii="Times New Roman" w:hAnsi="Times New Roman" w:eastAsia="仿宋_GB2312"/>
                <w:sz w:val="32"/>
                <w:szCs w:val="32"/>
              </w:rPr>
              <w:t>~</w:t>
            </w:r>
            <w:r>
              <w:rPr>
                <w:rFonts w:hint="eastAsia" w:ascii="仿宋" w:eastAsia="仿宋"/>
                <w:sz w:val="24"/>
                <w:szCs w:val="24"/>
              </w:rPr>
              <w:t>1.20</w:t>
            </w:r>
          </w:p>
        </w:tc>
        <w:tc>
          <w:tcPr>
            <w:tcW w:w="2641"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14:paraId="3B5DB6BE">
            <w:pPr>
              <w:spacing w:line="480" w:lineRule="exact"/>
              <w:jc w:val="center"/>
              <w:rPr>
                <w:rFonts w:ascii="仿宋" w:eastAsia="仿宋"/>
                <w:sz w:val="24"/>
                <w:szCs w:val="24"/>
              </w:rPr>
            </w:pPr>
            <w:r>
              <w:rPr>
                <w:rFonts w:hint="eastAsia" w:ascii="仿宋" w:eastAsia="仿宋"/>
                <w:sz w:val="24"/>
                <w:szCs w:val="24"/>
              </w:rPr>
              <w:t>0.60</w:t>
            </w:r>
            <w:r>
              <w:rPr>
                <w:rFonts w:hint="eastAsia" w:ascii="Times New Roman" w:hAnsi="Times New Roman" w:eastAsia="仿宋_GB2312"/>
                <w:sz w:val="32"/>
                <w:szCs w:val="32"/>
              </w:rPr>
              <w:t>~</w:t>
            </w:r>
            <w:r>
              <w:rPr>
                <w:rFonts w:hint="eastAsia" w:ascii="仿宋" w:eastAsia="仿宋"/>
                <w:sz w:val="24"/>
                <w:szCs w:val="24"/>
              </w:rPr>
              <w:t>1.00</w:t>
            </w:r>
          </w:p>
        </w:tc>
      </w:tr>
    </w:tbl>
    <w:p w14:paraId="7A8C9043">
      <w:pPr>
        <w:pStyle w:val="12"/>
        <w:jc w:val="center"/>
      </w:pPr>
    </w:p>
    <w:p w14:paraId="5E7D8A3D">
      <w:pPr>
        <w:pStyle w:val="12"/>
        <w:jc w:val="center"/>
        <w:rPr>
          <w:rFonts w:ascii="仿宋"/>
          <w:b w:val="0"/>
          <w:bCs/>
          <w:szCs w:val="32"/>
        </w:rPr>
      </w:pPr>
      <w:r>
        <w:rPr>
          <w:rFonts w:hint="eastAsia"/>
        </w:rPr>
        <w:t xml:space="preserve">表 </w:t>
      </w:r>
      <w:r>
        <w:rPr>
          <w:rFonts w:hint="eastAsia"/>
        </w:rPr>
        <w:fldChar w:fldCharType="begin"/>
      </w:r>
      <w:r>
        <w:instrText xml:space="preserve"> </w:instrText>
      </w:r>
      <w:r>
        <w:rPr>
          <w:rFonts w:hint="eastAsia"/>
        </w:rPr>
        <w:instrText xml:space="preserve">STYLEREF 1 \s</w:instrText>
      </w:r>
      <w:r>
        <w:instrText xml:space="preserve"> </w:instrText>
      </w:r>
      <w:r>
        <w:fldChar w:fldCharType="separate"/>
      </w:r>
      <w:r>
        <w:rPr>
          <w:rFonts w:hint="eastAsia"/>
        </w:rPr>
        <w:t>三</w:t>
      </w:r>
      <w:r>
        <w:fldChar w:fldCharType="end"/>
      </w:r>
      <w:r>
        <w:noBreakHyphen/>
      </w:r>
      <w:r>
        <w:rPr>
          <w:rFonts w:hint="eastAsia"/>
        </w:rPr>
        <w:fldChar w:fldCharType="begin"/>
      </w:r>
      <w:r>
        <w:instrText xml:space="preserve"> </w:instrText>
      </w:r>
      <w:r>
        <w:rPr>
          <w:rFonts w:hint="eastAsia"/>
        </w:rPr>
        <w:instrText xml:space="preserve">SEQ 表 \* ARABIC \s 1</w:instrText>
      </w:r>
      <w:r>
        <w:instrText xml:space="preserve"> </w:instrText>
      </w:r>
      <w:r>
        <w:fldChar w:fldCharType="separate"/>
      </w:r>
      <w:r>
        <w:t>8</w:t>
      </w:r>
      <w:r>
        <w:fldChar w:fldCharType="end"/>
      </w:r>
      <w:r>
        <w:rPr>
          <w:rFonts w:hint="eastAsia" w:ascii="仿宋"/>
          <w:szCs w:val="32"/>
        </w:rPr>
        <w:t>室外地面防滑值</w:t>
      </w:r>
    </w:p>
    <w:tbl>
      <w:tblPr>
        <w:tblStyle w:val="29"/>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15" w:type="dxa"/>
          <w:left w:w="15" w:type="dxa"/>
          <w:bottom w:w="15" w:type="dxa"/>
          <w:right w:w="15" w:type="dxa"/>
        </w:tblCellMar>
      </w:tblPr>
      <w:tblGrid>
        <w:gridCol w:w="2704"/>
        <w:gridCol w:w="2718"/>
        <w:gridCol w:w="2894"/>
      </w:tblGrid>
      <w:tr w14:paraId="52B6D31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567" w:hRule="atLeast"/>
        </w:trPr>
        <w:tc>
          <w:tcPr>
            <w:tcW w:w="2704"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14:paraId="68D94EB4">
            <w:pPr>
              <w:jc w:val="center"/>
              <w:rPr>
                <w:rFonts w:ascii="仿宋" w:eastAsia="仿宋"/>
                <w:sz w:val="24"/>
                <w:szCs w:val="24"/>
              </w:rPr>
            </w:pPr>
            <w:r>
              <w:rPr>
                <w:rFonts w:hint="eastAsia" w:ascii="仿宋" w:eastAsia="仿宋"/>
                <w:sz w:val="24"/>
                <w:szCs w:val="24"/>
              </w:rPr>
              <w:t>防滑等级</w:t>
            </w:r>
          </w:p>
        </w:tc>
        <w:tc>
          <w:tcPr>
            <w:tcW w:w="2718"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14:paraId="32A874BE">
            <w:pPr>
              <w:jc w:val="center"/>
              <w:rPr>
                <w:rFonts w:ascii="仿宋" w:eastAsia="仿宋"/>
                <w:sz w:val="24"/>
                <w:szCs w:val="24"/>
              </w:rPr>
            </w:pPr>
            <w:r>
              <w:rPr>
                <w:rFonts w:hint="eastAsia" w:ascii="仿宋" w:eastAsia="仿宋"/>
                <w:sz w:val="24"/>
                <w:szCs w:val="24"/>
              </w:rPr>
              <w:t>防滑安全程度</w:t>
            </w:r>
          </w:p>
        </w:tc>
        <w:tc>
          <w:tcPr>
            <w:tcW w:w="2894"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14:paraId="37F6B2C8">
            <w:pPr>
              <w:jc w:val="center"/>
              <w:rPr>
                <w:rFonts w:ascii="仿宋" w:eastAsia="仿宋"/>
                <w:sz w:val="24"/>
                <w:szCs w:val="24"/>
              </w:rPr>
            </w:pPr>
            <w:r>
              <w:rPr>
                <w:rFonts w:hint="eastAsia" w:ascii="仿宋" w:eastAsia="仿宋"/>
                <w:sz w:val="24"/>
                <w:szCs w:val="24"/>
              </w:rPr>
              <w:t>防滑值BPN</w:t>
            </w:r>
          </w:p>
        </w:tc>
      </w:tr>
      <w:tr w14:paraId="5BDD6B4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567" w:hRule="atLeast"/>
        </w:trPr>
        <w:tc>
          <w:tcPr>
            <w:tcW w:w="2704"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14:paraId="71655609">
            <w:pPr>
              <w:jc w:val="center"/>
              <w:rPr>
                <w:rFonts w:ascii="仿宋" w:eastAsia="仿宋"/>
                <w:sz w:val="24"/>
                <w:szCs w:val="24"/>
              </w:rPr>
            </w:pPr>
            <w:r>
              <w:rPr>
                <w:rFonts w:hint="eastAsia" w:ascii="仿宋" w:eastAsia="仿宋"/>
                <w:sz w:val="24"/>
                <w:szCs w:val="24"/>
              </w:rPr>
              <w:t>A</w:t>
            </w:r>
            <w:r>
              <w:rPr>
                <w:rFonts w:hint="eastAsia" w:ascii="仿宋" w:eastAsia="仿宋"/>
                <w:sz w:val="24"/>
                <w:szCs w:val="24"/>
                <w:vertAlign w:val="subscript"/>
              </w:rPr>
              <w:t>W</w:t>
            </w:r>
          </w:p>
        </w:tc>
        <w:tc>
          <w:tcPr>
            <w:tcW w:w="2718"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14:paraId="06521360">
            <w:pPr>
              <w:jc w:val="center"/>
              <w:rPr>
                <w:rFonts w:ascii="仿宋" w:eastAsia="仿宋"/>
                <w:sz w:val="24"/>
                <w:szCs w:val="24"/>
              </w:rPr>
            </w:pPr>
            <w:r>
              <w:rPr>
                <w:rFonts w:hint="eastAsia" w:ascii="仿宋" w:eastAsia="仿宋"/>
                <w:sz w:val="24"/>
                <w:szCs w:val="24"/>
              </w:rPr>
              <w:t>高</w:t>
            </w:r>
          </w:p>
        </w:tc>
        <w:tc>
          <w:tcPr>
            <w:tcW w:w="2894"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14:paraId="7B0D2675">
            <w:pPr>
              <w:jc w:val="center"/>
              <w:rPr>
                <w:rFonts w:ascii="仿宋" w:eastAsia="仿宋"/>
                <w:sz w:val="24"/>
                <w:szCs w:val="24"/>
              </w:rPr>
            </w:pPr>
            <w:r>
              <w:rPr>
                <w:rFonts w:hint="eastAsia" w:ascii="仿宋" w:eastAsia="仿宋"/>
                <w:sz w:val="24"/>
                <w:szCs w:val="24"/>
              </w:rPr>
              <w:t>BPN≥80</w:t>
            </w:r>
          </w:p>
        </w:tc>
      </w:tr>
      <w:tr w14:paraId="456E5ED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567" w:hRule="atLeast"/>
        </w:trPr>
        <w:tc>
          <w:tcPr>
            <w:tcW w:w="2704"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14:paraId="0145CF58">
            <w:pPr>
              <w:jc w:val="center"/>
              <w:rPr>
                <w:rFonts w:ascii="仿宋" w:eastAsia="仿宋"/>
                <w:sz w:val="24"/>
                <w:szCs w:val="24"/>
              </w:rPr>
            </w:pPr>
            <w:r>
              <w:rPr>
                <w:rFonts w:hint="eastAsia" w:ascii="仿宋" w:eastAsia="仿宋"/>
                <w:sz w:val="24"/>
                <w:szCs w:val="24"/>
              </w:rPr>
              <w:t>B</w:t>
            </w:r>
            <w:r>
              <w:rPr>
                <w:rFonts w:hint="eastAsia" w:ascii="仿宋" w:eastAsia="仿宋"/>
                <w:sz w:val="24"/>
                <w:szCs w:val="24"/>
                <w:vertAlign w:val="subscript"/>
              </w:rPr>
              <w:t>W</w:t>
            </w:r>
          </w:p>
        </w:tc>
        <w:tc>
          <w:tcPr>
            <w:tcW w:w="2718"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14:paraId="270B208E">
            <w:pPr>
              <w:jc w:val="center"/>
              <w:rPr>
                <w:rFonts w:ascii="仿宋" w:eastAsia="仿宋"/>
                <w:sz w:val="24"/>
                <w:szCs w:val="24"/>
              </w:rPr>
            </w:pPr>
            <w:r>
              <w:rPr>
                <w:rFonts w:hint="eastAsia" w:ascii="仿宋" w:eastAsia="仿宋"/>
                <w:sz w:val="24"/>
                <w:szCs w:val="24"/>
              </w:rPr>
              <w:t>中高</w:t>
            </w:r>
          </w:p>
        </w:tc>
        <w:tc>
          <w:tcPr>
            <w:tcW w:w="2894"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14:paraId="58DA7A9A">
            <w:pPr>
              <w:jc w:val="center"/>
              <w:rPr>
                <w:rFonts w:ascii="仿宋" w:eastAsia="仿宋"/>
                <w:sz w:val="24"/>
                <w:szCs w:val="24"/>
              </w:rPr>
            </w:pPr>
            <w:r>
              <w:rPr>
                <w:rFonts w:hint="eastAsia" w:ascii="仿宋" w:eastAsia="仿宋"/>
                <w:sz w:val="24"/>
                <w:szCs w:val="24"/>
              </w:rPr>
              <w:t>60≤BPN＜80</w:t>
            </w:r>
          </w:p>
        </w:tc>
      </w:tr>
      <w:tr w14:paraId="62AC912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567" w:hRule="atLeast"/>
        </w:trPr>
        <w:tc>
          <w:tcPr>
            <w:tcW w:w="2704"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14:paraId="18C0373B">
            <w:pPr>
              <w:jc w:val="center"/>
              <w:rPr>
                <w:rFonts w:ascii="仿宋" w:eastAsia="仿宋"/>
                <w:sz w:val="24"/>
                <w:szCs w:val="24"/>
              </w:rPr>
            </w:pPr>
            <w:r>
              <w:rPr>
                <w:rFonts w:hint="eastAsia" w:ascii="仿宋" w:eastAsia="仿宋"/>
                <w:sz w:val="24"/>
                <w:szCs w:val="24"/>
              </w:rPr>
              <w:t>C</w:t>
            </w:r>
            <w:r>
              <w:rPr>
                <w:rFonts w:hint="eastAsia" w:ascii="仿宋" w:eastAsia="仿宋"/>
                <w:sz w:val="24"/>
                <w:szCs w:val="24"/>
                <w:vertAlign w:val="subscript"/>
              </w:rPr>
              <w:t>W</w:t>
            </w:r>
          </w:p>
        </w:tc>
        <w:tc>
          <w:tcPr>
            <w:tcW w:w="2718"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14:paraId="009F5724">
            <w:pPr>
              <w:jc w:val="center"/>
              <w:rPr>
                <w:rFonts w:ascii="仿宋" w:eastAsia="仿宋"/>
                <w:sz w:val="24"/>
                <w:szCs w:val="24"/>
              </w:rPr>
            </w:pPr>
            <w:r>
              <w:rPr>
                <w:rFonts w:hint="eastAsia" w:ascii="仿宋" w:eastAsia="仿宋"/>
                <w:sz w:val="24"/>
                <w:szCs w:val="24"/>
              </w:rPr>
              <w:t>中</w:t>
            </w:r>
          </w:p>
        </w:tc>
        <w:tc>
          <w:tcPr>
            <w:tcW w:w="2894"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14:paraId="694D8672">
            <w:pPr>
              <w:jc w:val="center"/>
              <w:rPr>
                <w:rFonts w:ascii="仿宋" w:eastAsia="仿宋"/>
                <w:sz w:val="24"/>
                <w:szCs w:val="24"/>
              </w:rPr>
            </w:pPr>
            <w:r>
              <w:rPr>
                <w:rFonts w:hint="eastAsia" w:ascii="仿宋" w:eastAsia="仿宋"/>
                <w:sz w:val="24"/>
                <w:szCs w:val="24"/>
              </w:rPr>
              <w:t>45≤BPN＜60</w:t>
            </w:r>
          </w:p>
        </w:tc>
      </w:tr>
      <w:tr w14:paraId="7F33883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567" w:hRule="atLeast"/>
        </w:trPr>
        <w:tc>
          <w:tcPr>
            <w:tcW w:w="2704"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14:paraId="56DB8850">
            <w:pPr>
              <w:jc w:val="center"/>
              <w:rPr>
                <w:rFonts w:ascii="仿宋" w:eastAsia="仿宋"/>
                <w:sz w:val="24"/>
                <w:szCs w:val="24"/>
              </w:rPr>
            </w:pPr>
            <w:r>
              <w:rPr>
                <w:rFonts w:hint="eastAsia" w:ascii="仿宋" w:eastAsia="仿宋"/>
                <w:sz w:val="24"/>
                <w:szCs w:val="24"/>
              </w:rPr>
              <w:t>D</w:t>
            </w:r>
            <w:r>
              <w:rPr>
                <w:rFonts w:hint="eastAsia" w:ascii="仿宋" w:eastAsia="仿宋"/>
                <w:sz w:val="24"/>
                <w:szCs w:val="24"/>
                <w:vertAlign w:val="subscript"/>
              </w:rPr>
              <w:t>W</w:t>
            </w:r>
          </w:p>
        </w:tc>
        <w:tc>
          <w:tcPr>
            <w:tcW w:w="2718"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14:paraId="3E865952">
            <w:pPr>
              <w:jc w:val="center"/>
              <w:rPr>
                <w:rFonts w:ascii="仿宋" w:eastAsia="仿宋"/>
                <w:sz w:val="24"/>
                <w:szCs w:val="24"/>
              </w:rPr>
            </w:pPr>
            <w:r>
              <w:rPr>
                <w:rFonts w:hint="eastAsia" w:ascii="仿宋" w:eastAsia="仿宋"/>
                <w:sz w:val="24"/>
                <w:szCs w:val="24"/>
              </w:rPr>
              <w:t>低</w:t>
            </w:r>
          </w:p>
        </w:tc>
        <w:tc>
          <w:tcPr>
            <w:tcW w:w="2894"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14:paraId="3AA3FE9B">
            <w:pPr>
              <w:jc w:val="center"/>
              <w:rPr>
                <w:rFonts w:ascii="仿宋" w:eastAsia="仿宋"/>
                <w:sz w:val="24"/>
                <w:szCs w:val="24"/>
              </w:rPr>
            </w:pPr>
            <w:r>
              <w:rPr>
                <w:rFonts w:hint="eastAsia" w:ascii="仿宋" w:eastAsia="仿宋"/>
                <w:sz w:val="24"/>
                <w:szCs w:val="24"/>
              </w:rPr>
              <w:t>BPN＜45</w:t>
            </w:r>
          </w:p>
        </w:tc>
      </w:tr>
    </w:tbl>
    <w:p w14:paraId="15987EB0">
      <w:pPr>
        <w:spacing w:line="560" w:lineRule="exact"/>
        <w:ind w:right="84" w:rightChars="40" w:firstLine="707" w:firstLineChars="221"/>
        <w:rPr>
          <w:rFonts w:ascii="Times New Roman" w:hAnsi="Times New Roman" w:eastAsia="仿宋_GB2312"/>
          <w:sz w:val="32"/>
          <w:szCs w:val="32"/>
        </w:rPr>
      </w:pPr>
      <w:r>
        <w:rPr>
          <w:rFonts w:hint="eastAsia" w:ascii="Times New Roman" w:hAnsi="Times New Roman" w:eastAsia="仿宋_GB2312"/>
          <w:sz w:val="32"/>
          <w:szCs w:val="32"/>
        </w:rPr>
        <w:t>高寒地区宜结合当地气候条件，加强路面防排水设计，采用OGFC排水抗滑表层、抗凝冰路面等措施提高路面抗滑性能。</w:t>
      </w:r>
    </w:p>
    <w:p w14:paraId="47A11A41">
      <w:pPr>
        <w:pStyle w:val="4"/>
      </w:pPr>
      <w:bookmarkStart w:id="106" w:name="_Toc233624901"/>
      <w:r>
        <w:t>路缘石</w:t>
      </w:r>
      <w:bookmarkEnd w:id="106"/>
    </w:p>
    <w:p w14:paraId="41C579C4">
      <w:pPr>
        <w:spacing w:line="560" w:lineRule="exact"/>
        <w:ind w:right="84" w:rightChars="40" w:firstLine="707" w:firstLineChars="221"/>
        <w:rPr>
          <w:rFonts w:ascii="Times New Roman" w:hAnsi="Times New Roman" w:eastAsia="仿宋_GB2312"/>
          <w:sz w:val="32"/>
          <w:szCs w:val="32"/>
        </w:rPr>
      </w:pPr>
      <w:r>
        <w:rPr>
          <w:rFonts w:ascii="Times New Roman" w:hAnsi="Times New Roman" w:eastAsia="仿宋_GB2312"/>
          <w:sz w:val="32"/>
          <w:szCs w:val="32"/>
        </w:rPr>
        <w:t>在高寒地区，道路路缘石</w:t>
      </w:r>
      <w:r>
        <w:rPr>
          <w:rFonts w:hint="eastAsia" w:ascii="Times New Roman" w:hAnsi="Times New Roman" w:eastAsia="仿宋_GB2312"/>
          <w:sz w:val="32"/>
          <w:szCs w:val="32"/>
        </w:rPr>
        <w:t>宜</w:t>
      </w:r>
      <w:r>
        <w:rPr>
          <w:rFonts w:ascii="Times New Roman" w:hAnsi="Times New Roman" w:eastAsia="仿宋_GB2312"/>
          <w:sz w:val="32"/>
          <w:szCs w:val="32"/>
        </w:rPr>
        <w:t>采用抗冻性能好、吸水率较低的天然石材或性能相似的人造石材等；石材物理性能应满足《广场路面用天然石材》（JC/T 2114—</w:t>
      </w:r>
      <w:r>
        <w:rPr>
          <w:rFonts w:hint="eastAsia" w:ascii="Times New Roman" w:hAnsi="Times New Roman" w:eastAsia="仿宋_GB2312"/>
          <w:sz w:val="32"/>
          <w:szCs w:val="32"/>
        </w:rPr>
        <w:t>2012</w:t>
      </w:r>
      <w:r>
        <w:rPr>
          <w:rFonts w:ascii="Times New Roman" w:hAnsi="Times New Roman" w:eastAsia="仿宋_GB2312"/>
          <w:sz w:val="32"/>
          <w:szCs w:val="32"/>
        </w:rPr>
        <w:t>）第5.4条要求。采用混凝土路缘石时，应严格执行《混凝土路缘石》（JCT 899—</w:t>
      </w:r>
      <w:r>
        <w:rPr>
          <w:rFonts w:hint="eastAsia" w:ascii="Times New Roman" w:hAnsi="Times New Roman" w:eastAsia="仿宋_GB2312"/>
          <w:sz w:val="32"/>
          <w:szCs w:val="32"/>
        </w:rPr>
        <w:t>2016</w:t>
      </w:r>
      <w:r>
        <w:rPr>
          <w:rFonts w:ascii="Times New Roman" w:hAnsi="Times New Roman" w:eastAsia="仿宋_GB2312"/>
          <w:sz w:val="32"/>
          <w:szCs w:val="32"/>
        </w:rPr>
        <w:t>）6.4条要求，其吸水率应不大于6.0%；</w:t>
      </w:r>
      <w:bookmarkStart w:id="107" w:name="OLE_LINK1"/>
      <w:r>
        <w:rPr>
          <w:rFonts w:ascii="Times New Roman" w:hAnsi="Times New Roman" w:eastAsia="仿宋_GB2312"/>
          <w:sz w:val="32"/>
          <w:szCs w:val="32"/>
        </w:rPr>
        <w:t>经D50次冻融</w:t>
      </w:r>
      <w:r>
        <w:rPr>
          <w:rFonts w:hint="eastAsia" w:ascii="Times New Roman" w:hAnsi="Times New Roman" w:eastAsia="仿宋_GB2312"/>
          <w:sz w:val="32"/>
          <w:szCs w:val="32"/>
        </w:rPr>
        <w:t>试验</w:t>
      </w:r>
      <w:r>
        <w:rPr>
          <w:rFonts w:ascii="Times New Roman" w:hAnsi="Times New Roman" w:eastAsia="仿宋_GB2312"/>
          <w:sz w:val="32"/>
          <w:szCs w:val="32"/>
        </w:rPr>
        <w:t>的质量损失率应不大于3.0%</w:t>
      </w:r>
      <w:bookmarkEnd w:id="107"/>
      <w:r>
        <w:rPr>
          <w:rFonts w:ascii="Times New Roman" w:hAnsi="Times New Roman" w:eastAsia="仿宋_GB2312"/>
          <w:sz w:val="32"/>
          <w:szCs w:val="32"/>
        </w:rPr>
        <w:t>。</w:t>
      </w:r>
    </w:p>
    <w:p w14:paraId="6C36ADB3">
      <w:pPr>
        <w:pStyle w:val="4"/>
      </w:pPr>
      <w:bookmarkStart w:id="108" w:name="_Toc233624902"/>
      <w:r>
        <w:rPr>
          <w:rFonts w:hint="eastAsia"/>
        </w:rPr>
        <w:t>市政道路</w:t>
      </w:r>
      <w:r>
        <w:t>无障碍</w:t>
      </w:r>
      <w:bookmarkEnd w:id="108"/>
    </w:p>
    <w:p w14:paraId="22CF98AC">
      <w:pPr>
        <w:spacing w:line="560" w:lineRule="exact"/>
        <w:ind w:right="84" w:rightChars="40" w:firstLine="707" w:firstLineChars="221"/>
        <w:rPr>
          <w:rFonts w:ascii="Times New Roman" w:hAnsi="Times New Roman" w:eastAsia="仿宋_GB2312"/>
          <w:sz w:val="32"/>
          <w:szCs w:val="32"/>
        </w:rPr>
      </w:pPr>
      <w:r>
        <w:rPr>
          <w:rFonts w:ascii="Times New Roman" w:hAnsi="Times New Roman" w:eastAsia="仿宋_GB2312"/>
          <w:sz w:val="32"/>
          <w:szCs w:val="32"/>
        </w:rPr>
        <w:t>各种路口、出入口和人行横道处，有高差时应设置缘石坡道；缘石坡道的坡口与车行道之间应无高差；缘石坡道距坡道下口路缘石250</w:t>
      </w:r>
      <w:r>
        <w:rPr>
          <w:rFonts w:hint="eastAsia" w:ascii="Times New Roman" w:hAnsi="Times New Roman" w:eastAsia="仿宋_GB2312"/>
          <w:sz w:val="32"/>
          <w:szCs w:val="32"/>
        </w:rPr>
        <w:t>～</w:t>
      </w:r>
      <w:r>
        <w:rPr>
          <w:rFonts w:ascii="Times New Roman" w:hAnsi="Times New Roman" w:eastAsia="仿宋_GB2312"/>
          <w:sz w:val="32"/>
          <w:szCs w:val="32"/>
        </w:rPr>
        <w:t>300mm处应设置提示盲道，提示盲道的长度应与缘石坡道的宽度相对应；缘石坡道上下坡处不应设置雨水箅子。</w:t>
      </w:r>
    </w:p>
    <w:p w14:paraId="50A29FBC">
      <w:pPr>
        <w:spacing w:line="56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行进盲道宽度</w:t>
      </w:r>
      <w:r>
        <w:rPr>
          <w:rFonts w:hint="eastAsia" w:ascii="Times New Roman" w:hAnsi="Times New Roman" w:eastAsia="仿宋_GB2312"/>
          <w:sz w:val="32"/>
          <w:szCs w:val="32"/>
        </w:rPr>
        <w:t>宜</w:t>
      </w:r>
      <w:r>
        <w:rPr>
          <w:rFonts w:ascii="Times New Roman" w:hAnsi="Times New Roman" w:eastAsia="仿宋_GB2312"/>
          <w:sz w:val="32"/>
          <w:szCs w:val="32"/>
        </w:rPr>
        <w:t>设置为300</w:t>
      </w:r>
      <w:r>
        <w:rPr>
          <w:rFonts w:hint="eastAsia" w:ascii="Times New Roman" w:hAnsi="Times New Roman" w:eastAsia="仿宋_GB2312"/>
          <w:sz w:val="32"/>
          <w:szCs w:val="32"/>
        </w:rPr>
        <w:t>～</w:t>
      </w:r>
      <w:r>
        <w:rPr>
          <w:rFonts w:ascii="Times New Roman" w:hAnsi="Times New Roman" w:eastAsia="仿宋_GB2312"/>
          <w:sz w:val="32"/>
          <w:szCs w:val="32"/>
        </w:rPr>
        <w:t>400mm，在起点、终点、转弯处及其他有需要处应设提示盲道。盲道铺设应避开障碍物，任何设施不得占用盲道。</w:t>
      </w:r>
    </w:p>
    <w:p w14:paraId="511393F3">
      <w:pPr>
        <w:pStyle w:val="4"/>
      </w:pPr>
      <w:bookmarkStart w:id="109" w:name="_Toc233624903"/>
      <w:r>
        <w:t>城市道路路内停车管理</w:t>
      </w:r>
      <w:bookmarkEnd w:id="109"/>
    </w:p>
    <w:p w14:paraId="4F112C33">
      <w:pPr>
        <w:spacing w:line="560" w:lineRule="exact"/>
        <w:ind w:right="84" w:rightChars="40" w:firstLine="707" w:firstLineChars="221"/>
        <w:rPr>
          <w:rFonts w:ascii="Times New Roman" w:hAnsi="Times New Roman" w:eastAsia="仿宋_GB2312"/>
          <w:sz w:val="32"/>
          <w:szCs w:val="32"/>
        </w:rPr>
      </w:pPr>
      <w:r>
        <w:rPr>
          <w:rFonts w:ascii="Times New Roman" w:hAnsi="Times New Roman" w:eastAsia="仿宋_GB2312"/>
          <w:sz w:val="32"/>
          <w:szCs w:val="32"/>
        </w:rPr>
        <w:t>利用城市道路设置</w:t>
      </w:r>
      <w:r>
        <w:rPr>
          <w:rFonts w:hint="eastAsia" w:ascii="Times New Roman" w:hAnsi="Times New Roman" w:eastAsia="仿宋_GB2312"/>
          <w:sz w:val="32"/>
          <w:szCs w:val="32"/>
        </w:rPr>
        <w:t>的</w:t>
      </w:r>
      <w:r>
        <w:rPr>
          <w:rFonts w:ascii="Times New Roman" w:hAnsi="Times New Roman" w:eastAsia="仿宋_GB2312"/>
          <w:sz w:val="32"/>
          <w:szCs w:val="32"/>
        </w:rPr>
        <w:t>停车泊位应满足《城市道路路内停车位设置规范》（GA</w:t>
      </w:r>
      <w:r>
        <w:rPr>
          <w:rFonts w:hint="eastAsia" w:ascii="Times New Roman" w:hAnsi="Times New Roman" w:eastAsia="仿宋_GB2312"/>
          <w:sz w:val="32"/>
          <w:szCs w:val="32"/>
        </w:rPr>
        <w:t>/</w:t>
      </w:r>
      <w:r>
        <w:rPr>
          <w:rFonts w:ascii="Times New Roman" w:hAnsi="Times New Roman" w:eastAsia="仿宋_GB2312"/>
          <w:sz w:val="32"/>
          <w:szCs w:val="32"/>
        </w:rPr>
        <w:t>T 850—2021）对</w:t>
      </w:r>
      <w:r>
        <w:rPr>
          <w:rFonts w:hint="eastAsia" w:ascii="Times New Roman" w:hAnsi="Times New Roman" w:eastAsia="仿宋_GB2312"/>
          <w:sz w:val="32"/>
          <w:szCs w:val="32"/>
        </w:rPr>
        <w:t>其</w:t>
      </w:r>
      <w:r>
        <w:rPr>
          <w:rFonts w:ascii="Times New Roman" w:hAnsi="Times New Roman" w:eastAsia="仿宋_GB2312"/>
          <w:sz w:val="32"/>
          <w:szCs w:val="32"/>
        </w:rPr>
        <w:t>设置条件</w:t>
      </w:r>
      <w:r>
        <w:rPr>
          <w:rFonts w:hint="eastAsia" w:ascii="Times New Roman" w:hAnsi="Times New Roman" w:eastAsia="仿宋_GB2312"/>
          <w:sz w:val="32"/>
          <w:szCs w:val="32"/>
        </w:rPr>
        <w:t>、</w:t>
      </w:r>
      <w:r>
        <w:rPr>
          <w:rFonts w:ascii="Times New Roman" w:hAnsi="Times New Roman" w:eastAsia="仿宋_GB2312"/>
          <w:sz w:val="32"/>
          <w:szCs w:val="32"/>
        </w:rPr>
        <w:t>停车视距</w:t>
      </w:r>
      <w:r>
        <w:rPr>
          <w:rFonts w:hint="eastAsia" w:ascii="Times New Roman" w:hAnsi="Times New Roman" w:eastAsia="仿宋_GB2312"/>
          <w:sz w:val="32"/>
          <w:szCs w:val="32"/>
        </w:rPr>
        <w:t>、</w:t>
      </w:r>
      <w:r>
        <w:rPr>
          <w:rFonts w:ascii="Times New Roman" w:hAnsi="Times New Roman" w:eastAsia="仿宋_GB2312"/>
          <w:sz w:val="32"/>
          <w:szCs w:val="32"/>
        </w:rPr>
        <w:t>设置停车车位后车行道、人行道等剩余宽度</w:t>
      </w:r>
      <w:r>
        <w:rPr>
          <w:rFonts w:hint="eastAsia" w:ascii="Times New Roman" w:hAnsi="Times New Roman" w:eastAsia="仿宋_GB2312"/>
          <w:sz w:val="32"/>
          <w:szCs w:val="32"/>
        </w:rPr>
        <w:t>、</w:t>
      </w:r>
      <w:r>
        <w:rPr>
          <w:rFonts w:ascii="Times New Roman" w:hAnsi="Times New Roman" w:eastAsia="仿宋_GB2312"/>
          <w:sz w:val="32"/>
          <w:szCs w:val="32"/>
        </w:rPr>
        <w:t>交通运行条件等条款的要求；</w:t>
      </w:r>
      <w:r>
        <w:rPr>
          <w:rFonts w:hint="eastAsia" w:ascii="Times New Roman" w:hAnsi="Times New Roman" w:eastAsia="仿宋_GB2312"/>
          <w:sz w:val="32"/>
          <w:szCs w:val="32"/>
        </w:rPr>
        <w:t>不满足车行荷载要求的人行道严禁设置停车泊位</w:t>
      </w:r>
      <w:r>
        <w:rPr>
          <w:rFonts w:ascii="Times New Roman" w:hAnsi="Times New Roman" w:eastAsia="仿宋_GB2312"/>
          <w:sz w:val="32"/>
          <w:szCs w:val="32"/>
        </w:rPr>
        <w:t>。</w:t>
      </w:r>
    </w:p>
    <w:p w14:paraId="0EAC2886">
      <w:pPr>
        <w:spacing w:line="560" w:lineRule="exact"/>
        <w:ind w:right="84" w:rightChars="40" w:firstLine="707" w:firstLineChars="221"/>
        <w:rPr>
          <w:rFonts w:ascii="Times New Roman" w:hAnsi="Times New Roman" w:eastAsia="仿宋_GB2312"/>
          <w:sz w:val="32"/>
          <w:szCs w:val="32"/>
        </w:rPr>
      </w:pPr>
      <w:r>
        <w:rPr>
          <w:rFonts w:hint="eastAsia" w:ascii="Times New Roman" w:hAnsi="Times New Roman" w:eastAsia="仿宋_GB2312"/>
          <w:sz w:val="32"/>
          <w:szCs w:val="32"/>
        </w:rPr>
        <w:t>利用</w:t>
      </w:r>
      <w:r>
        <w:rPr>
          <w:rFonts w:ascii="Times New Roman" w:hAnsi="Times New Roman" w:eastAsia="仿宋_GB2312"/>
          <w:sz w:val="32"/>
          <w:szCs w:val="32"/>
        </w:rPr>
        <w:t>城市道路设置</w:t>
      </w:r>
      <w:r>
        <w:rPr>
          <w:rFonts w:hint="eastAsia" w:ascii="Times New Roman" w:hAnsi="Times New Roman" w:eastAsia="仿宋_GB2312"/>
          <w:sz w:val="32"/>
          <w:szCs w:val="32"/>
        </w:rPr>
        <w:t>的</w:t>
      </w:r>
      <w:r>
        <w:rPr>
          <w:rFonts w:ascii="Times New Roman" w:hAnsi="Times New Roman" w:eastAsia="仿宋_GB2312"/>
          <w:sz w:val="32"/>
          <w:szCs w:val="32"/>
        </w:rPr>
        <w:t>停车泊位</w:t>
      </w:r>
      <w:r>
        <w:rPr>
          <w:rFonts w:hint="eastAsia" w:ascii="Times New Roman" w:hAnsi="Times New Roman" w:eastAsia="仿宋_GB2312"/>
          <w:sz w:val="32"/>
          <w:szCs w:val="32"/>
        </w:rPr>
        <w:t>时，需同步统筹区域交通组织、配套交安设施、智能监管体系建设等内容。</w:t>
      </w:r>
    </w:p>
    <w:p w14:paraId="64E2C1C2">
      <w:pPr>
        <w:pStyle w:val="4"/>
      </w:pPr>
      <w:bookmarkStart w:id="110" w:name="_Toc233624904"/>
      <w:r>
        <w:t>道路附属设施杆体</w:t>
      </w:r>
      <w:bookmarkEnd w:id="110"/>
    </w:p>
    <w:p w14:paraId="63B29955">
      <w:pPr>
        <w:spacing w:line="560" w:lineRule="exact"/>
        <w:ind w:right="84" w:rightChars="40" w:firstLine="707" w:firstLineChars="221"/>
        <w:rPr>
          <w:rFonts w:ascii="Times New Roman" w:hAnsi="Times New Roman" w:eastAsia="仿宋_GB2312"/>
          <w:sz w:val="32"/>
          <w:szCs w:val="32"/>
        </w:rPr>
      </w:pPr>
      <w:r>
        <w:rPr>
          <w:rFonts w:ascii="Times New Roman" w:hAnsi="Times New Roman" w:eastAsia="仿宋_GB2312"/>
          <w:sz w:val="32"/>
          <w:szCs w:val="32"/>
        </w:rPr>
        <w:t>道路标志、交通信号灯、路灯、电子警察、监控、广告牌等杆件，宜依据道路等级和现场使用情况</w:t>
      </w:r>
      <w:r>
        <w:rPr>
          <w:rFonts w:hint="eastAsia" w:ascii="Times New Roman" w:hAnsi="Times New Roman" w:eastAsia="仿宋_GB2312"/>
          <w:sz w:val="32"/>
          <w:szCs w:val="32"/>
        </w:rPr>
        <w:t>考虑</w:t>
      </w:r>
      <w:r>
        <w:rPr>
          <w:rFonts w:ascii="Times New Roman" w:hAnsi="Times New Roman" w:eastAsia="仿宋_GB2312"/>
          <w:sz w:val="32"/>
          <w:szCs w:val="32"/>
        </w:rPr>
        <w:t>采用综合杆集约设置。</w:t>
      </w:r>
      <w:r>
        <w:rPr>
          <w:rFonts w:hint="eastAsia" w:ascii="Times New Roman" w:hAnsi="Times New Roman" w:eastAsia="仿宋_GB2312"/>
          <w:sz w:val="32"/>
          <w:szCs w:val="32"/>
        </w:rPr>
        <w:t>杆体</w:t>
      </w:r>
      <w:r>
        <w:rPr>
          <w:rFonts w:ascii="Times New Roman" w:hAnsi="Times New Roman" w:eastAsia="仿宋_GB2312"/>
          <w:sz w:val="32"/>
          <w:szCs w:val="32"/>
        </w:rPr>
        <w:t>基础地脚螺栓</w:t>
      </w:r>
      <w:r>
        <w:rPr>
          <w:rFonts w:hint="eastAsia" w:ascii="Times New Roman" w:hAnsi="Times New Roman" w:eastAsia="仿宋_GB2312"/>
          <w:sz w:val="32"/>
          <w:szCs w:val="32"/>
        </w:rPr>
        <w:t>、肋板</w:t>
      </w:r>
      <w:r>
        <w:rPr>
          <w:rFonts w:ascii="Times New Roman" w:hAnsi="Times New Roman" w:eastAsia="仿宋_GB2312"/>
          <w:sz w:val="32"/>
          <w:szCs w:val="32"/>
        </w:rPr>
        <w:t>不</w:t>
      </w:r>
      <w:r>
        <w:rPr>
          <w:rFonts w:hint="eastAsia" w:ascii="Times New Roman" w:hAnsi="Times New Roman" w:eastAsia="仿宋_GB2312"/>
          <w:sz w:val="32"/>
          <w:szCs w:val="32"/>
        </w:rPr>
        <w:t>宜</w:t>
      </w:r>
      <w:r>
        <w:rPr>
          <w:rFonts w:ascii="Times New Roman" w:hAnsi="Times New Roman" w:eastAsia="仿宋_GB2312"/>
          <w:sz w:val="32"/>
          <w:szCs w:val="32"/>
        </w:rPr>
        <w:t>高于路面；当不能满足要求时，应对螺栓</w:t>
      </w:r>
      <w:r>
        <w:rPr>
          <w:rFonts w:hint="eastAsia" w:ascii="Times New Roman" w:hAnsi="Times New Roman" w:eastAsia="仿宋_GB2312"/>
          <w:sz w:val="32"/>
          <w:szCs w:val="32"/>
        </w:rPr>
        <w:t>、肋板</w:t>
      </w:r>
      <w:r>
        <w:rPr>
          <w:rFonts w:ascii="Times New Roman" w:hAnsi="Times New Roman" w:eastAsia="仿宋_GB2312"/>
          <w:sz w:val="32"/>
          <w:szCs w:val="32"/>
        </w:rPr>
        <w:t>采用混凝土包封或其他防护措施。</w:t>
      </w:r>
    </w:p>
    <w:p w14:paraId="0FE8ECAB">
      <w:pPr>
        <w:pStyle w:val="3"/>
        <w:numPr>
          <w:ilvl w:val="0"/>
          <w:numId w:val="4"/>
        </w:numPr>
        <w:spacing w:line="560" w:lineRule="exact"/>
        <w:jc w:val="center"/>
        <w:rPr>
          <w:rFonts w:ascii="Times New Roman" w:hAnsi="Times New Roman" w:eastAsia="黑体"/>
          <w:b w:val="0"/>
          <w:sz w:val="36"/>
          <w:szCs w:val="36"/>
        </w:rPr>
      </w:pPr>
      <w:bookmarkStart w:id="111" w:name="_Toc233624905"/>
      <w:r>
        <w:rPr>
          <w:rFonts w:ascii="Times New Roman" w:hAnsi="Times New Roman" w:eastAsia="黑体"/>
          <w:b w:val="0"/>
          <w:sz w:val="36"/>
          <w:szCs w:val="36"/>
        </w:rPr>
        <w:t>市政管线</w:t>
      </w:r>
      <w:bookmarkEnd w:id="111"/>
    </w:p>
    <w:p w14:paraId="1F2AA654">
      <w:pPr>
        <w:pStyle w:val="4"/>
      </w:pPr>
      <w:bookmarkStart w:id="112" w:name="_Toc233624906"/>
      <w:r>
        <w:t>管线综合管控</w:t>
      </w:r>
      <w:bookmarkEnd w:id="112"/>
    </w:p>
    <w:p w14:paraId="529D542B">
      <w:pPr>
        <w:spacing w:line="560" w:lineRule="exact"/>
        <w:ind w:firstLine="640" w:firstLineChars="200"/>
      </w:pPr>
      <w:r>
        <w:rPr>
          <w:rFonts w:ascii="Times New Roman" w:hAnsi="Times New Roman" w:eastAsia="仿宋_GB2312"/>
          <w:sz w:val="32"/>
          <w:szCs w:val="32"/>
        </w:rPr>
        <w:t>城市线网应按规划入地，并</w:t>
      </w:r>
      <w:r>
        <w:rPr>
          <w:rFonts w:hint="eastAsia" w:ascii="Times New Roman" w:hAnsi="Times New Roman" w:eastAsia="仿宋_GB2312"/>
          <w:sz w:val="32"/>
          <w:szCs w:val="32"/>
        </w:rPr>
        <w:t>采取埋设地理标志</w:t>
      </w:r>
      <w:r>
        <w:rPr>
          <w:rFonts w:ascii="Times New Roman" w:hAnsi="Times New Roman" w:eastAsia="仿宋_GB2312"/>
          <w:sz w:val="32"/>
          <w:szCs w:val="32"/>
        </w:rPr>
        <w:t>等保护措施。现有照明架空线，应当按规划，结合城市更新、城市道路“多杆合一”和“综合改一次”等工作，逐步进行入地改造，净化城市空间。积极探索包装、实施综合管廊项目，解决道路频繁开挖及后期维护成本高等问题，加强各类管线管理，延长管线使用寿命，改善城市环境。</w:t>
      </w:r>
      <w:r>
        <w:rPr>
          <w:rFonts w:hint="eastAsia" w:ascii="Times New Roman" w:hAnsi="Times New Roman" w:eastAsia="仿宋_GB2312"/>
          <w:sz w:val="32"/>
          <w:szCs w:val="32"/>
        </w:rPr>
        <w:t xml:space="preserve"> </w:t>
      </w:r>
    </w:p>
    <w:p w14:paraId="4029DD6E">
      <w:pPr>
        <w:pStyle w:val="4"/>
      </w:pPr>
      <w:bookmarkStart w:id="113" w:name="_Toc207025585"/>
      <w:bookmarkStart w:id="114" w:name="_Toc233624907"/>
      <w:r>
        <w:t>水表</w:t>
      </w:r>
      <w:bookmarkEnd w:id="113"/>
      <w:r>
        <w:t>智能升级</w:t>
      </w:r>
      <w:bookmarkEnd w:id="114"/>
    </w:p>
    <w:p w14:paraId="36EB63E4">
      <w:pPr>
        <w:spacing w:line="560" w:lineRule="exact"/>
        <w:ind w:firstLine="640" w:firstLineChars="200"/>
        <w:rPr>
          <w:rFonts w:ascii="Times New Roman" w:hAnsi="Times New Roman" w:eastAsia="仿宋_GB2312"/>
          <w:sz w:val="32"/>
          <w:szCs w:val="32"/>
        </w:rPr>
      </w:pPr>
      <w:r>
        <w:rPr>
          <w:rFonts w:ascii="Times New Roman" w:hAnsi="Times New Roman" w:eastAsia="仿宋_GB2312"/>
          <w:bCs/>
          <w:sz w:val="32"/>
          <w:szCs w:val="32"/>
        </w:rPr>
        <w:t>新建建筑应采用带计量和收费等功能的远传水表，并对水表增设保温防冻措施</w:t>
      </w:r>
      <w:r>
        <w:rPr>
          <w:rFonts w:hint="eastAsia" w:ascii="Times New Roman" w:hAnsi="Times New Roman" w:eastAsia="仿宋_GB2312"/>
          <w:bCs/>
          <w:sz w:val="32"/>
          <w:szCs w:val="32"/>
        </w:rPr>
        <w:t>；</w:t>
      </w:r>
      <w:r>
        <w:rPr>
          <w:rFonts w:ascii="Times New Roman" w:hAnsi="Times New Roman" w:eastAsia="仿宋_GB2312"/>
          <w:bCs/>
          <w:sz w:val="32"/>
          <w:szCs w:val="32"/>
        </w:rPr>
        <w:t>既有建筑应根据当地改造计划对无上述功能的水表进行更换。</w:t>
      </w:r>
    </w:p>
    <w:p w14:paraId="4EE21B9E">
      <w:pPr>
        <w:pStyle w:val="4"/>
      </w:pPr>
      <w:bookmarkStart w:id="115" w:name="_Toc233624908"/>
      <w:r>
        <w:t>管道埋深</w:t>
      </w:r>
      <w:bookmarkEnd w:id="115"/>
    </w:p>
    <w:p w14:paraId="05EB2F41">
      <w:pPr>
        <w:spacing w:line="560" w:lineRule="exact"/>
        <w:ind w:firstLine="640" w:firstLineChars="200"/>
        <w:rPr>
          <w:rFonts w:ascii="Times New Roman" w:hAnsi="Times New Roman" w:eastAsia="仿宋_GB2312"/>
          <w:bCs/>
          <w:sz w:val="32"/>
          <w:szCs w:val="32"/>
        </w:rPr>
      </w:pPr>
      <w:r>
        <w:rPr>
          <w:rFonts w:hint="eastAsia" w:ascii="Times New Roman" w:hAnsi="Times New Roman" w:eastAsia="仿宋_GB2312"/>
          <w:bCs/>
          <w:sz w:val="32"/>
          <w:szCs w:val="32"/>
        </w:rPr>
        <w:t>室外市政管道管顶最小覆土深度应满足《城市工程管线综合规划规范》（GB 50298</w:t>
      </w:r>
      <w:r>
        <w:rPr>
          <w:rFonts w:ascii="Times New Roman" w:hAnsi="Times New Roman" w:eastAsia="仿宋_GB2312"/>
          <w:sz w:val="32"/>
          <w:szCs w:val="32"/>
        </w:rPr>
        <w:t>—</w:t>
      </w:r>
      <w:r>
        <w:rPr>
          <w:rFonts w:hint="eastAsia" w:ascii="Times New Roman" w:hAnsi="Times New Roman" w:eastAsia="仿宋_GB2312"/>
          <w:bCs/>
          <w:sz w:val="32"/>
          <w:szCs w:val="32"/>
        </w:rPr>
        <w:t>2016）第4.1.1条要求，给排水管道位于非机动车道时，最小覆土深度不小于0.6m，位于机动车道时，最小覆土深度不小于0.7m；同时应满足管顶覆土深度不小于冻土线以下0.2m。</w:t>
      </w:r>
    </w:p>
    <w:p w14:paraId="39A61FFE">
      <w:pPr>
        <w:pStyle w:val="4"/>
      </w:pPr>
      <w:bookmarkStart w:id="116" w:name="_Toc207025587"/>
      <w:bookmarkStart w:id="117" w:name="_Ref229210719"/>
      <w:bookmarkStart w:id="118" w:name="_Toc233624909"/>
      <w:bookmarkStart w:id="119" w:name="_Ref229210767"/>
      <w:r>
        <w:t>管道防冻</w:t>
      </w:r>
      <w:bookmarkEnd w:id="116"/>
      <w:bookmarkEnd w:id="117"/>
      <w:bookmarkEnd w:id="118"/>
      <w:bookmarkEnd w:id="119"/>
    </w:p>
    <w:p w14:paraId="05637FC1">
      <w:pPr>
        <w:spacing w:line="560" w:lineRule="exact"/>
        <w:ind w:firstLine="640" w:firstLineChars="200"/>
        <w:rPr>
          <w:rFonts w:ascii="Times New Roman" w:hAnsi="Times New Roman" w:eastAsia="仿宋_GB2312"/>
          <w:sz w:val="32"/>
          <w:szCs w:val="32"/>
        </w:rPr>
      </w:pPr>
      <w:r>
        <w:rPr>
          <w:rFonts w:ascii="Times New Roman" w:hAnsi="Times New Roman" w:eastAsia="仿宋_GB2312"/>
          <w:bCs/>
          <w:sz w:val="32"/>
          <w:szCs w:val="32"/>
        </w:rPr>
        <w:t>室外露天敷设及穿越冻土层段给水管应设置节能型电伴热保温防冻措施，其中穿越冻土层段给水管应设于单独保温井内，且保温井设置双层保温井盖。</w:t>
      </w:r>
    </w:p>
    <w:p w14:paraId="6F2FE487">
      <w:pPr>
        <w:pStyle w:val="4"/>
      </w:pPr>
      <w:bookmarkStart w:id="120" w:name="_Toc233624910"/>
      <w:r>
        <w:rPr>
          <w:rFonts w:hint="eastAsia"/>
        </w:rPr>
        <w:t>排水管道修复</w:t>
      </w:r>
      <w:bookmarkEnd w:id="120"/>
    </w:p>
    <w:p w14:paraId="3AF984B0">
      <w:pPr>
        <w:spacing w:line="560" w:lineRule="exact"/>
        <w:ind w:firstLine="640" w:firstLineChars="200"/>
        <w:rPr>
          <w:rFonts w:ascii="Times New Roman" w:hAnsi="Times New Roman" w:eastAsia="仿宋_GB2312"/>
          <w:sz w:val="32"/>
          <w:szCs w:val="32"/>
        </w:rPr>
      </w:pPr>
      <w:r>
        <w:rPr>
          <w:rFonts w:ascii="Times New Roman" w:hAnsi="Times New Roman" w:eastAsia="仿宋_GB2312"/>
          <w:bCs/>
          <w:sz w:val="32"/>
          <w:szCs w:val="32"/>
        </w:rPr>
        <w:t>市政道路排水管道</w:t>
      </w:r>
      <w:r>
        <w:rPr>
          <w:rFonts w:hint="eastAsia" w:ascii="Times New Roman" w:hAnsi="Times New Roman" w:eastAsia="仿宋_GB2312"/>
          <w:bCs/>
          <w:sz w:val="32"/>
          <w:szCs w:val="32"/>
        </w:rPr>
        <w:t>更新改造在不具备开挖条件或开挖修复经济性较差时，可采用管网非开挖修复技术，</w:t>
      </w:r>
      <w:r>
        <w:rPr>
          <w:rFonts w:ascii="Times New Roman" w:hAnsi="Times New Roman" w:eastAsia="仿宋_GB2312"/>
          <w:bCs/>
          <w:sz w:val="32"/>
          <w:szCs w:val="32"/>
        </w:rPr>
        <w:t>非开挖修复应满足《城镇排水管道非开挖修复更新工程技术规程》（</w:t>
      </w:r>
      <w:r>
        <w:rPr>
          <w:rFonts w:hint="eastAsia" w:ascii="Times New Roman" w:hAnsi="Times New Roman" w:eastAsia="仿宋_GB2312"/>
          <w:bCs/>
          <w:sz w:val="32"/>
          <w:szCs w:val="32"/>
        </w:rPr>
        <w:t>CJJ/T210</w:t>
      </w:r>
      <w:r>
        <w:rPr>
          <w:rFonts w:ascii="Times New Roman" w:hAnsi="Times New Roman" w:eastAsia="仿宋_GB2312"/>
          <w:sz w:val="32"/>
          <w:szCs w:val="32"/>
        </w:rPr>
        <w:t>—</w:t>
      </w:r>
      <w:r>
        <w:rPr>
          <w:rFonts w:hint="eastAsia" w:ascii="Times New Roman" w:hAnsi="Times New Roman" w:eastAsia="仿宋_GB2312"/>
          <w:bCs/>
          <w:sz w:val="32"/>
          <w:szCs w:val="32"/>
        </w:rPr>
        <w:t>2014</w:t>
      </w:r>
      <w:r>
        <w:rPr>
          <w:rFonts w:ascii="Times New Roman" w:hAnsi="Times New Roman" w:eastAsia="仿宋_GB2312"/>
          <w:bCs/>
          <w:sz w:val="32"/>
          <w:szCs w:val="32"/>
        </w:rPr>
        <w:t>）</w:t>
      </w:r>
      <w:r>
        <w:rPr>
          <w:rFonts w:hint="eastAsia" w:ascii="Times New Roman" w:hAnsi="Times New Roman" w:eastAsia="仿宋_GB2312"/>
          <w:bCs/>
          <w:sz w:val="32"/>
          <w:szCs w:val="32"/>
        </w:rPr>
        <w:t>相关要求</w:t>
      </w:r>
      <w:r>
        <w:rPr>
          <w:rFonts w:ascii="Times New Roman" w:hAnsi="Times New Roman" w:eastAsia="仿宋_GB2312"/>
          <w:bCs/>
          <w:sz w:val="32"/>
          <w:szCs w:val="32"/>
        </w:rPr>
        <w:t>。</w:t>
      </w:r>
    </w:p>
    <w:p w14:paraId="7449E459">
      <w:pPr>
        <w:pStyle w:val="4"/>
      </w:pPr>
      <w:bookmarkStart w:id="121" w:name="_Toc233624911"/>
      <w:r>
        <w:t>检查井设置</w:t>
      </w:r>
      <w:bookmarkEnd w:id="121"/>
    </w:p>
    <w:p w14:paraId="32DD4B75">
      <w:pPr>
        <w:spacing w:line="560" w:lineRule="exact"/>
        <w:ind w:firstLine="640" w:firstLineChars="200"/>
        <w:rPr>
          <w:rFonts w:ascii="Times New Roman" w:hAnsi="Times New Roman" w:eastAsia="仿宋_GB2312"/>
          <w:sz w:val="32"/>
          <w:szCs w:val="32"/>
        </w:rPr>
      </w:pPr>
      <w:r>
        <w:rPr>
          <w:rFonts w:ascii="Times New Roman" w:hAnsi="Times New Roman" w:eastAsia="仿宋_GB2312"/>
          <w:bCs/>
          <w:sz w:val="32"/>
          <w:szCs w:val="32"/>
        </w:rPr>
        <w:t>检查井应优先布置在绿化带、人行道或非机动车道内；确需布置在车行道上时，其井盖位置应尽量避开车轮轮迹线，且应采取井圈及井座加固措施。</w:t>
      </w:r>
    </w:p>
    <w:p w14:paraId="68FB88EF">
      <w:pPr>
        <w:pStyle w:val="4"/>
      </w:pPr>
      <w:bookmarkStart w:id="122" w:name="_Toc207025589"/>
      <w:bookmarkStart w:id="123" w:name="_Toc233624912"/>
      <w:r>
        <w:t>检查井井盖选取标准</w:t>
      </w:r>
      <w:bookmarkEnd w:id="122"/>
      <w:bookmarkEnd w:id="123"/>
    </w:p>
    <w:p w14:paraId="042F72C8">
      <w:pPr>
        <w:spacing w:line="560" w:lineRule="exact"/>
        <w:ind w:firstLine="640" w:firstLineChars="200"/>
        <w:rPr>
          <w:rFonts w:ascii="Times New Roman" w:hAnsi="Times New Roman" w:eastAsia="仿宋_GB2312"/>
          <w:sz w:val="32"/>
          <w:szCs w:val="32"/>
        </w:rPr>
      </w:pPr>
      <w:r>
        <w:rPr>
          <w:rFonts w:hint="eastAsia" w:ascii="Times New Roman" w:hAnsi="Times New Roman" w:eastAsia="仿宋_GB2312"/>
          <w:bCs/>
          <w:sz w:val="32"/>
          <w:szCs w:val="32"/>
        </w:rPr>
        <w:t>位于车行道和人行道的</w:t>
      </w:r>
      <w:r>
        <w:rPr>
          <w:rFonts w:ascii="Times New Roman" w:hAnsi="Times New Roman" w:eastAsia="仿宋_GB2312"/>
          <w:bCs/>
          <w:sz w:val="32"/>
          <w:szCs w:val="32"/>
        </w:rPr>
        <w:t>检查井应优先选用带防沉降功能的五防球墨铸铁井盖，同时满足《球墨铸铁可调式防沉降检查井盖》</w:t>
      </w:r>
      <w:r>
        <w:rPr>
          <w:rFonts w:hint="eastAsia" w:ascii="Times New Roman" w:hAnsi="Times New Roman" w:eastAsia="仿宋_GB2312"/>
          <w:bCs/>
          <w:sz w:val="32"/>
          <w:szCs w:val="32"/>
        </w:rPr>
        <w:t>（</w:t>
      </w:r>
      <w:r>
        <w:rPr>
          <w:rFonts w:ascii="Times New Roman" w:hAnsi="Times New Roman" w:eastAsia="仿宋_GB2312"/>
          <w:bCs/>
          <w:sz w:val="32"/>
          <w:szCs w:val="32"/>
        </w:rPr>
        <w:t>DB</w:t>
      </w:r>
      <w:r>
        <w:rPr>
          <w:rFonts w:hint="eastAsia" w:ascii="Times New Roman" w:hAnsi="Times New Roman" w:eastAsia="仿宋_GB2312"/>
          <w:bCs/>
          <w:sz w:val="32"/>
          <w:szCs w:val="32"/>
        </w:rPr>
        <w:t xml:space="preserve"> </w:t>
      </w:r>
      <w:r>
        <w:rPr>
          <w:rFonts w:ascii="Times New Roman" w:hAnsi="Times New Roman" w:eastAsia="仿宋_GB2312"/>
          <w:bCs/>
          <w:sz w:val="32"/>
          <w:szCs w:val="32"/>
        </w:rPr>
        <w:t>510100/T203</w:t>
      </w:r>
      <w:r>
        <w:rPr>
          <w:rFonts w:ascii="Times New Roman" w:hAnsi="Times New Roman" w:eastAsia="仿宋_GB2312"/>
          <w:sz w:val="32"/>
          <w:szCs w:val="32"/>
        </w:rPr>
        <w:t>—</w:t>
      </w:r>
      <w:r>
        <w:rPr>
          <w:rFonts w:ascii="Times New Roman" w:hAnsi="Times New Roman" w:eastAsia="仿宋_GB2312"/>
          <w:bCs/>
          <w:sz w:val="32"/>
          <w:szCs w:val="32"/>
        </w:rPr>
        <w:t>2016</w:t>
      </w:r>
      <w:r>
        <w:rPr>
          <w:rFonts w:hint="eastAsia" w:ascii="Times New Roman" w:hAnsi="Times New Roman" w:eastAsia="仿宋_GB2312"/>
          <w:bCs/>
          <w:sz w:val="32"/>
          <w:szCs w:val="32"/>
        </w:rPr>
        <w:t>）</w:t>
      </w:r>
      <w:r>
        <w:rPr>
          <w:rFonts w:ascii="Times New Roman" w:hAnsi="Times New Roman" w:eastAsia="仿宋_GB2312"/>
          <w:bCs/>
          <w:sz w:val="32"/>
          <w:szCs w:val="32"/>
        </w:rPr>
        <w:t>要求，并严格按管道属性在井盖上进行标识，位于车行道井盖承载能力不应低于D400级，位于人行道井盖承载能力不应低于C250级。</w:t>
      </w:r>
    </w:p>
    <w:p w14:paraId="34EBF2AA">
      <w:pPr>
        <w:pStyle w:val="4"/>
      </w:pPr>
      <w:bookmarkStart w:id="124" w:name="_Toc233624913"/>
      <w:bookmarkStart w:id="125" w:name="_Toc207025590"/>
      <w:r>
        <w:t>污水处理构筑物保温防冻</w:t>
      </w:r>
      <w:bookmarkEnd w:id="124"/>
      <w:bookmarkEnd w:id="125"/>
    </w:p>
    <w:p w14:paraId="5656EC78">
      <w:pPr>
        <w:spacing w:line="560" w:lineRule="exact"/>
        <w:ind w:firstLine="640" w:firstLineChars="200"/>
        <w:rPr>
          <w:rFonts w:ascii="Times New Roman" w:hAnsi="Times New Roman" w:eastAsia="仿宋_GB2312"/>
          <w:sz w:val="32"/>
          <w:szCs w:val="32"/>
        </w:rPr>
      </w:pPr>
      <w:r>
        <w:rPr>
          <w:rFonts w:hint="eastAsia" w:ascii="Times New Roman" w:hAnsi="Times New Roman" w:eastAsia="仿宋_GB2312"/>
          <w:bCs/>
          <w:sz w:val="32"/>
          <w:szCs w:val="32"/>
        </w:rPr>
        <w:t>为保障寒冷地区的污水处理厂冬季能正常运行，污水处理构筑物、管渠和设施应</w:t>
      </w:r>
      <w:r>
        <w:rPr>
          <w:rFonts w:ascii="Times New Roman" w:hAnsi="Times New Roman" w:eastAsia="仿宋_GB2312"/>
          <w:bCs/>
          <w:sz w:val="32"/>
          <w:szCs w:val="32"/>
        </w:rPr>
        <w:t>应按《室外排水设计标准》（GB</w:t>
      </w:r>
      <w:r>
        <w:rPr>
          <w:rFonts w:hint="eastAsia" w:ascii="Times New Roman" w:hAnsi="Times New Roman" w:eastAsia="仿宋_GB2312"/>
          <w:bCs/>
          <w:sz w:val="32"/>
          <w:szCs w:val="32"/>
        </w:rPr>
        <w:t xml:space="preserve"> </w:t>
      </w:r>
      <w:r>
        <w:rPr>
          <w:rFonts w:ascii="Times New Roman" w:hAnsi="Times New Roman" w:eastAsia="仿宋_GB2312"/>
          <w:bCs/>
          <w:sz w:val="32"/>
          <w:szCs w:val="32"/>
        </w:rPr>
        <w:t>50014</w:t>
      </w:r>
      <w:r>
        <w:rPr>
          <w:rFonts w:ascii="Times New Roman" w:hAnsi="Times New Roman" w:eastAsia="仿宋_GB2312"/>
          <w:sz w:val="32"/>
          <w:szCs w:val="32"/>
        </w:rPr>
        <w:t>—</w:t>
      </w:r>
      <w:r>
        <w:rPr>
          <w:rFonts w:ascii="Times New Roman" w:hAnsi="Times New Roman" w:eastAsia="仿宋_GB2312"/>
          <w:bCs/>
          <w:sz w:val="32"/>
          <w:szCs w:val="32"/>
        </w:rPr>
        <w:t>2021）第7.1.12条要求采取保温防冻措施，同时考虑设备运行工况受冬季低温导致菌种活性降低等因素影响，海拔高度2000m及以上区域</w:t>
      </w:r>
      <w:r>
        <w:rPr>
          <w:rFonts w:hint="eastAsia" w:ascii="Times New Roman" w:hAnsi="Times New Roman" w:eastAsia="仿宋_GB2312"/>
          <w:bCs/>
          <w:sz w:val="32"/>
          <w:szCs w:val="32"/>
        </w:rPr>
        <w:t>，</w:t>
      </w:r>
      <w:r>
        <w:rPr>
          <w:rFonts w:ascii="Times New Roman" w:hAnsi="Times New Roman" w:eastAsia="仿宋_GB2312"/>
          <w:bCs/>
          <w:sz w:val="32"/>
          <w:szCs w:val="32"/>
        </w:rPr>
        <w:t>应采取建于室内、池顶加盖或池内加热措施，海拔高度2000m以下区域宜采用池顶加盖措施，构筑物池体（含池顶）宜参照《建筑节能与可再生能源利用通用规范》（GB</w:t>
      </w:r>
      <w:r>
        <w:rPr>
          <w:rFonts w:hint="eastAsia" w:ascii="Times New Roman" w:hAnsi="Times New Roman" w:eastAsia="仿宋_GB2312"/>
          <w:bCs/>
          <w:sz w:val="32"/>
          <w:szCs w:val="32"/>
        </w:rPr>
        <w:t xml:space="preserve"> </w:t>
      </w:r>
      <w:r>
        <w:rPr>
          <w:rFonts w:ascii="Times New Roman" w:hAnsi="Times New Roman" w:eastAsia="仿宋_GB2312"/>
          <w:bCs/>
          <w:sz w:val="32"/>
          <w:szCs w:val="32"/>
        </w:rPr>
        <w:t>55015</w:t>
      </w:r>
      <w:r>
        <w:rPr>
          <w:rFonts w:ascii="Times New Roman" w:hAnsi="Times New Roman" w:eastAsia="仿宋_GB2312"/>
          <w:sz w:val="32"/>
          <w:szCs w:val="32"/>
        </w:rPr>
        <w:t>—</w:t>
      </w:r>
      <w:r>
        <w:rPr>
          <w:rFonts w:ascii="Times New Roman" w:hAnsi="Times New Roman" w:eastAsia="仿宋_GB2312"/>
          <w:bCs/>
          <w:sz w:val="32"/>
          <w:szCs w:val="32"/>
        </w:rPr>
        <w:t>2021）第3.1.10条进行保温设计。</w:t>
      </w:r>
    </w:p>
    <w:p w14:paraId="05FA8E37">
      <w:pPr>
        <w:pStyle w:val="3"/>
        <w:numPr>
          <w:ilvl w:val="0"/>
          <w:numId w:val="4"/>
        </w:numPr>
        <w:spacing w:line="560" w:lineRule="exact"/>
        <w:jc w:val="center"/>
        <w:rPr>
          <w:rFonts w:ascii="Times New Roman" w:hAnsi="Times New Roman" w:eastAsia="黑体"/>
          <w:b w:val="0"/>
          <w:sz w:val="36"/>
          <w:szCs w:val="36"/>
        </w:rPr>
      </w:pPr>
      <w:bookmarkStart w:id="126" w:name="_Toc233624914"/>
      <w:r>
        <w:rPr>
          <w:rFonts w:hint="eastAsia" w:ascii="Times New Roman" w:hAnsi="Times New Roman" w:eastAsia="黑体"/>
          <w:b w:val="0"/>
          <w:sz w:val="36"/>
          <w:szCs w:val="36"/>
        </w:rPr>
        <w:t>城镇</w:t>
      </w:r>
      <w:r>
        <w:rPr>
          <w:rFonts w:ascii="Times New Roman" w:hAnsi="Times New Roman" w:eastAsia="黑体"/>
          <w:b w:val="0"/>
          <w:sz w:val="36"/>
          <w:szCs w:val="36"/>
        </w:rPr>
        <w:t>绿化</w:t>
      </w:r>
      <w:r>
        <w:rPr>
          <w:rFonts w:hint="eastAsia" w:ascii="Times New Roman" w:hAnsi="Times New Roman" w:eastAsia="黑体"/>
          <w:b w:val="0"/>
          <w:sz w:val="36"/>
          <w:szCs w:val="36"/>
        </w:rPr>
        <w:t>和公用设施</w:t>
      </w:r>
      <w:bookmarkEnd w:id="126"/>
    </w:p>
    <w:p w14:paraId="1B972DA7">
      <w:pPr>
        <w:pStyle w:val="4"/>
      </w:pPr>
      <w:bookmarkStart w:id="127" w:name="_Toc207091353"/>
      <w:bookmarkStart w:id="128" w:name="_Toc207011644"/>
      <w:bookmarkStart w:id="129" w:name="_Toc233624915"/>
      <w:r>
        <w:t>绿地</w:t>
      </w:r>
      <w:r>
        <w:rPr>
          <w:rFonts w:hint="eastAsia"/>
        </w:rPr>
        <w:t>系统</w:t>
      </w:r>
      <w:r>
        <w:t>与</w:t>
      </w:r>
      <w:bookmarkEnd w:id="127"/>
      <w:bookmarkEnd w:id="128"/>
      <w:r>
        <w:t>公园建设</w:t>
      </w:r>
      <w:bookmarkEnd w:id="129"/>
    </w:p>
    <w:p w14:paraId="5FBDA144">
      <w:pPr>
        <w:spacing w:line="560" w:lineRule="exact"/>
        <w:ind w:right="84" w:rightChars="40" w:firstLine="707" w:firstLineChars="221"/>
        <w:rPr>
          <w:rFonts w:ascii="Times New Roman" w:hAnsi="Times New Roman" w:eastAsia="仿宋_GB2312"/>
          <w:bCs/>
          <w:sz w:val="32"/>
          <w:szCs w:val="32"/>
        </w:rPr>
      </w:pPr>
      <w:r>
        <w:rPr>
          <w:rFonts w:hint="eastAsia" w:ascii="Times New Roman" w:hAnsi="Times New Roman" w:eastAsia="仿宋_GB2312"/>
          <w:bCs/>
          <w:sz w:val="32"/>
          <w:szCs w:val="32"/>
        </w:rPr>
        <w:t>坚持生态优先、均衡布局，衔接国土空间规划，构建结构完整、功能复合的绿地系统。重点加强生态廊道连通，协同推进公园绿地、防护绿地与滨水空间、山体绿化的有机衔接。城市设计应注重引绿借景，优化建筑天际轮廓，预留生态景观视廊，因地制宜建设架空绿道，提高空间利用率；公园建设应注重生态与游憩融合，合理配置功能分区与服务设施；街头绿地及小微空间应注重可达性和实用性，动静分区明确，设置复合功能区提高利用率，科学确定硬质铺装与绿化比例；宜与城市慢行绿道系统结合，串联绿化空间，衔接公交站点和建筑出入口。加强高大乔木保护，实现优化植物层次与公共景观，营造全龄友好、开放共享的绿色环境。</w:t>
      </w:r>
    </w:p>
    <w:p w14:paraId="2DDEAA8A">
      <w:pPr>
        <w:spacing w:line="560" w:lineRule="exact"/>
        <w:ind w:right="84" w:rightChars="40" w:firstLine="707" w:firstLineChars="221"/>
        <w:rPr>
          <w:rFonts w:ascii="Times New Roman" w:hAnsi="Times New Roman" w:eastAsia="仿宋_GB2312"/>
          <w:bCs/>
          <w:sz w:val="32"/>
          <w:szCs w:val="32"/>
        </w:rPr>
      </w:pPr>
      <w:r>
        <w:rPr>
          <w:rFonts w:hint="eastAsia" w:ascii="Times New Roman" w:hAnsi="Times New Roman" w:eastAsia="仿宋_GB2312"/>
          <w:bCs/>
          <w:sz w:val="32"/>
          <w:szCs w:val="32"/>
        </w:rPr>
        <w:t>绿化设计和建设需依托场地周边山水肌理与自然禀赋，延续既有绿化基底及空间格局，严格遵循因地制宜、适地适绿原则，兼顾生态性与功能性统一。结合实施城市更新，因地制宜留白增绿、拆违建绿、见缝插绿地建设口袋公园，充分尊重和利用场地原有地形和植被，突出地域文脉特征，形成“一园一品”景观格局。</w:t>
      </w:r>
    </w:p>
    <w:p w14:paraId="4D34AFC8">
      <w:pPr>
        <w:pStyle w:val="4"/>
      </w:pPr>
      <w:bookmarkStart w:id="130" w:name="_Toc233624916"/>
      <w:bookmarkStart w:id="131" w:name="_Toc207091354"/>
      <w:bookmarkStart w:id="132" w:name="_Toc207011645"/>
      <w:r>
        <w:t>植物选育与配置</w:t>
      </w:r>
      <w:bookmarkEnd w:id="130"/>
      <w:bookmarkEnd w:id="131"/>
      <w:bookmarkEnd w:id="132"/>
    </w:p>
    <w:p w14:paraId="6F152CC5">
      <w:pPr>
        <w:spacing w:line="560" w:lineRule="exact"/>
        <w:ind w:right="84" w:rightChars="40" w:firstLine="707" w:firstLineChars="221"/>
        <w:rPr>
          <w:rFonts w:ascii="Times New Roman" w:hAnsi="Times New Roman" w:eastAsia="仿宋_GB2312"/>
          <w:bCs/>
          <w:sz w:val="32"/>
          <w:szCs w:val="32"/>
        </w:rPr>
      </w:pPr>
      <w:r>
        <w:rPr>
          <w:rFonts w:hint="eastAsia" w:ascii="Times New Roman" w:hAnsi="Times New Roman" w:eastAsia="仿宋_GB2312"/>
          <w:bCs/>
          <w:sz w:val="32"/>
          <w:szCs w:val="32"/>
        </w:rPr>
        <w:t>优先选用适生性强、耐寒抗旱、病虫害少的乡土树种，宜使用云杉、花楸、牡丹、岷江柏、油松、火棘、扁桃、黄连木、黄栌等本地特色树种，审慎引进外来物种，严禁使用入侵性植物。倡导乔灌草花立体景观配置，注重常绿与落叶搭配、观花与观叶结合，提升物种多样性和生态稳定性。行道树应选择冠大荫浓、抗逆性强的树种，如栾树、银杏等，确保安全美观与生态效益统一。各县（市）可根据民族文化和旅游特色，确定基调树种和特色树种。</w:t>
      </w:r>
    </w:p>
    <w:p w14:paraId="4FA0A9FE">
      <w:pPr>
        <w:spacing w:line="560" w:lineRule="exact"/>
        <w:ind w:right="84" w:rightChars="40" w:firstLine="707" w:firstLineChars="221"/>
        <w:rPr>
          <w:rFonts w:ascii="Times New Roman" w:hAnsi="Times New Roman" w:eastAsia="仿宋_GB2312"/>
          <w:bCs/>
          <w:sz w:val="32"/>
          <w:szCs w:val="32"/>
        </w:rPr>
      </w:pPr>
      <w:r>
        <w:rPr>
          <w:rFonts w:hint="eastAsia" w:ascii="Times New Roman" w:hAnsi="Times New Roman" w:eastAsia="仿宋_GB2312"/>
          <w:bCs/>
          <w:sz w:val="32"/>
          <w:szCs w:val="32"/>
        </w:rPr>
        <w:t>完善植物配置方式。道路两侧宜列植玉兰、女贞，河岸宜列植柳树；园路两旁宜篱植规则式小叶女贞绿篱；丛植宜采用鸡爪槭、龙爪槐等。</w:t>
      </w:r>
    </w:p>
    <w:p w14:paraId="3B889E4C">
      <w:pPr>
        <w:spacing w:line="560" w:lineRule="exact"/>
        <w:ind w:right="84" w:rightChars="40" w:firstLine="707" w:firstLineChars="221"/>
        <w:rPr>
          <w:rFonts w:ascii="Times New Roman" w:hAnsi="Times New Roman" w:eastAsia="仿宋_GB2312"/>
          <w:bCs/>
          <w:sz w:val="32"/>
          <w:szCs w:val="32"/>
        </w:rPr>
      </w:pPr>
      <w:r>
        <w:rPr>
          <w:rFonts w:hint="eastAsia" w:ascii="Times New Roman" w:hAnsi="Times New Roman" w:eastAsia="仿宋_GB2312"/>
          <w:bCs/>
          <w:sz w:val="32"/>
          <w:szCs w:val="32"/>
        </w:rPr>
        <w:t>丰富园林植物种类。在园林景观设计中，可利用桂花、腊梅、栀子等香味植物配置营造芳香园，也可单独种植成专类园。</w:t>
      </w:r>
    </w:p>
    <w:p w14:paraId="7C92E3DD">
      <w:pPr>
        <w:pStyle w:val="4"/>
      </w:pPr>
      <w:bookmarkStart w:id="133" w:name="OLE_LINK3"/>
      <w:bookmarkStart w:id="134" w:name="OLE_LINK4"/>
      <w:bookmarkStart w:id="135" w:name="_Toc233624917"/>
      <w:r>
        <w:t>城市家具、室外雕塑、园林小品</w:t>
      </w:r>
      <w:bookmarkEnd w:id="133"/>
      <w:bookmarkEnd w:id="134"/>
      <w:bookmarkEnd w:id="135"/>
    </w:p>
    <w:p w14:paraId="29744E23">
      <w:pPr>
        <w:spacing w:line="560" w:lineRule="exact"/>
        <w:ind w:right="84" w:rightChars="40" w:firstLine="707" w:firstLineChars="221"/>
        <w:rPr>
          <w:rFonts w:ascii="Times New Roman" w:hAnsi="Times New Roman" w:eastAsia="仿宋_GB2312"/>
          <w:bCs/>
          <w:sz w:val="32"/>
          <w:szCs w:val="32"/>
        </w:rPr>
      </w:pPr>
      <w:r>
        <w:rPr>
          <w:rFonts w:hint="eastAsia" w:ascii="Times New Roman" w:hAnsi="Times New Roman" w:eastAsia="仿宋_GB2312"/>
          <w:bCs/>
          <w:sz w:val="32"/>
          <w:szCs w:val="32"/>
        </w:rPr>
        <w:t>城市家具、室外雕塑、园林小品设计施工应深度融入藏族、羌族等民族文化元素，在城市和景区雕塑、小品、铺装样式、绿地形态中体现传统符号与现代设计语言的创新结合。鼓励使用地方材料及传统工艺，强化地域识别性。注重与周边自然山水格局协调，塑造显山露水、人文相融的园林风貌，避免同质化现象。各县（市）应根据实际情况制定《XX县（市）城市家具、室外雕塑、园林小品设置导则》，其设置应符合相应的技术、质量标准，须由具备相应资质等级的设计单位进行结构安全设计，由具备相应资质的施工单位施工安装。</w:t>
      </w:r>
    </w:p>
    <w:p w14:paraId="42E93BB8">
      <w:pPr>
        <w:pStyle w:val="4"/>
      </w:pPr>
      <w:bookmarkStart w:id="136" w:name="_Toc233624918"/>
      <w:r>
        <w:t>户外广告和牌匾标识</w:t>
      </w:r>
      <w:bookmarkEnd w:id="136"/>
    </w:p>
    <w:p w14:paraId="2180EE8D">
      <w:pPr>
        <w:spacing w:line="560" w:lineRule="exact"/>
        <w:ind w:right="84" w:rightChars="40" w:firstLine="707" w:firstLineChars="221"/>
        <w:rPr>
          <w:rFonts w:ascii="Times New Roman" w:hAnsi="Times New Roman" w:eastAsia="仿宋_GB2312"/>
          <w:bCs/>
          <w:sz w:val="32"/>
          <w:szCs w:val="32"/>
        </w:rPr>
      </w:pPr>
      <w:r>
        <w:rPr>
          <w:rFonts w:ascii="Times New Roman" w:hAnsi="Times New Roman" w:eastAsia="仿宋_GB2312"/>
          <w:bCs/>
          <w:sz w:val="32"/>
          <w:szCs w:val="32"/>
        </w:rPr>
        <w:t>户外广告包括在道路、车站、广场、桥梁、建筑预留地等建（构）筑物或空间和各类设施上设置的路牌、霓虹灯、指示牌、灯箱、标语、招贴画、墙壁吊幅等广告以及张贴（散发）、利用车辆等交通工具和其他形式进行产品宣传。户外广告设施设置应当坚持统一规划、总量控制、合理布局、确保安全的原则；店招店牌名称必须与营业证照、商标注册相符，设置应当坚持规范有序、整洁美观、兼顾个性的原则。鼓励使用新媒体、新形式、新技术、新材料设置户外广告和店招店牌设施。</w:t>
      </w:r>
    </w:p>
    <w:p w14:paraId="60295DB0">
      <w:pPr>
        <w:spacing w:line="560" w:lineRule="exact"/>
        <w:ind w:right="84" w:rightChars="40" w:firstLine="707" w:firstLineChars="221"/>
        <w:rPr>
          <w:rFonts w:ascii="Times New Roman" w:hAnsi="Times New Roman" w:eastAsia="仿宋_GB2312"/>
          <w:bCs/>
          <w:sz w:val="32"/>
          <w:szCs w:val="32"/>
        </w:rPr>
      </w:pPr>
      <w:r>
        <w:rPr>
          <w:rFonts w:hint="eastAsia" w:ascii="Times New Roman" w:hAnsi="Times New Roman" w:eastAsia="仿宋_GB2312"/>
          <w:bCs/>
          <w:sz w:val="32"/>
          <w:szCs w:val="32"/>
        </w:rPr>
        <w:t>严格按照《城市户外广告和招牌设施技术标准》（CJJ/T 149</w:t>
      </w:r>
      <w:r>
        <w:rPr>
          <w:rFonts w:ascii="Times New Roman" w:hAnsi="Times New Roman" w:eastAsia="仿宋_GB2312"/>
          <w:sz w:val="32"/>
          <w:szCs w:val="32"/>
        </w:rPr>
        <w:t>—</w:t>
      </w:r>
      <w:r>
        <w:rPr>
          <w:rFonts w:hint="eastAsia" w:ascii="Times New Roman" w:hAnsi="Times New Roman" w:eastAsia="仿宋_GB2312"/>
          <w:bCs/>
          <w:sz w:val="32"/>
          <w:szCs w:val="32"/>
        </w:rPr>
        <w:t>2021）要求对户外广告设施进行定期安全检测，防止坠落伤人。</w:t>
      </w:r>
    </w:p>
    <w:p w14:paraId="15B38510">
      <w:pPr>
        <w:spacing w:line="560" w:lineRule="exact"/>
        <w:ind w:right="84" w:rightChars="40" w:firstLine="707" w:firstLineChars="221"/>
        <w:rPr>
          <w:rFonts w:ascii="Times New Roman" w:hAnsi="Times New Roman" w:eastAsia="仿宋_GB2312"/>
          <w:sz w:val="32"/>
          <w:szCs w:val="32"/>
        </w:rPr>
      </w:pPr>
      <w:r>
        <w:rPr>
          <w:rFonts w:ascii="Times New Roman" w:hAnsi="Times New Roman" w:eastAsia="仿宋_GB2312"/>
          <w:bCs/>
          <w:sz w:val="32"/>
          <w:szCs w:val="32"/>
        </w:rPr>
        <w:t>户外广告、牌匾标识的设计、制作和安装，应当符合相应的技术、质量标准，须由具备相应资质等级的设计单位进行结构安全设计，由具备相应资质的施工单位施工安装。</w:t>
      </w:r>
    </w:p>
    <w:p w14:paraId="62225353">
      <w:pPr>
        <w:pStyle w:val="4"/>
      </w:pPr>
      <w:bookmarkStart w:id="137" w:name="_Toc233624919"/>
      <w:r>
        <w:rPr>
          <w:rFonts w:hint="eastAsia"/>
        </w:rPr>
        <w:t>充电设施布局和设计</w:t>
      </w:r>
      <w:bookmarkEnd w:id="137"/>
    </w:p>
    <w:p w14:paraId="3DCD2388">
      <w:pPr>
        <w:spacing w:line="560" w:lineRule="exact"/>
        <w:ind w:firstLine="640" w:firstLineChars="200"/>
        <w:rPr>
          <w:rFonts w:ascii="Times New Roman" w:hAnsi="Times New Roman" w:eastAsia="仿宋_GB2312"/>
          <w:bCs/>
          <w:sz w:val="32"/>
          <w:szCs w:val="32"/>
        </w:rPr>
      </w:pPr>
      <w:r>
        <w:rPr>
          <w:rFonts w:hint="eastAsia" w:ascii="Times New Roman" w:hAnsi="Times New Roman" w:eastAsia="仿宋_GB2312"/>
          <w:bCs/>
          <w:sz w:val="32"/>
          <w:szCs w:val="32"/>
        </w:rPr>
        <w:t>电动汽车充电设施的配置与设计应兼顾电动汽车的使用与技术现状、未来发展，留有发展余地，配建比例不应低于《电动汽车分散充电设施工程技术标准》（GB/T 51313</w:t>
      </w:r>
      <w:r>
        <w:rPr>
          <w:rFonts w:ascii="Times New Roman" w:hAnsi="Times New Roman" w:eastAsia="仿宋_GB2312"/>
          <w:sz w:val="32"/>
          <w:szCs w:val="32"/>
        </w:rPr>
        <w:t>—</w:t>
      </w:r>
      <w:r>
        <w:rPr>
          <w:rFonts w:hint="eastAsia" w:ascii="Times New Roman" w:hAnsi="Times New Roman" w:eastAsia="仿宋_GB2312"/>
          <w:bCs/>
          <w:sz w:val="32"/>
          <w:szCs w:val="32"/>
        </w:rPr>
        <w:t>2018）第3.0.2条规定。充电设施应能为电动汽车提供安全的充电环境，并在充电过程中监控充电设备及被充电车辆。</w:t>
      </w:r>
    </w:p>
    <w:p w14:paraId="764FDC19">
      <w:pPr>
        <w:spacing w:line="560" w:lineRule="exact"/>
        <w:ind w:firstLine="640" w:firstLineChars="200"/>
        <w:rPr>
          <w:rFonts w:ascii="Times New Roman" w:hAnsi="Times New Roman" w:eastAsia="仿宋_GB2312"/>
          <w:bCs/>
          <w:sz w:val="32"/>
          <w:szCs w:val="32"/>
        </w:rPr>
      </w:pPr>
      <w:r>
        <w:rPr>
          <w:rFonts w:hint="eastAsia" w:ascii="Times New Roman" w:hAnsi="Times New Roman" w:eastAsia="仿宋_GB2312"/>
          <w:bCs/>
          <w:sz w:val="32"/>
          <w:szCs w:val="32"/>
        </w:rPr>
        <w:t>充电设施的设计应积极采用节能、环保、免维护或少维护的新技术、新设备和新材料，严禁使用国家和地方明令禁止或淘汰的技术和产品，并应符合《电动汽车充电基础设施消防安全通用技术要求》（GB/T36293</w:t>
      </w:r>
      <w:r>
        <w:rPr>
          <w:rFonts w:ascii="Times New Roman" w:hAnsi="Times New Roman" w:eastAsia="仿宋_GB2312"/>
          <w:sz w:val="32"/>
          <w:szCs w:val="32"/>
        </w:rPr>
        <w:t>—</w:t>
      </w:r>
      <w:r>
        <w:rPr>
          <w:rFonts w:hint="eastAsia" w:ascii="Times New Roman" w:hAnsi="Times New Roman" w:eastAsia="仿宋_GB2312"/>
          <w:bCs/>
          <w:sz w:val="32"/>
          <w:szCs w:val="32"/>
        </w:rPr>
        <w:t>2018） 、《建筑防火通用规范》（GB55037</w:t>
      </w:r>
      <w:r>
        <w:rPr>
          <w:rFonts w:ascii="Times New Roman" w:hAnsi="Times New Roman" w:eastAsia="仿宋_GB2312"/>
          <w:sz w:val="32"/>
          <w:szCs w:val="32"/>
        </w:rPr>
        <w:t>—</w:t>
      </w:r>
      <w:r>
        <w:rPr>
          <w:rFonts w:hint="eastAsia" w:ascii="Times New Roman" w:hAnsi="Times New Roman" w:eastAsia="仿宋_GB2312"/>
          <w:bCs/>
          <w:sz w:val="32"/>
          <w:szCs w:val="32"/>
        </w:rPr>
        <w:t>2022）、《建筑设计防火规范》（GB50016</w:t>
      </w:r>
      <w:r>
        <w:rPr>
          <w:rFonts w:ascii="Times New Roman" w:hAnsi="Times New Roman" w:eastAsia="仿宋_GB2312"/>
          <w:sz w:val="32"/>
          <w:szCs w:val="32"/>
        </w:rPr>
        <w:t>—</w:t>
      </w:r>
      <w:r>
        <w:rPr>
          <w:rFonts w:hint="eastAsia" w:ascii="Times New Roman" w:hAnsi="Times New Roman" w:eastAsia="仿宋_GB2312"/>
          <w:bCs/>
          <w:sz w:val="32"/>
          <w:szCs w:val="32"/>
        </w:rPr>
        <w:t>2014</w:t>
      </w:r>
      <w:r>
        <w:rPr>
          <w:rFonts w:hint="eastAsia" w:ascii="Times New Roman" w:hAnsi="Times New Roman" w:eastAsia="仿宋_GB2312"/>
          <w:kern w:val="44"/>
          <w:sz w:val="32"/>
          <w:szCs w:val="32"/>
        </w:rPr>
        <w:t>〔</w:t>
      </w:r>
      <w:r>
        <w:rPr>
          <w:rFonts w:hint="eastAsia" w:ascii="Times New Roman" w:hAnsi="Times New Roman" w:eastAsia="仿宋_GB2312"/>
          <w:bCs/>
          <w:sz w:val="32"/>
          <w:szCs w:val="32"/>
        </w:rPr>
        <w:t>2018年版〕）、《汽车库、修车库、停车场设计防火规范》（GB50067</w:t>
      </w:r>
      <w:r>
        <w:rPr>
          <w:rFonts w:ascii="Times New Roman" w:hAnsi="Times New Roman" w:eastAsia="仿宋_GB2312"/>
          <w:sz w:val="32"/>
          <w:szCs w:val="32"/>
        </w:rPr>
        <w:t>—</w:t>
      </w:r>
      <w:r>
        <w:rPr>
          <w:rFonts w:hint="eastAsia" w:ascii="Times New Roman" w:hAnsi="Times New Roman" w:eastAsia="仿宋_GB2312"/>
          <w:bCs/>
          <w:sz w:val="32"/>
          <w:szCs w:val="32"/>
        </w:rPr>
        <w:t>2014）。</w:t>
      </w:r>
    </w:p>
    <w:p w14:paraId="384FDEA9">
      <w:pPr>
        <w:spacing w:line="560" w:lineRule="exact"/>
        <w:ind w:firstLine="640" w:firstLineChars="200"/>
        <w:rPr>
          <w:rFonts w:ascii="Times New Roman" w:hAnsi="Times New Roman" w:eastAsia="仿宋_GB2312"/>
          <w:bCs/>
          <w:sz w:val="32"/>
          <w:szCs w:val="32"/>
        </w:rPr>
      </w:pPr>
      <w:r>
        <w:rPr>
          <w:rFonts w:hint="eastAsia" w:ascii="Times New Roman" w:hAnsi="Times New Roman" w:eastAsia="仿宋_GB2312"/>
          <w:bCs/>
          <w:sz w:val="32"/>
          <w:szCs w:val="32"/>
        </w:rPr>
        <w:t>新建建筑的充电设施应与其它设备统筹安排、同步设计、同步施工、同步验收。充电设施可采用整体建成交付或预留建设安装条件的方式进行配置，预留条件包括必要的土建设施、供电容量、变配电设备位置、充电设备位置、线路通道等。电动汽车分散充电设施设计应满足《电动汽车分散充电设施工程技术标准》（GB/T 51313</w:t>
      </w:r>
      <w:r>
        <w:rPr>
          <w:rFonts w:ascii="Times New Roman" w:hAnsi="Times New Roman" w:eastAsia="仿宋_GB2312"/>
          <w:sz w:val="32"/>
          <w:szCs w:val="32"/>
        </w:rPr>
        <w:t>—</w:t>
      </w:r>
      <w:r>
        <w:rPr>
          <w:rFonts w:hint="eastAsia" w:ascii="Times New Roman" w:hAnsi="Times New Roman" w:eastAsia="仿宋_GB2312"/>
          <w:bCs/>
          <w:sz w:val="32"/>
          <w:szCs w:val="32"/>
        </w:rPr>
        <w:t>2018）、《电动汽车充电站设计标准》（GB/T 50966</w:t>
      </w:r>
      <w:r>
        <w:rPr>
          <w:rFonts w:ascii="Times New Roman" w:hAnsi="Times New Roman" w:eastAsia="仿宋_GB2312"/>
          <w:sz w:val="32"/>
          <w:szCs w:val="32"/>
        </w:rPr>
        <w:t>—</w:t>
      </w:r>
      <w:r>
        <w:rPr>
          <w:rFonts w:hint="eastAsia" w:ascii="Times New Roman" w:hAnsi="Times New Roman" w:eastAsia="仿宋_GB2312"/>
          <w:bCs/>
          <w:sz w:val="32"/>
          <w:szCs w:val="32"/>
        </w:rPr>
        <w:t>2024）等国家、地方规范标准。</w:t>
      </w:r>
    </w:p>
    <w:p w14:paraId="0D566520">
      <w:pPr>
        <w:pStyle w:val="3"/>
        <w:numPr>
          <w:ilvl w:val="0"/>
          <w:numId w:val="4"/>
        </w:numPr>
        <w:spacing w:line="560" w:lineRule="exact"/>
        <w:jc w:val="center"/>
        <w:rPr>
          <w:rFonts w:ascii="Times New Roman" w:hAnsi="Times New Roman" w:eastAsia="黑体"/>
          <w:b w:val="0"/>
          <w:sz w:val="36"/>
          <w:szCs w:val="36"/>
        </w:rPr>
      </w:pPr>
      <w:bookmarkStart w:id="138" w:name="_Toc233624920"/>
      <w:r>
        <w:rPr>
          <w:rFonts w:hint="eastAsia" w:ascii="Times New Roman" w:hAnsi="Times New Roman" w:eastAsia="黑体"/>
          <w:b w:val="0"/>
          <w:sz w:val="36"/>
          <w:szCs w:val="36"/>
        </w:rPr>
        <w:t>城镇</w:t>
      </w:r>
      <w:r>
        <w:rPr>
          <w:rFonts w:ascii="Times New Roman" w:hAnsi="Times New Roman" w:eastAsia="黑体"/>
          <w:b w:val="0"/>
          <w:sz w:val="36"/>
          <w:szCs w:val="36"/>
        </w:rPr>
        <w:t>照明</w:t>
      </w:r>
      <w:bookmarkEnd w:id="138"/>
    </w:p>
    <w:p w14:paraId="4374A062">
      <w:pPr>
        <w:pStyle w:val="4"/>
      </w:pPr>
      <w:bookmarkStart w:id="139" w:name="_Toc233624921"/>
      <w:r>
        <w:t>道路照明设计</w:t>
      </w:r>
      <w:bookmarkEnd w:id="139"/>
    </w:p>
    <w:p w14:paraId="51B19D60">
      <w:pPr>
        <w:spacing w:line="560" w:lineRule="exact"/>
        <w:ind w:firstLine="640" w:firstLineChars="200"/>
      </w:pPr>
      <w:r>
        <w:rPr>
          <w:rFonts w:ascii="Times New Roman" w:hAnsi="Times New Roman" w:eastAsia="仿宋_GB2312"/>
          <w:sz w:val="32"/>
          <w:szCs w:val="32"/>
        </w:rPr>
        <w:t>城市道路路面亮度或照度、均匀度、眩光限制值、环境比及照明功率密度值，应当符合国家《城市道路照明设计标准》（CJJ</w:t>
      </w:r>
      <w:r>
        <w:rPr>
          <w:rFonts w:hint="eastAsia" w:ascii="Times New Roman" w:hAnsi="Times New Roman" w:eastAsia="仿宋_GB2312"/>
          <w:sz w:val="32"/>
          <w:szCs w:val="32"/>
        </w:rPr>
        <w:t xml:space="preserve"> </w:t>
      </w:r>
      <w:r>
        <w:rPr>
          <w:rFonts w:ascii="Times New Roman" w:hAnsi="Times New Roman" w:eastAsia="仿宋_GB2312"/>
          <w:sz w:val="32"/>
          <w:szCs w:val="32"/>
        </w:rPr>
        <w:t>45—2015）、《建筑环境通用规范》（GB 55016—2021）及本省相关标准规定。</w:t>
      </w:r>
    </w:p>
    <w:p w14:paraId="0374020D">
      <w:pPr>
        <w:pStyle w:val="4"/>
      </w:pPr>
      <w:bookmarkStart w:id="140" w:name="_Toc233624922"/>
      <w:r>
        <w:t>道路照明灯杆选型</w:t>
      </w:r>
      <w:bookmarkEnd w:id="140"/>
    </w:p>
    <w:p w14:paraId="4FDB5643">
      <w:pPr>
        <w:spacing w:line="56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除主干路、重要门户节点和景观性道路外，其他等级的道路</w:t>
      </w:r>
      <w:r>
        <w:rPr>
          <w:rFonts w:hint="eastAsia" w:ascii="Times New Roman" w:hAnsi="Times New Roman" w:eastAsia="仿宋_GB2312"/>
          <w:sz w:val="32"/>
          <w:szCs w:val="32"/>
        </w:rPr>
        <w:t>不宜</w:t>
      </w:r>
      <w:r>
        <w:rPr>
          <w:rFonts w:ascii="Times New Roman" w:hAnsi="Times New Roman" w:eastAsia="仿宋_GB2312"/>
          <w:sz w:val="32"/>
          <w:szCs w:val="32"/>
        </w:rPr>
        <w:t>采用装饰繁复的定制装饰型路灯，照明灯具设计应遵循简洁、易维护原则</w:t>
      </w:r>
      <w:r>
        <w:rPr>
          <w:rFonts w:hint="eastAsia" w:ascii="Times New Roman" w:hAnsi="Times New Roman" w:eastAsia="仿宋_GB2312"/>
          <w:sz w:val="32"/>
          <w:szCs w:val="32"/>
        </w:rPr>
        <w:t>；</w:t>
      </w:r>
      <w:r>
        <w:rPr>
          <w:rFonts w:hint="eastAsia" w:ascii="Times New Roman" w:hAnsi="Times New Roman" w:eastAsia="仿宋_GB2312"/>
          <w:bCs/>
          <w:sz w:val="32"/>
          <w:szCs w:val="32"/>
        </w:rPr>
        <w:t>各县（市）可根据民族文化和旅游特色在主干路或景观性道路</w:t>
      </w:r>
      <w:r>
        <w:rPr>
          <w:rFonts w:ascii="Times New Roman" w:hAnsi="Times New Roman" w:eastAsia="仿宋_GB2312"/>
          <w:sz w:val="32"/>
          <w:szCs w:val="32"/>
        </w:rPr>
        <w:t>适度体现</w:t>
      </w:r>
      <w:r>
        <w:rPr>
          <w:rFonts w:hint="eastAsia" w:ascii="Times New Roman" w:hAnsi="Times New Roman" w:eastAsia="仿宋_GB2312"/>
          <w:sz w:val="32"/>
          <w:szCs w:val="32"/>
        </w:rPr>
        <w:t>路灯</w:t>
      </w:r>
      <w:r>
        <w:rPr>
          <w:rFonts w:ascii="Times New Roman" w:hAnsi="Times New Roman" w:eastAsia="仿宋_GB2312"/>
          <w:sz w:val="32"/>
          <w:szCs w:val="32"/>
        </w:rPr>
        <w:t>设计感。</w:t>
      </w:r>
      <w:r>
        <w:rPr>
          <w:rFonts w:hint="eastAsia" w:ascii="Times New Roman" w:hAnsi="Times New Roman" w:eastAsia="仿宋_GB2312"/>
          <w:sz w:val="32"/>
          <w:szCs w:val="32"/>
        </w:rPr>
        <w:t>主、次干路灯杆布置和高度，应根据道路横断面形式、道路宽度及照明要求进行选择，并应符合下列规定：</w:t>
      </w:r>
    </w:p>
    <w:p w14:paraId="3DC62632">
      <w:pPr>
        <w:spacing w:line="56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1）灯具的悬挑长度不宜超过安装高度的1/4，灯具的仰角不宜超过15°；</w:t>
      </w:r>
    </w:p>
    <w:p w14:paraId="2B0A39CE">
      <w:pPr>
        <w:spacing w:line="56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2）灯具的布置方式、安装高度和间距可按下表经计算后确定。</w:t>
      </w:r>
    </w:p>
    <w:p w14:paraId="62ACCB08">
      <w:pPr>
        <w:spacing w:line="560" w:lineRule="exact"/>
        <w:ind w:firstLine="640" w:firstLineChars="200"/>
        <w:rPr>
          <w:rFonts w:hint="eastAsia" w:ascii="Times New Roman" w:hAnsi="Times New Roman" w:eastAsia="仿宋_GB2312"/>
          <w:sz w:val="32"/>
          <w:szCs w:val="32"/>
        </w:rPr>
      </w:pPr>
    </w:p>
    <w:p w14:paraId="0034DF32">
      <w:pPr>
        <w:pStyle w:val="12"/>
        <w:jc w:val="center"/>
        <w:rPr>
          <w:rFonts w:ascii="仿宋"/>
          <w:b w:val="0"/>
          <w:bCs/>
          <w:szCs w:val="32"/>
        </w:rPr>
      </w:pPr>
      <w:r>
        <w:rPr>
          <w:rFonts w:hint="eastAsia"/>
        </w:rPr>
        <w:t xml:space="preserve">表 </w:t>
      </w:r>
      <w:r>
        <w:rPr>
          <w:rFonts w:hint="eastAsia"/>
        </w:rPr>
        <w:fldChar w:fldCharType="begin"/>
      </w:r>
      <w:r>
        <w:instrText xml:space="preserve"> </w:instrText>
      </w:r>
      <w:r>
        <w:rPr>
          <w:rFonts w:hint="eastAsia"/>
        </w:rPr>
        <w:instrText xml:space="preserve">STYLEREF 1 \s</w:instrText>
      </w:r>
      <w:r>
        <w:instrText xml:space="preserve"> </w:instrText>
      </w:r>
      <w:r>
        <w:fldChar w:fldCharType="separate"/>
      </w:r>
      <w:r>
        <w:rPr>
          <w:rFonts w:hint="eastAsia"/>
        </w:rPr>
        <w:t>三</w:t>
      </w:r>
      <w:r>
        <w:fldChar w:fldCharType="end"/>
      </w:r>
      <w:r>
        <w:noBreakHyphen/>
      </w:r>
      <w:r>
        <w:rPr>
          <w:rFonts w:hint="eastAsia"/>
        </w:rPr>
        <w:fldChar w:fldCharType="begin"/>
      </w:r>
      <w:r>
        <w:instrText xml:space="preserve"> </w:instrText>
      </w:r>
      <w:r>
        <w:rPr>
          <w:rFonts w:hint="eastAsia"/>
        </w:rPr>
        <w:instrText xml:space="preserve">SEQ 表 \* ARABIC \s 1</w:instrText>
      </w:r>
      <w:r>
        <w:instrText xml:space="preserve"> </w:instrText>
      </w:r>
      <w:r>
        <w:fldChar w:fldCharType="separate"/>
      </w:r>
      <w:r>
        <w:t>9</w:t>
      </w:r>
      <w:r>
        <w:fldChar w:fldCharType="end"/>
      </w:r>
      <w:r>
        <w:rPr>
          <w:rFonts w:hint="eastAsia" w:ascii="仿宋"/>
          <w:szCs w:val="32"/>
        </w:rPr>
        <w:t>灯具的布置方式、安装高度和间距</w:t>
      </w:r>
    </w:p>
    <w:tbl>
      <w:tblPr>
        <w:tblStyle w:val="29"/>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15" w:type="dxa"/>
          <w:left w:w="15" w:type="dxa"/>
          <w:bottom w:w="15" w:type="dxa"/>
          <w:right w:w="15" w:type="dxa"/>
        </w:tblCellMar>
      </w:tblPr>
      <w:tblGrid>
        <w:gridCol w:w="1156"/>
        <w:gridCol w:w="1439"/>
        <w:gridCol w:w="1006"/>
        <w:gridCol w:w="1507"/>
        <w:gridCol w:w="1088"/>
        <w:gridCol w:w="1347"/>
        <w:gridCol w:w="773"/>
      </w:tblGrid>
      <w:tr w14:paraId="13FACD7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503" w:hRule="atLeast"/>
        </w:trPr>
        <w:tc>
          <w:tcPr>
            <w:tcW w:w="1156"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14:paraId="5C05C298">
            <w:pPr>
              <w:spacing w:line="360" w:lineRule="auto"/>
              <w:jc w:val="center"/>
              <w:rPr>
                <w:rFonts w:ascii="Times New Roman" w:hAnsi="Times New Roman" w:eastAsia="仿宋_GB2312"/>
                <w:sz w:val="24"/>
                <w:szCs w:val="24"/>
              </w:rPr>
            </w:pPr>
            <w:r>
              <w:rPr>
                <w:rFonts w:hint="eastAsia" w:ascii="Times New Roman" w:hAnsi="Times New Roman" w:eastAsia="仿宋_GB2312"/>
                <w:sz w:val="24"/>
                <w:szCs w:val="24"/>
              </w:rPr>
              <w:t>配光类型</w:t>
            </w:r>
          </w:p>
        </w:tc>
        <w:tc>
          <w:tcPr>
            <w:tcW w:w="2445" w:type="dxa"/>
            <w:gridSpan w:val="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14:paraId="10AE5E53">
            <w:pPr>
              <w:spacing w:line="360" w:lineRule="auto"/>
              <w:jc w:val="center"/>
              <w:rPr>
                <w:rFonts w:ascii="Times New Roman" w:hAnsi="Times New Roman" w:eastAsia="仿宋_GB2312"/>
                <w:sz w:val="24"/>
                <w:szCs w:val="24"/>
              </w:rPr>
            </w:pPr>
            <w:r>
              <w:rPr>
                <w:rFonts w:hint="eastAsia" w:ascii="Times New Roman" w:hAnsi="Times New Roman" w:eastAsia="仿宋_GB2312"/>
                <w:sz w:val="24"/>
                <w:szCs w:val="24"/>
              </w:rPr>
              <w:t>截光型</w:t>
            </w:r>
          </w:p>
        </w:tc>
        <w:tc>
          <w:tcPr>
            <w:tcW w:w="2595" w:type="dxa"/>
            <w:gridSpan w:val="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14:paraId="5AE14EFB">
            <w:pPr>
              <w:spacing w:line="360" w:lineRule="auto"/>
              <w:jc w:val="center"/>
              <w:rPr>
                <w:rFonts w:ascii="Times New Roman" w:hAnsi="Times New Roman" w:eastAsia="仿宋_GB2312"/>
                <w:sz w:val="24"/>
                <w:szCs w:val="24"/>
              </w:rPr>
            </w:pPr>
            <w:r>
              <w:rPr>
                <w:rFonts w:hint="eastAsia" w:ascii="Times New Roman" w:hAnsi="Times New Roman" w:eastAsia="仿宋_GB2312"/>
                <w:sz w:val="24"/>
                <w:szCs w:val="24"/>
              </w:rPr>
              <w:t>半截光型</w:t>
            </w:r>
          </w:p>
        </w:tc>
        <w:tc>
          <w:tcPr>
            <w:tcW w:w="2120" w:type="dxa"/>
            <w:gridSpan w:val="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14:paraId="7E7408B1">
            <w:pPr>
              <w:spacing w:line="360" w:lineRule="auto"/>
              <w:jc w:val="center"/>
              <w:rPr>
                <w:rFonts w:ascii="Times New Roman" w:hAnsi="Times New Roman" w:eastAsia="仿宋_GB2312"/>
                <w:sz w:val="24"/>
                <w:szCs w:val="24"/>
              </w:rPr>
            </w:pPr>
            <w:r>
              <w:rPr>
                <w:rFonts w:hint="eastAsia" w:ascii="Times New Roman" w:hAnsi="Times New Roman" w:eastAsia="仿宋_GB2312"/>
                <w:sz w:val="24"/>
                <w:szCs w:val="24"/>
              </w:rPr>
              <w:t>非截光型</w:t>
            </w:r>
          </w:p>
        </w:tc>
      </w:tr>
      <w:tr w14:paraId="7A91F1D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867" w:hRule="atLeast"/>
        </w:trPr>
        <w:tc>
          <w:tcPr>
            <w:tcW w:w="1156"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14:paraId="54088F4C">
            <w:pPr>
              <w:jc w:val="center"/>
              <w:rPr>
                <w:rFonts w:ascii="Times New Roman" w:hAnsi="Times New Roman" w:eastAsia="仿宋_GB2312"/>
                <w:sz w:val="24"/>
                <w:szCs w:val="24"/>
              </w:rPr>
            </w:pPr>
            <w:r>
              <w:rPr>
                <w:rFonts w:hint="eastAsia" w:ascii="Times New Roman" w:hAnsi="Times New Roman" w:eastAsia="仿宋_GB2312"/>
                <w:sz w:val="24"/>
                <w:szCs w:val="24"/>
              </w:rPr>
              <w:t>布置方式</w:t>
            </w:r>
          </w:p>
        </w:tc>
        <w:tc>
          <w:tcPr>
            <w:tcW w:w="1439"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14:paraId="6318B3AC">
            <w:pPr>
              <w:jc w:val="center"/>
              <w:rPr>
                <w:rFonts w:ascii="Times New Roman" w:hAnsi="Times New Roman" w:eastAsia="仿宋_GB2312"/>
                <w:sz w:val="24"/>
                <w:szCs w:val="24"/>
              </w:rPr>
            </w:pPr>
            <w:r>
              <w:rPr>
                <w:rFonts w:hint="eastAsia" w:ascii="Times New Roman" w:hAnsi="Times New Roman" w:eastAsia="仿宋_GB2312"/>
                <w:sz w:val="24"/>
                <w:szCs w:val="24"/>
              </w:rPr>
              <w:t>安装高度</w:t>
            </w:r>
          </w:p>
          <w:p w14:paraId="6E93B209">
            <w:pPr>
              <w:jc w:val="center"/>
              <w:rPr>
                <w:rFonts w:ascii="Times New Roman" w:hAnsi="Times New Roman" w:eastAsia="仿宋_GB2312"/>
                <w:sz w:val="24"/>
                <w:szCs w:val="24"/>
              </w:rPr>
            </w:pPr>
            <w:r>
              <w:rPr>
                <w:rFonts w:hint="eastAsia" w:ascii="Times New Roman" w:hAnsi="Times New Roman" w:eastAsia="仿宋_GB2312"/>
                <w:sz w:val="24"/>
                <w:szCs w:val="24"/>
              </w:rPr>
              <w:t>H（m）</w:t>
            </w:r>
          </w:p>
        </w:tc>
        <w:tc>
          <w:tcPr>
            <w:tcW w:w="1006"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14:paraId="50FA3FB6">
            <w:pPr>
              <w:jc w:val="center"/>
              <w:rPr>
                <w:rFonts w:ascii="Times New Roman" w:hAnsi="Times New Roman" w:eastAsia="仿宋_GB2312"/>
                <w:sz w:val="24"/>
                <w:szCs w:val="24"/>
              </w:rPr>
            </w:pPr>
            <w:r>
              <w:rPr>
                <w:rFonts w:hint="eastAsia" w:ascii="Times New Roman" w:hAnsi="Times New Roman" w:eastAsia="仿宋_GB2312"/>
                <w:sz w:val="24"/>
                <w:szCs w:val="24"/>
              </w:rPr>
              <w:t>间距</w:t>
            </w:r>
          </w:p>
          <w:p w14:paraId="7D535926">
            <w:pPr>
              <w:jc w:val="center"/>
              <w:rPr>
                <w:rFonts w:ascii="Times New Roman" w:hAnsi="Times New Roman" w:eastAsia="仿宋_GB2312"/>
                <w:sz w:val="24"/>
                <w:szCs w:val="24"/>
              </w:rPr>
            </w:pPr>
            <w:r>
              <w:rPr>
                <w:rFonts w:hint="eastAsia" w:ascii="Times New Roman" w:hAnsi="Times New Roman" w:eastAsia="仿宋_GB2312"/>
                <w:sz w:val="24"/>
                <w:szCs w:val="24"/>
              </w:rPr>
              <w:t>S（m）</w:t>
            </w:r>
          </w:p>
        </w:tc>
        <w:tc>
          <w:tcPr>
            <w:tcW w:w="1507"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14:paraId="0DC6D7AE">
            <w:pPr>
              <w:jc w:val="center"/>
              <w:rPr>
                <w:rFonts w:ascii="Times New Roman" w:hAnsi="Times New Roman" w:eastAsia="仿宋_GB2312"/>
                <w:sz w:val="24"/>
                <w:szCs w:val="24"/>
              </w:rPr>
            </w:pPr>
            <w:r>
              <w:rPr>
                <w:rFonts w:hint="eastAsia" w:ascii="Times New Roman" w:hAnsi="Times New Roman" w:eastAsia="仿宋_GB2312"/>
                <w:sz w:val="24"/>
                <w:szCs w:val="24"/>
              </w:rPr>
              <w:t>安装高度 H（m）</w:t>
            </w:r>
          </w:p>
        </w:tc>
        <w:tc>
          <w:tcPr>
            <w:tcW w:w="1088"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14:paraId="733775A6">
            <w:pPr>
              <w:jc w:val="center"/>
              <w:rPr>
                <w:rFonts w:ascii="Times New Roman" w:hAnsi="Times New Roman" w:eastAsia="仿宋_GB2312"/>
                <w:sz w:val="24"/>
                <w:szCs w:val="24"/>
              </w:rPr>
            </w:pPr>
            <w:r>
              <w:rPr>
                <w:rFonts w:hint="eastAsia" w:ascii="Times New Roman" w:hAnsi="Times New Roman" w:eastAsia="仿宋_GB2312"/>
                <w:sz w:val="24"/>
                <w:szCs w:val="24"/>
              </w:rPr>
              <w:t>间距 S（m）</w:t>
            </w:r>
          </w:p>
        </w:tc>
        <w:tc>
          <w:tcPr>
            <w:tcW w:w="1347"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14:paraId="4E3BFF43">
            <w:pPr>
              <w:jc w:val="center"/>
              <w:rPr>
                <w:rFonts w:ascii="Times New Roman" w:hAnsi="Times New Roman" w:eastAsia="仿宋_GB2312"/>
                <w:sz w:val="24"/>
                <w:szCs w:val="24"/>
              </w:rPr>
            </w:pPr>
            <w:r>
              <w:rPr>
                <w:rFonts w:hint="eastAsia" w:ascii="Times New Roman" w:hAnsi="Times New Roman" w:eastAsia="仿宋_GB2312"/>
                <w:sz w:val="24"/>
                <w:szCs w:val="24"/>
              </w:rPr>
              <w:t>安装高度 H（m）</w:t>
            </w:r>
          </w:p>
        </w:tc>
        <w:tc>
          <w:tcPr>
            <w:tcW w:w="773"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14:paraId="2BA5E2A4">
            <w:pPr>
              <w:jc w:val="center"/>
              <w:rPr>
                <w:rFonts w:ascii="Times New Roman" w:hAnsi="Times New Roman" w:eastAsia="仿宋_GB2312"/>
                <w:sz w:val="24"/>
                <w:szCs w:val="24"/>
              </w:rPr>
            </w:pPr>
            <w:r>
              <w:rPr>
                <w:rFonts w:hint="eastAsia" w:ascii="Times New Roman" w:hAnsi="Times New Roman" w:eastAsia="仿宋_GB2312"/>
                <w:sz w:val="24"/>
                <w:szCs w:val="24"/>
              </w:rPr>
              <w:t>间距 S（m）</w:t>
            </w:r>
          </w:p>
        </w:tc>
      </w:tr>
      <w:tr w14:paraId="2D63E8D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98" w:hRule="atLeast"/>
        </w:trPr>
        <w:tc>
          <w:tcPr>
            <w:tcW w:w="1156"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14:paraId="7BF51C60">
            <w:pPr>
              <w:jc w:val="center"/>
              <w:rPr>
                <w:rFonts w:ascii="Times New Roman" w:hAnsi="Times New Roman" w:eastAsia="仿宋_GB2312"/>
                <w:sz w:val="24"/>
                <w:szCs w:val="24"/>
              </w:rPr>
            </w:pPr>
            <w:r>
              <w:rPr>
                <w:rFonts w:hint="eastAsia" w:ascii="Times New Roman" w:hAnsi="Times New Roman" w:eastAsia="仿宋_GB2312"/>
                <w:sz w:val="24"/>
                <w:szCs w:val="24"/>
              </w:rPr>
              <w:t>单侧布置</w:t>
            </w:r>
          </w:p>
        </w:tc>
        <w:tc>
          <w:tcPr>
            <w:tcW w:w="1439"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14:paraId="636EFD59">
            <w:pPr>
              <w:spacing w:line="360" w:lineRule="auto"/>
              <w:jc w:val="center"/>
              <w:rPr>
                <w:rFonts w:ascii="Times New Roman" w:hAnsi="Times New Roman" w:eastAsia="仿宋_GB2312"/>
                <w:sz w:val="24"/>
                <w:szCs w:val="24"/>
              </w:rPr>
            </w:pPr>
            <w:r>
              <w:rPr>
                <w:rFonts w:hint="eastAsia" w:ascii="Times New Roman" w:hAnsi="Times New Roman" w:eastAsia="仿宋_GB2312"/>
                <w:sz w:val="24"/>
                <w:szCs w:val="24"/>
              </w:rPr>
              <w:t>H≥W</w:t>
            </w:r>
            <w:r>
              <w:rPr>
                <w:rFonts w:hint="eastAsia" w:ascii="Times New Roman" w:hAnsi="Times New Roman" w:eastAsia="仿宋_GB2312"/>
                <w:sz w:val="24"/>
                <w:szCs w:val="24"/>
                <w:vertAlign w:val="subscript"/>
              </w:rPr>
              <w:t>eff</w:t>
            </w:r>
          </w:p>
        </w:tc>
        <w:tc>
          <w:tcPr>
            <w:tcW w:w="1006"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14:paraId="18CA2A4C">
            <w:pPr>
              <w:spacing w:line="360" w:lineRule="auto"/>
              <w:jc w:val="center"/>
              <w:rPr>
                <w:rFonts w:ascii="Times New Roman" w:hAnsi="Times New Roman" w:eastAsia="仿宋_GB2312"/>
                <w:sz w:val="24"/>
                <w:szCs w:val="24"/>
              </w:rPr>
            </w:pPr>
            <w:r>
              <w:rPr>
                <w:rFonts w:hint="eastAsia" w:ascii="Times New Roman" w:hAnsi="Times New Roman" w:eastAsia="仿宋_GB2312"/>
                <w:sz w:val="24"/>
                <w:szCs w:val="24"/>
              </w:rPr>
              <w:t>S≤3H</w:t>
            </w:r>
          </w:p>
        </w:tc>
        <w:tc>
          <w:tcPr>
            <w:tcW w:w="1507"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14:paraId="6667D7C8">
            <w:pPr>
              <w:spacing w:line="360" w:lineRule="auto"/>
              <w:jc w:val="center"/>
              <w:rPr>
                <w:rFonts w:ascii="Times New Roman" w:hAnsi="Times New Roman" w:eastAsia="仿宋_GB2312"/>
                <w:sz w:val="24"/>
                <w:szCs w:val="24"/>
              </w:rPr>
            </w:pPr>
            <w:r>
              <w:rPr>
                <w:rFonts w:hint="eastAsia" w:ascii="Times New Roman" w:hAnsi="Times New Roman" w:eastAsia="仿宋_GB2312"/>
                <w:sz w:val="24"/>
                <w:szCs w:val="24"/>
              </w:rPr>
              <w:t>H≥1.2W</w:t>
            </w:r>
            <w:r>
              <w:rPr>
                <w:rFonts w:hint="eastAsia" w:ascii="Times New Roman" w:hAnsi="Times New Roman" w:eastAsia="仿宋_GB2312"/>
                <w:sz w:val="24"/>
                <w:szCs w:val="24"/>
                <w:vertAlign w:val="subscript"/>
              </w:rPr>
              <w:t>eff</w:t>
            </w:r>
          </w:p>
        </w:tc>
        <w:tc>
          <w:tcPr>
            <w:tcW w:w="1088"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14:paraId="69A1485B">
            <w:pPr>
              <w:spacing w:line="360" w:lineRule="auto"/>
              <w:jc w:val="center"/>
              <w:rPr>
                <w:rFonts w:ascii="Times New Roman" w:hAnsi="Times New Roman" w:eastAsia="仿宋_GB2312"/>
                <w:sz w:val="24"/>
                <w:szCs w:val="24"/>
              </w:rPr>
            </w:pPr>
            <w:r>
              <w:rPr>
                <w:rFonts w:hint="eastAsia" w:ascii="Times New Roman" w:hAnsi="Times New Roman" w:eastAsia="仿宋_GB2312"/>
                <w:sz w:val="24"/>
                <w:szCs w:val="24"/>
              </w:rPr>
              <w:t>S≤3.5H</w:t>
            </w:r>
          </w:p>
        </w:tc>
        <w:tc>
          <w:tcPr>
            <w:tcW w:w="1347"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14:paraId="0DBA13C3">
            <w:pPr>
              <w:spacing w:line="360" w:lineRule="auto"/>
              <w:jc w:val="center"/>
              <w:rPr>
                <w:rFonts w:ascii="Times New Roman" w:hAnsi="Times New Roman" w:eastAsia="仿宋_GB2312"/>
                <w:sz w:val="24"/>
                <w:szCs w:val="24"/>
              </w:rPr>
            </w:pPr>
            <w:r>
              <w:rPr>
                <w:rFonts w:hint="eastAsia" w:ascii="Times New Roman" w:hAnsi="Times New Roman" w:eastAsia="仿宋_GB2312"/>
                <w:sz w:val="24"/>
                <w:szCs w:val="24"/>
              </w:rPr>
              <w:t>H≥1.4W</w:t>
            </w:r>
            <w:r>
              <w:rPr>
                <w:rFonts w:hint="eastAsia" w:ascii="Times New Roman" w:hAnsi="Times New Roman" w:eastAsia="仿宋_GB2312"/>
                <w:sz w:val="24"/>
                <w:szCs w:val="24"/>
                <w:vertAlign w:val="subscript"/>
              </w:rPr>
              <w:t>eff</w:t>
            </w:r>
          </w:p>
        </w:tc>
        <w:tc>
          <w:tcPr>
            <w:tcW w:w="773"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14:paraId="14744E56">
            <w:pPr>
              <w:spacing w:line="360" w:lineRule="auto"/>
              <w:jc w:val="center"/>
              <w:rPr>
                <w:rFonts w:ascii="Times New Roman" w:hAnsi="Times New Roman" w:eastAsia="仿宋_GB2312"/>
                <w:sz w:val="24"/>
                <w:szCs w:val="24"/>
              </w:rPr>
            </w:pPr>
            <w:r>
              <w:rPr>
                <w:rFonts w:hint="eastAsia" w:ascii="Times New Roman" w:hAnsi="Times New Roman" w:eastAsia="仿宋_GB2312"/>
                <w:sz w:val="24"/>
                <w:szCs w:val="24"/>
              </w:rPr>
              <w:t>S≤4H</w:t>
            </w:r>
          </w:p>
        </w:tc>
      </w:tr>
      <w:tr w14:paraId="6845D24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89" w:hRule="atLeast"/>
        </w:trPr>
        <w:tc>
          <w:tcPr>
            <w:tcW w:w="1156"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14:paraId="2179D1FF">
            <w:pPr>
              <w:jc w:val="center"/>
              <w:rPr>
                <w:rFonts w:ascii="Times New Roman" w:hAnsi="Times New Roman" w:eastAsia="仿宋_GB2312"/>
                <w:sz w:val="24"/>
                <w:szCs w:val="24"/>
              </w:rPr>
            </w:pPr>
            <w:r>
              <w:rPr>
                <w:rFonts w:hint="eastAsia" w:ascii="Times New Roman" w:hAnsi="Times New Roman" w:eastAsia="仿宋_GB2312"/>
                <w:sz w:val="24"/>
                <w:szCs w:val="24"/>
              </w:rPr>
              <w:t>双侧交错布置</w:t>
            </w:r>
          </w:p>
        </w:tc>
        <w:tc>
          <w:tcPr>
            <w:tcW w:w="1439"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14:paraId="4C1B8823">
            <w:pPr>
              <w:spacing w:line="360" w:lineRule="auto"/>
              <w:jc w:val="center"/>
              <w:rPr>
                <w:rFonts w:ascii="Times New Roman" w:hAnsi="Times New Roman" w:eastAsia="仿宋_GB2312"/>
                <w:sz w:val="24"/>
                <w:szCs w:val="24"/>
              </w:rPr>
            </w:pPr>
            <w:r>
              <w:rPr>
                <w:rFonts w:hint="eastAsia" w:ascii="Times New Roman" w:hAnsi="Times New Roman" w:eastAsia="仿宋_GB2312"/>
                <w:sz w:val="24"/>
                <w:szCs w:val="24"/>
              </w:rPr>
              <w:t>H≥0.7W</w:t>
            </w:r>
            <w:r>
              <w:rPr>
                <w:rFonts w:hint="eastAsia" w:ascii="Times New Roman" w:hAnsi="Times New Roman" w:eastAsia="仿宋_GB2312"/>
                <w:sz w:val="24"/>
                <w:szCs w:val="24"/>
                <w:vertAlign w:val="subscript"/>
              </w:rPr>
              <w:t>eff</w:t>
            </w:r>
          </w:p>
        </w:tc>
        <w:tc>
          <w:tcPr>
            <w:tcW w:w="1006"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14:paraId="08F7C7EB">
            <w:pPr>
              <w:spacing w:line="360" w:lineRule="auto"/>
              <w:jc w:val="center"/>
              <w:rPr>
                <w:rFonts w:ascii="Times New Roman" w:hAnsi="Times New Roman" w:eastAsia="仿宋_GB2312"/>
                <w:sz w:val="24"/>
                <w:szCs w:val="24"/>
              </w:rPr>
            </w:pPr>
            <w:r>
              <w:rPr>
                <w:rFonts w:hint="eastAsia" w:ascii="Times New Roman" w:hAnsi="Times New Roman" w:eastAsia="仿宋_GB2312"/>
                <w:sz w:val="24"/>
                <w:szCs w:val="24"/>
              </w:rPr>
              <w:t>S≤3H</w:t>
            </w:r>
          </w:p>
        </w:tc>
        <w:tc>
          <w:tcPr>
            <w:tcW w:w="1507"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14:paraId="41219924">
            <w:pPr>
              <w:spacing w:line="360" w:lineRule="auto"/>
              <w:jc w:val="center"/>
              <w:rPr>
                <w:rFonts w:ascii="Times New Roman" w:hAnsi="Times New Roman" w:eastAsia="仿宋_GB2312"/>
                <w:sz w:val="24"/>
                <w:szCs w:val="24"/>
              </w:rPr>
            </w:pPr>
            <w:r>
              <w:rPr>
                <w:rFonts w:hint="eastAsia" w:ascii="Times New Roman" w:hAnsi="Times New Roman" w:eastAsia="仿宋_GB2312"/>
                <w:sz w:val="24"/>
                <w:szCs w:val="24"/>
              </w:rPr>
              <w:t>H≥0.8W</w:t>
            </w:r>
            <w:r>
              <w:rPr>
                <w:rFonts w:hint="eastAsia" w:ascii="Times New Roman" w:hAnsi="Times New Roman" w:eastAsia="仿宋_GB2312"/>
                <w:sz w:val="24"/>
                <w:szCs w:val="24"/>
                <w:vertAlign w:val="subscript"/>
              </w:rPr>
              <w:t>eff</w:t>
            </w:r>
          </w:p>
        </w:tc>
        <w:tc>
          <w:tcPr>
            <w:tcW w:w="1088"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14:paraId="5F5D80C6">
            <w:pPr>
              <w:spacing w:line="360" w:lineRule="auto"/>
              <w:jc w:val="center"/>
              <w:rPr>
                <w:rFonts w:ascii="Times New Roman" w:hAnsi="Times New Roman" w:eastAsia="仿宋_GB2312"/>
                <w:sz w:val="24"/>
                <w:szCs w:val="24"/>
              </w:rPr>
            </w:pPr>
            <w:r>
              <w:rPr>
                <w:rFonts w:hint="eastAsia" w:ascii="Times New Roman" w:hAnsi="Times New Roman" w:eastAsia="仿宋_GB2312"/>
                <w:sz w:val="24"/>
                <w:szCs w:val="24"/>
              </w:rPr>
              <w:t>S≤3.5H</w:t>
            </w:r>
          </w:p>
        </w:tc>
        <w:tc>
          <w:tcPr>
            <w:tcW w:w="1347"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14:paraId="255DE051">
            <w:pPr>
              <w:spacing w:line="360" w:lineRule="auto"/>
              <w:jc w:val="center"/>
              <w:rPr>
                <w:rFonts w:ascii="Times New Roman" w:hAnsi="Times New Roman" w:eastAsia="仿宋_GB2312"/>
                <w:sz w:val="24"/>
                <w:szCs w:val="24"/>
              </w:rPr>
            </w:pPr>
            <w:r>
              <w:rPr>
                <w:rFonts w:hint="eastAsia" w:ascii="Times New Roman" w:hAnsi="Times New Roman" w:eastAsia="仿宋_GB2312"/>
                <w:sz w:val="24"/>
                <w:szCs w:val="24"/>
              </w:rPr>
              <w:t>H≥0.9W</w:t>
            </w:r>
            <w:r>
              <w:rPr>
                <w:rFonts w:hint="eastAsia" w:ascii="Times New Roman" w:hAnsi="Times New Roman" w:eastAsia="仿宋_GB2312"/>
                <w:sz w:val="24"/>
                <w:szCs w:val="24"/>
                <w:vertAlign w:val="subscript"/>
              </w:rPr>
              <w:t>eff</w:t>
            </w:r>
          </w:p>
        </w:tc>
        <w:tc>
          <w:tcPr>
            <w:tcW w:w="773"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14:paraId="1F388773">
            <w:pPr>
              <w:spacing w:line="360" w:lineRule="auto"/>
              <w:jc w:val="center"/>
              <w:rPr>
                <w:rFonts w:ascii="Times New Roman" w:hAnsi="Times New Roman" w:eastAsia="仿宋_GB2312"/>
                <w:sz w:val="24"/>
                <w:szCs w:val="24"/>
              </w:rPr>
            </w:pPr>
            <w:r>
              <w:rPr>
                <w:rFonts w:hint="eastAsia" w:ascii="Times New Roman" w:hAnsi="Times New Roman" w:eastAsia="仿宋_GB2312"/>
                <w:sz w:val="24"/>
                <w:szCs w:val="24"/>
              </w:rPr>
              <w:t>S≤4H</w:t>
            </w:r>
          </w:p>
        </w:tc>
      </w:tr>
      <w:tr w14:paraId="1FDA3EF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93" w:hRule="atLeast"/>
        </w:trPr>
        <w:tc>
          <w:tcPr>
            <w:tcW w:w="1156"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14:paraId="21833AD4">
            <w:pPr>
              <w:jc w:val="center"/>
              <w:rPr>
                <w:rFonts w:ascii="Times New Roman" w:hAnsi="Times New Roman" w:eastAsia="仿宋_GB2312"/>
                <w:sz w:val="24"/>
                <w:szCs w:val="24"/>
              </w:rPr>
            </w:pPr>
            <w:r>
              <w:rPr>
                <w:rFonts w:hint="eastAsia" w:ascii="Times New Roman" w:hAnsi="Times New Roman" w:eastAsia="仿宋_GB2312"/>
                <w:sz w:val="24"/>
                <w:szCs w:val="24"/>
              </w:rPr>
              <w:t>双侧对称布置</w:t>
            </w:r>
          </w:p>
        </w:tc>
        <w:tc>
          <w:tcPr>
            <w:tcW w:w="1439"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14:paraId="3EE4C213">
            <w:pPr>
              <w:spacing w:line="360" w:lineRule="auto"/>
              <w:jc w:val="center"/>
              <w:rPr>
                <w:rFonts w:ascii="Times New Roman" w:hAnsi="Times New Roman" w:eastAsia="仿宋_GB2312"/>
                <w:sz w:val="24"/>
                <w:szCs w:val="24"/>
              </w:rPr>
            </w:pPr>
            <w:r>
              <w:rPr>
                <w:rFonts w:hint="eastAsia" w:ascii="Times New Roman" w:hAnsi="Times New Roman" w:eastAsia="仿宋_GB2312"/>
                <w:sz w:val="24"/>
                <w:szCs w:val="24"/>
              </w:rPr>
              <w:t>H≥0.5W</w:t>
            </w:r>
            <w:r>
              <w:rPr>
                <w:rFonts w:hint="eastAsia" w:ascii="Times New Roman" w:hAnsi="Times New Roman" w:eastAsia="仿宋_GB2312"/>
                <w:sz w:val="24"/>
                <w:szCs w:val="24"/>
                <w:vertAlign w:val="subscript"/>
              </w:rPr>
              <w:t>eff</w:t>
            </w:r>
          </w:p>
        </w:tc>
        <w:tc>
          <w:tcPr>
            <w:tcW w:w="1006"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14:paraId="53FC098C">
            <w:pPr>
              <w:spacing w:line="360" w:lineRule="auto"/>
              <w:jc w:val="center"/>
              <w:rPr>
                <w:rFonts w:ascii="Times New Roman" w:hAnsi="Times New Roman" w:eastAsia="仿宋_GB2312"/>
                <w:sz w:val="24"/>
                <w:szCs w:val="24"/>
              </w:rPr>
            </w:pPr>
            <w:r>
              <w:rPr>
                <w:rFonts w:hint="eastAsia" w:ascii="Times New Roman" w:hAnsi="Times New Roman" w:eastAsia="仿宋_GB2312"/>
                <w:sz w:val="24"/>
                <w:szCs w:val="24"/>
              </w:rPr>
              <w:t>S≤3H</w:t>
            </w:r>
          </w:p>
        </w:tc>
        <w:tc>
          <w:tcPr>
            <w:tcW w:w="1507"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14:paraId="1852CB78">
            <w:pPr>
              <w:spacing w:line="360" w:lineRule="auto"/>
              <w:jc w:val="center"/>
              <w:rPr>
                <w:rFonts w:ascii="Times New Roman" w:hAnsi="Times New Roman" w:eastAsia="仿宋_GB2312"/>
                <w:sz w:val="24"/>
                <w:szCs w:val="24"/>
              </w:rPr>
            </w:pPr>
            <w:r>
              <w:rPr>
                <w:rFonts w:hint="eastAsia" w:ascii="Times New Roman" w:hAnsi="Times New Roman" w:eastAsia="仿宋_GB2312"/>
                <w:sz w:val="24"/>
                <w:szCs w:val="24"/>
              </w:rPr>
              <w:t>H≥0.6W</w:t>
            </w:r>
            <w:r>
              <w:rPr>
                <w:rFonts w:hint="eastAsia" w:ascii="Times New Roman" w:hAnsi="Times New Roman" w:eastAsia="仿宋_GB2312"/>
                <w:sz w:val="24"/>
                <w:szCs w:val="24"/>
                <w:vertAlign w:val="subscript"/>
              </w:rPr>
              <w:t>eff</w:t>
            </w:r>
          </w:p>
        </w:tc>
        <w:tc>
          <w:tcPr>
            <w:tcW w:w="1088"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14:paraId="197CD53E">
            <w:pPr>
              <w:spacing w:line="360" w:lineRule="auto"/>
              <w:jc w:val="center"/>
              <w:rPr>
                <w:rFonts w:ascii="Times New Roman" w:hAnsi="Times New Roman" w:eastAsia="仿宋_GB2312"/>
                <w:sz w:val="24"/>
                <w:szCs w:val="24"/>
              </w:rPr>
            </w:pPr>
            <w:r>
              <w:rPr>
                <w:rFonts w:hint="eastAsia" w:ascii="Times New Roman" w:hAnsi="Times New Roman" w:eastAsia="仿宋_GB2312"/>
                <w:sz w:val="24"/>
                <w:szCs w:val="24"/>
              </w:rPr>
              <w:t>S≤3.5H</w:t>
            </w:r>
          </w:p>
        </w:tc>
        <w:tc>
          <w:tcPr>
            <w:tcW w:w="1347"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14:paraId="3B96C12A">
            <w:pPr>
              <w:spacing w:line="360" w:lineRule="auto"/>
              <w:jc w:val="center"/>
              <w:rPr>
                <w:rFonts w:ascii="Times New Roman" w:hAnsi="Times New Roman" w:eastAsia="仿宋_GB2312"/>
                <w:sz w:val="24"/>
                <w:szCs w:val="24"/>
              </w:rPr>
            </w:pPr>
            <w:r>
              <w:rPr>
                <w:rFonts w:hint="eastAsia" w:ascii="Times New Roman" w:hAnsi="Times New Roman" w:eastAsia="仿宋_GB2312"/>
                <w:sz w:val="24"/>
                <w:szCs w:val="24"/>
              </w:rPr>
              <w:t>H≥0.7W</w:t>
            </w:r>
            <w:r>
              <w:rPr>
                <w:rFonts w:hint="eastAsia" w:ascii="Times New Roman" w:hAnsi="Times New Roman" w:eastAsia="仿宋_GB2312"/>
                <w:sz w:val="24"/>
                <w:szCs w:val="24"/>
                <w:vertAlign w:val="subscript"/>
              </w:rPr>
              <w:t>eff</w:t>
            </w:r>
          </w:p>
        </w:tc>
        <w:tc>
          <w:tcPr>
            <w:tcW w:w="773"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14:paraId="30C20CCB">
            <w:pPr>
              <w:spacing w:line="360" w:lineRule="auto"/>
              <w:jc w:val="center"/>
              <w:rPr>
                <w:rFonts w:ascii="Times New Roman" w:hAnsi="Times New Roman" w:eastAsia="仿宋_GB2312"/>
                <w:sz w:val="24"/>
                <w:szCs w:val="24"/>
              </w:rPr>
            </w:pPr>
            <w:r>
              <w:rPr>
                <w:rFonts w:hint="eastAsia" w:ascii="Times New Roman" w:hAnsi="Times New Roman" w:eastAsia="仿宋_GB2312"/>
                <w:sz w:val="24"/>
                <w:szCs w:val="24"/>
              </w:rPr>
              <w:t>S≤4H</w:t>
            </w:r>
          </w:p>
        </w:tc>
      </w:tr>
    </w:tbl>
    <w:p w14:paraId="067AFD62">
      <w:pPr>
        <w:pStyle w:val="4"/>
      </w:pPr>
      <w:bookmarkStart w:id="141" w:name="_Toc233624923"/>
      <w:r>
        <w:t>道路照明灯具选型</w:t>
      </w:r>
      <w:bookmarkEnd w:id="141"/>
    </w:p>
    <w:p w14:paraId="534037E8">
      <w:pPr>
        <w:spacing w:line="56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道</w:t>
      </w:r>
      <w:r>
        <w:rPr>
          <w:rFonts w:hint="eastAsia" w:ascii="Times New Roman" w:hAnsi="Times New Roman" w:eastAsia="仿宋_GB2312"/>
          <w:sz w:val="32"/>
          <w:szCs w:val="32"/>
        </w:rPr>
        <w:t>路灯光源色温宜优先选择中或低色温光源（取值 3000~4000K），显色指数Ra≥60，灯具宜选择上部金属、下部强化玻璃灯罩或UV不小于8级的PC耐力灯罩；照明光源慎用彩色光，勾边宜采用暖色光，色温2000~3000K为宜。</w:t>
      </w:r>
    </w:p>
    <w:p w14:paraId="6E49FD2E">
      <w:pPr>
        <w:spacing w:line="56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主、次干路照明光源宜选择中低色温光源，原则上色温不宜高于5000K，以3000~4000K为宜，光源显色指数Ra≥60。</w:t>
      </w:r>
    </w:p>
    <w:p w14:paraId="68DC99C4">
      <w:pPr>
        <w:pStyle w:val="4"/>
      </w:pPr>
      <w:bookmarkStart w:id="142" w:name="_Toc233624924"/>
      <w:r>
        <w:rPr>
          <w:rFonts w:hint="eastAsia"/>
        </w:rPr>
        <w:t>绿化</w:t>
      </w:r>
      <w:r>
        <w:t>照明</w:t>
      </w:r>
      <w:bookmarkEnd w:id="142"/>
    </w:p>
    <w:p w14:paraId="1EA09D48">
      <w:pPr>
        <w:spacing w:line="560" w:lineRule="exact"/>
        <w:ind w:right="84" w:rightChars="40" w:firstLine="707" w:firstLineChars="221"/>
      </w:pPr>
      <w:r>
        <w:rPr>
          <w:rFonts w:hint="eastAsia" w:ascii="Times New Roman" w:hAnsi="Times New Roman" w:eastAsia="仿宋_GB2312"/>
          <w:bCs/>
          <w:sz w:val="32"/>
          <w:szCs w:val="32"/>
        </w:rPr>
        <w:t>绿化</w:t>
      </w:r>
      <w:r>
        <w:rPr>
          <w:rFonts w:ascii="Times New Roman" w:hAnsi="Times New Roman" w:eastAsia="仿宋_GB2312"/>
          <w:bCs/>
          <w:sz w:val="32"/>
          <w:szCs w:val="32"/>
        </w:rPr>
        <w:t>照明设计应遵循节能环保、安全美观原则，优先选用LED等高效节能光源，控制色温在3000</w:t>
      </w:r>
      <w:r>
        <w:rPr>
          <w:rFonts w:hint="eastAsia" w:ascii="Times New Roman" w:hAnsi="Times New Roman" w:eastAsia="仿宋_GB2312"/>
          <w:sz w:val="32"/>
          <w:szCs w:val="32"/>
        </w:rPr>
        <w:t>~</w:t>
      </w:r>
      <w:r>
        <w:rPr>
          <w:rFonts w:ascii="Times New Roman" w:hAnsi="Times New Roman" w:eastAsia="仿宋_GB2312"/>
          <w:bCs/>
          <w:sz w:val="32"/>
          <w:szCs w:val="32"/>
        </w:rPr>
        <w:t>4000K，显色指数（Ra）≥80。照明的亮度或者照度、亮度对比、颜色对比、环境（背景）、眩光及功率密度值，应当符合国家《城市夜景照明设计规范》（JGJ/T</w:t>
      </w:r>
      <w:r>
        <w:rPr>
          <w:rFonts w:hint="eastAsia" w:ascii="Times New Roman" w:hAnsi="Times New Roman" w:eastAsia="仿宋_GB2312"/>
          <w:bCs/>
          <w:sz w:val="32"/>
          <w:szCs w:val="32"/>
        </w:rPr>
        <w:t xml:space="preserve"> </w:t>
      </w:r>
      <w:r>
        <w:rPr>
          <w:rFonts w:ascii="Times New Roman" w:hAnsi="Times New Roman" w:eastAsia="仿宋_GB2312"/>
          <w:bCs/>
          <w:sz w:val="32"/>
          <w:szCs w:val="32"/>
        </w:rPr>
        <w:t>163</w:t>
      </w:r>
      <w:r>
        <w:rPr>
          <w:rFonts w:ascii="Times New Roman" w:hAnsi="Times New Roman" w:eastAsia="仿宋_GB2312"/>
          <w:sz w:val="32"/>
          <w:szCs w:val="32"/>
        </w:rPr>
        <w:t>—</w:t>
      </w:r>
      <w:r>
        <w:rPr>
          <w:rFonts w:ascii="Times New Roman" w:hAnsi="Times New Roman" w:eastAsia="仿宋_GB2312"/>
          <w:bCs/>
          <w:sz w:val="32"/>
          <w:szCs w:val="32"/>
        </w:rPr>
        <w:t>2008）及本省相关标准规范的规定。重点区域如广场、公园主景等照度宜为15</w:t>
      </w:r>
      <w:r>
        <w:rPr>
          <w:rFonts w:hint="eastAsia" w:ascii="Times New Roman" w:hAnsi="Times New Roman" w:eastAsia="仿宋_GB2312"/>
          <w:sz w:val="32"/>
          <w:szCs w:val="32"/>
        </w:rPr>
        <w:t>—</w:t>
      </w:r>
      <w:r>
        <w:rPr>
          <w:rFonts w:ascii="Times New Roman" w:hAnsi="Times New Roman" w:eastAsia="仿宋_GB2312"/>
          <w:bCs/>
          <w:sz w:val="32"/>
          <w:szCs w:val="32"/>
        </w:rPr>
        <w:t>30lx，人行步道照度宜为5</w:t>
      </w:r>
      <w:r>
        <w:rPr>
          <w:rFonts w:hint="eastAsia" w:ascii="Times New Roman" w:hAnsi="Times New Roman" w:eastAsia="仿宋_GB2312"/>
          <w:sz w:val="32"/>
          <w:szCs w:val="32"/>
        </w:rPr>
        <w:t>—</w:t>
      </w:r>
      <w:r>
        <w:rPr>
          <w:rFonts w:ascii="Times New Roman" w:hAnsi="Times New Roman" w:eastAsia="仿宋_GB2312"/>
          <w:bCs/>
          <w:sz w:val="32"/>
          <w:szCs w:val="32"/>
        </w:rPr>
        <w:t>15lx。按照《灯具的一般安全要求和试验》</w:t>
      </w:r>
      <w:r>
        <w:rPr>
          <w:rFonts w:hint="eastAsia" w:ascii="Times New Roman" w:hAnsi="Times New Roman" w:eastAsia="仿宋_GB2312"/>
          <w:bCs/>
          <w:sz w:val="32"/>
          <w:szCs w:val="32"/>
        </w:rPr>
        <w:t>（</w:t>
      </w:r>
      <w:r>
        <w:rPr>
          <w:rFonts w:ascii="Times New Roman" w:hAnsi="Times New Roman" w:eastAsia="仿宋_GB2312"/>
          <w:bCs/>
          <w:sz w:val="32"/>
          <w:szCs w:val="32"/>
        </w:rPr>
        <w:t>GB/T 7000.1</w:t>
      </w:r>
      <w:r>
        <w:rPr>
          <w:rFonts w:ascii="Times New Roman" w:hAnsi="Times New Roman" w:eastAsia="仿宋_GB2312"/>
          <w:sz w:val="32"/>
          <w:szCs w:val="32"/>
        </w:rPr>
        <w:t>—</w:t>
      </w:r>
      <w:r>
        <w:rPr>
          <w:rFonts w:ascii="Times New Roman" w:hAnsi="Times New Roman" w:eastAsia="仿宋_GB2312"/>
          <w:bCs/>
          <w:sz w:val="32"/>
          <w:szCs w:val="32"/>
        </w:rPr>
        <w:t>2015</w:t>
      </w:r>
      <w:r>
        <w:rPr>
          <w:rFonts w:hint="eastAsia" w:ascii="Times New Roman" w:hAnsi="Times New Roman" w:eastAsia="仿宋_GB2312"/>
          <w:bCs/>
          <w:sz w:val="32"/>
          <w:szCs w:val="32"/>
        </w:rPr>
        <w:t>）</w:t>
      </w:r>
      <w:r>
        <w:rPr>
          <w:rFonts w:ascii="Times New Roman" w:hAnsi="Times New Roman" w:eastAsia="仿宋_GB2312"/>
          <w:bCs/>
          <w:sz w:val="32"/>
          <w:szCs w:val="32"/>
        </w:rPr>
        <w:t>中的室外灯具部分设计，严格防控光污染，合理设置灯具角度和遮光装置，突出景观层次，营造舒适雅致的夜间环境。</w:t>
      </w:r>
      <w:r>
        <w:rPr>
          <w:rFonts w:hint="eastAsia" w:ascii="Times New Roman" w:hAnsi="Times New Roman" w:eastAsia="仿宋_GB2312"/>
          <w:bCs/>
          <w:sz w:val="32"/>
          <w:szCs w:val="32"/>
        </w:rPr>
        <w:t>绿化</w:t>
      </w:r>
      <w:r>
        <w:rPr>
          <w:rFonts w:ascii="Times New Roman" w:hAnsi="Times New Roman" w:eastAsia="仿宋_GB2312"/>
          <w:bCs/>
          <w:sz w:val="32"/>
          <w:szCs w:val="32"/>
        </w:rPr>
        <w:t>照明设计应遵循</w:t>
      </w:r>
      <w:r>
        <w:rPr>
          <w:rFonts w:hint="eastAsia" w:ascii="Times New Roman" w:hAnsi="Times New Roman" w:eastAsia="仿宋_GB2312"/>
          <w:bCs/>
          <w:sz w:val="32"/>
          <w:szCs w:val="32"/>
        </w:rPr>
        <w:t>“</w:t>
      </w:r>
      <w:r>
        <w:rPr>
          <w:rFonts w:ascii="Times New Roman" w:hAnsi="Times New Roman" w:eastAsia="仿宋_GB2312"/>
          <w:bCs/>
          <w:sz w:val="32"/>
          <w:szCs w:val="32"/>
        </w:rPr>
        <w:t>慎用彩色光、优选自然光谱</w:t>
      </w:r>
      <w:r>
        <w:rPr>
          <w:rFonts w:hint="eastAsia" w:ascii="Times New Roman" w:hAnsi="Times New Roman" w:eastAsia="仿宋_GB2312"/>
          <w:bCs/>
          <w:sz w:val="32"/>
          <w:szCs w:val="32"/>
        </w:rPr>
        <w:t>”</w:t>
      </w:r>
      <w:r>
        <w:rPr>
          <w:rFonts w:ascii="Times New Roman" w:hAnsi="Times New Roman" w:eastAsia="仿宋_GB2312"/>
          <w:bCs/>
          <w:sz w:val="32"/>
          <w:szCs w:val="32"/>
        </w:rPr>
        <w:t>原则，彩色光仅可在特定节点（如标志性构筑物、文旅重点区域）少量点缀使用；严禁大面积、高饱和度彩色光应用，避免对周边生态环境（影响动植物栖息）、居民生活（造成光污染、视觉疲劳）及历史风貌（破坏建筑原生质感）产生负面影响。</w:t>
      </w:r>
    </w:p>
    <w:bookmarkEnd w:id="87"/>
    <w:p w14:paraId="2F9E6663">
      <w:pPr>
        <w:pStyle w:val="3"/>
        <w:numPr>
          <w:ilvl w:val="0"/>
          <w:numId w:val="4"/>
        </w:numPr>
        <w:spacing w:line="560" w:lineRule="exact"/>
        <w:jc w:val="center"/>
        <w:rPr>
          <w:rFonts w:ascii="Times New Roman" w:hAnsi="Times New Roman" w:eastAsia="黑体"/>
          <w:b w:val="0"/>
          <w:sz w:val="36"/>
          <w:szCs w:val="36"/>
        </w:rPr>
      </w:pPr>
      <w:bookmarkStart w:id="143" w:name="_Toc233624925"/>
      <w:r>
        <w:rPr>
          <w:rFonts w:ascii="Times New Roman" w:hAnsi="Times New Roman" w:eastAsia="黑体"/>
          <w:b w:val="0"/>
          <w:sz w:val="36"/>
          <w:szCs w:val="36"/>
        </w:rPr>
        <w:t>工程施工</w:t>
      </w:r>
      <w:bookmarkEnd w:id="143"/>
    </w:p>
    <w:p w14:paraId="379B5BE4">
      <w:pPr>
        <w:pStyle w:val="4"/>
      </w:pPr>
      <w:bookmarkStart w:id="144" w:name="_Toc233624926"/>
      <w:r>
        <w:t>专项施工方案编制</w:t>
      </w:r>
      <w:bookmarkEnd w:id="144"/>
    </w:p>
    <w:p w14:paraId="760BDE72">
      <w:pPr>
        <w:spacing w:line="560" w:lineRule="exact"/>
        <w:ind w:right="84" w:rightChars="40" w:firstLine="707" w:firstLineChars="221"/>
        <w:rPr>
          <w:rFonts w:ascii="Times New Roman" w:hAnsi="Times New Roman" w:eastAsia="仿宋_GB2312"/>
          <w:bCs/>
          <w:sz w:val="32"/>
          <w:szCs w:val="32"/>
        </w:rPr>
      </w:pPr>
      <w:r>
        <w:rPr>
          <w:rFonts w:hint="eastAsia" w:ascii="Times New Roman" w:hAnsi="Times New Roman" w:eastAsia="仿宋_GB2312"/>
          <w:bCs/>
          <w:sz w:val="32"/>
          <w:szCs w:val="32"/>
        </w:rPr>
        <w:t>施工单位应依据《危险性较大的分部分项工程专项施工方案编制指南》（建办质〔2021〕48号）的要求编制专项施工方案，超过一定规模的危险性较大的分部分项工程应按要求组织专家论证。专项方案需包含地质、气候等地域性要素的分析及应对措施。同时，审核、审查人员及论证专家应依据《危险性较大的分部分项工程专项施工方案严重缺陷清单（试行）》（建办质〔2024〕63号）核查专项施工方案是否存在严重缺陷。</w:t>
      </w:r>
    </w:p>
    <w:p w14:paraId="6E28481B">
      <w:pPr>
        <w:pStyle w:val="4"/>
      </w:pPr>
      <w:bookmarkStart w:id="145" w:name="_Toc233624927"/>
      <w:r>
        <w:rPr>
          <w:rFonts w:hint="eastAsia"/>
        </w:rPr>
        <w:t>施工项目营地</w:t>
      </w:r>
      <w:bookmarkEnd w:id="145"/>
    </w:p>
    <w:p w14:paraId="3A9587FD">
      <w:pPr>
        <w:spacing w:line="560" w:lineRule="exact"/>
        <w:ind w:right="84" w:rightChars="40" w:firstLine="707" w:firstLineChars="221"/>
        <w:rPr>
          <w:rFonts w:ascii="Times New Roman" w:hAnsi="Times New Roman" w:eastAsia="仿宋_GB2312"/>
          <w:bCs/>
          <w:sz w:val="32"/>
          <w:szCs w:val="32"/>
        </w:rPr>
      </w:pPr>
      <w:r>
        <w:rPr>
          <w:rFonts w:hint="eastAsia" w:ascii="Times New Roman" w:hAnsi="Times New Roman" w:eastAsia="仿宋_GB2312"/>
          <w:bCs/>
          <w:sz w:val="32"/>
          <w:szCs w:val="32"/>
        </w:rPr>
        <w:t>施工单位须严格依照《建筑与市政施工现场安全卫生与职业健康通用规范》（GB 55034</w:t>
      </w:r>
      <w:r>
        <w:rPr>
          <w:rFonts w:hint="eastAsia" w:ascii="Times New Roman" w:hAnsi="Times New Roman" w:eastAsia="仿宋_GB2312"/>
          <w:kern w:val="44"/>
          <w:sz w:val="32"/>
          <w:szCs w:val="32"/>
        </w:rPr>
        <w:t>—</w:t>
      </w:r>
      <w:r>
        <w:rPr>
          <w:rFonts w:hint="eastAsia" w:ascii="Times New Roman" w:hAnsi="Times New Roman" w:eastAsia="仿宋_GB2312"/>
          <w:bCs/>
          <w:sz w:val="32"/>
          <w:szCs w:val="32"/>
        </w:rPr>
        <w:t>2022）及《建设工程施工现场环境与卫生标准》（JGJ 146</w:t>
      </w:r>
      <w:r>
        <w:rPr>
          <w:rFonts w:hint="eastAsia" w:ascii="Times New Roman" w:hAnsi="Times New Roman" w:eastAsia="仿宋_GB2312"/>
          <w:kern w:val="44"/>
          <w:sz w:val="32"/>
          <w:szCs w:val="32"/>
        </w:rPr>
        <w:t>—</w:t>
      </w:r>
      <w:r>
        <w:rPr>
          <w:rFonts w:hint="eastAsia" w:ascii="Times New Roman" w:hAnsi="Times New Roman" w:eastAsia="仿宋_GB2312"/>
          <w:bCs/>
          <w:sz w:val="32"/>
          <w:szCs w:val="32"/>
        </w:rPr>
        <w:t>2013）等有关标准规范实施作业。项目营地选址要避开河道、行洪通道和饮用水源保护区。场地平整前，要集中堆放剥离的表层熟土，落实堆体拦挡和全覆盖防护，在周边布设临时排水沟与沉沙池，防范水土流失。生活污水不能直接排入雨水管网或河道，需经化粪池和简易处理设施净化达标后优先回用于绿化，也可接入合规市政污水管网。施工废水必须经沉淀池处理达标后才可排入市政污水管网，严禁直接外排。营地汇流的雨水经周边排水沟导流、沉沙池除沙后，才可接入市政雨水管网，不可携带施工泥沙、油污外排。严禁将油类、酸碱类等有毒有害废水直接排入城市排水管道或地表水体。</w:t>
      </w:r>
    </w:p>
    <w:p w14:paraId="015FA7EB">
      <w:pPr>
        <w:pStyle w:val="4"/>
      </w:pPr>
      <w:bookmarkStart w:id="146" w:name="_Toc233624928"/>
      <w:r>
        <w:t>有限</w:t>
      </w:r>
      <w:r>
        <w:rPr>
          <w:rFonts w:ascii="Times New Roman" w:hAnsi="Times New Roman"/>
        </w:rPr>
        <w:t>空间</w:t>
      </w:r>
      <w:r>
        <w:rPr>
          <w:rFonts w:hint="eastAsia" w:ascii="Times New Roman" w:hAnsi="Times New Roman"/>
        </w:rPr>
        <w:t>作业</w:t>
      </w:r>
      <w:bookmarkEnd w:id="146"/>
    </w:p>
    <w:p w14:paraId="546FE317">
      <w:pPr>
        <w:spacing w:line="560" w:lineRule="exact"/>
        <w:ind w:right="84" w:rightChars="40" w:firstLine="707" w:firstLineChars="221"/>
        <w:rPr>
          <w:rFonts w:ascii="Times New Roman" w:hAnsi="Times New Roman" w:eastAsia="仿宋_GB2312"/>
          <w:bCs/>
          <w:sz w:val="32"/>
          <w:szCs w:val="32"/>
        </w:rPr>
      </w:pPr>
      <w:r>
        <w:rPr>
          <w:rFonts w:hint="eastAsia" w:ascii="Times New Roman" w:hAnsi="Times New Roman" w:eastAsia="仿宋_GB2312"/>
          <w:kern w:val="44"/>
          <w:sz w:val="32"/>
          <w:szCs w:val="32"/>
        </w:rPr>
        <w:t>施工单位须严格依据《房屋市政工程有限空间识别及施工安全作业指南（试行）》（建办质〔2025〕45号）及《有限空间作业安全技术规范》（GB 46768—2025）要求，系统辨识有限空间作业中可能存在的中毒、窒息等安全风险隐患，建立专项管理台账并制定并落实针对性管控措施。作业过程中应严格遵循“先通风、再检测、后作业、有监护”的安全准则，相关安全装备（如通风、检测设备）的配置应结合上述规范要求及现场实际作业需求进行准备。若发生有限空间安全事故，严禁盲目施救，必须严格遵循既定的应急救援方案，科学、有序地开展救援行动</w:t>
      </w:r>
      <w:r>
        <w:rPr>
          <w:rStyle w:val="37"/>
          <w:rFonts w:hint="eastAsia" w:ascii="Times New Roman" w:hAnsi="Times New Roman" w:eastAsia="仿宋_GB2312"/>
        </w:rPr>
        <w:t>。</w:t>
      </w:r>
    </w:p>
    <w:p w14:paraId="347A117C">
      <w:pPr>
        <w:pStyle w:val="4"/>
      </w:pPr>
      <w:bookmarkStart w:id="147" w:name="_Toc233624929"/>
      <w:r>
        <w:t>隐蔽工程影像</w:t>
      </w:r>
      <w:bookmarkEnd w:id="147"/>
    </w:p>
    <w:p w14:paraId="77372E20">
      <w:pPr>
        <w:pStyle w:val="14"/>
        <w:rPr>
          <w:rFonts w:ascii="Times New Roman" w:hAnsi="Times New Roman"/>
          <w:bCs/>
          <w:szCs w:val="32"/>
        </w:rPr>
      </w:pPr>
      <w:r>
        <w:rPr>
          <w:rStyle w:val="37"/>
          <w:rFonts w:hint="eastAsia" w:ascii="Times New Roman" w:hAnsi="Times New Roman" w:eastAsia="仿宋_GB2312"/>
        </w:rPr>
        <w:t>在项目实施进程中，应当推行“水印举牌验收”制度，对施工记录进行管理规范，要求相关责任主体参与此项工作。通过拍摄视频与照片的方式，记录隐蔽工程结算所需的数据，并妥善保存相关原始资料，从而实现可追溯性并为结算提供依据。</w:t>
      </w:r>
    </w:p>
    <w:p w14:paraId="26BB6616">
      <w:pPr>
        <w:pStyle w:val="4"/>
      </w:pPr>
      <w:bookmarkStart w:id="148" w:name="_Toc233624930"/>
      <w:r>
        <w:t>顶管作业沉降控制</w:t>
      </w:r>
      <w:bookmarkEnd w:id="148"/>
    </w:p>
    <w:p w14:paraId="3BBAF9DD">
      <w:pPr>
        <w:spacing w:line="560" w:lineRule="exact"/>
        <w:ind w:right="84" w:rightChars="40" w:firstLine="707" w:firstLineChars="221"/>
        <w:rPr>
          <w:rFonts w:ascii="Times New Roman" w:hAnsi="Times New Roman" w:eastAsia="仿宋_GB2312"/>
          <w:bCs/>
          <w:sz w:val="32"/>
          <w:szCs w:val="32"/>
        </w:rPr>
      </w:pPr>
      <w:r>
        <w:rPr>
          <w:rFonts w:ascii="Times New Roman" w:hAnsi="Times New Roman" w:eastAsia="仿宋_GB2312"/>
          <w:bCs/>
          <w:sz w:val="32"/>
          <w:szCs w:val="32"/>
        </w:rPr>
        <w:t>勘察单位应执行《给水排水工程顶管技术规程》（CECS246</w:t>
      </w:r>
      <w:r>
        <w:rPr>
          <w:rFonts w:ascii="Times New Roman" w:hAnsi="Times New Roman" w:eastAsia="仿宋_GB2312"/>
          <w:sz w:val="32"/>
          <w:szCs w:val="32"/>
        </w:rPr>
        <w:t>—</w:t>
      </w:r>
      <w:r>
        <w:rPr>
          <w:rFonts w:ascii="Times New Roman" w:hAnsi="Times New Roman" w:eastAsia="仿宋_GB2312"/>
          <w:bCs/>
          <w:sz w:val="32"/>
          <w:szCs w:val="32"/>
        </w:rPr>
        <w:t>2008）第3章，</w:t>
      </w:r>
      <w:r>
        <w:rPr>
          <w:rFonts w:hint="eastAsia" w:ascii="Times New Roman" w:hAnsi="Times New Roman" w:eastAsia="仿宋_GB2312"/>
          <w:bCs/>
          <w:sz w:val="32"/>
          <w:szCs w:val="32"/>
        </w:rPr>
        <w:t>查明区域地质条件，确定冻土分布、厚度、温度等参数，以便科学规划顶管线路与工作井位置。同时，结合冬期施工特性，选用适合冬期施工、低温性能稳定的管道、设备和材料，做好事前预控。在施工过程中，按《规程》第13章的相关要求，切实做好顶管施工的监测与验收工作；并及时收集并分析数据，对沉降发展趋势进行科学预测，同时动态调整施工参数。</w:t>
      </w:r>
    </w:p>
    <w:p w14:paraId="5D8D6241">
      <w:pPr>
        <w:pStyle w:val="4"/>
      </w:pPr>
      <w:bookmarkStart w:id="149" w:name="_Toc233624931"/>
      <w:r>
        <w:t>边坡与建筑安全距离</w:t>
      </w:r>
      <w:bookmarkEnd w:id="149"/>
    </w:p>
    <w:p w14:paraId="6100D32E">
      <w:pPr>
        <w:spacing w:line="560" w:lineRule="exact"/>
        <w:ind w:right="84" w:rightChars="40" w:firstLine="707" w:firstLineChars="221"/>
        <w:rPr>
          <w:rFonts w:ascii="Times New Roman" w:hAnsi="Times New Roman" w:eastAsia="仿宋_GB2312"/>
          <w:bCs/>
          <w:sz w:val="32"/>
          <w:szCs w:val="32"/>
        </w:rPr>
      </w:pPr>
      <w:r>
        <w:rPr>
          <w:rStyle w:val="37"/>
          <w:rFonts w:ascii="Times New Roman" w:hAnsi="Times New Roman" w:eastAsia="仿宋_GB2312"/>
        </w:rPr>
        <w:t>设计单位应</w:t>
      </w:r>
      <w:r>
        <w:rPr>
          <w:rStyle w:val="37"/>
          <w:rFonts w:hint="eastAsia" w:ascii="Times New Roman" w:hAnsi="Times New Roman" w:eastAsia="仿宋_GB2312"/>
        </w:rPr>
        <w:t>在</w:t>
      </w:r>
      <w:r>
        <w:rPr>
          <w:rStyle w:val="37"/>
          <w:rFonts w:ascii="Times New Roman" w:hAnsi="Times New Roman" w:eastAsia="仿宋_GB2312"/>
        </w:rPr>
        <w:t>设计文件中注明安全距离。施工单位应严格执行施工图文件安全距离技术要求，施工中按《建筑地基基础设计规范》（GB</w:t>
      </w:r>
      <w:r>
        <w:rPr>
          <w:rStyle w:val="37"/>
          <w:rFonts w:hint="eastAsia" w:ascii="Times New Roman" w:hAnsi="Times New Roman" w:eastAsia="仿宋_GB2312"/>
        </w:rPr>
        <w:t xml:space="preserve"> </w:t>
      </w:r>
      <w:r>
        <w:rPr>
          <w:rStyle w:val="37"/>
          <w:rFonts w:ascii="Times New Roman" w:hAnsi="Times New Roman" w:eastAsia="仿宋_GB2312"/>
        </w:rPr>
        <w:t>50007</w:t>
      </w:r>
      <w:r>
        <w:rPr>
          <w:rFonts w:ascii="Times New Roman" w:hAnsi="Times New Roman" w:eastAsia="仿宋_GB2312"/>
          <w:sz w:val="32"/>
          <w:szCs w:val="32"/>
        </w:rPr>
        <w:t>—</w:t>
      </w:r>
      <w:r>
        <w:rPr>
          <w:rStyle w:val="37"/>
          <w:rFonts w:ascii="Times New Roman" w:hAnsi="Times New Roman" w:eastAsia="仿宋_GB2312"/>
        </w:rPr>
        <w:t>2011）第10.3节或《建筑边坡工程技术规范》（GB</w:t>
      </w:r>
      <w:r>
        <w:rPr>
          <w:rStyle w:val="37"/>
          <w:rFonts w:hint="eastAsia" w:ascii="Times New Roman" w:hAnsi="Times New Roman" w:eastAsia="仿宋_GB2312"/>
        </w:rPr>
        <w:t xml:space="preserve"> </w:t>
      </w:r>
      <w:r>
        <w:rPr>
          <w:rStyle w:val="37"/>
          <w:rFonts w:ascii="Times New Roman" w:hAnsi="Times New Roman" w:eastAsia="仿宋_GB2312"/>
        </w:rPr>
        <w:t>50330</w:t>
      </w:r>
      <w:r>
        <w:rPr>
          <w:rFonts w:ascii="Times New Roman" w:hAnsi="Times New Roman" w:eastAsia="仿宋_GB2312"/>
          <w:sz w:val="32"/>
          <w:szCs w:val="32"/>
        </w:rPr>
        <w:t>—</w:t>
      </w:r>
      <w:r>
        <w:rPr>
          <w:rStyle w:val="37"/>
          <w:rFonts w:ascii="Times New Roman" w:hAnsi="Times New Roman" w:eastAsia="仿宋_GB2312"/>
        </w:rPr>
        <w:t>2013）第19.1节监测边坡变形，实施动态设计与信息化施工。</w:t>
      </w:r>
    </w:p>
    <w:p w14:paraId="4FD27407">
      <w:pPr>
        <w:pStyle w:val="4"/>
      </w:pPr>
      <w:bookmarkStart w:id="150" w:name="_Toc207091334"/>
      <w:bookmarkStart w:id="151" w:name="_Toc215762481"/>
      <w:bookmarkStart w:id="152" w:name="_Toc233624932"/>
      <w:r>
        <w:t>施工</w:t>
      </w:r>
      <w:bookmarkEnd w:id="150"/>
      <w:r>
        <w:rPr>
          <w:rFonts w:hint="eastAsia"/>
        </w:rPr>
        <w:t>时</w:t>
      </w:r>
      <w:r>
        <w:t>行道树保护及安全</w:t>
      </w:r>
      <w:bookmarkEnd w:id="151"/>
      <w:bookmarkEnd w:id="152"/>
    </w:p>
    <w:p w14:paraId="13E8B72F">
      <w:pPr>
        <w:spacing w:line="560" w:lineRule="exact"/>
        <w:ind w:right="84" w:rightChars="40" w:firstLine="707" w:firstLineChars="221"/>
        <w:rPr>
          <w:rFonts w:ascii="Times New Roman" w:hAnsi="Times New Roman" w:eastAsia="仿宋_GB2312"/>
          <w:bCs/>
          <w:sz w:val="32"/>
          <w:szCs w:val="32"/>
        </w:rPr>
      </w:pPr>
      <w:r>
        <w:rPr>
          <w:rFonts w:ascii="Times New Roman" w:hAnsi="Times New Roman" w:eastAsia="仿宋_GB2312"/>
          <w:bCs/>
          <w:sz w:val="32"/>
          <w:szCs w:val="32"/>
        </w:rPr>
        <w:t>在市政道路管线改造施工中</w:t>
      </w:r>
      <w:r>
        <w:rPr>
          <w:rFonts w:hint="eastAsia" w:ascii="Times New Roman" w:hAnsi="Times New Roman" w:eastAsia="仿宋_GB2312"/>
          <w:bCs/>
          <w:sz w:val="32"/>
          <w:szCs w:val="32"/>
        </w:rPr>
        <w:t>，</w:t>
      </w:r>
      <w:r>
        <w:rPr>
          <w:rFonts w:ascii="Times New Roman" w:hAnsi="Times New Roman" w:eastAsia="仿宋_GB2312"/>
          <w:bCs/>
          <w:sz w:val="32"/>
          <w:szCs w:val="32"/>
        </w:rPr>
        <w:t>禁止对多年行道树进行切根作业。</w:t>
      </w:r>
      <w:r>
        <w:rPr>
          <w:rFonts w:hint="eastAsia" w:ascii="Times New Roman" w:hAnsi="Times New Roman" w:eastAsia="仿宋_GB2312"/>
          <w:bCs/>
          <w:sz w:val="32"/>
          <w:szCs w:val="32"/>
        </w:rPr>
        <w:t>若</w:t>
      </w:r>
      <w:r>
        <w:rPr>
          <w:rFonts w:ascii="Times New Roman" w:hAnsi="Times New Roman" w:eastAsia="仿宋_GB2312"/>
          <w:bCs/>
          <w:sz w:val="32"/>
          <w:szCs w:val="32"/>
        </w:rPr>
        <w:t>无法避让时</w:t>
      </w:r>
      <w:r>
        <w:rPr>
          <w:rFonts w:hint="eastAsia" w:ascii="Times New Roman" w:hAnsi="Times New Roman" w:eastAsia="仿宋_GB2312"/>
          <w:bCs/>
          <w:sz w:val="32"/>
          <w:szCs w:val="32"/>
        </w:rPr>
        <w:t>，</w:t>
      </w:r>
      <w:r>
        <w:rPr>
          <w:rFonts w:ascii="Times New Roman" w:hAnsi="Times New Roman" w:eastAsia="仿宋_GB2312"/>
          <w:bCs/>
          <w:sz w:val="32"/>
          <w:szCs w:val="32"/>
        </w:rPr>
        <w:t>施工单位应编制专项施工方案报批</w:t>
      </w:r>
      <w:r>
        <w:rPr>
          <w:rFonts w:hint="eastAsia" w:ascii="Times New Roman" w:hAnsi="Times New Roman" w:eastAsia="仿宋_GB2312"/>
          <w:bCs/>
          <w:sz w:val="32"/>
          <w:szCs w:val="32"/>
        </w:rPr>
        <w:t>；</w:t>
      </w:r>
      <w:r>
        <w:rPr>
          <w:rFonts w:ascii="Times New Roman" w:hAnsi="Times New Roman" w:eastAsia="仿宋_GB2312"/>
          <w:bCs/>
          <w:sz w:val="32"/>
          <w:szCs w:val="32"/>
        </w:rPr>
        <w:t>专项方案应以树木保护优先</w:t>
      </w:r>
      <w:r>
        <w:rPr>
          <w:rFonts w:hint="eastAsia" w:ascii="Times New Roman" w:hAnsi="Times New Roman" w:eastAsia="仿宋_GB2312"/>
          <w:bCs/>
          <w:sz w:val="32"/>
          <w:szCs w:val="32"/>
        </w:rPr>
        <w:t>、</w:t>
      </w:r>
      <w:r>
        <w:rPr>
          <w:rFonts w:ascii="Times New Roman" w:hAnsi="Times New Roman" w:eastAsia="仿宋_GB2312"/>
          <w:bCs/>
          <w:sz w:val="32"/>
          <w:szCs w:val="32"/>
        </w:rPr>
        <w:t>损伤最小为原则</w:t>
      </w:r>
      <w:r>
        <w:rPr>
          <w:rFonts w:hint="eastAsia" w:ascii="Times New Roman" w:hAnsi="Times New Roman" w:eastAsia="仿宋_GB2312"/>
          <w:bCs/>
          <w:sz w:val="32"/>
          <w:szCs w:val="32"/>
        </w:rPr>
        <w:t>；应</w:t>
      </w:r>
      <w:r>
        <w:rPr>
          <w:rFonts w:ascii="Times New Roman" w:hAnsi="Times New Roman" w:eastAsia="仿宋_GB2312"/>
          <w:bCs/>
          <w:sz w:val="32"/>
          <w:szCs w:val="32"/>
        </w:rPr>
        <w:t>新增防倒措施、树冠修枝等安全</w:t>
      </w:r>
      <w:r>
        <w:rPr>
          <w:rFonts w:hint="eastAsia" w:ascii="Times New Roman" w:hAnsi="Times New Roman" w:eastAsia="仿宋_GB2312"/>
          <w:bCs/>
          <w:sz w:val="32"/>
          <w:szCs w:val="32"/>
        </w:rPr>
        <w:t>措施</w:t>
      </w:r>
      <w:r>
        <w:rPr>
          <w:rFonts w:ascii="Times New Roman" w:hAnsi="Times New Roman" w:eastAsia="仿宋_GB2312"/>
          <w:bCs/>
          <w:sz w:val="32"/>
          <w:szCs w:val="32"/>
        </w:rPr>
        <w:t>。</w:t>
      </w:r>
    </w:p>
    <w:p w14:paraId="40FECF04">
      <w:pPr>
        <w:pStyle w:val="4"/>
      </w:pPr>
      <w:bookmarkStart w:id="153" w:name="_Toc233624933"/>
      <w:r>
        <w:rPr>
          <w:rFonts w:hint="eastAsia"/>
        </w:rPr>
        <w:t>检查井施工</w:t>
      </w:r>
      <w:bookmarkEnd w:id="153"/>
    </w:p>
    <w:p w14:paraId="7133A0AA">
      <w:pPr>
        <w:spacing w:line="560" w:lineRule="exact"/>
        <w:ind w:right="84" w:rightChars="40" w:firstLine="736" w:firstLineChars="230"/>
        <w:rPr>
          <w:rStyle w:val="37"/>
          <w:rFonts w:ascii="Times New Roman" w:hAnsi="Times New Roman" w:eastAsia="仿宋_GB2312"/>
        </w:rPr>
      </w:pPr>
      <w:r>
        <w:rPr>
          <w:rStyle w:val="37"/>
          <w:rFonts w:ascii="Times New Roman" w:hAnsi="Times New Roman" w:eastAsia="仿宋_GB2312"/>
        </w:rPr>
        <w:t>各县（市）质量监督部门及责任主体按《城镇道路工程施工与质量验收规范》（CJJ</w:t>
      </w:r>
      <w:r>
        <w:rPr>
          <w:rStyle w:val="37"/>
          <w:rFonts w:hint="eastAsia" w:ascii="Times New Roman" w:hAnsi="Times New Roman" w:eastAsia="仿宋_GB2312"/>
        </w:rPr>
        <w:t xml:space="preserve"> </w:t>
      </w:r>
      <w:r>
        <w:rPr>
          <w:rStyle w:val="37"/>
          <w:rFonts w:ascii="Times New Roman" w:hAnsi="Times New Roman" w:eastAsia="仿宋_GB2312"/>
        </w:rPr>
        <w:t>1</w:t>
      </w:r>
      <w:r>
        <w:rPr>
          <w:rFonts w:ascii="Times New Roman" w:hAnsi="Times New Roman" w:eastAsia="仿宋_GB2312"/>
          <w:sz w:val="32"/>
          <w:szCs w:val="32"/>
        </w:rPr>
        <w:t>—</w:t>
      </w:r>
      <w:r>
        <w:rPr>
          <w:rStyle w:val="37"/>
          <w:rFonts w:ascii="Times New Roman" w:hAnsi="Times New Roman" w:eastAsia="仿宋_GB2312"/>
        </w:rPr>
        <w:t>2008）第8</w:t>
      </w:r>
      <w:r>
        <w:rPr>
          <w:rStyle w:val="37"/>
          <w:rFonts w:hint="eastAsia" w:ascii="Times New Roman" w:hAnsi="Times New Roman" w:eastAsia="仿宋_GB2312"/>
        </w:rPr>
        <w:t>、9、10</w:t>
      </w:r>
      <w:r>
        <w:rPr>
          <w:rStyle w:val="37"/>
          <w:rFonts w:ascii="Times New Roman" w:hAnsi="Times New Roman" w:eastAsia="仿宋_GB2312"/>
        </w:rPr>
        <w:t>章</w:t>
      </w:r>
      <w:r>
        <w:rPr>
          <w:rStyle w:val="37"/>
          <w:rFonts w:hint="eastAsia" w:ascii="Times New Roman" w:hAnsi="Times New Roman" w:eastAsia="仿宋_GB2312"/>
        </w:rPr>
        <w:t>关于路面检验标准</w:t>
      </w:r>
      <w:r>
        <w:rPr>
          <w:rStyle w:val="37"/>
          <w:rFonts w:ascii="Times New Roman" w:hAnsi="Times New Roman" w:eastAsia="仿宋_GB2312"/>
        </w:rPr>
        <w:t>的规定，</w:t>
      </w:r>
      <w:r>
        <w:rPr>
          <w:rStyle w:val="37"/>
          <w:rFonts w:hint="eastAsia" w:ascii="Times New Roman" w:hAnsi="Times New Roman" w:eastAsia="仿宋_GB2312"/>
        </w:rPr>
        <w:t>沥青混合料路面</w:t>
      </w:r>
      <w:r>
        <w:rPr>
          <w:rStyle w:val="37"/>
          <w:rFonts w:ascii="Times New Roman" w:hAnsi="Times New Roman" w:eastAsia="仿宋_GB2312"/>
        </w:rPr>
        <w:t>检查井周边路面高程差的允许偏差应≤5mm</w:t>
      </w:r>
      <w:r>
        <w:rPr>
          <w:rStyle w:val="37"/>
          <w:rFonts w:hint="eastAsia" w:ascii="Times New Roman" w:hAnsi="Times New Roman" w:eastAsia="仿宋_GB2312"/>
        </w:rPr>
        <w:t>，混凝土路面应</w:t>
      </w:r>
      <w:r>
        <w:rPr>
          <w:rStyle w:val="37"/>
          <w:rFonts w:ascii="Times New Roman" w:hAnsi="Times New Roman" w:eastAsia="仿宋_GB2312"/>
        </w:rPr>
        <w:t>≤</w:t>
      </w:r>
      <w:r>
        <w:rPr>
          <w:rStyle w:val="37"/>
          <w:rFonts w:hint="eastAsia" w:ascii="Times New Roman" w:hAnsi="Times New Roman" w:eastAsia="仿宋_GB2312"/>
        </w:rPr>
        <w:t>3</w:t>
      </w:r>
      <w:r>
        <w:rPr>
          <w:rStyle w:val="37"/>
          <w:rFonts w:ascii="Times New Roman" w:hAnsi="Times New Roman" w:eastAsia="仿宋_GB2312"/>
        </w:rPr>
        <w:t>mm。</w:t>
      </w:r>
    </w:p>
    <w:p w14:paraId="752FB2C4">
      <w:pPr>
        <w:pStyle w:val="4"/>
      </w:pPr>
      <w:bookmarkStart w:id="154" w:name="_Toc233624934"/>
      <w:r>
        <w:t>水泥混凝土冬</w:t>
      </w:r>
      <w:r>
        <w:rPr>
          <w:rFonts w:hint="eastAsia"/>
        </w:rPr>
        <w:t>期</w:t>
      </w:r>
      <w:r>
        <w:t>施工</w:t>
      </w:r>
      <w:bookmarkEnd w:id="154"/>
    </w:p>
    <w:p w14:paraId="53FE9621">
      <w:pPr>
        <w:spacing w:line="560" w:lineRule="exact"/>
        <w:ind w:right="84" w:rightChars="40" w:firstLine="707" w:firstLineChars="221"/>
        <w:rPr>
          <w:rStyle w:val="37"/>
          <w:rFonts w:ascii="Times New Roman" w:hAnsi="Times New Roman" w:eastAsia="仿宋_GB2312"/>
        </w:rPr>
      </w:pPr>
      <w:r>
        <w:rPr>
          <w:rStyle w:val="37"/>
          <w:rFonts w:hint="eastAsia" w:ascii="Times New Roman" w:hAnsi="Times New Roman" w:eastAsia="仿宋_GB2312"/>
        </w:rPr>
        <w:t>施工单位在冬期开展建筑施工时，应遵循《建筑工程冬期施工规程》（JGJ/T 104</w:t>
      </w:r>
      <w:r>
        <w:rPr>
          <w:rFonts w:ascii="Times New Roman" w:hAnsi="Times New Roman" w:eastAsia="仿宋_GB2312"/>
          <w:sz w:val="32"/>
          <w:szCs w:val="32"/>
        </w:rPr>
        <w:t>—</w:t>
      </w:r>
      <w:r>
        <w:rPr>
          <w:rStyle w:val="37"/>
          <w:rFonts w:hint="eastAsia" w:ascii="Times New Roman" w:hAnsi="Times New Roman" w:eastAsia="仿宋_GB2312"/>
        </w:rPr>
        <w:t>2011）第6章混凝土工程中有关原材料加热、搅拌、运输、浇筑以及养护的相关规定</w:t>
      </w:r>
      <w:r>
        <w:rPr>
          <w:rStyle w:val="37"/>
          <w:rFonts w:ascii="Times New Roman" w:hAnsi="Times New Roman" w:eastAsia="仿宋_GB2312"/>
        </w:rPr>
        <w:t>。</w:t>
      </w:r>
    </w:p>
    <w:p w14:paraId="6DFADDB1">
      <w:pPr>
        <w:pStyle w:val="4"/>
      </w:pPr>
      <w:bookmarkStart w:id="155" w:name="_Toc233624935"/>
      <w:r>
        <w:t>沥青</w:t>
      </w:r>
      <w:r>
        <w:rPr>
          <w:rFonts w:hint="eastAsia"/>
        </w:rPr>
        <w:t>路面</w:t>
      </w:r>
      <w:r>
        <w:t>摊铺温度管控</w:t>
      </w:r>
      <w:bookmarkEnd w:id="155"/>
    </w:p>
    <w:p w14:paraId="070FF5A6">
      <w:pPr>
        <w:spacing w:line="56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住房城乡建设主管部门</w:t>
      </w:r>
      <w:r>
        <w:rPr>
          <w:rFonts w:hint="eastAsia" w:ascii="Times New Roman" w:hAnsi="Times New Roman" w:eastAsia="仿宋_GB2312"/>
          <w:sz w:val="32"/>
          <w:szCs w:val="32"/>
        </w:rPr>
        <w:t>在监管及责任主体在沥青路面施工时，应</w:t>
      </w:r>
      <w:r>
        <w:rPr>
          <w:rFonts w:ascii="Times New Roman" w:hAnsi="Times New Roman" w:eastAsia="仿宋_GB2312"/>
          <w:sz w:val="32"/>
          <w:szCs w:val="32"/>
        </w:rPr>
        <w:t>严格执行《公路沥青路面施工技术规范》（JTGF40—2004）第1.0.4条规定，气温不满足要求时禁止施工。同时，沥青混合料摊铺应按《季节性冻土地区公路设计与施工技术规范》（JTG／TD31</w:t>
      </w:r>
      <w:r>
        <w:rPr>
          <w:rFonts w:hint="eastAsia" w:ascii="Times New Roman" w:hAnsi="Times New Roman" w:eastAsia="仿宋_GB2312"/>
          <w:sz w:val="32"/>
          <w:szCs w:val="32"/>
        </w:rPr>
        <w:t>-</w:t>
      </w:r>
      <w:r>
        <w:rPr>
          <w:rFonts w:ascii="Times New Roman" w:hAnsi="Times New Roman" w:eastAsia="仿宋_GB2312"/>
          <w:sz w:val="32"/>
          <w:szCs w:val="32"/>
        </w:rPr>
        <w:t>06—2017）和《多年冻土地区公路设计与施工技术规范》（JTG／T3331</w:t>
      </w:r>
      <w:r>
        <w:rPr>
          <w:rFonts w:hint="eastAsia" w:ascii="Times New Roman" w:hAnsi="Times New Roman" w:eastAsia="仿宋_GB2312"/>
          <w:sz w:val="32"/>
          <w:szCs w:val="32"/>
        </w:rPr>
        <w:t>-</w:t>
      </w:r>
      <w:r>
        <w:rPr>
          <w:rFonts w:ascii="Times New Roman" w:hAnsi="Times New Roman" w:eastAsia="仿宋_GB2312"/>
          <w:sz w:val="32"/>
          <w:szCs w:val="32"/>
        </w:rPr>
        <w:t xml:space="preserve">04—2023）规定执行，以满足沥青混合料最低摊铺温度。 </w:t>
      </w:r>
    </w:p>
    <w:p w14:paraId="1979EE21">
      <w:pPr>
        <w:pStyle w:val="12"/>
        <w:jc w:val="center"/>
        <w:rPr>
          <w:rFonts w:ascii="仿宋"/>
          <w:b w:val="0"/>
          <w:bCs/>
          <w:szCs w:val="32"/>
        </w:rPr>
      </w:pPr>
      <w:r>
        <w:rPr>
          <w:rFonts w:hint="eastAsia"/>
        </w:rPr>
        <w:t xml:space="preserve">表 </w:t>
      </w:r>
      <w:r>
        <w:rPr>
          <w:rFonts w:hint="eastAsia"/>
        </w:rPr>
        <w:fldChar w:fldCharType="begin"/>
      </w:r>
      <w:r>
        <w:instrText xml:space="preserve"> </w:instrText>
      </w:r>
      <w:r>
        <w:rPr>
          <w:rFonts w:hint="eastAsia"/>
        </w:rPr>
        <w:instrText xml:space="preserve">STYLEREF 1 \s</w:instrText>
      </w:r>
      <w:r>
        <w:instrText xml:space="preserve"> </w:instrText>
      </w:r>
      <w:r>
        <w:fldChar w:fldCharType="separate"/>
      </w:r>
      <w:r>
        <w:rPr>
          <w:rFonts w:hint="eastAsia"/>
        </w:rPr>
        <w:t>三</w:t>
      </w:r>
      <w:r>
        <w:fldChar w:fldCharType="end"/>
      </w:r>
      <w:r>
        <w:noBreakHyphen/>
      </w:r>
      <w:r>
        <w:rPr>
          <w:rFonts w:hint="eastAsia"/>
        </w:rPr>
        <w:fldChar w:fldCharType="begin"/>
      </w:r>
      <w:r>
        <w:instrText xml:space="preserve"> </w:instrText>
      </w:r>
      <w:r>
        <w:rPr>
          <w:rFonts w:hint="eastAsia"/>
        </w:rPr>
        <w:instrText xml:space="preserve">SEQ 表 \* ARABIC \s 1</w:instrText>
      </w:r>
      <w:r>
        <w:instrText xml:space="preserve"> </w:instrText>
      </w:r>
      <w:r>
        <w:fldChar w:fldCharType="separate"/>
      </w:r>
      <w:r>
        <w:t>10</w:t>
      </w:r>
      <w:r>
        <w:fldChar w:fldCharType="end"/>
      </w:r>
      <w:r>
        <w:rPr>
          <w:rFonts w:hint="eastAsia" w:ascii="仿宋"/>
          <w:szCs w:val="32"/>
        </w:rPr>
        <w:t>沥青混合料最低摊铺温度（℃）</w:t>
      </w:r>
    </w:p>
    <w:tbl>
      <w:tblPr>
        <w:tblStyle w:val="29"/>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1941"/>
        <w:gridCol w:w="969"/>
        <w:gridCol w:w="1243"/>
        <w:gridCol w:w="970"/>
        <w:gridCol w:w="1065"/>
        <w:gridCol w:w="1269"/>
        <w:gridCol w:w="1065"/>
      </w:tblGrid>
      <w:tr w14:paraId="4CDC32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2017" w:type="dxa"/>
            <w:vMerge w:val="restart"/>
            <w:tcBorders>
              <w:top w:val="single" w:color="000000" w:sz="4" w:space="0"/>
              <w:left w:val="single" w:color="000000" w:sz="4" w:space="0"/>
              <w:bottom w:val="single" w:color="000000" w:sz="4" w:space="0"/>
              <w:right w:val="single" w:color="000000" w:sz="4" w:space="0"/>
            </w:tcBorders>
            <w:tcMar>
              <w:left w:w="108" w:type="dxa"/>
              <w:right w:w="108" w:type="dxa"/>
            </w:tcMar>
            <w:vAlign w:val="center"/>
          </w:tcPr>
          <w:p w14:paraId="126784C4">
            <w:pPr>
              <w:jc w:val="center"/>
              <w:rPr>
                <w:rFonts w:ascii="Times New Roman" w:hAnsi="Times New Roman"/>
                <w:bCs/>
                <w:sz w:val="24"/>
                <w:szCs w:val="24"/>
              </w:rPr>
            </w:pPr>
            <w:r>
              <w:rPr>
                <w:rFonts w:ascii="Times New Roman" w:hAnsi="Times New Roman"/>
                <w:bCs/>
                <w:sz w:val="24"/>
                <w:szCs w:val="24"/>
              </w:rPr>
              <w:t>下承层的表面温度（℃）</w:t>
            </w:r>
          </w:p>
        </w:tc>
        <w:tc>
          <w:tcPr>
            <w:tcW w:w="6505" w:type="dxa"/>
            <w:gridSpan w:val="6"/>
            <w:tcBorders>
              <w:top w:val="single" w:color="000000" w:sz="4" w:space="0"/>
              <w:left w:val="single" w:color="000000" w:sz="4" w:space="0"/>
              <w:bottom w:val="single" w:color="000000" w:sz="4" w:space="0"/>
              <w:right w:val="single" w:color="000000" w:sz="4" w:space="0"/>
            </w:tcBorders>
            <w:tcMar>
              <w:left w:w="108" w:type="dxa"/>
              <w:right w:w="108" w:type="dxa"/>
            </w:tcMar>
            <w:vAlign w:val="center"/>
          </w:tcPr>
          <w:p w14:paraId="7E4C2178">
            <w:pPr>
              <w:jc w:val="center"/>
              <w:rPr>
                <w:rFonts w:ascii="Times New Roman" w:hAnsi="Times New Roman"/>
                <w:bCs/>
                <w:sz w:val="24"/>
                <w:szCs w:val="24"/>
              </w:rPr>
            </w:pPr>
            <w:r>
              <w:rPr>
                <w:rFonts w:ascii="Times New Roman" w:hAnsi="Times New Roman"/>
                <w:bCs/>
                <w:sz w:val="24"/>
                <w:szCs w:val="24"/>
              </w:rPr>
              <w:t>相应于下列不同摊铺层厚度的最低摊铺温度</w:t>
            </w:r>
          </w:p>
        </w:tc>
      </w:tr>
      <w:tr w14:paraId="34B5F0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2017" w:type="dxa"/>
            <w:vMerge w:val="continue"/>
            <w:tcBorders>
              <w:top w:val="single" w:color="000000" w:sz="4" w:space="0"/>
              <w:left w:val="single" w:color="000000" w:sz="4" w:space="0"/>
              <w:bottom w:val="single" w:color="000000" w:sz="4" w:space="0"/>
              <w:right w:val="single" w:color="000000" w:sz="4" w:space="0"/>
            </w:tcBorders>
            <w:tcMar>
              <w:left w:w="108" w:type="dxa"/>
              <w:right w:w="108" w:type="dxa"/>
            </w:tcMar>
            <w:vAlign w:val="center"/>
          </w:tcPr>
          <w:p w14:paraId="68FB2917"/>
        </w:tc>
        <w:tc>
          <w:tcPr>
            <w:tcW w:w="3090" w:type="dxa"/>
            <w:gridSpan w:val="3"/>
            <w:tcBorders>
              <w:top w:val="single" w:color="000000" w:sz="4" w:space="0"/>
              <w:left w:val="single" w:color="000000" w:sz="4" w:space="0"/>
              <w:bottom w:val="single" w:color="000000" w:sz="4" w:space="0"/>
              <w:right w:val="single" w:color="000000" w:sz="4" w:space="0"/>
            </w:tcBorders>
            <w:tcMar>
              <w:left w:w="108" w:type="dxa"/>
              <w:right w:w="108" w:type="dxa"/>
            </w:tcMar>
            <w:vAlign w:val="center"/>
          </w:tcPr>
          <w:p w14:paraId="09780600">
            <w:pPr>
              <w:jc w:val="center"/>
              <w:rPr>
                <w:rFonts w:ascii="Times New Roman" w:hAnsi="Times New Roman"/>
                <w:bCs/>
                <w:sz w:val="24"/>
                <w:szCs w:val="24"/>
              </w:rPr>
            </w:pPr>
            <w:r>
              <w:rPr>
                <w:rFonts w:ascii="Times New Roman" w:hAnsi="Times New Roman"/>
                <w:bCs/>
                <w:sz w:val="24"/>
                <w:szCs w:val="24"/>
              </w:rPr>
              <w:t>普通沥青混合料</w:t>
            </w:r>
          </w:p>
        </w:tc>
        <w:tc>
          <w:tcPr>
            <w:tcW w:w="3415" w:type="dxa"/>
            <w:gridSpan w:val="3"/>
            <w:tcBorders>
              <w:top w:val="single" w:color="000000" w:sz="4" w:space="0"/>
              <w:left w:val="single" w:color="000000" w:sz="4" w:space="0"/>
              <w:bottom w:val="single" w:color="000000" w:sz="4" w:space="0"/>
              <w:right w:val="single" w:color="000000" w:sz="4" w:space="0"/>
            </w:tcBorders>
            <w:tcMar>
              <w:left w:w="108" w:type="dxa"/>
              <w:right w:w="108" w:type="dxa"/>
            </w:tcMar>
            <w:vAlign w:val="center"/>
          </w:tcPr>
          <w:p w14:paraId="697AFFF8">
            <w:pPr>
              <w:jc w:val="center"/>
              <w:rPr>
                <w:rFonts w:ascii="Times New Roman" w:hAnsi="Times New Roman"/>
                <w:bCs/>
                <w:sz w:val="24"/>
                <w:szCs w:val="24"/>
              </w:rPr>
            </w:pPr>
            <w:r>
              <w:rPr>
                <w:rFonts w:ascii="Times New Roman" w:hAnsi="Times New Roman"/>
                <w:bCs/>
                <w:sz w:val="24"/>
                <w:szCs w:val="24"/>
              </w:rPr>
              <w:t>改性沥青混合料、SMA沥青混合料</w:t>
            </w:r>
          </w:p>
        </w:tc>
      </w:tr>
      <w:tr w14:paraId="518C37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2017" w:type="dxa"/>
            <w:vMerge w:val="continue"/>
            <w:tcBorders>
              <w:top w:val="single" w:color="000000" w:sz="4" w:space="0"/>
              <w:left w:val="single" w:color="000000" w:sz="4" w:space="0"/>
              <w:bottom w:val="single" w:color="000000" w:sz="4" w:space="0"/>
              <w:right w:val="single" w:color="000000" w:sz="4" w:space="0"/>
            </w:tcBorders>
            <w:tcMar>
              <w:left w:w="108" w:type="dxa"/>
              <w:right w:w="108" w:type="dxa"/>
            </w:tcMar>
            <w:vAlign w:val="center"/>
          </w:tcPr>
          <w:p w14:paraId="66A0A09D"/>
        </w:tc>
        <w:tc>
          <w:tcPr>
            <w:tcW w:w="970" w:type="dxa"/>
            <w:tcBorders>
              <w:top w:val="single" w:color="000000" w:sz="4" w:space="0"/>
              <w:left w:val="single" w:color="000000" w:sz="4" w:space="0"/>
              <w:bottom w:val="single" w:color="000000" w:sz="4" w:space="0"/>
              <w:right w:val="single" w:color="000000" w:sz="4" w:space="0"/>
            </w:tcBorders>
            <w:tcMar>
              <w:left w:w="108" w:type="dxa"/>
              <w:right w:w="108" w:type="dxa"/>
            </w:tcMar>
            <w:vAlign w:val="center"/>
          </w:tcPr>
          <w:p w14:paraId="3DBE13B1">
            <w:pPr>
              <w:jc w:val="center"/>
              <w:rPr>
                <w:rFonts w:ascii="Times New Roman" w:hAnsi="Times New Roman"/>
                <w:bCs/>
                <w:sz w:val="24"/>
                <w:szCs w:val="24"/>
              </w:rPr>
            </w:pPr>
            <w:r>
              <w:rPr>
                <w:rFonts w:ascii="Times New Roman" w:hAnsi="Times New Roman"/>
                <w:bCs/>
                <w:sz w:val="24"/>
                <w:szCs w:val="24"/>
              </w:rPr>
              <w:t>&lt;50mm</w:t>
            </w:r>
          </w:p>
        </w:tc>
        <w:tc>
          <w:tcPr>
            <w:tcW w:w="1150" w:type="dxa"/>
            <w:tcBorders>
              <w:top w:val="single" w:color="000000" w:sz="4" w:space="0"/>
              <w:left w:val="single" w:color="000000" w:sz="4" w:space="0"/>
              <w:bottom w:val="single" w:color="000000" w:sz="4" w:space="0"/>
              <w:right w:val="single" w:color="000000" w:sz="4" w:space="0"/>
            </w:tcBorders>
            <w:tcMar>
              <w:left w:w="108" w:type="dxa"/>
              <w:right w:w="108" w:type="dxa"/>
            </w:tcMar>
            <w:vAlign w:val="center"/>
          </w:tcPr>
          <w:p w14:paraId="3408945C">
            <w:pPr>
              <w:jc w:val="center"/>
              <w:rPr>
                <w:rFonts w:ascii="Times New Roman" w:hAnsi="Times New Roman"/>
                <w:bCs/>
                <w:sz w:val="24"/>
                <w:szCs w:val="24"/>
              </w:rPr>
            </w:pPr>
            <w:r>
              <w:rPr>
                <w:rFonts w:ascii="Times New Roman" w:hAnsi="Times New Roman"/>
                <w:bCs/>
                <w:sz w:val="24"/>
                <w:szCs w:val="24"/>
              </w:rPr>
              <w:t>50</w:t>
            </w:r>
            <w:r>
              <w:rPr>
                <w:rFonts w:hint="eastAsia" w:ascii="Times New Roman" w:hAnsi="Times New Roman" w:eastAsia="仿宋_GB2312"/>
                <w:sz w:val="32"/>
                <w:szCs w:val="32"/>
              </w:rPr>
              <w:t>~</w:t>
            </w:r>
            <w:r>
              <w:rPr>
                <w:rFonts w:ascii="Times New Roman" w:hAnsi="Times New Roman"/>
                <w:bCs/>
                <w:sz w:val="24"/>
                <w:szCs w:val="24"/>
              </w:rPr>
              <w:t>80mm</w:t>
            </w:r>
          </w:p>
        </w:tc>
        <w:tc>
          <w:tcPr>
            <w:tcW w:w="970" w:type="dxa"/>
            <w:tcBorders>
              <w:top w:val="single" w:color="000000" w:sz="4" w:space="0"/>
              <w:left w:val="single" w:color="000000" w:sz="4" w:space="0"/>
              <w:bottom w:val="single" w:color="000000" w:sz="4" w:space="0"/>
              <w:right w:val="single" w:color="000000" w:sz="4" w:space="0"/>
            </w:tcBorders>
            <w:tcMar>
              <w:left w:w="108" w:type="dxa"/>
              <w:right w:w="108" w:type="dxa"/>
            </w:tcMar>
            <w:vAlign w:val="center"/>
          </w:tcPr>
          <w:p w14:paraId="0CDCC898">
            <w:pPr>
              <w:jc w:val="center"/>
              <w:rPr>
                <w:rFonts w:ascii="Times New Roman" w:hAnsi="Times New Roman"/>
                <w:bCs/>
                <w:sz w:val="24"/>
                <w:szCs w:val="24"/>
              </w:rPr>
            </w:pPr>
            <w:r>
              <w:rPr>
                <w:rFonts w:ascii="Times New Roman" w:hAnsi="Times New Roman"/>
                <w:bCs/>
                <w:sz w:val="24"/>
                <w:szCs w:val="24"/>
              </w:rPr>
              <w:t>&gt;80mm</w:t>
            </w:r>
          </w:p>
        </w:tc>
        <w:tc>
          <w:tcPr>
            <w:tcW w:w="1072" w:type="dxa"/>
            <w:tcBorders>
              <w:top w:val="single" w:color="000000" w:sz="4" w:space="0"/>
              <w:left w:val="single" w:color="000000" w:sz="4" w:space="0"/>
              <w:bottom w:val="single" w:color="000000" w:sz="4" w:space="0"/>
              <w:right w:val="single" w:color="000000" w:sz="4" w:space="0"/>
            </w:tcBorders>
            <w:tcMar>
              <w:left w:w="108" w:type="dxa"/>
              <w:right w:w="108" w:type="dxa"/>
            </w:tcMar>
            <w:vAlign w:val="center"/>
          </w:tcPr>
          <w:p w14:paraId="4106CB0D">
            <w:pPr>
              <w:jc w:val="center"/>
              <w:rPr>
                <w:rFonts w:ascii="Times New Roman" w:hAnsi="Times New Roman"/>
                <w:bCs/>
                <w:sz w:val="24"/>
                <w:szCs w:val="24"/>
              </w:rPr>
            </w:pPr>
            <w:r>
              <w:rPr>
                <w:rFonts w:ascii="Times New Roman" w:hAnsi="Times New Roman"/>
                <w:bCs/>
                <w:sz w:val="24"/>
                <w:szCs w:val="24"/>
              </w:rPr>
              <w:t>&lt;50mm</w:t>
            </w:r>
          </w:p>
        </w:tc>
        <w:tc>
          <w:tcPr>
            <w:tcW w:w="1271" w:type="dxa"/>
            <w:tcBorders>
              <w:top w:val="single" w:color="000000" w:sz="4" w:space="0"/>
              <w:left w:val="single" w:color="000000" w:sz="4" w:space="0"/>
              <w:bottom w:val="single" w:color="000000" w:sz="4" w:space="0"/>
              <w:right w:val="single" w:color="000000" w:sz="4" w:space="0"/>
            </w:tcBorders>
            <w:tcMar>
              <w:left w:w="108" w:type="dxa"/>
              <w:right w:w="108" w:type="dxa"/>
            </w:tcMar>
            <w:vAlign w:val="center"/>
          </w:tcPr>
          <w:p w14:paraId="386C6F35">
            <w:pPr>
              <w:jc w:val="center"/>
              <w:rPr>
                <w:rFonts w:ascii="Times New Roman" w:hAnsi="Times New Roman"/>
                <w:bCs/>
                <w:sz w:val="24"/>
                <w:szCs w:val="24"/>
              </w:rPr>
            </w:pPr>
            <w:r>
              <w:rPr>
                <w:rFonts w:ascii="Times New Roman" w:hAnsi="Times New Roman"/>
                <w:bCs/>
                <w:sz w:val="24"/>
                <w:szCs w:val="24"/>
              </w:rPr>
              <w:t>50</w:t>
            </w:r>
            <w:r>
              <w:rPr>
                <w:rFonts w:hint="eastAsia" w:ascii="Times New Roman" w:hAnsi="Times New Roman" w:eastAsia="仿宋_GB2312"/>
                <w:sz w:val="32"/>
                <w:szCs w:val="32"/>
              </w:rPr>
              <w:t>~</w:t>
            </w:r>
            <w:r>
              <w:rPr>
                <w:rFonts w:ascii="Times New Roman" w:hAnsi="Times New Roman"/>
                <w:bCs/>
                <w:sz w:val="24"/>
                <w:szCs w:val="24"/>
              </w:rPr>
              <w:t>80mm</w:t>
            </w:r>
          </w:p>
        </w:tc>
        <w:tc>
          <w:tcPr>
            <w:tcW w:w="1072" w:type="dxa"/>
            <w:tcBorders>
              <w:top w:val="single" w:color="000000" w:sz="4" w:space="0"/>
              <w:left w:val="single" w:color="000000" w:sz="4" w:space="0"/>
              <w:bottom w:val="single" w:color="000000" w:sz="4" w:space="0"/>
              <w:right w:val="single" w:color="000000" w:sz="4" w:space="0"/>
            </w:tcBorders>
            <w:tcMar>
              <w:left w:w="108" w:type="dxa"/>
              <w:right w:w="108" w:type="dxa"/>
            </w:tcMar>
            <w:vAlign w:val="center"/>
          </w:tcPr>
          <w:p w14:paraId="59B18049">
            <w:pPr>
              <w:jc w:val="center"/>
              <w:rPr>
                <w:rFonts w:ascii="Times New Roman" w:hAnsi="Times New Roman"/>
                <w:bCs/>
                <w:sz w:val="24"/>
                <w:szCs w:val="24"/>
              </w:rPr>
            </w:pPr>
            <w:r>
              <w:rPr>
                <w:rFonts w:ascii="Times New Roman" w:hAnsi="Times New Roman"/>
                <w:bCs/>
                <w:sz w:val="24"/>
                <w:szCs w:val="24"/>
              </w:rPr>
              <w:t>&gt;80mm</w:t>
            </w:r>
          </w:p>
        </w:tc>
      </w:tr>
      <w:tr w14:paraId="2CBD0D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2017" w:type="dxa"/>
            <w:tcBorders>
              <w:top w:val="single" w:color="000000" w:sz="4" w:space="0"/>
              <w:left w:val="single" w:color="000000" w:sz="4" w:space="0"/>
              <w:bottom w:val="single" w:color="000000" w:sz="4" w:space="0"/>
              <w:right w:val="single" w:color="000000" w:sz="4" w:space="0"/>
            </w:tcBorders>
            <w:tcMar>
              <w:left w:w="108" w:type="dxa"/>
              <w:right w:w="108" w:type="dxa"/>
            </w:tcMar>
            <w:vAlign w:val="center"/>
          </w:tcPr>
          <w:p w14:paraId="3D4676E4">
            <w:pPr>
              <w:jc w:val="center"/>
              <w:rPr>
                <w:rFonts w:ascii="Times New Roman" w:hAnsi="Times New Roman"/>
                <w:bCs/>
                <w:sz w:val="24"/>
                <w:szCs w:val="24"/>
              </w:rPr>
            </w:pPr>
            <w:r>
              <w:rPr>
                <w:rFonts w:ascii="Times New Roman" w:hAnsi="Times New Roman"/>
                <w:bCs/>
                <w:sz w:val="24"/>
                <w:szCs w:val="24"/>
              </w:rPr>
              <w:t>&lt;5</w:t>
            </w:r>
          </w:p>
        </w:tc>
        <w:tc>
          <w:tcPr>
            <w:tcW w:w="970" w:type="dxa"/>
            <w:tcBorders>
              <w:top w:val="single" w:color="000000" w:sz="4" w:space="0"/>
              <w:left w:val="single" w:color="000000" w:sz="4" w:space="0"/>
              <w:bottom w:val="single" w:color="000000" w:sz="4" w:space="0"/>
              <w:right w:val="single" w:color="000000" w:sz="4" w:space="0"/>
            </w:tcBorders>
            <w:tcMar>
              <w:left w:w="108" w:type="dxa"/>
              <w:right w:w="108" w:type="dxa"/>
            </w:tcMar>
            <w:vAlign w:val="center"/>
          </w:tcPr>
          <w:p w14:paraId="65833823">
            <w:pPr>
              <w:jc w:val="center"/>
              <w:rPr>
                <w:rFonts w:ascii="Times New Roman" w:hAnsi="Times New Roman"/>
                <w:bCs/>
                <w:sz w:val="24"/>
                <w:szCs w:val="24"/>
              </w:rPr>
            </w:pPr>
            <w:r>
              <w:rPr>
                <w:rFonts w:ascii="Times New Roman" w:hAnsi="Times New Roman"/>
                <w:bCs/>
                <w:sz w:val="24"/>
                <w:szCs w:val="24"/>
              </w:rPr>
              <w:t>不允许</w:t>
            </w:r>
          </w:p>
        </w:tc>
        <w:tc>
          <w:tcPr>
            <w:tcW w:w="1150" w:type="dxa"/>
            <w:tcBorders>
              <w:top w:val="single" w:color="000000" w:sz="4" w:space="0"/>
              <w:left w:val="single" w:color="000000" w:sz="4" w:space="0"/>
              <w:bottom w:val="single" w:color="000000" w:sz="4" w:space="0"/>
              <w:right w:val="single" w:color="000000" w:sz="4" w:space="0"/>
            </w:tcBorders>
            <w:tcMar>
              <w:left w:w="108" w:type="dxa"/>
              <w:right w:w="108" w:type="dxa"/>
            </w:tcMar>
            <w:vAlign w:val="center"/>
          </w:tcPr>
          <w:p w14:paraId="5B883E9C">
            <w:pPr>
              <w:jc w:val="center"/>
              <w:rPr>
                <w:rFonts w:ascii="Times New Roman" w:hAnsi="Times New Roman"/>
                <w:bCs/>
                <w:sz w:val="24"/>
                <w:szCs w:val="24"/>
              </w:rPr>
            </w:pPr>
            <w:r>
              <w:rPr>
                <w:rFonts w:ascii="Times New Roman" w:hAnsi="Times New Roman"/>
                <w:bCs/>
                <w:sz w:val="24"/>
                <w:szCs w:val="24"/>
              </w:rPr>
              <w:t>不允许</w:t>
            </w:r>
          </w:p>
        </w:tc>
        <w:tc>
          <w:tcPr>
            <w:tcW w:w="970" w:type="dxa"/>
            <w:tcBorders>
              <w:top w:val="single" w:color="000000" w:sz="4" w:space="0"/>
              <w:left w:val="single" w:color="000000" w:sz="4" w:space="0"/>
              <w:bottom w:val="single" w:color="000000" w:sz="4" w:space="0"/>
              <w:right w:val="single" w:color="000000" w:sz="4" w:space="0"/>
            </w:tcBorders>
            <w:tcMar>
              <w:left w:w="108" w:type="dxa"/>
              <w:right w:w="108" w:type="dxa"/>
            </w:tcMar>
            <w:vAlign w:val="center"/>
          </w:tcPr>
          <w:p w14:paraId="1DF7B8AF">
            <w:pPr>
              <w:jc w:val="center"/>
              <w:rPr>
                <w:rFonts w:ascii="Times New Roman" w:hAnsi="Times New Roman"/>
                <w:bCs/>
                <w:sz w:val="24"/>
                <w:szCs w:val="24"/>
              </w:rPr>
            </w:pPr>
            <w:r>
              <w:rPr>
                <w:rFonts w:ascii="Times New Roman" w:hAnsi="Times New Roman"/>
                <w:bCs/>
                <w:sz w:val="24"/>
                <w:szCs w:val="24"/>
              </w:rPr>
              <w:t>140</w:t>
            </w:r>
          </w:p>
        </w:tc>
        <w:tc>
          <w:tcPr>
            <w:tcW w:w="1072" w:type="dxa"/>
            <w:tcBorders>
              <w:top w:val="single" w:color="000000" w:sz="4" w:space="0"/>
              <w:left w:val="single" w:color="000000" w:sz="4" w:space="0"/>
              <w:bottom w:val="single" w:color="000000" w:sz="4" w:space="0"/>
              <w:right w:val="single" w:color="000000" w:sz="4" w:space="0"/>
            </w:tcBorders>
            <w:tcMar>
              <w:left w:w="108" w:type="dxa"/>
              <w:right w:w="108" w:type="dxa"/>
            </w:tcMar>
            <w:vAlign w:val="center"/>
          </w:tcPr>
          <w:p w14:paraId="17AB47B0">
            <w:pPr>
              <w:jc w:val="center"/>
              <w:rPr>
                <w:rFonts w:ascii="Times New Roman" w:hAnsi="Times New Roman"/>
                <w:bCs/>
                <w:sz w:val="24"/>
                <w:szCs w:val="24"/>
              </w:rPr>
            </w:pPr>
            <w:r>
              <w:rPr>
                <w:rFonts w:ascii="Times New Roman" w:hAnsi="Times New Roman"/>
                <w:bCs/>
                <w:sz w:val="24"/>
                <w:szCs w:val="24"/>
              </w:rPr>
              <w:t>不允许</w:t>
            </w:r>
          </w:p>
        </w:tc>
        <w:tc>
          <w:tcPr>
            <w:tcW w:w="1271" w:type="dxa"/>
            <w:tcBorders>
              <w:top w:val="single" w:color="000000" w:sz="4" w:space="0"/>
              <w:left w:val="single" w:color="000000" w:sz="4" w:space="0"/>
              <w:bottom w:val="single" w:color="000000" w:sz="4" w:space="0"/>
              <w:right w:val="single" w:color="000000" w:sz="4" w:space="0"/>
            </w:tcBorders>
            <w:tcMar>
              <w:left w:w="108" w:type="dxa"/>
              <w:right w:w="108" w:type="dxa"/>
            </w:tcMar>
            <w:vAlign w:val="center"/>
          </w:tcPr>
          <w:p w14:paraId="7257F0AB">
            <w:pPr>
              <w:jc w:val="center"/>
              <w:rPr>
                <w:rFonts w:ascii="Times New Roman" w:hAnsi="Times New Roman"/>
                <w:bCs/>
                <w:sz w:val="24"/>
                <w:szCs w:val="24"/>
              </w:rPr>
            </w:pPr>
            <w:r>
              <w:rPr>
                <w:rFonts w:ascii="Times New Roman" w:hAnsi="Times New Roman"/>
                <w:bCs/>
                <w:sz w:val="24"/>
                <w:szCs w:val="24"/>
              </w:rPr>
              <w:t>不允许</w:t>
            </w:r>
          </w:p>
        </w:tc>
        <w:tc>
          <w:tcPr>
            <w:tcW w:w="1072" w:type="dxa"/>
            <w:tcBorders>
              <w:top w:val="single" w:color="000000" w:sz="4" w:space="0"/>
              <w:left w:val="single" w:color="000000" w:sz="4" w:space="0"/>
              <w:bottom w:val="single" w:color="000000" w:sz="4" w:space="0"/>
              <w:right w:val="single" w:color="000000" w:sz="4" w:space="0"/>
            </w:tcBorders>
            <w:tcMar>
              <w:left w:w="108" w:type="dxa"/>
              <w:right w:w="108" w:type="dxa"/>
            </w:tcMar>
            <w:vAlign w:val="center"/>
          </w:tcPr>
          <w:p w14:paraId="11FFA40D">
            <w:pPr>
              <w:jc w:val="center"/>
              <w:rPr>
                <w:rFonts w:ascii="Times New Roman" w:hAnsi="Times New Roman"/>
                <w:bCs/>
                <w:sz w:val="24"/>
                <w:szCs w:val="24"/>
              </w:rPr>
            </w:pPr>
            <w:r>
              <w:rPr>
                <w:rFonts w:ascii="Times New Roman" w:hAnsi="Times New Roman"/>
                <w:bCs/>
                <w:sz w:val="24"/>
                <w:szCs w:val="24"/>
              </w:rPr>
              <w:t>不允许</w:t>
            </w:r>
          </w:p>
        </w:tc>
      </w:tr>
      <w:tr w14:paraId="1BF839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2017" w:type="dxa"/>
            <w:tcBorders>
              <w:top w:val="single" w:color="000000" w:sz="4" w:space="0"/>
              <w:left w:val="single" w:color="000000" w:sz="4" w:space="0"/>
              <w:bottom w:val="single" w:color="000000" w:sz="4" w:space="0"/>
              <w:right w:val="single" w:color="000000" w:sz="4" w:space="0"/>
            </w:tcBorders>
            <w:tcMar>
              <w:left w:w="108" w:type="dxa"/>
              <w:right w:w="108" w:type="dxa"/>
            </w:tcMar>
            <w:vAlign w:val="center"/>
          </w:tcPr>
          <w:p w14:paraId="4A528D4E">
            <w:pPr>
              <w:jc w:val="center"/>
              <w:rPr>
                <w:rFonts w:ascii="Times New Roman" w:hAnsi="Times New Roman"/>
                <w:bCs/>
                <w:sz w:val="24"/>
                <w:szCs w:val="24"/>
              </w:rPr>
            </w:pPr>
            <w:r>
              <w:rPr>
                <w:rFonts w:ascii="Times New Roman" w:hAnsi="Times New Roman"/>
                <w:bCs/>
                <w:sz w:val="24"/>
                <w:szCs w:val="24"/>
              </w:rPr>
              <w:t>5～10</w:t>
            </w:r>
          </w:p>
        </w:tc>
        <w:tc>
          <w:tcPr>
            <w:tcW w:w="970" w:type="dxa"/>
            <w:tcBorders>
              <w:top w:val="single" w:color="000000" w:sz="4" w:space="0"/>
              <w:left w:val="single" w:color="000000" w:sz="4" w:space="0"/>
              <w:bottom w:val="single" w:color="000000" w:sz="4" w:space="0"/>
              <w:right w:val="single" w:color="000000" w:sz="4" w:space="0"/>
            </w:tcBorders>
            <w:tcMar>
              <w:left w:w="108" w:type="dxa"/>
              <w:right w:w="108" w:type="dxa"/>
            </w:tcMar>
            <w:vAlign w:val="center"/>
          </w:tcPr>
          <w:p w14:paraId="7B663B60">
            <w:pPr>
              <w:jc w:val="center"/>
              <w:rPr>
                <w:rFonts w:ascii="Times New Roman" w:hAnsi="Times New Roman"/>
                <w:bCs/>
                <w:sz w:val="24"/>
                <w:szCs w:val="24"/>
              </w:rPr>
            </w:pPr>
            <w:r>
              <w:rPr>
                <w:rFonts w:ascii="Times New Roman" w:hAnsi="Times New Roman"/>
                <w:bCs/>
                <w:sz w:val="24"/>
                <w:szCs w:val="24"/>
              </w:rPr>
              <w:t>不允许</w:t>
            </w:r>
          </w:p>
        </w:tc>
        <w:tc>
          <w:tcPr>
            <w:tcW w:w="1150" w:type="dxa"/>
            <w:tcBorders>
              <w:top w:val="single" w:color="000000" w:sz="4" w:space="0"/>
              <w:left w:val="single" w:color="000000" w:sz="4" w:space="0"/>
              <w:bottom w:val="single" w:color="000000" w:sz="4" w:space="0"/>
              <w:right w:val="single" w:color="000000" w:sz="4" w:space="0"/>
            </w:tcBorders>
            <w:tcMar>
              <w:left w:w="108" w:type="dxa"/>
              <w:right w:w="108" w:type="dxa"/>
            </w:tcMar>
            <w:vAlign w:val="center"/>
          </w:tcPr>
          <w:p w14:paraId="3B38D997">
            <w:pPr>
              <w:jc w:val="center"/>
              <w:rPr>
                <w:rFonts w:ascii="Times New Roman" w:hAnsi="Times New Roman"/>
                <w:bCs/>
                <w:sz w:val="24"/>
                <w:szCs w:val="24"/>
              </w:rPr>
            </w:pPr>
            <w:r>
              <w:rPr>
                <w:rFonts w:ascii="Times New Roman" w:hAnsi="Times New Roman"/>
                <w:bCs/>
                <w:sz w:val="24"/>
                <w:szCs w:val="24"/>
              </w:rPr>
              <w:t>140</w:t>
            </w:r>
          </w:p>
        </w:tc>
        <w:tc>
          <w:tcPr>
            <w:tcW w:w="970" w:type="dxa"/>
            <w:tcBorders>
              <w:top w:val="single" w:color="000000" w:sz="4" w:space="0"/>
              <w:left w:val="single" w:color="000000" w:sz="4" w:space="0"/>
              <w:bottom w:val="single" w:color="000000" w:sz="4" w:space="0"/>
              <w:right w:val="single" w:color="000000" w:sz="4" w:space="0"/>
            </w:tcBorders>
            <w:tcMar>
              <w:left w:w="108" w:type="dxa"/>
              <w:right w:w="108" w:type="dxa"/>
            </w:tcMar>
            <w:vAlign w:val="center"/>
          </w:tcPr>
          <w:p w14:paraId="5C886A62">
            <w:pPr>
              <w:jc w:val="center"/>
              <w:rPr>
                <w:rFonts w:ascii="Times New Roman" w:hAnsi="Times New Roman"/>
                <w:bCs/>
                <w:sz w:val="24"/>
                <w:szCs w:val="24"/>
              </w:rPr>
            </w:pPr>
            <w:r>
              <w:rPr>
                <w:rFonts w:ascii="Times New Roman" w:hAnsi="Times New Roman"/>
                <w:bCs/>
                <w:sz w:val="24"/>
                <w:szCs w:val="24"/>
              </w:rPr>
              <w:t>135</w:t>
            </w:r>
          </w:p>
        </w:tc>
        <w:tc>
          <w:tcPr>
            <w:tcW w:w="1072" w:type="dxa"/>
            <w:tcBorders>
              <w:top w:val="single" w:color="000000" w:sz="4" w:space="0"/>
              <w:left w:val="single" w:color="000000" w:sz="4" w:space="0"/>
              <w:bottom w:val="single" w:color="000000" w:sz="4" w:space="0"/>
              <w:right w:val="single" w:color="000000" w:sz="4" w:space="0"/>
            </w:tcBorders>
            <w:tcMar>
              <w:left w:w="108" w:type="dxa"/>
              <w:right w:w="108" w:type="dxa"/>
            </w:tcMar>
            <w:vAlign w:val="center"/>
          </w:tcPr>
          <w:p w14:paraId="415E38E1">
            <w:pPr>
              <w:jc w:val="center"/>
              <w:rPr>
                <w:rFonts w:ascii="Times New Roman" w:hAnsi="Times New Roman"/>
                <w:bCs/>
                <w:sz w:val="24"/>
                <w:szCs w:val="24"/>
              </w:rPr>
            </w:pPr>
            <w:r>
              <w:rPr>
                <w:rFonts w:ascii="Times New Roman" w:hAnsi="Times New Roman"/>
                <w:bCs/>
                <w:sz w:val="24"/>
                <w:szCs w:val="24"/>
              </w:rPr>
              <w:t>不允许</w:t>
            </w:r>
          </w:p>
        </w:tc>
        <w:tc>
          <w:tcPr>
            <w:tcW w:w="1271" w:type="dxa"/>
            <w:tcBorders>
              <w:top w:val="single" w:color="000000" w:sz="4" w:space="0"/>
              <w:left w:val="single" w:color="000000" w:sz="4" w:space="0"/>
              <w:bottom w:val="single" w:color="000000" w:sz="4" w:space="0"/>
              <w:right w:val="single" w:color="000000" w:sz="4" w:space="0"/>
            </w:tcBorders>
            <w:tcMar>
              <w:left w:w="108" w:type="dxa"/>
              <w:right w:w="108" w:type="dxa"/>
            </w:tcMar>
            <w:vAlign w:val="center"/>
          </w:tcPr>
          <w:p w14:paraId="5A7F2A10">
            <w:pPr>
              <w:jc w:val="center"/>
              <w:rPr>
                <w:rFonts w:ascii="Times New Roman" w:hAnsi="Times New Roman"/>
                <w:bCs/>
                <w:sz w:val="24"/>
                <w:szCs w:val="24"/>
              </w:rPr>
            </w:pPr>
            <w:r>
              <w:rPr>
                <w:rFonts w:ascii="Times New Roman" w:hAnsi="Times New Roman"/>
                <w:bCs/>
                <w:sz w:val="24"/>
                <w:szCs w:val="24"/>
              </w:rPr>
              <w:t>不允许</w:t>
            </w:r>
          </w:p>
        </w:tc>
        <w:tc>
          <w:tcPr>
            <w:tcW w:w="1072" w:type="dxa"/>
            <w:tcBorders>
              <w:top w:val="single" w:color="000000" w:sz="4" w:space="0"/>
              <w:left w:val="single" w:color="000000" w:sz="4" w:space="0"/>
              <w:bottom w:val="single" w:color="000000" w:sz="4" w:space="0"/>
              <w:right w:val="single" w:color="000000" w:sz="4" w:space="0"/>
            </w:tcBorders>
            <w:tcMar>
              <w:left w:w="108" w:type="dxa"/>
              <w:right w:w="108" w:type="dxa"/>
            </w:tcMar>
            <w:vAlign w:val="center"/>
          </w:tcPr>
          <w:p w14:paraId="2D8F8297">
            <w:pPr>
              <w:jc w:val="center"/>
              <w:rPr>
                <w:rFonts w:ascii="Times New Roman" w:hAnsi="Times New Roman"/>
                <w:bCs/>
                <w:sz w:val="24"/>
                <w:szCs w:val="24"/>
              </w:rPr>
            </w:pPr>
            <w:r>
              <w:rPr>
                <w:rFonts w:ascii="Times New Roman" w:hAnsi="Times New Roman"/>
                <w:bCs/>
                <w:sz w:val="24"/>
                <w:szCs w:val="24"/>
              </w:rPr>
              <w:t>不允许</w:t>
            </w:r>
          </w:p>
        </w:tc>
      </w:tr>
      <w:tr w14:paraId="271FB5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2017" w:type="dxa"/>
            <w:tcBorders>
              <w:top w:val="single" w:color="000000" w:sz="4" w:space="0"/>
              <w:left w:val="single" w:color="000000" w:sz="4" w:space="0"/>
              <w:bottom w:val="single" w:color="000000" w:sz="4" w:space="0"/>
              <w:right w:val="single" w:color="000000" w:sz="4" w:space="0"/>
            </w:tcBorders>
            <w:tcMar>
              <w:left w:w="108" w:type="dxa"/>
              <w:right w:w="108" w:type="dxa"/>
            </w:tcMar>
            <w:vAlign w:val="center"/>
          </w:tcPr>
          <w:p w14:paraId="369A3D2D">
            <w:pPr>
              <w:jc w:val="center"/>
              <w:rPr>
                <w:rFonts w:ascii="Times New Roman" w:hAnsi="Times New Roman"/>
                <w:bCs/>
                <w:sz w:val="24"/>
                <w:szCs w:val="24"/>
              </w:rPr>
            </w:pPr>
            <w:r>
              <w:rPr>
                <w:rFonts w:ascii="Times New Roman" w:hAnsi="Times New Roman"/>
                <w:bCs/>
                <w:sz w:val="24"/>
                <w:szCs w:val="24"/>
              </w:rPr>
              <w:t>10～15</w:t>
            </w:r>
          </w:p>
        </w:tc>
        <w:tc>
          <w:tcPr>
            <w:tcW w:w="970" w:type="dxa"/>
            <w:tcBorders>
              <w:top w:val="single" w:color="000000" w:sz="4" w:space="0"/>
              <w:left w:val="single" w:color="000000" w:sz="4" w:space="0"/>
              <w:bottom w:val="single" w:color="000000" w:sz="4" w:space="0"/>
              <w:right w:val="single" w:color="000000" w:sz="4" w:space="0"/>
            </w:tcBorders>
            <w:tcMar>
              <w:left w:w="108" w:type="dxa"/>
              <w:right w:w="108" w:type="dxa"/>
            </w:tcMar>
            <w:vAlign w:val="center"/>
          </w:tcPr>
          <w:p w14:paraId="2D529EA5">
            <w:pPr>
              <w:jc w:val="center"/>
              <w:rPr>
                <w:rFonts w:ascii="Times New Roman" w:hAnsi="Times New Roman"/>
                <w:bCs/>
                <w:sz w:val="24"/>
                <w:szCs w:val="24"/>
              </w:rPr>
            </w:pPr>
            <w:r>
              <w:rPr>
                <w:rFonts w:ascii="Times New Roman" w:hAnsi="Times New Roman"/>
                <w:bCs/>
                <w:sz w:val="24"/>
                <w:szCs w:val="24"/>
              </w:rPr>
              <w:t>145</w:t>
            </w:r>
          </w:p>
        </w:tc>
        <w:tc>
          <w:tcPr>
            <w:tcW w:w="1150" w:type="dxa"/>
            <w:tcBorders>
              <w:top w:val="single" w:color="000000" w:sz="4" w:space="0"/>
              <w:left w:val="single" w:color="000000" w:sz="4" w:space="0"/>
              <w:bottom w:val="single" w:color="000000" w:sz="4" w:space="0"/>
              <w:right w:val="single" w:color="000000" w:sz="4" w:space="0"/>
            </w:tcBorders>
            <w:tcMar>
              <w:left w:w="108" w:type="dxa"/>
              <w:right w:w="108" w:type="dxa"/>
            </w:tcMar>
            <w:vAlign w:val="center"/>
          </w:tcPr>
          <w:p w14:paraId="68E0D7A5">
            <w:pPr>
              <w:jc w:val="center"/>
              <w:rPr>
                <w:rFonts w:ascii="Times New Roman" w:hAnsi="Times New Roman"/>
                <w:bCs/>
                <w:sz w:val="24"/>
                <w:szCs w:val="24"/>
              </w:rPr>
            </w:pPr>
            <w:r>
              <w:rPr>
                <w:rFonts w:ascii="Times New Roman" w:hAnsi="Times New Roman"/>
                <w:bCs/>
                <w:sz w:val="24"/>
                <w:szCs w:val="24"/>
              </w:rPr>
              <w:t>138</w:t>
            </w:r>
          </w:p>
        </w:tc>
        <w:tc>
          <w:tcPr>
            <w:tcW w:w="970" w:type="dxa"/>
            <w:tcBorders>
              <w:top w:val="single" w:color="000000" w:sz="4" w:space="0"/>
              <w:left w:val="single" w:color="000000" w:sz="4" w:space="0"/>
              <w:bottom w:val="single" w:color="000000" w:sz="4" w:space="0"/>
              <w:right w:val="single" w:color="000000" w:sz="4" w:space="0"/>
            </w:tcBorders>
            <w:tcMar>
              <w:left w:w="108" w:type="dxa"/>
              <w:right w:w="108" w:type="dxa"/>
            </w:tcMar>
            <w:vAlign w:val="center"/>
          </w:tcPr>
          <w:p w14:paraId="4B6F1036">
            <w:pPr>
              <w:jc w:val="center"/>
              <w:rPr>
                <w:rFonts w:ascii="Times New Roman" w:hAnsi="Times New Roman"/>
                <w:bCs/>
                <w:sz w:val="24"/>
                <w:szCs w:val="24"/>
              </w:rPr>
            </w:pPr>
            <w:r>
              <w:rPr>
                <w:rFonts w:ascii="Times New Roman" w:hAnsi="Times New Roman"/>
                <w:bCs/>
                <w:sz w:val="24"/>
                <w:szCs w:val="24"/>
              </w:rPr>
              <w:t>132</w:t>
            </w:r>
          </w:p>
        </w:tc>
        <w:tc>
          <w:tcPr>
            <w:tcW w:w="1072" w:type="dxa"/>
            <w:tcBorders>
              <w:top w:val="single" w:color="000000" w:sz="4" w:space="0"/>
              <w:left w:val="single" w:color="000000" w:sz="4" w:space="0"/>
              <w:bottom w:val="single" w:color="000000" w:sz="4" w:space="0"/>
              <w:right w:val="single" w:color="000000" w:sz="4" w:space="0"/>
            </w:tcBorders>
            <w:tcMar>
              <w:left w:w="108" w:type="dxa"/>
              <w:right w:w="108" w:type="dxa"/>
            </w:tcMar>
            <w:vAlign w:val="center"/>
          </w:tcPr>
          <w:p w14:paraId="79405156">
            <w:pPr>
              <w:jc w:val="center"/>
              <w:rPr>
                <w:rFonts w:ascii="Times New Roman" w:hAnsi="Times New Roman"/>
                <w:bCs/>
                <w:sz w:val="24"/>
                <w:szCs w:val="24"/>
              </w:rPr>
            </w:pPr>
            <w:r>
              <w:rPr>
                <w:rFonts w:ascii="Times New Roman" w:hAnsi="Times New Roman"/>
                <w:bCs/>
                <w:sz w:val="24"/>
                <w:szCs w:val="24"/>
              </w:rPr>
              <w:t>165</w:t>
            </w:r>
          </w:p>
        </w:tc>
        <w:tc>
          <w:tcPr>
            <w:tcW w:w="1271" w:type="dxa"/>
            <w:tcBorders>
              <w:top w:val="single" w:color="000000" w:sz="4" w:space="0"/>
              <w:left w:val="single" w:color="000000" w:sz="4" w:space="0"/>
              <w:bottom w:val="single" w:color="000000" w:sz="4" w:space="0"/>
              <w:right w:val="single" w:color="000000" w:sz="4" w:space="0"/>
            </w:tcBorders>
            <w:tcMar>
              <w:left w:w="108" w:type="dxa"/>
              <w:right w:w="108" w:type="dxa"/>
            </w:tcMar>
            <w:vAlign w:val="center"/>
          </w:tcPr>
          <w:p w14:paraId="6489DE6E">
            <w:pPr>
              <w:jc w:val="center"/>
              <w:rPr>
                <w:rFonts w:ascii="Times New Roman" w:hAnsi="Times New Roman"/>
                <w:bCs/>
                <w:sz w:val="24"/>
                <w:szCs w:val="24"/>
              </w:rPr>
            </w:pPr>
            <w:r>
              <w:rPr>
                <w:rFonts w:ascii="Times New Roman" w:hAnsi="Times New Roman"/>
                <w:bCs/>
                <w:sz w:val="24"/>
                <w:szCs w:val="24"/>
              </w:rPr>
              <w:t>155</w:t>
            </w:r>
          </w:p>
        </w:tc>
        <w:tc>
          <w:tcPr>
            <w:tcW w:w="1072" w:type="dxa"/>
            <w:tcBorders>
              <w:top w:val="single" w:color="000000" w:sz="4" w:space="0"/>
              <w:left w:val="single" w:color="000000" w:sz="4" w:space="0"/>
              <w:bottom w:val="single" w:color="000000" w:sz="4" w:space="0"/>
              <w:right w:val="single" w:color="000000" w:sz="4" w:space="0"/>
            </w:tcBorders>
            <w:tcMar>
              <w:left w:w="108" w:type="dxa"/>
              <w:right w:w="108" w:type="dxa"/>
            </w:tcMar>
            <w:vAlign w:val="center"/>
          </w:tcPr>
          <w:p w14:paraId="40239C60">
            <w:pPr>
              <w:jc w:val="center"/>
              <w:rPr>
                <w:rFonts w:ascii="Times New Roman" w:hAnsi="Times New Roman"/>
                <w:bCs/>
                <w:sz w:val="24"/>
                <w:szCs w:val="24"/>
              </w:rPr>
            </w:pPr>
            <w:r>
              <w:rPr>
                <w:rFonts w:ascii="Times New Roman" w:hAnsi="Times New Roman"/>
                <w:bCs/>
                <w:sz w:val="24"/>
                <w:szCs w:val="24"/>
              </w:rPr>
              <w:t>150</w:t>
            </w:r>
          </w:p>
        </w:tc>
      </w:tr>
      <w:tr w14:paraId="4F47F2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2017" w:type="dxa"/>
            <w:tcBorders>
              <w:top w:val="single" w:color="000000" w:sz="4" w:space="0"/>
              <w:left w:val="single" w:color="000000" w:sz="4" w:space="0"/>
              <w:bottom w:val="single" w:color="000000" w:sz="4" w:space="0"/>
              <w:right w:val="single" w:color="000000" w:sz="4" w:space="0"/>
            </w:tcBorders>
            <w:tcMar>
              <w:left w:w="108" w:type="dxa"/>
              <w:right w:w="108" w:type="dxa"/>
            </w:tcMar>
            <w:vAlign w:val="center"/>
          </w:tcPr>
          <w:p w14:paraId="35C7AF47">
            <w:pPr>
              <w:jc w:val="center"/>
              <w:rPr>
                <w:rFonts w:ascii="Times New Roman" w:hAnsi="Times New Roman"/>
                <w:bCs/>
                <w:sz w:val="24"/>
                <w:szCs w:val="24"/>
              </w:rPr>
            </w:pPr>
            <w:r>
              <w:rPr>
                <w:rFonts w:ascii="Times New Roman" w:hAnsi="Times New Roman"/>
                <w:bCs/>
                <w:sz w:val="24"/>
                <w:szCs w:val="24"/>
              </w:rPr>
              <w:t>15～20</w:t>
            </w:r>
          </w:p>
        </w:tc>
        <w:tc>
          <w:tcPr>
            <w:tcW w:w="970" w:type="dxa"/>
            <w:tcBorders>
              <w:top w:val="single" w:color="000000" w:sz="4" w:space="0"/>
              <w:left w:val="single" w:color="000000" w:sz="4" w:space="0"/>
              <w:bottom w:val="single" w:color="000000" w:sz="4" w:space="0"/>
              <w:right w:val="single" w:color="000000" w:sz="4" w:space="0"/>
            </w:tcBorders>
            <w:tcMar>
              <w:left w:w="108" w:type="dxa"/>
              <w:right w:w="108" w:type="dxa"/>
            </w:tcMar>
            <w:vAlign w:val="center"/>
          </w:tcPr>
          <w:p w14:paraId="2E5A4C1E">
            <w:pPr>
              <w:jc w:val="center"/>
              <w:rPr>
                <w:rFonts w:ascii="Times New Roman" w:hAnsi="Times New Roman"/>
                <w:bCs/>
                <w:sz w:val="24"/>
                <w:szCs w:val="24"/>
              </w:rPr>
            </w:pPr>
            <w:r>
              <w:rPr>
                <w:rFonts w:ascii="Times New Roman" w:hAnsi="Times New Roman"/>
                <w:bCs/>
                <w:sz w:val="24"/>
                <w:szCs w:val="24"/>
              </w:rPr>
              <w:t>140</w:t>
            </w:r>
          </w:p>
        </w:tc>
        <w:tc>
          <w:tcPr>
            <w:tcW w:w="1150" w:type="dxa"/>
            <w:tcBorders>
              <w:top w:val="single" w:color="000000" w:sz="4" w:space="0"/>
              <w:left w:val="single" w:color="000000" w:sz="4" w:space="0"/>
              <w:bottom w:val="single" w:color="000000" w:sz="4" w:space="0"/>
              <w:right w:val="single" w:color="000000" w:sz="4" w:space="0"/>
            </w:tcBorders>
            <w:tcMar>
              <w:left w:w="108" w:type="dxa"/>
              <w:right w:w="108" w:type="dxa"/>
            </w:tcMar>
            <w:vAlign w:val="center"/>
          </w:tcPr>
          <w:p w14:paraId="36D12277">
            <w:pPr>
              <w:jc w:val="center"/>
              <w:rPr>
                <w:rFonts w:ascii="Times New Roman" w:hAnsi="Times New Roman"/>
                <w:bCs/>
                <w:sz w:val="24"/>
                <w:szCs w:val="24"/>
              </w:rPr>
            </w:pPr>
            <w:r>
              <w:rPr>
                <w:rFonts w:ascii="Times New Roman" w:hAnsi="Times New Roman"/>
                <w:bCs/>
                <w:sz w:val="24"/>
                <w:szCs w:val="24"/>
              </w:rPr>
              <w:t>135</w:t>
            </w:r>
          </w:p>
        </w:tc>
        <w:tc>
          <w:tcPr>
            <w:tcW w:w="970" w:type="dxa"/>
            <w:tcBorders>
              <w:top w:val="single" w:color="000000" w:sz="4" w:space="0"/>
              <w:left w:val="single" w:color="000000" w:sz="4" w:space="0"/>
              <w:bottom w:val="single" w:color="000000" w:sz="4" w:space="0"/>
              <w:right w:val="single" w:color="000000" w:sz="4" w:space="0"/>
            </w:tcBorders>
            <w:tcMar>
              <w:left w:w="108" w:type="dxa"/>
              <w:right w:w="108" w:type="dxa"/>
            </w:tcMar>
            <w:vAlign w:val="center"/>
          </w:tcPr>
          <w:p w14:paraId="0698C3FB">
            <w:pPr>
              <w:jc w:val="center"/>
              <w:rPr>
                <w:rFonts w:ascii="Times New Roman" w:hAnsi="Times New Roman"/>
                <w:bCs/>
                <w:sz w:val="24"/>
                <w:szCs w:val="24"/>
              </w:rPr>
            </w:pPr>
            <w:r>
              <w:rPr>
                <w:rFonts w:ascii="Times New Roman" w:hAnsi="Times New Roman"/>
                <w:bCs/>
                <w:sz w:val="24"/>
                <w:szCs w:val="24"/>
              </w:rPr>
              <w:t>130</w:t>
            </w:r>
          </w:p>
        </w:tc>
        <w:tc>
          <w:tcPr>
            <w:tcW w:w="1072" w:type="dxa"/>
            <w:tcBorders>
              <w:top w:val="single" w:color="000000" w:sz="4" w:space="0"/>
              <w:left w:val="single" w:color="000000" w:sz="4" w:space="0"/>
              <w:bottom w:val="single" w:color="000000" w:sz="4" w:space="0"/>
              <w:right w:val="single" w:color="000000" w:sz="4" w:space="0"/>
            </w:tcBorders>
            <w:tcMar>
              <w:left w:w="108" w:type="dxa"/>
              <w:right w:w="108" w:type="dxa"/>
            </w:tcMar>
            <w:vAlign w:val="center"/>
          </w:tcPr>
          <w:p w14:paraId="1BFFC5C8">
            <w:pPr>
              <w:jc w:val="center"/>
              <w:rPr>
                <w:rFonts w:ascii="Times New Roman" w:hAnsi="Times New Roman"/>
                <w:bCs/>
                <w:sz w:val="24"/>
                <w:szCs w:val="24"/>
              </w:rPr>
            </w:pPr>
            <w:r>
              <w:rPr>
                <w:rFonts w:ascii="Times New Roman" w:hAnsi="Times New Roman"/>
                <w:bCs/>
                <w:sz w:val="24"/>
                <w:szCs w:val="24"/>
              </w:rPr>
              <w:t>158</w:t>
            </w:r>
          </w:p>
        </w:tc>
        <w:tc>
          <w:tcPr>
            <w:tcW w:w="1271" w:type="dxa"/>
            <w:tcBorders>
              <w:top w:val="single" w:color="000000" w:sz="4" w:space="0"/>
              <w:left w:val="single" w:color="000000" w:sz="4" w:space="0"/>
              <w:bottom w:val="single" w:color="000000" w:sz="4" w:space="0"/>
              <w:right w:val="single" w:color="000000" w:sz="4" w:space="0"/>
            </w:tcBorders>
            <w:tcMar>
              <w:left w:w="108" w:type="dxa"/>
              <w:right w:w="108" w:type="dxa"/>
            </w:tcMar>
            <w:vAlign w:val="center"/>
          </w:tcPr>
          <w:p w14:paraId="2D199918">
            <w:pPr>
              <w:jc w:val="center"/>
              <w:rPr>
                <w:rFonts w:ascii="Times New Roman" w:hAnsi="Times New Roman"/>
                <w:bCs/>
                <w:sz w:val="24"/>
                <w:szCs w:val="24"/>
              </w:rPr>
            </w:pPr>
            <w:r>
              <w:rPr>
                <w:rFonts w:ascii="Times New Roman" w:hAnsi="Times New Roman"/>
                <w:bCs/>
                <w:sz w:val="24"/>
                <w:szCs w:val="24"/>
              </w:rPr>
              <w:t>150</w:t>
            </w:r>
          </w:p>
        </w:tc>
        <w:tc>
          <w:tcPr>
            <w:tcW w:w="1072" w:type="dxa"/>
            <w:tcBorders>
              <w:top w:val="single" w:color="000000" w:sz="4" w:space="0"/>
              <w:left w:val="single" w:color="000000" w:sz="4" w:space="0"/>
              <w:bottom w:val="single" w:color="000000" w:sz="4" w:space="0"/>
              <w:right w:val="single" w:color="000000" w:sz="4" w:space="0"/>
            </w:tcBorders>
            <w:tcMar>
              <w:left w:w="108" w:type="dxa"/>
              <w:right w:w="108" w:type="dxa"/>
            </w:tcMar>
            <w:vAlign w:val="center"/>
          </w:tcPr>
          <w:p w14:paraId="75211B3C">
            <w:pPr>
              <w:jc w:val="center"/>
              <w:rPr>
                <w:rFonts w:ascii="Times New Roman" w:hAnsi="Times New Roman"/>
                <w:bCs/>
                <w:sz w:val="24"/>
                <w:szCs w:val="24"/>
              </w:rPr>
            </w:pPr>
            <w:r>
              <w:rPr>
                <w:rFonts w:ascii="Times New Roman" w:hAnsi="Times New Roman"/>
                <w:bCs/>
                <w:sz w:val="24"/>
                <w:szCs w:val="24"/>
              </w:rPr>
              <w:t>145</w:t>
            </w:r>
          </w:p>
        </w:tc>
      </w:tr>
    </w:tbl>
    <w:p w14:paraId="57EF80DD">
      <w:pPr>
        <w:pStyle w:val="4"/>
      </w:pPr>
      <w:bookmarkStart w:id="156" w:name="_Toc233624936"/>
      <w:r>
        <w:t>冻土地区沥青混凝土设计和施工</w:t>
      </w:r>
      <w:bookmarkEnd w:id="156"/>
    </w:p>
    <w:p w14:paraId="09BDDC0D">
      <w:pPr>
        <w:spacing w:line="560" w:lineRule="exact"/>
        <w:ind w:right="84" w:rightChars="40" w:firstLine="707" w:firstLineChars="221"/>
        <w:rPr>
          <w:rFonts w:ascii="Times New Roman" w:hAnsi="Times New Roman" w:eastAsia="仿宋_GB2312"/>
          <w:bCs/>
          <w:sz w:val="32"/>
          <w:szCs w:val="32"/>
        </w:rPr>
      </w:pPr>
      <w:r>
        <w:rPr>
          <w:rStyle w:val="37"/>
          <w:rFonts w:ascii="Times New Roman" w:hAnsi="Times New Roman" w:eastAsia="仿宋_GB2312"/>
        </w:rPr>
        <w:t>设计单位和施工单位应按《季节性冻土地区公路设计与施工技术规范》（JTG</w:t>
      </w:r>
      <w:r>
        <w:rPr>
          <w:rStyle w:val="37"/>
          <w:rFonts w:hint="eastAsia" w:ascii="Times New Roman" w:hAnsi="Times New Roman" w:eastAsia="仿宋_GB2312"/>
        </w:rPr>
        <w:t>/</w:t>
      </w:r>
      <w:r>
        <w:rPr>
          <w:rStyle w:val="37"/>
          <w:rFonts w:ascii="Times New Roman" w:hAnsi="Times New Roman" w:eastAsia="仿宋_GB2312"/>
        </w:rPr>
        <w:t>TD31</w:t>
      </w:r>
      <w:r>
        <w:rPr>
          <w:rStyle w:val="37"/>
          <w:rFonts w:hint="eastAsia" w:ascii="Times New Roman" w:hAnsi="Times New Roman" w:eastAsia="仿宋_GB2312"/>
        </w:rPr>
        <w:t>-</w:t>
      </w:r>
      <w:r>
        <w:rPr>
          <w:rStyle w:val="37"/>
          <w:rFonts w:ascii="Times New Roman" w:hAnsi="Times New Roman" w:eastAsia="仿宋_GB2312"/>
        </w:rPr>
        <w:t>06</w:t>
      </w:r>
      <w:r>
        <w:rPr>
          <w:rFonts w:ascii="Times New Roman" w:hAnsi="Times New Roman" w:eastAsia="仿宋_GB2312"/>
          <w:sz w:val="32"/>
          <w:szCs w:val="32"/>
        </w:rPr>
        <w:t>—</w:t>
      </w:r>
      <w:r>
        <w:rPr>
          <w:rStyle w:val="37"/>
          <w:rFonts w:ascii="Times New Roman" w:hAnsi="Times New Roman" w:eastAsia="仿宋_GB2312"/>
        </w:rPr>
        <w:t>2017）和《多年冻土地区公路设计与施工技术规范》（JTG</w:t>
      </w:r>
      <w:r>
        <w:rPr>
          <w:rStyle w:val="37"/>
          <w:rFonts w:hint="eastAsia" w:ascii="Times New Roman" w:hAnsi="Times New Roman" w:eastAsia="仿宋_GB2312"/>
        </w:rPr>
        <w:t>/</w:t>
      </w:r>
      <w:r>
        <w:rPr>
          <w:rStyle w:val="37"/>
          <w:rFonts w:ascii="Times New Roman" w:hAnsi="Times New Roman" w:eastAsia="仿宋_GB2312"/>
        </w:rPr>
        <w:t>T3331</w:t>
      </w:r>
      <w:r>
        <w:rPr>
          <w:rStyle w:val="37"/>
          <w:rFonts w:hint="eastAsia" w:ascii="Times New Roman" w:hAnsi="Times New Roman" w:eastAsia="仿宋_GB2312"/>
        </w:rPr>
        <w:t>-</w:t>
      </w:r>
      <w:r>
        <w:rPr>
          <w:rStyle w:val="37"/>
          <w:rFonts w:ascii="Times New Roman" w:hAnsi="Times New Roman" w:eastAsia="仿宋_GB2312"/>
        </w:rPr>
        <w:t>04</w:t>
      </w:r>
      <w:r>
        <w:rPr>
          <w:rFonts w:ascii="Times New Roman" w:hAnsi="Times New Roman" w:eastAsia="仿宋_GB2312"/>
          <w:sz w:val="32"/>
          <w:szCs w:val="32"/>
        </w:rPr>
        <w:t>—</w:t>
      </w:r>
      <w:r>
        <w:rPr>
          <w:rStyle w:val="37"/>
          <w:rFonts w:ascii="Times New Roman" w:hAnsi="Times New Roman" w:eastAsia="仿宋_GB2312"/>
        </w:rPr>
        <w:t>2023）有关原材料、沥青混凝土设计规定执行。</w:t>
      </w:r>
    </w:p>
    <w:p w14:paraId="3AEF9ECE">
      <w:pPr>
        <w:pStyle w:val="4"/>
      </w:pPr>
      <w:bookmarkStart w:id="157" w:name="_Toc233624937"/>
      <w:r>
        <w:t>金属管道焊接</w:t>
      </w:r>
      <w:bookmarkEnd w:id="157"/>
    </w:p>
    <w:p w14:paraId="3F0CE997">
      <w:pPr>
        <w:spacing w:line="560" w:lineRule="exact"/>
        <w:ind w:right="84" w:rightChars="40" w:firstLine="707" w:firstLineChars="221"/>
        <w:rPr>
          <w:rFonts w:ascii="Times New Roman" w:hAnsi="Times New Roman" w:eastAsia="仿宋_GB2312"/>
          <w:bCs/>
          <w:sz w:val="32"/>
          <w:szCs w:val="32"/>
        </w:rPr>
      </w:pPr>
      <w:r>
        <w:rPr>
          <w:rFonts w:ascii="Times New Roman" w:hAnsi="Times New Roman" w:eastAsia="仿宋_GB2312"/>
          <w:bCs/>
          <w:sz w:val="32"/>
          <w:szCs w:val="32"/>
        </w:rPr>
        <w:t>施工单位进行工业金属管道焊接作业时，应严格遵循《现场设备、工业管道焊接工程施工规范》（GB</w:t>
      </w:r>
      <w:r>
        <w:rPr>
          <w:rFonts w:hint="eastAsia" w:ascii="Times New Roman" w:hAnsi="Times New Roman" w:eastAsia="仿宋_GB2312"/>
          <w:bCs/>
          <w:sz w:val="32"/>
          <w:szCs w:val="32"/>
        </w:rPr>
        <w:t xml:space="preserve"> </w:t>
      </w:r>
      <w:r>
        <w:rPr>
          <w:rFonts w:ascii="Times New Roman" w:hAnsi="Times New Roman" w:eastAsia="仿宋_GB2312"/>
          <w:bCs/>
          <w:sz w:val="32"/>
          <w:szCs w:val="32"/>
        </w:rPr>
        <w:t>50683</w:t>
      </w:r>
      <w:r>
        <w:rPr>
          <w:rFonts w:ascii="Times New Roman" w:hAnsi="Times New Roman" w:eastAsia="仿宋_GB2312"/>
          <w:sz w:val="32"/>
          <w:szCs w:val="32"/>
        </w:rPr>
        <w:t>—</w:t>
      </w:r>
      <w:r>
        <w:rPr>
          <w:rFonts w:ascii="Times New Roman" w:hAnsi="Times New Roman" w:eastAsia="仿宋_GB2312"/>
          <w:bCs/>
          <w:sz w:val="32"/>
          <w:szCs w:val="32"/>
        </w:rPr>
        <w:t>2011）第8.3条规定，对低温环境焊接作业采取</w:t>
      </w:r>
      <w:r>
        <w:rPr>
          <w:rFonts w:hint="eastAsia" w:ascii="Times New Roman" w:hAnsi="Times New Roman" w:eastAsia="仿宋_GB2312"/>
          <w:bCs/>
          <w:sz w:val="32"/>
          <w:szCs w:val="32"/>
        </w:rPr>
        <w:t>焊前</w:t>
      </w:r>
      <w:r>
        <w:rPr>
          <w:rFonts w:ascii="Times New Roman" w:hAnsi="Times New Roman" w:eastAsia="仿宋_GB2312"/>
          <w:bCs/>
          <w:sz w:val="32"/>
          <w:szCs w:val="32"/>
        </w:rPr>
        <w:t>预热</w:t>
      </w:r>
      <w:r>
        <w:rPr>
          <w:rFonts w:hint="eastAsia" w:ascii="Times New Roman" w:hAnsi="Times New Roman" w:eastAsia="仿宋_GB2312"/>
          <w:bCs/>
          <w:sz w:val="32"/>
          <w:szCs w:val="32"/>
        </w:rPr>
        <w:t>，焊后保温或后热处理。</w:t>
      </w:r>
    </w:p>
    <w:p w14:paraId="5B8CDF59">
      <w:pPr>
        <w:pStyle w:val="4"/>
      </w:pPr>
      <w:bookmarkStart w:id="158" w:name="_Toc233624938"/>
      <w:r>
        <w:t>高寒地区管道焊缝检测</w:t>
      </w:r>
      <w:bookmarkEnd w:id="158"/>
    </w:p>
    <w:p w14:paraId="2F45BC9F">
      <w:pPr>
        <w:spacing w:line="560" w:lineRule="exact"/>
        <w:ind w:right="84" w:rightChars="40" w:firstLine="707" w:firstLineChars="221"/>
        <w:rPr>
          <w:rFonts w:ascii="Times New Roman" w:hAnsi="Times New Roman" w:eastAsia="仿宋_GB2312"/>
          <w:bCs/>
          <w:sz w:val="32"/>
          <w:szCs w:val="32"/>
        </w:rPr>
      </w:pPr>
      <w:r>
        <w:rPr>
          <w:rStyle w:val="37"/>
          <w:rFonts w:ascii="Times New Roman" w:hAnsi="Times New Roman" w:eastAsia="仿宋_GB2312"/>
        </w:rPr>
        <w:t>检测单位应按《金属材料夏比摆锤冲击试验方法》（GB</w:t>
      </w:r>
      <w:r>
        <w:rPr>
          <w:rStyle w:val="37"/>
          <w:rFonts w:hint="eastAsia" w:ascii="Times New Roman" w:hAnsi="Times New Roman" w:eastAsia="仿宋_GB2312"/>
        </w:rPr>
        <w:t>/</w:t>
      </w:r>
      <w:r>
        <w:rPr>
          <w:rStyle w:val="37"/>
          <w:rFonts w:ascii="Times New Roman" w:hAnsi="Times New Roman" w:eastAsia="仿宋_GB2312"/>
        </w:rPr>
        <w:t>T</w:t>
      </w:r>
      <w:r>
        <w:rPr>
          <w:rStyle w:val="37"/>
          <w:rFonts w:hint="eastAsia" w:ascii="Times New Roman" w:hAnsi="Times New Roman" w:eastAsia="仿宋_GB2312"/>
        </w:rPr>
        <w:t xml:space="preserve"> </w:t>
      </w:r>
      <w:r>
        <w:rPr>
          <w:rStyle w:val="37"/>
          <w:rFonts w:ascii="Times New Roman" w:hAnsi="Times New Roman" w:eastAsia="仿宋_GB2312"/>
        </w:rPr>
        <w:t>229</w:t>
      </w:r>
      <w:r>
        <w:rPr>
          <w:rFonts w:ascii="Times New Roman" w:hAnsi="Times New Roman" w:eastAsia="仿宋_GB2312"/>
          <w:sz w:val="32"/>
          <w:szCs w:val="32"/>
        </w:rPr>
        <w:t>—</w:t>
      </w:r>
      <w:r>
        <w:rPr>
          <w:rStyle w:val="37"/>
          <w:rFonts w:ascii="Times New Roman" w:hAnsi="Times New Roman" w:eastAsia="仿宋_GB2312"/>
        </w:rPr>
        <w:t>2020），选用合适检测方法，评估</w:t>
      </w:r>
      <w:r>
        <w:rPr>
          <w:rFonts w:ascii="Times New Roman" w:hAnsi="Times New Roman" w:eastAsia="仿宋_GB2312"/>
          <w:spacing w:val="10"/>
          <w:kern w:val="44"/>
          <w:sz w:val="32"/>
          <w:szCs w:val="32"/>
        </w:rPr>
        <w:t>低温环境下焊缝脆性断裂风险。</w:t>
      </w:r>
    </w:p>
    <w:p w14:paraId="72857AFA">
      <w:pPr>
        <w:pStyle w:val="4"/>
      </w:pPr>
      <w:bookmarkStart w:id="159" w:name="_Toc233624939"/>
      <w:r>
        <w:t>冻融循环检测</w:t>
      </w:r>
      <w:bookmarkEnd w:id="159"/>
    </w:p>
    <w:p w14:paraId="7CEC669C">
      <w:pPr>
        <w:spacing w:line="560" w:lineRule="exact"/>
        <w:ind w:right="84" w:rightChars="40" w:firstLine="707" w:firstLineChars="221"/>
        <w:rPr>
          <w:rFonts w:ascii="Times New Roman" w:hAnsi="Times New Roman" w:eastAsia="仿宋_GB2312"/>
          <w:bCs/>
          <w:sz w:val="32"/>
          <w:szCs w:val="32"/>
        </w:rPr>
      </w:pPr>
      <w:r>
        <w:rPr>
          <w:rStyle w:val="37"/>
          <w:rFonts w:hint="eastAsia" w:ascii="Times New Roman" w:hAnsi="Times New Roman" w:eastAsia="仿宋_GB2312"/>
        </w:rPr>
        <w:t>建设单位应重视抗冻试验委托与费用，核算好建设工程质量检测费用，并在概预算编制时将其纳入建设项目其他费用。同时，检测单位应依据《普通混凝土长期性能和耐久性能试验方法标准》（GB/T 50082</w:t>
      </w:r>
      <w:r>
        <w:rPr>
          <w:rFonts w:ascii="Times New Roman" w:hAnsi="Times New Roman" w:eastAsia="仿宋_GB2312"/>
          <w:sz w:val="32"/>
          <w:szCs w:val="32"/>
        </w:rPr>
        <w:t>—</w:t>
      </w:r>
      <w:r>
        <w:rPr>
          <w:rStyle w:val="37"/>
          <w:rFonts w:hint="eastAsia" w:ascii="Times New Roman" w:hAnsi="Times New Roman" w:eastAsia="仿宋_GB2312"/>
        </w:rPr>
        <w:t>2024）第4章抗冻试验内容，选择合适的试验方法</w:t>
      </w:r>
      <w:r>
        <w:rPr>
          <w:rStyle w:val="37"/>
          <w:rFonts w:ascii="Times New Roman" w:hAnsi="Times New Roman" w:eastAsia="仿宋_GB2312"/>
        </w:rPr>
        <w:t>。</w:t>
      </w:r>
    </w:p>
    <w:p w14:paraId="6E801D9F">
      <w:pPr>
        <w:pStyle w:val="4"/>
      </w:pPr>
      <w:bookmarkStart w:id="160" w:name="_Toc233624940"/>
      <w:r>
        <w:t>地下管线定位资料</w:t>
      </w:r>
      <w:bookmarkEnd w:id="160"/>
    </w:p>
    <w:p w14:paraId="30B03733">
      <w:pPr>
        <w:pStyle w:val="14"/>
        <w:ind w:firstLine="708" w:firstLineChars="230"/>
        <w:rPr>
          <w:rStyle w:val="37"/>
          <w:rFonts w:ascii="Times New Roman" w:hAnsi="Times New Roman" w:eastAsia="仿宋_GB2312"/>
        </w:rPr>
      </w:pPr>
      <w:r>
        <w:rPr>
          <w:rStyle w:val="37"/>
          <w:rFonts w:ascii="Times New Roman" w:hAnsi="Times New Roman" w:eastAsia="仿宋_GB2312"/>
        </w:rPr>
        <w:t>建设单位应收集</w:t>
      </w:r>
      <w:r>
        <w:rPr>
          <w:rStyle w:val="37"/>
          <w:rFonts w:hint="eastAsia" w:ascii="Times New Roman" w:hAnsi="Times New Roman" w:eastAsia="仿宋_GB2312"/>
        </w:rPr>
        <w:t>项目相关的</w:t>
      </w:r>
      <w:r>
        <w:rPr>
          <w:rStyle w:val="37"/>
          <w:rFonts w:ascii="Times New Roman" w:hAnsi="Times New Roman" w:eastAsia="仿宋_GB2312"/>
        </w:rPr>
        <w:t>地下管线资料，提交给设计</w:t>
      </w:r>
      <w:r>
        <w:rPr>
          <w:rStyle w:val="37"/>
          <w:rFonts w:hint="eastAsia" w:ascii="Times New Roman" w:hAnsi="Times New Roman" w:eastAsia="仿宋_GB2312"/>
        </w:rPr>
        <w:t>、施工</w:t>
      </w:r>
      <w:r>
        <w:rPr>
          <w:rStyle w:val="37"/>
          <w:rFonts w:ascii="Times New Roman" w:hAnsi="Times New Roman" w:eastAsia="仿宋_GB2312"/>
        </w:rPr>
        <w:t>单位，作为</w:t>
      </w:r>
      <w:r>
        <w:rPr>
          <w:rStyle w:val="37"/>
          <w:rFonts w:hint="eastAsia" w:ascii="Times New Roman" w:hAnsi="Times New Roman" w:eastAsia="仿宋_GB2312"/>
        </w:rPr>
        <w:t>项目建设</w:t>
      </w:r>
      <w:r>
        <w:rPr>
          <w:rStyle w:val="37"/>
          <w:rFonts w:ascii="Times New Roman" w:hAnsi="Times New Roman" w:eastAsia="仿宋_GB2312"/>
        </w:rPr>
        <w:t>的基础资料。</w:t>
      </w:r>
    </w:p>
    <w:p w14:paraId="49CE9366">
      <w:pPr>
        <w:pStyle w:val="14"/>
        <w:ind w:firstLine="708" w:firstLineChars="230"/>
        <w:rPr>
          <w:rStyle w:val="37"/>
          <w:rFonts w:ascii="Times New Roman" w:hAnsi="Times New Roman" w:eastAsia="仿宋_GB2312"/>
        </w:rPr>
      </w:pPr>
      <w:r>
        <w:rPr>
          <w:rStyle w:val="37"/>
          <w:rFonts w:ascii="Times New Roman" w:hAnsi="Times New Roman" w:eastAsia="仿宋_GB2312"/>
        </w:rPr>
        <w:t>项目无基础</w:t>
      </w:r>
      <w:r>
        <w:rPr>
          <w:rStyle w:val="37"/>
          <w:rFonts w:hint="eastAsia" w:ascii="Times New Roman" w:hAnsi="Times New Roman" w:eastAsia="仿宋_GB2312"/>
        </w:rPr>
        <w:t>管线</w:t>
      </w:r>
      <w:r>
        <w:rPr>
          <w:rStyle w:val="37"/>
          <w:rFonts w:ascii="Times New Roman" w:hAnsi="Times New Roman" w:eastAsia="仿宋_GB2312"/>
        </w:rPr>
        <w:t>资料，或管线定位精度不满足需求时，建设单位应委托有资质的第三方，依据《城市地下管线探测技术规程》（CJJ</w:t>
      </w:r>
      <w:r>
        <w:rPr>
          <w:rStyle w:val="37"/>
          <w:rFonts w:hint="eastAsia" w:ascii="Times New Roman" w:hAnsi="Times New Roman" w:eastAsia="仿宋_GB2312"/>
        </w:rPr>
        <w:t xml:space="preserve"> </w:t>
      </w:r>
      <w:r>
        <w:rPr>
          <w:rStyle w:val="37"/>
          <w:rFonts w:ascii="Times New Roman" w:hAnsi="Times New Roman" w:eastAsia="仿宋_GB2312"/>
        </w:rPr>
        <w:t>61</w:t>
      </w:r>
      <w:r>
        <w:rPr>
          <w:rFonts w:ascii="Times New Roman" w:hAnsi="Times New Roman"/>
          <w:szCs w:val="32"/>
        </w:rPr>
        <w:t>—</w:t>
      </w:r>
      <w:r>
        <w:rPr>
          <w:rStyle w:val="37"/>
          <w:rFonts w:ascii="Times New Roman" w:hAnsi="Times New Roman" w:eastAsia="仿宋_GB2312"/>
        </w:rPr>
        <w:t xml:space="preserve">2017）第4.2.3条，采用电磁感应与探地雷达联合探测法，查明地下管线的平面位置、走向、埋深、规格、材质等信息，必要时可开展地下管线普查。 </w:t>
      </w:r>
    </w:p>
    <w:p w14:paraId="55D2E7BA">
      <w:pPr>
        <w:spacing w:line="560" w:lineRule="exact"/>
        <w:ind w:right="84" w:rightChars="40" w:firstLine="736" w:firstLineChars="230"/>
        <w:rPr>
          <w:rStyle w:val="37"/>
          <w:rFonts w:ascii="Times New Roman" w:hAnsi="Times New Roman" w:eastAsia="仿宋_GB2312"/>
        </w:rPr>
      </w:pPr>
      <w:r>
        <w:rPr>
          <w:rStyle w:val="37"/>
          <w:rFonts w:ascii="Times New Roman" w:hAnsi="Times New Roman" w:eastAsia="仿宋_GB2312"/>
        </w:rPr>
        <w:t>各县（市）住房和城乡建设主管部门应按《城市地下管线探测技术规程》（</w:t>
      </w:r>
      <w:r>
        <w:rPr>
          <w:rStyle w:val="37"/>
          <w:rFonts w:ascii="Times New Roman" w:hAnsi="Times New Roman" w:eastAsia="仿宋_GB2312"/>
        </w:rPr>
        <w:fldChar w:fldCharType="begin"/>
      </w:r>
      <w:r>
        <w:instrText xml:space="preserve">HYPERLINK "https://aisearch.sogou.com/link?url=hedJjaC291PnHBoXgtElYIx-LcwqAUKxnI1dn3Sb8O1lx-XwNiSd3B48Ywa7YP1l5iFga2EDBGb88c9it8wwTQ.."</w:instrText>
      </w:r>
      <w:r>
        <w:rPr>
          <w:rStyle w:val="37"/>
          <w:rFonts w:ascii="Times New Roman" w:hAnsi="Times New Roman" w:eastAsia="仿宋_GB2312"/>
        </w:rPr>
        <w:fldChar w:fldCharType="separate"/>
      </w:r>
      <w:r>
        <w:rPr>
          <w:rStyle w:val="37"/>
          <w:rFonts w:ascii="Times New Roman" w:hAnsi="Times New Roman" w:eastAsia="仿宋_GB2312"/>
        </w:rPr>
        <w:t>CJJ 61</w:t>
      </w:r>
      <w:r>
        <w:rPr>
          <w:rFonts w:ascii="Times New Roman" w:hAnsi="Times New Roman" w:eastAsia="仿宋_GB2312"/>
          <w:sz w:val="32"/>
          <w:szCs w:val="32"/>
        </w:rPr>
        <w:t>—</w:t>
      </w:r>
      <w:r>
        <w:rPr>
          <w:rStyle w:val="37"/>
          <w:rFonts w:ascii="Times New Roman" w:hAnsi="Times New Roman" w:eastAsia="仿宋_GB2312"/>
        </w:rPr>
        <w:t>2017</w:t>
      </w:r>
      <w:r>
        <w:rPr>
          <w:rStyle w:val="37"/>
          <w:rFonts w:ascii="Times New Roman" w:hAnsi="Times New Roman" w:eastAsia="仿宋_GB2312"/>
        </w:rPr>
        <w:fldChar w:fldCharType="end"/>
      </w:r>
      <w:r>
        <w:rPr>
          <w:rStyle w:val="37"/>
          <w:rFonts w:ascii="Times New Roman" w:hAnsi="Times New Roman" w:eastAsia="仿宋_GB2312"/>
        </w:rPr>
        <w:t>）逐步完善管线资料信息，建立BIM＋GIS三维管线数据库，整合规划、设计、施工阶段数据。</w:t>
      </w:r>
    </w:p>
    <w:p w14:paraId="3542AFCC">
      <w:pPr>
        <w:pStyle w:val="2"/>
        <w:spacing w:line="560" w:lineRule="exact"/>
        <w:jc w:val="center"/>
        <w:rPr>
          <w:rFonts w:ascii="Times New Roman" w:hAnsi="Times New Roman" w:eastAsia="黑体"/>
        </w:rPr>
        <w:sectPr>
          <w:pgSz w:w="11906" w:h="16838"/>
          <w:pgMar w:top="1440" w:right="1800" w:bottom="1440" w:left="1800" w:header="851" w:footer="992" w:gutter="0"/>
          <w:cols w:space="720" w:num="1"/>
          <w:docGrid w:type="lines" w:linePitch="312" w:charSpace="0"/>
        </w:sectPr>
      </w:pPr>
      <w:bookmarkStart w:id="161" w:name="OLE_LINK30"/>
      <w:bookmarkStart w:id="162" w:name="OLE_LINK26"/>
      <w:bookmarkStart w:id="163" w:name="OLE_LINK27"/>
    </w:p>
    <w:bookmarkEnd w:id="161"/>
    <w:bookmarkEnd w:id="162"/>
    <w:bookmarkEnd w:id="163"/>
    <w:p w14:paraId="7B38EBED">
      <w:pPr>
        <w:pStyle w:val="2"/>
        <w:numPr>
          <w:ilvl w:val="0"/>
          <w:numId w:val="0"/>
        </w:numPr>
        <w:spacing w:line="560" w:lineRule="exact"/>
        <w:jc w:val="center"/>
        <w:rPr>
          <w:rFonts w:ascii="Times New Roman" w:hAnsi="Times New Roman" w:eastAsia="黑体"/>
        </w:rPr>
      </w:pPr>
      <w:bookmarkStart w:id="164" w:name="_Toc233624941"/>
      <w:r>
        <w:rPr>
          <w:rFonts w:ascii="Times New Roman" w:hAnsi="Times New Roman" w:eastAsia="黑体"/>
        </w:rPr>
        <w:t>附</w:t>
      </w:r>
      <w:r>
        <w:rPr>
          <w:rFonts w:hint="eastAsia" w:ascii="Times New Roman" w:hAnsi="Times New Roman" w:eastAsia="黑体"/>
        </w:rPr>
        <w:t>录</w:t>
      </w:r>
      <w:bookmarkEnd w:id="164"/>
    </w:p>
    <w:p w14:paraId="1C550C6F">
      <w:pPr>
        <w:spacing w:line="560" w:lineRule="exact"/>
        <w:ind w:right="84" w:rightChars="40" w:firstLine="707" w:firstLineChars="221"/>
        <w:rPr>
          <w:rFonts w:ascii="Times New Roman" w:hAnsi="Times New Roman" w:eastAsia="仿宋_GB2312"/>
          <w:bCs/>
          <w:sz w:val="32"/>
          <w:szCs w:val="32"/>
        </w:rPr>
      </w:pPr>
      <w:r>
        <w:rPr>
          <w:rFonts w:ascii="Times New Roman" w:hAnsi="Times New Roman" w:eastAsia="仿宋_GB2312"/>
          <w:bCs/>
          <w:sz w:val="32"/>
          <w:szCs w:val="32"/>
        </w:rPr>
        <w:t>1</w:t>
      </w:r>
      <w:r>
        <w:rPr>
          <w:rFonts w:hint="eastAsia" w:ascii="Times New Roman" w:hAnsi="Times New Roman" w:eastAsia="仿宋_GB2312"/>
          <w:bCs/>
          <w:sz w:val="32"/>
          <w:szCs w:val="32"/>
        </w:rPr>
        <w:t>.</w:t>
      </w:r>
      <w:r>
        <w:rPr>
          <w:rFonts w:ascii="Times New Roman" w:hAnsi="Times New Roman" w:eastAsia="仿宋_GB2312"/>
          <w:bCs/>
          <w:sz w:val="32"/>
          <w:szCs w:val="32"/>
        </w:rPr>
        <w:t>《中共中央国务院关于推动城市高质量发展的意见》（2025年8月）</w:t>
      </w:r>
    </w:p>
    <w:p w14:paraId="42FF28C8">
      <w:pPr>
        <w:spacing w:line="560" w:lineRule="exact"/>
        <w:ind w:right="84" w:rightChars="40" w:firstLine="707" w:firstLineChars="221"/>
        <w:rPr>
          <w:rFonts w:ascii="Times New Roman" w:hAnsi="Times New Roman" w:eastAsia="仿宋_GB2312"/>
          <w:bCs/>
          <w:sz w:val="32"/>
          <w:szCs w:val="32"/>
        </w:rPr>
      </w:pPr>
      <w:r>
        <w:rPr>
          <w:rFonts w:ascii="Times New Roman" w:hAnsi="Times New Roman" w:eastAsia="仿宋_GB2312"/>
          <w:bCs/>
          <w:sz w:val="32"/>
          <w:szCs w:val="32"/>
        </w:rPr>
        <w:t>2</w:t>
      </w:r>
      <w:r>
        <w:rPr>
          <w:rFonts w:hint="eastAsia" w:ascii="Times New Roman" w:hAnsi="Times New Roman" w:eastAsia="仿宋_GB2312"/>
          <w:bCs/>
          <w:sz w:val="32"/>
          <w:szCs w:val="32"/>
        </w:rPr>
        <w:t>.</w:t>
      </w:r>
      <w:r>
        <w:rPr>
          <w:rFonts w:ascii="Times New Roman" w:hAnsi="Times New Roman" w:eastAsia="仿宋_GB2312"/>
          <w:bCs/>
          <w:sz w:val="32"/>
          <w:szCs w:val="32"/>
        </w:rPr>
        <w:t>《中共中央办公厅、国务院办公厅关于持续推进城市更新行动的意见》（2025</w:t>
      </w:r>
      <w:r>
        <w:rPr>
          <w:rFonts w:hint="eastAsia" w:ascii="Times New Roman" w:hAnsi="Times New Roman" w:eastAsia="仿宋_GB2312"/>
          <w:bCs/>
          <w:sz w:val="32"/>
          <w:szCs w:val="32"/>
        </w:rPr>
        <w:t>年7月</w:t>
      </w:r>
      <w:r>
        <w:rPr>
          <w:rFonts w:ascii="Times New Roman" w:hAnsi="Times New Roman" w:eastAsia="仿宋_GB2312"/>
          <w:bCs/>
          <w:sz w:val="32"/>
          <w:szCs w:val="32"/>
        </w:rPr>
        <w:t>）</w:t>
      </w:r>
    </w:p>
    <w:p w14:paraId="3E631FE8">
      <w:pPr>
        <w:spacing w:line="560" w:lineRule="exact"/>
        <w:ind w:right="84" w:rightChars="40" w:firstLine="707" w:firstLineChars="221"/>
        <w:rPr>
          <w:rFonts w:ascii="Times New Roman" w:hAnsi="Times New Roman" w:eastAsia="仿宋_GB2312"/>
          <w:bCs/>
          <w:sz w:val="32"/>
          <w:szCs w:val="32"/>
        </w:rPr>
      </w:pPr>
      <w:r>
        <w:rPr>
          <w:rFonts w:ascii="Times New Roman" w:hAnsi="Times New Roman" w:eastAsia="仿宋_GB2312"/>
          <w:bCs/>
          <w:sz w:val="32"/>
          <w:szCs w:val="32"/>
        </w:rPr>
        <w:t>3</w:t>
      </w:r>
      <w:r>
        <w:rPr>
          <w:rFonts w:hint="eastAsia" w:ascii="Times New Roman" w:hAnsi="Times New Roman" w:eastAsia="仿宋_GB2312"/>
          <w:bCs/>
          <w:sz w:val="32"/>
          <w:szCs w:val="32"/>
        </w:rPr>
        <w:t>.</w:t>
      </w:r>
      <w:r>
        <w:rPr>
          <w:rFonts w:ascii="Times New Roman" w:hAnsi="Times New Roman" w:eastAsia="仿宋_GB2312"/>
          <w:bCs/>
          <w:sz w:val="32"/>
          <w:szCs w:val="32"/>
        </w:rPr>
        <w:t>住房和城乡建设部《城市体检评估技术指南</w:t>
      </w:r>
      <w:r>
        <w:rPr>
          <w:rFonts w:hint="eastAsia" w:ascii="Times New Roman" w:hAnsi="Times New Roman" w:eastAsia="仿宋_GB2312"/>
          <w:bCs/>
          <w:sz w:val="32"/>
          <w:szCs w:val="32"/>
        </w:rPr>
        <w:t>（</w:t>
      </w:r>
      <w:r>
        <w:rPr>
          <w:rFonts w:ascii="Times New Roman" w:hAnsi="Times New Roman" w:eastAsia="仿宋_GB2312"/>
          <w:bCs/>
          <w:sz w:val="32"/>
          <w:szCs w:val="32"/>
        </w:rPr>
        <w:t>试行</w:t>
      </w:r>
      <w:r>
        <w:rPr>
          <w:rFonts w:hint="eastAsia" w:ascii="Times New Roman" w:hAnsi="Times New Roman" w:eastAsia="仿宋_GB2312"/>
          <w:bCs/>
          <w:sz w:val="32"/>
          <w:szCs w:val="32"/>
        </w:rPr>
        <w:t>）</w:t>
      </w:r>
      <w:r>
        <w:rPr>
          <w:rFonts w:ascii="Times New Roman" w:hAnsi="Times New Roman" w:eastAsia="仿宋_GB2312"/>
          <w:bCs/>
          <w:sz w:val="32"/>
          <w:szCs w:val="32"/>
        </w:rPr>
        <w:t>》（2024.06）、《城市更新规划编制导则》</w:t>
      </w:r>
      <w:bookmarkStart w:id="165" w:name="OLE_LINK47"/>
      <w:bookmarkStart w:id="166" w:name="OLE_LINK46"/>
      <w:r>
        <w:rPr>
          <w:rFonts w:ascii="Times New Roman" w:hAnsi="Times New Roman" w:eastAsia="仿宋_GB2312"/>
          <w:bCs/>
          <w:sz w:val="32"/>
          <w:szCs w:val="32"/>
        </w:rPr>
        <w:t>（2025</w:t>
      </w:r>
      <w:r>
        <w:rPr>
          <w:rFonts w:hint="eastAsia" w:ascii="Times New Roman" w:hAnsi="Times New Roman" w:eastAsia="仿宋_GB2312"/>
          <w:bCs/>
          <w:sz w:val="32"/>
          <w:szCs w:val="32"/>
        </w:rPr>
        <w:t>年</w:t>
      </w:r>
      <w:r>
        <w:rPr>
          <w:rFonts w:ascii="Times New Roman" w:hAnsi="Times New Roman" w:eastAsia="仿宋_GB2312"/>
          <w:bCs/>
          <w:sz w:val="32"/>
          <w:szCs w:val="32"/>
        </w:rPr>
        <w:t>7</w:t>
      </w:r>
      <w:r>
        <w:rPr>
          <w:rFonts w:hint="eastAsia" w:ascii="Times New Roman" w:hAnsi="Times New Roman" w:eastAsia="仿宋_GB2312"/>
          <w:bCs/>
          <w:sz w:val="32"/>
          <w:szCs w:val="32"/>
        </w:rPr>
        <w:t>月</w:t>
      </w:r>
      <w:r>
        <w:rPr>
          <w:rFonts w:ascii="Times New Roman" w:hAnsi="Times New Roman" w:eastAsia="仿宋_GB2312"/>
          <w:bCs/>
          <w:sz w:val="32"/>
          <w:szCs w:val="32"/>
        </w:rPr>
        <w:t>）</w:t>
      </w:r>
      <w:bookmarkEnd w:id="165"/>
      <w:bookmarkEnd w:id="166"/>
    </w:p>
    <w:p w14:paraId="412520BF">
      <w:pPr>
        <w:spacing w:line="560" w:lineRule="exact"/>
        <w:ind w:right="84" w:rightChars="40" w:firstLine="707" w:firstLineChars="221"/>
        <w:rPr>
          <w:rFonts w:ascii="Times New Roman" w:hAnsi="Times New Roman" w:eastAsia="仿宋_GB2312"/>
          <w:bCs/>
          <w:sz w:val="32"/>
          <w:szCs w:val="32"/>
        </w:rPr>
      </w:pPr>
      <w:r>
        <w:rPr>
          <w:rFonts w:ascii="Times New Roman" w:hAnsi="Times New Roman" w:eastAsia="仿宋_GB2312"/>
          <w:bCs/>
          <w:sz w:val="32"/>
          <w:szCs w:val="32"/>
        </w:rPr>
        <w:t>4</w:t>
      </w:r>
      <w:r>
        <w:rPr>
          <w:rFonts w:hint="eastAsia" w:ascii="Times New Roman" w:hAnsi="Times New Roman" w:eastAsia="仿宋_GB2312"/>
          <w:bCs/>
          <w:sz w:val="32"/>
          <w:szCs w:val="32"/>
        </w:rPr>
        <w:t>.</w:t>
      </w:r>
      <w:r>
        <w:rPr>
          <w:rFonts w:ascii="Times New Roman" w:hAnsi="Times New Roman" w:eastAsia="仿宋_GB2312"/>
          <w:bCs/>
          <w:sz w:val="32"/>
          <w:szCs w:val="32"/>
        </w:rPr>
        <w:t>《四川省农村住房建设管理办法》（2024年3月1日起施行）、《关于做好自建房安全隐患常态化排查整治工作的通知（川自建房办〔2025〕12号）》（2025年7月8日印发）</w:t>
      </w:r>
    </w:p>
    <w:p w14:paraId="0AAC5271">
      <w:pPr>
        <w:spacing w:line="560" w:lineRule="exact"/>
        <w:ind w:right="84" w:rightChars="40" w:firstLine="707" w:firstLineChars="221"/>
        <w:rPr>
          <w:rFonts w:ascii="Times New Roman" w:hAnsi="Times New Roman" w:eastAsia="仿宋_GB2312"/>
          <w:bCs/>
          <w:sz w:val="32"/>
          <w:szCs w:val="32"/>
        </w:rPr>
      </w:pPr>
      <w:r>
        <w:rPr>
          <w:rFonts w:ascii="Times New Roman" w:hAnsi="Times New Roman" w:eastAsia="仿宋_GB2312"/>
          <w:bCs/>
          <w:sz w:val="32"/>
          <w:szCs w:val="32"/>
        </w:rPr>
        <w:t>5</w:t>
      </w:r>
      <w:r>
        <w:rPr>
          <w:rFonts w:hint="eastAsia" w:ascii="Times New Roman" w:hAnsi="Times New Roman" w:eastAsia="仿宋_GB2312"/>
          <w:bCs/>
          <w:sz w:val="32"/>
          <w:szCs w:val="32"/>
        </w:rPr>
        <w:t>.</w:t>
      </w:r>
      <w:r>
        <w:rPr>
          <w:rFonts w:ascii="Times New Roman" w:hAnsi="Times New Roman" w:eastAsia="仿宋_GB2312"/>
          <w:bCs/>
          <w:sz w:val="32"/>
          <w:szCs w:val="32"/>
        </w:rPr>
        <w:t>《中共阿坝州委关于奋力建设民族地区高质量发展阿坝典范的决定》（2024</w:t>
      </w:r>
      <w:r>
        <w:rPr>
          <w:rFonts w:hint="eastAsia" w:ascii="Times New Roman" w:hAnsi="Times New Roman" w:eastAsia="仿宋_GB2312"/>
          <w:bCs/>
          <w:sz w:val="32"/>
          <w:szCs w:val="32"/>
        </w:rPr>
        <w:t>年</w:t>
      </w:r>
      <w:r>
        <w:rPr>
          <w:rFonts w:ascii="Times New Roman" w:hAnsi="Times New Roman" w:eastAsia="仿宋_GB2312"/>
          <w:bCs/>
          <w:sz w:val="32"/>
          <w:szCs w:val="32"/>
        </w:rPr>
        <w:t>10</w:t>
      </w:r>
      <w:r>
        <w:rPr>
          <w:rFonts w:hint="eastAsia" w:ascii="Times New Roman" w:hAnsi="Times New Roman" w:eastAsia="仿宋_GB2312"/>
          <w:bCs/>
          <w:sz w:val="32"/>
          <w:szCs w:val="32"/>
        </w:rPr>
        <w:t>月</w:t>
      </w:r>
      <w:r>
        <w:rPr>
          <w:rFonts w:ascii="Times New Roman" w:hAnsi="Times New Roman" w:eastAsia="仿宋_GB2312"/>
          <w:bCs/>
          <w:sz w:val="32"/>
          <w:szCs w:val="32"/>
        </w:rPr>
        <w:t>29</w:t>
      </w:r>
      <w:r>
        <w:rPr>
          <w:rFonts w:hint="eastAsia" w:ascii="Times New Roman" w:hAnsi="Times New Roman" w:eastAsia="仿宋_GB2312"/>
          <w:bCs/>
          <w:sz w:val="32"/>
          <w:szCs w:val="32"/>
        </w:rPr>
        <w:t>日</w:t>
      </w:r>
      <w:r>
        <w:rPr>
          <w:rFonts w:ascii="Times New Roman" w:hAnsi="Times New Roman" w:eastAsia="仿宋_GB2312"/>
          <w:bCs/>
          <w:sz w:val="32"/>
          <w:szCs w:val="32"/>
        </w:rPr>
        <w:t>）、《中共阿坝州委关于推进文化和旅游深度融合发展加快建成国际生态文化旅游目的地的决定》（2025</w:t>
      </w:r>
      <w:r>
        <w:rPr>
          <w:rFonts w:hint="eastAsia" w:ascii="Times New Roman" w:hAnsi="Times New Roman" w:eastAsia="仿宋_GB2312"/>
          <w:bCs/>
          <w:sz w:val="32"/>
          <w:szCs w:val="32"/>
        </w:rPr>
        <w:t>年</w:t>
      </w:r>
      <w:r>
        <w:rPr>
          <w:rFonts w:ascii="Times New Roman" w:hAnsi="Times New Roman" w:eastAsia="仿宋_GB2312"/>
          <w:bCs/>
          <w:sz w:val="32"/>
          <w:szCs w:val="32"/>
        </w:rPr>
        <w:t>8</w:t>
      </w:r>
      <w:r>
        <w:rPr>
          <w:rFonts w:hint="eastAsia" w:ascii="Times New Roman" w:hAnsi="Times New Roman" w:eastAsia="仿宋_GB2312"/>
          <w:bCs/>
          <w:sz w:val="32"/>
          <w:szCs w:val="32"/>
        </w:rPr>
        <w:t>月</w:t>
      </w:r>
      <w:r>
        <w:rPr>
          <w:rFonts w:ascii="Times New Roman" w:hAnsi="Times New Roman" w:eastAsia="仿宋_GB2312"/>
          <w:bCs/>
          <w:sz w:val="32"/>
          <w:szCs w:val="32"/>
        </w:rPr>
        <w:t>4</w:t>
      </w:r>
      <w:r>
        <w:rPr>
          <w:rFonts w:hint="eastAsia" w:ascii="Times New Roman" w:hAnsi="Times New Roman" w:eastAsia="仿宋_GB2312"/>
          <w:bCs/>
          <w:sz w:val="32"/>
          <w:szCs w:val="32"/>
        </w:rPr>
        <w:t>日</w:t>
      </w:r>
      <w:r>
        <w:rPr>
          <w:rFonts w:ascii="Times New Roman" w:hAnsi="Times New Roman" w:eastAsia="仿宋_GB2312"/>
          <w:bCs/>
          <w:sz w:val="32"/>
          <w:szCs w:val="32"/>
        </w:rPr>
        <w:t>）</w:t>
      </w:r>
    </w:p>
    <w:p w14:paraId="549ADFB5">
      <w:pPr>
        <w:spacing w:line="560" w:lineRule="exact"/>
        <w:ind w:right="84" w:rightChars="40" w:firstLine="707" w:firstLineChars="221"/>
        <w:rPr>
          <w:rFonts w:ascii="Times New Roman" w:hAnsi="Times New Roman" w:eastAsia="仿宋_GB2312"/>
          <w:bCs/>
          <w:sz w:val="32"/>
          <w:szCs w:val="32"/>
        </w:rPr>
      </w:pPr>
      <w:r>
        <w:rPr>
          <w:rFonts w:ascii="Times New Roman" w:hAnsi="Times New Roman" w:eastAsia="仿宋_GB2312"/>
          <w:bCs/>
          <w:sz w:val="32"/>
          <w:szCs w:val="32"/>
        </w:rPr>
        <w:t>6</w:t>
      </w:r>
      <w:r>
        <w:rPr>
          <w:rFonts w:hint="eastAsia" w:ascii="Times New Roman" w:hAnsi="Times New Roman" w:eastAsia="仿宋_GB2312"/>
          <w:bCs/>
          <w:sz w:val="32"/>
          <w:szCs w:val="32"/>
        </w:rPr>
        <w:t>.</w:t>
      </w:r>
      <w:r>
        <w:rPr>
          <w:rFonts w:ascii="Times New Roman" w:hAnsi="Times New Roman" w:eastAsia="仿宋_GB2312"/>
          <w:bCs/>
          <w:sz w:val="32"/>
          <w:szCs w:val="32"/>
        </w:rPr>
        <w:t>《阿坝藏族羌族自治州“十五五”住房和城乡建设事业发展规划》（202</w:t>
      </w:r>
      <w:r>
        <w:rPr>
          <w:rFonts w:hint="eastAsia" w:ascii="Times New Roman" w:hAnsi="Times New Roman" w:eastAsia="仿宋_GB2312"/>
          <w:bCs/>
          <w:sz w:val="32"/>
          <w:szCs w:val="32"/>
        </w:rPr>
        <w:t>6年</w:t>
      </w:r>
      <w:r>
        <w:rPr>
          <w:rFonts w:ascii="Times New Roman" w:hAnsi="Times New Roman" w:eastAsia="仿宋_GB2312"/>
          <w:bCs/>
          <w:sz w:val="32"/>
          <w:szCs w:val="32"/>
        </w:rPr>
        <w:t>）</w:t>
      </w:r>
    </w:p>
    <w:p w14:paraId="5AEFA1B1">
      <w:pPr>
        <w:spacing w:line="560" w:lineRule="exact"/>
        <w:ind w:right="84" w:rightChars="40" w:firstLine="707" w:firstLineChars="221"/>
        <w:rPr>
          <w:rFonts w:ascii="Times New Roman" w:hAnsi="Times New Roman" w:eastAsia="仿宋_GB2312"/>
          <w:bCs/>
          <w:sz w:val="32"/>
          <w:szCs w:val="32"/>
        </w:rPr>
      </w:pPr>
      <w:r>
        <w:rPr>
          <w:rFonts w:ascii="Times New Roman" w:hAnsi="Times New Roman" w:eastAsia="仿宋_GB2312"/>
          <w:bCs/>
          <w:sz w:val="32"/>
          <w:szCs w:val="32"/>
        </w:rPr>
        <w:t>7</w:t>
      </w:r>
      <w:r>
        <w:rPr>
          <w:rFonts w:hint="eastAsia" w:ascii="Times New Roman" w:hAnsi="Times New Roman" w:eastAsia="仿宋_GB2312"/>
          <w:bCs/>
          <w:sz w:val="32"/>
          <w:szCs w:val="32"/>
        </w:rPr>
        <w:t>.</w:t>
      </w:r>
      <w:r>
        <w:rPr>
          <w:rFonts w:ascii="Times New Roman" w:hAnsi="Times New Roman" w:eastAsia="仿宋_GB2312"/>
          <w:bCs/>
          <w:sz w:val="32"/>
          <w:szCs w:val="32"/>
        </w:rPr>
        <w:t>《阿坝藏族羌族自治州藏羌建筑风貌导则</w:t>
      </w:r>
      <w:r>
        <w:rPr>
          <w:rFonts w:hint="eastAsia" w:ascii="Times New Roman" w:hAnsi="Times New Roman" w:eastAsia="仿宋_GB2312"/>
          <w:bCs/>
          <w:sz w:val="32"/>
          <w:szCs w:val="32"/>
        </w:rPr>
        <w:t>（</w:t>
      </w:r>
      <w:r>
        <w:rPr>
          <w:rFonts w:ascii="Times New Roman" w:hAnsi="Times New Roman" w:eastAsia="仿宋_GB2312"/>
          <w:bCs/>
          <w:sz w:val="32"/>
          <w:szCs w:val="32"/>
        </w:rPr>
        <w:t>2012年）》《阿坝州农村住房建设质量安全管理办法（试行）》（2025年1月1日起施行，有效期2年）、《阿坝藏族羌族自治州农村住房建设管理指导手册（试行）》（2025年6月印发）</w:t>
      </w:r>
    </w:p>
    <w:p w14:paraId="2A0B1E14">
      <w:pPr>
        <w:spacing w:line="560" w:lineRule="exact"/>
        <w:ind w:firstLine="640" w:firstLineChars="200"/>
        <w:rPr>
          <w:rFonts w:ascii="Times New Roman" w:hAnsi="Times New Roman" w:eastAsia="仿宋_GB2312"/>
          <w:bCs/>
          <w:sz w:val="32"/>
          <w:szCs w:val="32"/>
        </w:rPr>
      </w:pPr>
      <w:r>
        <w:rPr>
          <w:rFonts w:ascii="Times New Roman" w:hAnsi="Times New Roman" w:eastAsia="仿宋_GB2312"/>
          <w:bCs/>
          <w:sz w:val="32"/>
          <w:szCs w:val="32"/>
        </w:rPr>
        <w:t>8</w:t>
      </w:r>
      <w:r>
        <w:rPr>
          <w:rFonts w:hint="eastAsia" w:ascii="Times New Roman" w:hAnsi="Times New Roman" w:eastAsia="仿宋_GB2312"/>
          <w:bCs/>
          <w:sz w:val="32"/>
          <w:szCs w:val="32"/>
        </w:rPr>
        <w:t>.</w:t>
      </w:r>
      <w:r>
        <w:rPr>
          <w:rFonts w:ascii="Times New Roman" w:hAnsi="Times New Roman" w:eastAsia="仿宋_GB2312"/>
          <w:bCs/>
          <w:sz w:val="32"/>
          <w:szCs w:val="32"/>
        </w:rPr>
        <w:t>《阿坝州高海拔寒冷</w:t>
      </w:r>
      <w:r>
        <w:rPr>
          <w:rFonts w:hint="eastAsia" w:ascii="Times New Roman" w:hAnsi="Times New Roman" w:eastAsia="仿宋_GB2312"/>
          <w:bCs/>
          <w:sz w:val="32"/>
          <w:szCs w:val="32"/>
        </w:rPr>
        <w:t>（</w:t>
      </w:r>
      <w:r>
        <w:rPr>
          <w:rFonts w:ascii="Times New Roman" w:hAnsi="Times New Roman" w:eastAsia="仿宋_GB2312"/>
          <w:bCs/>
          <w:sz w:val="32"/>
          <w:szCs w:val="32"/>
        </w:rPr>
        <w:t>严寒）地区公共厕所建设指南》（2024年12月印发）</w:t>
      </w: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565D323F-B121-4950-8ECB-CB3F352F822C}"/>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等线 Light">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embedRegular r:id="rId2" w:fontKey="{DA6F931D-1150-45D5-A754-997C2531C692}"/>
  </w:font>
  <w:font w:name="仿宋_GB2312">
    <w:altName w:val="仿宋"/>
    <w:panose1 w:val="02010609030101010101"/>
    <w:charset w:val="86"/>
    <w:family w:val="modern"/>
    <w:pitch w:val="default"/>
    <w:sig w:usb0="00000000" w:usb1="00000000" w:usb2="00000010" w:usb3="00000000" w:csb0="00040000" w:csb1="00000000"/>
    <w:embedRegular r:id="rId3" w:fontKey="{1D55DC25-A6C4-4A89-A6FD-5E9DBF5DEAE0}"/>
  </w:font>
  <w:font w:name="等线">
    <w:panose1 w:val="02010600030101010101"/>
    <w:charset w:val="86"/>
    <w:family w:val="auto"/>
    <w:pitch w:val="default"/>
    <w:sig w:usb0="A00002BF" w:usb1="38CF7CFA" w:usb2="00000016" w:usb3="00000000" w:csb0="0004000F" w:csb1="00000000"/>
    <w:embedRegular r:id="rId4" w:fontKey="{0F0DCE98-2834-4F28-98EB-AED1349698FB}"/>
  </w:font>
  <w:font w:name="方正小标宋简体">
    <w:panose1 w:val="02000000000000000000"/>
    <w:charset w:val="86"/>
    <w:family w:val="auto"/>
    <w:pitch w:val="default"/>
    <w:sig w:usb0="00000001" w:usb1="08000000" w:usb2="00000000" w:usb3="00000000" w:csb0="00040000" w:csb1="00000000"/>
    <w:embedRegular r:id="rId5" w:fontKey="{4EBD4543-C4DC-47D0-97BA-284C9D17B258}"/>
  </w:font>
  <w:font w:name="楷体_GB2312">
    <w:altName w:val="楷体"/>
    <w:panose1 w:val="02010609030101010101"/>
    <w:charset w:val="86"/>
    <w:family w:val="modern"/>
    <w:pitch w:val="default"/>
    <w:sig w:usb0="00000000" w:usb1="00000000" w:usb2="00000010" w:usb3="00000000" w:csb0="00040000" w:csb1="00000000"/>
    <w:embedRegular r:id="rId6" w:fontKey="{02F8F3B7-23A8-445A-8209-AEF4D441F946}"/>
  </w:font>
  <w:font w:name="Arial">
    <w:panose1 w:val="020B0604020202020204"/>
    <w:charset w:val="00"/>
    <w:family w:val="auto"/>
    <w:pitch w:val="default"/>
    <w:sig w:usb0="E0002EFF" w:usb1="C000785B" w:usb2="00000009" w:usb3="00000000" w:csb0="400001FF" w:csb1="FFFF0000"/>
    <w:embedRegular r:id="rId7" w:fontKey="{113C1778-0CCF-4FAE-89B0-8CFDCB7BDE7F}"/>
  </w:font>
  <w:font w:name="Cambria Math">
    <w:panose1 w:val="02040503050406030204"/>
    <w:charset w:val="00"/>
    <w:family w:val="roman"/>
    <w:pitch w:val="default"/>
    <w:sig w:usb0="E00006FF" w:usb1="420024FF" w:usb2="02000000" w:usb3="00000000" w:csb0="2000019F" w:csb1="00000000"/>
    <w:embedRegular r:id="rId8" w:fontKey="{1D296C43-5BC4-49B8-8504-CDDAAE884A42}"/>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AB2216">
    <w:pPr>
      <w:pStyle w:val="20"/>
      <w:jc w:val="right"/>
    </w:pPr>
    <w:r>
      <w:rPr>
        <w:sz w:val="28"/>
        <w:szCs w:val="28"/>
      </w:rPr>
      <w:fldChar w:fldCharType="begin"/>
    </w:r>
    <w:r>
      <w:rPr>
        <w:sz w:val="28"/>
        <w:szCs w:val="28"/>
      </w:rPr>
      <w:instrText xml:space="preserve">PAGE   \* MERGEFORMAT</w:instrText>
    </w:r>
    <w:r>
      <w:rPr>
        <w:sz w:val="28"/>
        <w:szCs w:val="28"/>
      </w:rPr>
      <w:fldChar w:fldCharType="separate"/>
    </w:r>
    <w:r>
      <w:rPr>
        <w:sz w:val="28"/>
        <w:szCs w:val="28"/>
        <w:lang w:val="zh-CN"/>
      </w:rPr>
      <w:t>3</w:t>
    </w:r>
    <w:r>
      <w:rPr>
        <w:sz w:val="28"/>
        <w:szCs w:val="2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DEBF10">
    <w:pPr>
      <w:pStyle w:val="20"/>
      <w:rPr>
        <w:sz w:val="28"/>
        <w:szCs w:val="28"/>
      </w:rPr>
    </w:pPr>
    <w:r>
      <w:rPr>
        <w:sz w:val="28"/>
        <w:szCs w:val="28"/>
      </w:rPr>
      <w:fldChar w:fldCharType="begin"/>
    </w:r>
    <w:r>
      <w:rPr>
        <w:sz w:val="28"/>
        <w:szCs w:val="28"/>
      </w:rPr>
      <w:instrText xml:space="preserve">PAGE   \* MERGEFORMAT</w:instrText>
    </w:r>
    <w:r>
      <w:rPr>
        <w:sz w:val="28"/>
        <w:szCs w:val="28"/>
      </w:rPr>
      <w:fldChar w:fldCharType="separate"/>
    </w:r>
    <w:r>
      <w:rPr>
        <w:sz w:val="28"/>
        <w:szCs w:val="28"/>
        <w:lang w:val="zh-CN"/>
      </w:rPr>
      <w:t>2</w:t>
    </w:r>
    <w:r>
      <w:rPr>
        <w:sz w:val="28"/>
        <w:szCs w:val="28"/>
      </w:rP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4B94CF1"/>
    <w:multiLevelType w:val="multilevel"/>
    <w:tmpl w:val="04B94CF1"/>
    <w:lvl w:ilvl="0" w:tentative="0">
      <w:start w:val="1"/>
      <w:numFmt w:val="japaneseCounting"/>
      <w:lvlText w:val="第%1节"/>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4A5AA019"/>
    <w:multiLevelType w:val="multilevel"/>
    <w:tmpl w:val="4A5AA019"/>
    <w:lvl w:ilvl="0" w:tentative="0">
      <w:start w:val="1"/>
      <w:numFmt w:val="chineseCountingThousand"/>
      <w:pStyle w:val="2"/>
      <w:suff w:val="nothing"/>
      <w:lvlText w:val="第%1章"/>
      <w:lvlJc w:val="left"/>
      <w:pPr>
        <w:ind w:left="0" w:firstLine="0"/>
      </w:pPr>
      <w:rPr>
        <w:rFonts w:hint="eastAsia"/>
      </w:rPr>
    </w:lvl>
    <w:lvl w:ilvl="1" w:tentative="0">
      <w:start w:val="1"/>
      <w:numFmt w:val="chineseCountingThousand"/>
      <w:pStyle w:val="3"/>
      <w:suff w:val="nothing"/>
      <w:lvlText w:val="第%2节"/>
      <w:lvlJc w:val="left"/>
      <w:pPr>
        <w:ind w:left="0" w:firstLine="0"/>
      </w:pPr>
      <w:rPr>
        <w:rFonts w:hint="eastAsia"/>
      </w:rPr>
    </w:lvl>
    <w:lvl w:ilvl="2" w:tentative="0">
      <w:start w:val="1"/>
      <w:numFmt w:val="none"/>
      <w:suff w:val="nothing"/>
      <w:lvlText w:val=""/>
      <w:lvlJc w:val="left"/>
      <w:pPr>
        <w:ind w:left="0" w:firstLine="0"/>
      </w:pPr>
      <w:rPr>
        <w:rFonts w:hint="eastAsia"/>
      </w:rPr>
    </w:lvl>
    <w:lvl w:ilvl="3" w:tentative="0">
      <w:start w:val="1"/>
      <w:numFmt w:val="none"/>
      <w:pStyle w:val="5"/>
      <w:suff w:val="nothing"/>
      <w:lvlText w:val=""/>
      <w:lvlJc w:val="left"/>
      <w:pPr>
        <w:ind w:left="0" w:firstLine="0"/>
      </w:pPr>
      <w:rPr>
        <w:rFonts w:hint="eastAsia"/>
      </w:rPr>
    </w:lvl>
    <w:lvl w:ilvl="4" w:tentative="0">
      <w:start w:val="1"/>
      <w:numFmt w:val="none"/>
      <w:pStyle w:val="6"/>
      <w:suff w:val="nothing"/>
      <w:lvlText w:val=""/>
      <w:lvlJc w:val="left"/>
      <w:pPr>
        <w:ind w:left="0" w:firstLine="0"/>
      </w:pPr>
      <w:rPr>
        <w:rFonts w:hint="eastAsia"/>
      </w:rPr>
    </w:lvl>
    <w:lvl w:ilvl="5" w:tentative="0">
      <w:start w:val="1"/>
      <w:numFmt w:val="none"/>
      <w:pStyle w:val="7"/>
      <w:suff w:val="nothing"/>
      <w:lvlText w:val=""/>
      <w:lvlJc w:val="left"/>
      <w:pPr>
        <w:ind w:left="0" w:firstLine="0"/>
      </w:pPr>
      <w:rPr>
        <w:rFonts w:hint="eastAsia"/>
      </w:rPr>
    </w:lvl>
    <w:lvl w:ilvl="6" w:tentative="0">
      <w:start w:val="1"/>
      <w:numFmt w:val="none"/>
      <w:pStyle w:val="8"/>
      <w:suff w:val="nothing"/>
      <w:lvlText w:val=""/>
      <w:lvlJc w:val="left"/>
      <w:pPr>
        <w:ind w:left="0" w:firstLine="0"/>
      </w:pPr>
      <w:rPr>
        <w:rFonts w:hint="eastAsia"/>
      </w:rPr>
    </w:lvl>
    <w:lvl w:ilvl="7" w:tentative="0">
      <w:start w:val="1"/>
      <w:numFmt w:val="none"/>
      <w:pStyle w:val="9"/>
      <w:suff w:val="nothing"/>
      <w:lvlText w:val=""/>
      <w:lvlJc w:val="left"/>
      <w:pPr>
        <w:ind w:left="0" w:firstLine="0"/>
      </w:pPr>
      <w:rPr>
        <w:rFonts w:hint="eastAsia"/>
      </w:rPr>
    </w:lvl>
    <w:lvl w:ilvl="8" w:tentative="0">
      <w:start w:val="1"/>
      <w:numFmt w:val="none"/>
      <w:pStyle w:val="10"/>
      <w:suff w:val="nothing"/>
      <w:lvlText w:val=""/>
      <w:lvlJc w:val="left"/>
      <w:pPr>
        <w:ind w:left="0" w:firstLine="0"/>
      </w:pPr>
      <w:rPr>
        <w:rFonts w:hint="eastAsia"/>
      </w:rPr>
    </w:lvl>
  </w:abstractNum>
  <w:abstractNum w:abstractNumId="2">
    <w:nsid w:val="7110F0A4"/>
    <w:multiLevelType w:val="multilevel"/>
    <w:tmpl w:val="7110F0A4"/>
    <w:lvl w:ilvl="0" w:tentative="0">
      <w:start w:val="1"/>
      <w:numFmt w:val="chineseCountingThousand"/>
      <w:pStyle w:val="4"/>
      <w:lvlText w:val="第%1条"/>
      <w:lvlJc w:val="left"/>
      <w:pPr>
        <w:ind w:left="440" w:hanging="440"/>
      </w:pPr>
      <w:rPr>
        <w:rFonts w:hint="default"/>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3">
    <w:nsid w:val="7F8034D8"/>
    <w:multiLevelType w:val="multilevel"/>
    <w:tmpl w:val="7F8034D8"/>
    <w:lvl w:ilvl="0" w:tentative="0">
      <w:start w:val="1"/>
      <w:numFmt w:val="japaneseCounting"/>
      <w:lvlText w:val="第%1节"/>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2"/>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evenAndOddHeaders w:val="1"/>
  <w:drawingGridHorizontalSpacing w:val="105"/>
  <w:drawingGridVerticalSpacing w:val="156"/>
  <w:displayHorizontalDrawingGridEvery w:val="0"/>
  <w:displayVerticalDrawingGridEvery w:val="1"/>
  <w:noPunctuationKerning w:val="1"/>
  <w:characterSpacingControl w:val="compressPunctuation"/>
  <w:compat>
    <w:spaceForUL/>
    <w:balanceSingleByteDoubleByteWidth/>
    <w:ulTrailSpace/>
    <w:doNotExpandShiftReturn/>
    <w:adjustLineHeightInTable/>
    <w:useFELayout/>
    <w:compatSetting w:name="compatibilityMode" w:uri="http://schemas.microsoft.com/office/word" w:val="15"/>
  </w:compat>
  <w:rsids>
    <w:rsidRoot w:val="00000000"/>
    <w:rsid w:val="1B354D2D"/>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unhideWhenUsed="0" w:uiPriority="0" w:semiHidden="0" w:name="Normal"/>
    <w:lsdException w:qFormat="1" w:unhideWhenUsed="0" w:uiPriority="0" w:semiHidden="0" w:name="heading 1"/>
    <w:lsdException w:unhideWhenUsed="0" w:uiPriority="0" w:semiHidden="0" w:name="heading 2"/>
    <w:lsdException w:qFormat="1" w:unhideWhenUsed="0" w:uiPriority="0" w:semiHidden="0" w:name="heading 3"/>
    <w:lsdException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qFormat="1" w:unhideWhenUsed="0" w:uiPriority="0" w:semiHidden="0" w:name="endnote reference"/>
    <w:lsdException w:qFormat="1"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qFormat="1"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qFormat/>
    <w:uiPriority w:val="0"/>
    <w:pPr>
      <w:keepNext/>
      <w:keepLines/>
      <w:widowControl w:val="0"/>
      <w:numPr>
        <w:ilvl w:val="0"/>
        <w:numId w:val="1"/>
      </w:numPr>
      <w:spacing w:before="340" w:after="330" w:line="578" w:lineRule="auto"/>
      <w:outlineLvl w:val="0"/>
    </w:pPr>
    <w:rPr>
      <w:b/>
      <w:bCs/>
      <w:kern w:val="44"/>
      <w:sz w:val="44"/>
      <w:szCs w:val="44"/>
    </w:rPr>
  </w:style>
  <w:style w:type="paragraph" w:styleId="3">
    <w:name w:val="heading 2"/>
    <w:basedOn w:val="1"/>
    <w:next w:val="1"/>
    <w:uiPriority w:val="0"/>
    <w:pPr>
      <w:keepNext/>
      <w:keepLines/>
      <w:widowControl w:val="0"/>
      <w:numPr>
        <w:ilvl w:val="1"/>
        <w:numId w:val="1"/>
      </w:numPr>
      <w:spacing w:before="260" w:after="260" w:line="415" w:lineRule="auto"/>
      <w:outlineLvl w:val="1"/>
    </w:pPr>
    <w:rPr>
      <w:rFonts w:ascii="Cambria" w:hAnsi="Cambria"/>
      <w:b/>
      <w:bCs/>
      <w:sz w:val="32"/>
      <w:szCs w:val="32"/>
    </w:rPr>
  </w:style>
  <w:style w:type="paragraph" w:styleId="4">
    <w:name w:val="heading 3"/>
    <w:basedOn w:val="1"/>
    <w:next w:val="1"/>
    <w:qFormat/>
    <w:uiPriority w:val="0"/>
    <w:pPr>
      <w:keepNext/>
      <w:keepLines/>
      <w:widowControl w:val="0"/>
      <w:numPr>
        <w:ilvl w:val="0"/>
        <w:numId w:val="2"/>
      </w:numPr>
      <w:spacing w:before="260" w:after="260" w:line="415" w:lineRule="auto"/>
      <w:outlineLvl w:val="2"/>
    </w:pPr>
    <w:rPr>
      <w:b/>
      <w:bCs/>
      <w:sz w:val="32"/>
      <w:szCs w:val="32"/>
    </w:rPr>
  </w:style>
  <w:style w:type="paragraph" w:styleId="5">
    <w:name w:val="heading 4"/>
    <w:basedOn w:val="1"/>
    <w:next w:val="1"/>
    <w:uiPriority w:val="0"/>
    <w:pPr>
      <w:keepNext/>
      <w:keepLines/>
      <w:widowControl w:val="0"/>
      <w:numPr>
        <w:ilvl w:val="3"/>
        <w:numId w:val="1"/>
      </w:numPr>
      <w:spacing w:before="280" w:after="290" w:line="377" w:lineRule="auto"/>
      <w:outlineLvl w:val="3"/>
    </w:pPr>
    <w:rPr>
      <w:rFonts w:ascii="等线 Light" w:eastAsia="等线 Light"/>
      <w:b/>
      <w:bCs/>
      <w:sz w:val="28"/>
      <w:szCs w:val="28"/>
    </w:rPr>
  </w:style>
  <w:style w:type="paragraph" w:styleId="6">
    <w:name w:val="heading 5"/>
    <w:basedOn w:val="1"/>
    <w:next w:val="1"/>
    <w:qFormat/>
    <w:uiPriority w:val="0"/>
    <w:pPr>
      <w:keepNext/>
      <w:keepLines/>
      <w:widowControl w:val="0"/>
      <w:numPr>
        <w:ilvl w:val="4"/>
        <w:numId w:val="1"/>
      </w:numPr>
      <w:spacing w:before="280" w:after="290" w:line="377" w:lineRule="auto"/>
      <w:outlineLvl w:val="4"/>
    </w:pPr>
    <w:rPr>
      <w:b/>
      <w:bCs/>
      <w:sz w:val="28"/>
      <w:szCs w:val="28"/>
    </w:rPr>
  </w:style>
  <w:style w:type="paragraph" w:styleId="7">
    <w:name w:val="heading 6"/>
    <w:basedOn w:val="1"/>
    <w:next w:val="1"/>
    <w:qFormat/>
    <w:uiPriority w:val="0"/>
    <w:pPr>
      <w:keepNext/>
      <w:keepLines/>
      <w:widowControl w:val="0"/>
      <w:numPr>
        <w:ilvl w:val="5"/>
        <w:numId w:val="1"/>
      </w:numPr>
      <w:spacing w:before="240" w:after="64" w:line="319" w:lineRule="auto"/>
      <w:outlineLvl w:val="5"/>
    </w:pPr>
    <w:rPr>
      <w:rFonts w:ascii="等线 Light" w:eastAsia="等线 Light"/>
      <w:b/>
      <w:bCs/>
      <w:sz w:val="24"/>
      <w:szCs w:val="24"/>
    </w:rPr>
  </w:style>
  <w:style w:type="paragraph" w:styleId="8">
    <w:name w:val="heading 7"/>
    <w:basedOn w:val="1"/>
    <w:next w:val="1"/>
    <w:qFormat/>
    <w:uiPriority w:val="0"/>
    <w:pPr>
      <w:keepNext/>
      <w:keepLines/>
      <w:widowControl w:val="0"/>
      <w:numPr>
        <w:ilvl w:val="6"/>
        <w:numId w:val="1"/>
      </w:numPr>
      <w:spacing w:before="240" w:after="64" w:line="319" w:lineRule="auto"/>
      <w:outlineLvl w:val="6"/>
    </w:pPr>
    <w:rPr>
      <w:b/>
      <w:bCs/>
      <w:sz w:val="24"/>
      <w:szCs w:val="24"/>
    </w:rPr>
  </w:style>
  <w:style w:type="paragraph" w:styleId="9">
    <w:name w:val="heading 8"/>
    <w:basedOn w:val="1"/>
    <w:next w:val="1"/>
    <w:qFormat/>
    <w:uiPriority w:val="0"/>
    <w:pPr>
      <w:keepNext/>
      <w:keepLines/>
      <w:widowControl w:val="0"/>
      <w:numPr>
        <w:ilvl w:val="7"/>
        <w:numId w:val="1"/>
      </w:numPr>
      <w:spacing w:before="240" w:after="64" w:line="319" w:lineRule="auto"/>
      <w:outlineLvl w:val="7"/>
    </w:pPr>
    <w:rPr>
      <w:rFonts w:ascii="等线 Light" w:eastAsia="等线 Light"/>
      <w:sz w:val="24"/>
      <w:szCs w:val="24"/>
    </w:rPr>
  </w:style>
  <w:style w:type="paragraph" w:styleId="10">
    <w:name w:val="heading 9"/>
    <w:basedOn w:val="1"/>
    <w:next w:val="1"/>
    <w:qFormat/>
    <w:uiPriority w:val="0"/>
    <w:pPr>
      <w:keepNext/>
      <w:keepLines/>
      <w:widowControl w:val="0"/>
      <w:numPr>
        <w:ilvl w:val="8"/>
        <w:numId w:val="1"/>
      </w:numPr>
      <w:spacing w:before="240" w:after="64" w:line="319" w:lineRule="auto"/>
      <w:outlineLvl w:val="8"/>
    </w:pPr>
    <w:rPr>
      <w:rFonts w:ascii="等线 Light" w:eastAsia="等线 Light"/>
      <w:szCs w:val="21"/>
    </w:rPr>
  </w:style>
  <w:style w:type="character" w:default="1" w:styleId="30">
    <w:name w:val="Default Paragraph Font"/>
    <w:qFormat/>
    <w:uiPriority w:val="0"/>
  </w:style>
  <w:style w:type="table" w:default="1" w:styleId="29">
    <w:name w:val="Normal Table"/>
    <w:semiHidden/>
    <w:uiPriority w:val="0"/>
    <w:tblPr>
      <w:tblCellMar>
        <w:top w:w="0" w:type="dxa"/>
        <w:left w:w="108" w:type="dxa"/>
        <w:bottom w:w="0" w:type="dxa"/>
        <w:right w:w="108" w:type="dxa"/>
      </w:tblCellMar>
    </w:tblPr>
  </w:style>
  <w:style w:type="paragraph" w:styleId="11">
    <w:name w:val="toc 7"/>
    <w:basedOn w:val="1"/>
    <w:next w:val="1"/>
    <w:autoRedefine/>
    <w:qFormat/>
    <w:uiPriority w:val="0"/>
    <w:pPr>
      <w:ind w:left="1200" w:leftChars="1200"/>
    </w:pPr>
  </w:style>
  <w:style w:type="paragraph" w:styleId="12">
    <w:name w:val="caption"/>
    <w:basedOn w:val="1"/>
    <w:next w:val="1"/>
    <w:qFormat/>
    <w:uiPriority w:val="0"/>
    <w:pPr>
      <w:spacing w:line="360" w:lineRule="auto"/>
    </w:pPr>
    <w:rPr>
      <w:rFonts w:ascii="Times New Roman" w:hAnsi="Times New Roman" w:eastAsia="仿宋"/>
      <w:b/>
      <w:sz w:val="28"/>
      <w:szCs w:val="20"/>
    </w:rPr>
  </w:style>
  <w:style w:type="paragraph" w:styleId="13">
    <w:name w:val="annotation text"/>
    <w:basedOn w:val="1"/>
    <w:qFormat/>
    <w:uiPriority w:val="0"/>
    <w:pPr>
      <w:jc w:val="left"/>
    </w:pPr>
  </w:style>
  <w:style w:type="paragraph" w:styleId="14">
    <w:name w:val="Body Text"/>
    <w:qFormat/>
    <w:uiPriority w:val="0"/>
    <w:pPr>
      <w:spacing w:line="560" w:lineRule="exact"/>
      <w:ind w:firstLine="200" w:firstLineChars="200"/>
      <w:jc w:val="both"/>
    </w:pPr>
    <w:rPr>
      <w:rFonts w:ascii="仿宋_GB2312" w:hAnsi="Times New Roman" w:eastAsia="仿宋_GB2312" w:cs="Times New Roman"/>
      <w:spacing w:val="-6"/>
      <w:sz w:val="32"/>
      <w:szCs w:val="20"/>
      <w:lang w:val="en-US" w:eastAsia="zh-CN" w:bidi="ar-SA"/>
    </w:rPr>
  </w:style>
  <w:style w:type="paragraph" w:styleId="15">
    <w:name w:val="toc 5"/>
    <w:basedOn w:val="1"/>
    <w:next w:val="1"/>
    <w:autoRedefine/>
    <w:qFormat/>
    <w:uiPriority w:val="0"/>
    <w:pPr>
      <w:ind w:left="800" w:leftChars="800"/>
    </w:pPr>
  </w:style>
  <w:style w:type="paragraph" w:styleId="16">
    <w:name w:val="toc 3"/>
    <w:basedOn w:val="1"/>
    <w:next w:val="1"/>
    <w:autoRedefine/>
    <w:qFormat/>
    <w:uiPriority w:val="0"/>
    <w:pPr>
      <w:widowControl/>
      <w:spacing w:after="100" w:line="276" w:lineRule="auto"/>
      <w:ind w:left="440"/>
      <w:jc w:val="left"/>
    </w:pPr>
    <w:rPr>
      <w:kern w:val="0"/>
      <w:sz w:val="22"/>
    </w:rPr>
  </w:style>
  <w:style w:type="paragraph" w:styleId="17">
    <w:name w:val="toc 8"/>
    <w:basedOn w:val="1"/>
    <w:next w:val="1"/>
    <w:autoRedefine/>
    <w:qFormat/>
    <w:uiPriority w:val="0"/>
    <w:pPr>
      <w:ind w:left="1400" w:leftChars="1400"/>
    </w:pPr>
  </w:style>
  <w:style w:type="paragraph" w:styleId="18">
    <w:name w:val="endnote text"/>
    <w:basedOn w:val="1"/>
    <w:qFormat/>
    <w:uiPriority w:val="0"/>
    <w:pPr>
      <w:snapToGrid w:val="0"/>
      <w:jc w:val="left"/>
    </w:pPr>
  </w:style>
  <w:style w:type="paragraph" w:styleId="19">
    <w:name w:val="Balloon Text"/>
    <w:basedOn w:val="1"/>
    <w:qFormat/>
    <w:uiPriority w:val="0"/>
    <w:rPr>
      <w:sz w:val="18"/>
      <w:szCs w:val="18"/>
    </w:rPr>
  </w:style>
  <w:style w:type="paragraph" w:styleId="20">
    <w:name w:val="footer"/>
    <w:basedOn w:val="1"/>
    <w:qFormat/>
    <w:uiPriority w:val="0"/>
    <w:pPr>
      <w:tabs>
        <w:tab w:val="center" w:pos="4153"/>
        <w:tab w:val="right" w:pos="8306"/>
      </w:tabs>
      <w:snapToGrid w:val="0"/>
      <w:jc w:val="left"/>
    </w:pPr>
    <w:rPr>
      <w:sz w:val="18"/>
      <w:szCs w:val="18"/>
    </w:rPr>
  </w:style>
  <w:style w:type="paragraph" w:styleId="21">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22">
    <w:name w:val="toc 1"/>
    <w:basedOn w:val="1"/>
    <w:next w:val="1"/>
    <w:autoRedefine/>
    <w:qFormat/>
    <w:uiPriority w:val="0"/>
    <w:pPr>
      <w:widowControl/>
      <w:spacing w:after="100" w:line="276" w:lineRule="auto"/>
      <w:jc w:val="left"/>
    </w:pPr>
    <w:rPr>
      <w:kern w:val="0"/>
      <w:sz w:val="22"/>
    </w:rPr>
  </w:style>
  <w:style w:type="paragraph" w:styleId="23">
    <w:name w:val="toc 4"/>
    <w:basedOn w:val="1"/>
    <w:next w:val="1"/>
    <w:autoRedefine/>
    <w:qFormat/>
    <w:uiPriority w:val="0"/>
    <w:pPr>
      <w:ind w:left="600" w:leftChars="600"/>
    </w:pPr>
  </w:style>
  <w:style w:type="paragraph" w:styleId="24">
    <w:name w:val="toc 6"/>
    <w:basedOn w:val="1"/>
    <w:next w:val="1"/>
    <w:autoRedefine/>
    <w:qFormat/>
    <w:uiPriority w:val="0"/>
    <w:pPr>
      <w:ind w:left="1000" w:leftChars="1000"/>
    </w:pPr>
  </w:style>
  <w:style w:type="paragraph" w:styleId="25">
    <w:name w:val="toc 2"/>
    <w:basedOn w:val="1"/>
    <w:next w:val="1"/>
    <w:autoRedefine/>
    <w:qFormat/>
    <w:uiPriority w:val="0"/>
    <w:pPr>
      <w:widowControl/>
      <w:spacing w:after="100" w:line="276" w:lineRule="auto"/>
      <w:ind w:left="220"/>
      <w:jc w:val="left"/>
    </w:pPr>
    <w:rPr>
      <w:kern w:val="0"/>
      <w:sz w:val="22"/>
    </w:rPr>
  </w:style>
  <w:style w:type="paragraph" w:styleId="26">
    <w:name w:val="toc 9"/>
    <w:basedOn w:val="1"/>
    <w:next w:val="1"/>
    <w:autoRedefine/>
    <w:qFormat/>
    <w:uiPriority w:val="0"/>
    <w:pPr>
      <w:ind w:left="1600" w:leftChars="1600"/>
    </w:pPr>
  </w:style>
  <w:style w:type="paragraph" w:styleId="27">
    <w:name w:val="Normal (Web)"/>
    <w:basedOn w:val="1"/>
    <w:next w:val="21"/>
    <w:qFormat/>
    <w:uiPriority w:val="0"/>
    <w:pPr>
      <w:widowControl/>
      <w:spacing w:before="100" w:beforeAutospacing="1" w:after="100" w:afterAutospacing="1"/>
      <w:jc w:val="left"/>
    </w:pPr>
    <w:rPr>
      <w:rFonts w:ascii="宋体"/>
      <w:kern w:val="0"/>
      <w:sz w:val="24"/>
      <w:szCs w:val="21"/>
    </w:rPr>
  </w:style>
  <w:style w:type="paragraph" w:styleId="28">
    <w:name w:val="annotation subject"/>
    <w:basedOn w:val="13"/>
    <w:next w:val="13"/>
    <w:qFormat/>
    <w:uiPriority w:val="0"/>
    <w:rPr>
      <w:b/>
      <w:bCs/>
    </w:rPr>
  </w:style>
  <w:style w:type="character" w:styleId="31">
    <w:name w:val="endnote reference"/>
    <w:qFormat/>
    <w:uiPriority w:val="0"/>
    <w:rPr>
      <w:vertAlign w:val="superscript"/>
    </w:rPr>
  </w:style>
  <w:style w:type="character" w:styleId="32">
    <w:name w:val="Emphasis"/>
    <w:qFormat/>
    <w:uiPriority w:val="0"/>
    <w:rPr>
      <w:color w:val="D73130"/>
      <w:sz w:val="24"/>
      <w:szCs w:val="24"/>
    </w:rPr>
  </w:style>
  <w:style w:type="character" w:styleId="33">
    <w:name w:val="Hyperlink"/>
    <w:qFormat/>
    <w:uiPriority w:val="0"/>
    <w:rPr>
      <w:color w:val="0000FF"/>
      <w:u w:val="single"/>
    </w:rPr>
  </w:style>
  <w:style w:type="character" w:styleId="34">
    <w:name w:val="annotation reference"/>
    <w:qFormat/>
    <w:uiPriority w:val="0"/>
    <w:rPr>
      <w:sz w:val="21"/>
      <w:szCs w:val="21"/>
    </w:rPr>
  </w:style>
  <w:style w:type="paragraph" w:customStyle="1" w:styleId="35">
    <w:name w:val="TOC 标题1"/>
    <w:basedOn w:val="2"/>
    <w:next w:val="1"/>
    <w:qFormat/>
    <w:uiPriority w:val="0"/>
    <w:pPr>
      <w:keepNext/>
      <w:keepLines/>
      <w:widowControl/>
      <w:spacing w:before="480" w:after="0" w:line="276" w:lineRule="auto"/>
      <w:jc w:val="left"/>
      <w:outlineLvl w:val="9"/>
    </w:pPr>
    <w:rPr>
      <w:rFonts w:ascii="Cambria" w:hAnsi="Cambria"/>
      <w:color w:val="365F91"/>
      <w:kern w:val="0"/>
      <w:sz w:val="28"/>
      <w:szCs w:val="28"/>
    </w:rPr>
  </w:style>
  <w:style w:type="character" w:customStyle="1" w:styleId="36">
    <w:name w:val="res-list-summary"/>
    <w:qFormat/>
    <w:uiPriority w:val="0"/>
  </w:style>
  <w:style w:type="character" w:customStyle="1" w:styleId="37">
    <w:name w:val="标题 1 字符"/>
    <w:qFormat/>
    <w:uiPriority w:val="0"/>
    <w:rPr>
      <w:rFonts w:ascii="黑体" w:eastAsia="黑体" w:cs="Times New Roman"/>
      <w:kern w:val="44"/>
      <w:sz w:val="32"/>
      <w:szCs w:val="32"/>
      <w:lang w:bidi="ar-SA"/>
    </w:rPr>
  </w:style>
  <w:style w:type="paragraph" w:customStyle="1" w:styleId="38">
    <w:name w:val="表格标题"/>
    <w:next w:val="1"/>
    <w:qFormat/>
    <w:uiPriority w:val="0"/>
    <w:pPr>
      <w:overflowPunct w:val="0"/>
      <w:topLinePunct/>
      <w:spacing w:line="560" w:lineRule="exact"/>
      <w:jc w:val="center"/>
    </w:pPr>
    <w:rPr>
      <w:rFonts w:ascii="仿宋_GB2312" w:hAnsi="Times New Roman" w:eastAsia="仿宋_GB2312" w:cs="仿宋_GB2312"/>
      <w:spacing w:val="-6"/>
      <w:sz w:val="32"/>
      <w:szCs w:val="32"/>
      <w:lang w:val="en-US" w:eastAsia="zh-CN" w:bidi="ar-SA"/>
    </w:rPr>
  </w:style>
  <w:style w:type="paragraph" w:customStyle="1" w:styleId="39">
    <w:name w:val="Table Text"/>
    <w:basedOn w:val="1"/>
    <w:qFormat/>
    <w:uiPriority w:val="0"/>
    <w:pPr>
      <w:widowControl/>
      <w:kinsoku w:val="0"/>
      <w:autoSpaceDE w:val="0"/>
      <w:autoSpaceDN w:val="0"/>
      <w:adjustRightInd w:val="0"/>
      <w:snapToGrid w:val="0"/>
      <w:jc w:val="left"/>
      <w:textAlignment w:val="baseline"/>
    </w:pPr>
    <w:rPr>
      <w:rFonts w:ascii="宋体" w:cs="宋体"/>
      <w:snapToGrid w:val="0"/>
      <w:color w:val="000000"/>
      <w:kern w:val="0"/>
      <w:sz w:val="18"/>
      <w:szCs w:val="18"/>
    </w:rPr>
  </w:style>
  <w:style w:type="character" w:customStyle="1" w:styleId="40">
    <w:name w:val="未处理的提及1"/>
    <w:qFormat/>
    <w:uiPriority w:val="0"/>
    <w:rPr>
      <w:color w:val="605E5C"/>
      <w:shd w:val="clear" w:color="auto" w:fill="E1DFDD"/>
    </w:rPr>
  </w:style>
  <w:style w:type="paragraph" w:customStyle="1" w:styleId="41">
    <w:name w:val="paragraph"/>
    <w:basedOn w:val="1"/>
    <w:qFormat/>
    <w:uiPriority w:val="0"/>
    <w:pPr>
      <w:widowControl/>
      <w:spacing w:before="100" w:beforeAutospacing="1" w:after="100" w:afterAutospacing="1"/>
      <w:jc w:val="left"/>
    </w:pPr>
    <w:rPr>
      <w:rFonts w:ascii="等线" w:eastAsia="等线"/>
      <w:kern w:val="0"/>
      <w:sz w:val="24"/>
      <w:szCs w:val="24"/>
    </w:rPr>
  </w:style>
  <w:style w:type="paragraph" w:customStyle="1" w:styleId="42">
    <w:name w:val="修订1"/>
    <w:qFormat/>
    <w:uiPriority w:val="0"/>
    <w:rPr>
      <w:rFonts w:ascii="Calibri" w:hAnsi="Calibri" w:eastAsia="宋体" w:cs="Times New Roman"/>
      <w:kern w:val="2"/>
      <w:sz w:val="21"/>
      <w:szCs w:val="22"/>
      <w:lang w:val="en-US" w:eastAsia="zh-CN" w:bidi="ar-SA"/>
    </w:rPr>
  </w:style>
  <w:style w:type="character" w:customStyle="1" w:styleId="43">
    <w:name w:val="未处理的提及2"/>
    <w:basedOn w:val="30"/>
    <w:qFormat/>
    <w:uiPriority w:val="0"/>
    <w:rPr>
      <w:color w:val="605E5C"/>
      <w:shd w:val="clear" w:color="auto" w:fill="E1DFDD"/>
    </w:rPr>
  </w:style>
  <w:style w:type="character" w:customStyle="1" w:styleId="44">
    <w:name w:val="Unresolved Mention"/>
    <w:basedOn w:val="30"/>
    <w:qFormat/>
    <w:uiPriority w:val="0"/>
    <w:rPr>
      <w:color w:val="605E5C"/>
      <w:shd w:val="clear" w:color="auto" w:fill="E1DFDD"/>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Normal.eit</Template>
  <Company>China</Company>
  <Pages>61</Pages>
  <Words>15834</Words>
  <Characters>17670</Characters>
  <Lines>1525</Lines>
  <Paragraphs>697</Paragraphs>
  <TotalTime>25</TotalTime>
  <ScaleCrop>false</ScaleCrop>
  <LinksUpToDate>false</LinksUpToDate>
  <CharactersWithSpaces>18027</CharactersWithSpaces>
  <Application>WPS Office_12.1.0.18912_F1E327BC-269C-435d-A152-05C5408002CA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2026-07-08T01:27:00Z</dcterms:created>
  <dc:creator>闵利兴</dc:creator>
  <cp:lastModifiedBy>T.A.O</cp:lastModifiedBy>
  <cp:lastPrinted>2025-12-29T07:24:00Z</cp:lastPrinted>
  <dcterms:modified xsi:type="dcterms:W3CDTF">2026-07-13T09:27:31Z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eyJoZGlkIjoiMDU3OGEzMTY0YWExZjJhYjIwMTA0OTFmYjI2YTc5ODkiLCJ1c2VySWQiOiIxNjczOTQ1NTAwIn0=</vt:lpwstr>
  </property>
  <property fmtid="{D5CDD505-2E9C-101B-9397-08002B2CF9AE}" pid="3" name="KSOProductBuildVer">
    <vt:lpwstr>2052-12.1.0.18912</vt:lpwstr>
  </property>
  <property fmtid="{D5CDD505-2E9C-101B-9397-08002B2CF9AE}" pid="4" name="ICV">
    <vt:lpwstr>BC9CE664B7434BD7B39CD7887DF481E1_13</vt:lpwstr>
  </property>
</Properties>
</file>