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97877">
      <w:pPr>
        <w:spacing w:line="560" w:lineRule="exact"/>
        <w:jc w:val="center"/>
        <w:rPr>
          <w:rFonts w:hint="eastAsia" w:ascii="黑体" w:hAnsi="黑体" w:eastAsia="黑体" w:cs="黑体"/>
          <w:sz w:val="24"/>
        </w:rPr>
      </w:pPr>
      <w:bookmarkStart w:id="0" w:name="_GoBack"/>
      <w:r>
        <w:rPr>
          <w:rFonts w:hint="eastAsia" w:ascii="Times New Roman" w:hAnsi="Times New Roman" w:eastAsia="方正小标宋简体" w:cs="Times New Roman"/>
          <w:sz w:val="24"/>
        </w:rPr>
        <w:t>阿坝州城镇户外广告和招牌设施设置管理办法</w:t>
      </w:r>
      <w:bookmarkEnd w:id="0"/>
    </w:p>
    <w:p w14:paraId="192B9B0D">
      <w:pPr>
        <w:spacing w:line="560" w:lineRule="exact"/>
        <w:jc w:val="center"/>
        <w:rPr>
          <w:rFonts w:hint="eastAsia" w:ascii="黑体" w:hAnsi="黑体" w:eastAsia="黑体" w:cs="黑体"/>
          <w:sz w:val="24"/>
        </w:rPr>
      </w:pPr>
      <w:r>
        <w:rPr>
          <w:rFonts w:hint="eastAsia" w:ascii="黑体" w:hAnsi="黑体" w:eastAsia="黑体" w:cs="黑体"/>
          <w:sz w:val="24"/>
        </w:rPr>
        <w:t>第一章 总则</w:t>
      </w:r>
    </w:p>
    <w:p w14:paraId="0E3C4905">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第一条 目的和依据</w:t>
      </w:r>
    </w:p>
    <w:p w14:paraId="48194829">
      <w:pPr>
        <w:spacing w:line="560" w:lineRule="exact"/>
        <w:ind w:firstLine="480" w:firstLineChars="200"/>
        <w:rPr>
          <w:rFonts w:ascii="Times New Roman" w:hAnsi="Times New Roman" w:eastAsia="楷体_GB2312" w:cs="Times New Roman"/>
          <w:b/>
          <w:bCs/>
          <w:sz w:val="24"/>
        </w:rPr>
      </w:pPr>
      <w:r>
        <w:rPr>
          <w:rFonts w:hint="eastAsia" w:ascii="Times New Roman" w:hAnsi="Times New Roman" w:eastAsia="仿宋_GB2312" w:cs="Times New Roman"/>
          <w:sz w:val="24"/>
        </w:rPr>
        <w:t>为了规范户外广告和招牌的规划、设置和管理，根据《中华人民共和国广告法》、《中华人民共和国城乡规划法》、《城市市容和环境卫生管理条例》、《城市道路管理条例》、《四川省城乡环境综合治理条例》、《阿坝藏族羌族自治州实施〈四川省城乡环境综合治理条例〉的补充规定》等法律、法规的规定，结合阿坝州实际制定本办法。</w:t>
      </w:r>
    </w:p>
    <w:p w14:paraId="41D79726">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第二条 适用对象</w:t>
      </w:r>
    </w:p>
    <w:p w14:paraId="48B74A96">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本办法适用于阿坝州下列区域内户外广告和招牌设施的设置及其监督管理活动。</w:t>
      </w:r>
    </w:p>
    <w:p w14:paraId="2D4A59FE">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（一）县（市）人民政府所在地建成区；</w:t>
      </w:r>
    </w:p>
    <w:p w14:paraId="218B8950">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（二）镇（乡）人民政府所在地建成区；</w:t>
      </w:r>
    </w:p>
    <w:p w14:paraId="666A1F24">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（三）其他实行城镇化管理的区域；</w:t>
      </w:r>
    </w:p>
    <w:p w14:paraId="43AA84C3">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（四）本州行政区域内国道、省道、县道、乡道及其两侧建筑控制区范围。公路和公路用地范围内户外广告和招牌设施的管理活动，应符合公路相关法律法规。</w:t>
      </w:r>
    </w:p>
    <w:p w14:paraId="1B1F555A">
      <w:pPr>
        <w:spacing w:line="560" w:lineRule="exact"/>
        <w:ind w:firstLine="480" w:firstLineChars="200"/>
        <w:rPr>
          <w:rFonts w:ascii="Times New Roman" w:hAnsi="Times New Roman" w:eastAsia="楷体_GB2312" w:cs="Times New Roman"/>
          <w:b/>
          <w:bCs/>
          <w:sz w:val="24"/>
        </w:rPr>
      </w:pPr>
      <w:r>
        <w:rPr>
          <w:rFonts w:hint="eastAsia" w:ascii="Times New Roman" w:hAnsi="Times New Roman" w:eastAsia="仿宋_GB2312" w:cs="Times New Roman"/>
          <w:sz w:val="24"/>
        </w:rPr>
        <w:t>前款第三项所列区域范围，由州人民政府划定、公布。</w:t>
      </w:r>
    </w:p>
    <w:p w14:paraId="35C78198">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第三条 管理对象</w:t>
      </w:r>
    </w:p>
    <w:p w14:paraId="137C9D35">
      <w:pPr>
        <w:spacing w:line="560" w:lineRule="exact"/>
        <w:ind w:firstLine="480" w:firstLineChars="200"/>
        <w:rPr>
          <w:sz w:val="24"/>
        </w:rPr>
      </w:pPr>
      <w:r>
        <w:rPr>
          <w:rFonts w:hint="eastAsia" w:ascii="Times New Roman" w:hAnsi="Times New Roman" w:eastAsia="仿宋_GB2312" w:cs="Times New Roman"/>
          <w:sz w:val="24"/>
        </w:rPr>
        <w:t>本办法所称户外广告设施，是指利用城市公共空间和公共场所、建（构）筑物、道路、市政设施、交通工具、水上漂浮物、升空器具、充气物、亭体、围墙（挡）等，以展示牌、霓虹灯、发光字体、电子显示装置、灯箱、广告栏、宣传栏、实物模型、横幅、条幅、旗帜或以其他形式向户外发布广告信息的设施。</w:t>
      </w:r>
    </w:p>
    <w:p w14:paraId="06229D8C">
      <w:pPr>
        <w:spacing w:line="560" w:lineRule="exact"/>
        <w:ind w:firstLine="480" w:firstLineChars="200"/>
        <w:rPr>
          <w:sz w:val="24"/>
        </w:rPr>
      </w:pPr>
      <w:r>
        <w:rPr>
          <w:rFonts w:hint="eastAsia" w:ascii="Times New Roman" w:hAnsi="Times New Roman" w:eastAsia="仿宋_GB2312" w:cs="Times New Roman"/>
          <w:sz w:val="24"/>
        </w:rPr>
        <w:t>本办法所称大型户外广告是指单面面积大于等于十平方米或者任一边长大于等于四米的户外广告设施。</w:t>
      </w:r>
    </w:p>
    <w:p w14:paraId="47623A0E">
      <w:pPr>
        <w:spacing w:line="560" w:lineRule="exact"/>
        <w:ind w:firstLine="480" w:firstLineChars="200"/>
        <w:rPr>
          <w:sz w:val="24"/>
        </w:rPr>
      </w:pPr>
      <w:r>
        <w:rPr>
          <w:rFonts w:hint="eastAsia" w:ascii="Times New Roman" w:hAnsi="Times New Roman" w:eastAsia="仿宋_GB2312" w:cs="Times New Roman"/>
          <w:sz w:val="24"/>
        </w:rPr>
        <w:t>本办法所称公益广告，是指传播社会主义核心价值观，倡导良好道德风尚，促进公民文明素质和社会文明程度提高，维护国家和社会公共利益的非营利性广告。</w:t>
      </w:r>
    </w:p>
    <w:p w14:paraId="34BDD280">
      <w:pPr>
        <w:spacing w:line="560" w:lineRule="exact"/>
        <w:ind w:firstLine="480" w:firstLineChars="200"/>
        <w:rPr>
          <w:sz w:val="24"/>
        </w:rPr>
      </w:pPr>
      <w:r>
        <w:rPr>
          <w:rFonts w:hint="eastAsia" w:ascii="Times New Roman" w:hAnsi="Times New Roman" w:eastAsia="仿宋_GB2312" w:cs="Times New Roman"/>
          <w:sz w:val="24"/>
        </w:rPr>
        <w:t>本办法所称招牌设置，是指在经营（办公）地建（构）筑物及其附属设施或者合法用地范围内的场地上，设置用于表示名称、字号、商号等标牌、标志、灯箱、霓虹灯、字体符号的行为。</w:t>
      </w:r>
    </w:p>
    <w:p w14:paraId="24DFAEB5">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第四条 总体原则</w:t>
      </w:r>
    </w:p>
    <w:p w14:paraId="33AD8F37">
      <w:pPr>
        <w:spacing w:line="560" w:lineRule="exact"/>
        <w:ind w:firstLine="480" w:firstLineChars="200"/>
        <w:rPr>
          <w:sz w:val="24"/>
        </w:rPr>
      </w:pPr>
      <w:r>
        <w:rPr>
          <w:rFonts w:hint="eastAsia" w:ascii="Times New Roman" w:hAnsi="Times New Roman" w:eastAsia="仿宋_GB2312" w:cs="Times New Roman"/>
          <w:sz w:val="24"/>
        </w:rPr>
        <w:t>设置户外广告和招牌应依据国土空间规划，合理布局，规范设置，内容真实合法。设置户外广告和招牌应与区域规划功能相适应，与建（构）筑物风格和周边环境相协调，并应注意昼夜景观效果，不应损害建（构）筑物、街景和城市轮廓线重要特征，不应破坏建（构）筑物等被依附载体的整体效果。</w:t>
      </w:r>
    </w:p>
    <w:p w14:paraId="7B79CD7C">
      <w:pPr>
        <w:spacing w:line="560" w:lineRule="exact"/>
        <w:ind w:firstLine="480" w:firstLineChars="200"/>
        <w:rPr>
          <w:sz w:val="24"/>
        </w:rPr>
      </w:pPr>
      <w:r>
        <w:rPr>
          <w:rFonts w:hint="eastAsia" w:ascii="Times New Roman" w:hAnsi="Times New Roman" w:eastAsia="仿宋_GB2312" w:cs="Times New Roman"/>
          <w:sz w:val="24"/>
        </w:rPr>
        <w:t>设置户外广告的，应符合户外广告设置规划和技术规范；设置招牌的，应符合招牌设置规划和技术规范。</w:t>
      </w:r>
    </w:p>
    <w:p w14:paraId="3EE4BF61">
      <w:pPr>
        <w:spacing w:line="560" w:lineRule="exact"/>
        <w:ind w:firstLine="480" w:firstLineChars="200"/>
        <w:rPr>
          <w:sz w:val="24"/>
        </w:rPr>
      </w:pPr>
      <w:r>
        <w:rPr>
          <w:rFonts w:hint="eastAsia" w:ascii="Times New Roman" w:hAnsi="Times New Roman" w:eastAsia="仿宋_GB2312" w:cs="Times New Roman"/>
          <w:sz w:val="24"/>
        </w:rPr>
        <w:t>设置户外广告和招牌应符合城市公共安全、城市风貌管理、历史文化保护传承等方面的要求，不应影响车辆、行人通行安全，不应妨碍安全疏散、灭火救援、建筑防排烟，不应影响建（构）筑物及设施等被依附载体的安全和使用功能。</w:t>
      </w:r>
    </w:p>
    <w:p w14:paraId="7DC73656">
      <w:pPr>
        <w:spacing w:line="560" w:lineRule="exact"/>
        <w:ind w:firstLine="480" w:firstLineChars="200"/>
        <w:rPr>
          <w:sz w:val="24"/>
        </w:rPr>
      </w:pPr>
      <w:r>
        <w:rPr>
          <w:rFonts w:hint="eastAsia" w:ascii="Times New Roman" w:hAnsi="Times New Roman" w:eastAsia="仿宋_GB2312" w:cs="Times New Roman"/>
          <w:sz w:val="24"/>
        </w:rPr>
        <w:t>设置户外广告和招牌不应妨碍他人生产经营和居民正常生活，不应影响他人对建（构）筑物或设施的合法使用。招牌内容应限于展示名称、字号、商号、标识，便民服务经营可标示营业时间、联系电话。</w:t>
      </w:r>
    </w:p>
    <w:p w14:paraId="377D7E87">
      <w:pPr>
        <w:spacing w:line="560" w:lineRule="exact"/>
        <w:ind w:firstLine="480" w:firstLineChars="200"/>
        <w:rPr>
          <w:sz w:val="24"/>
        </w:rPr>
      </w:pPr>
      <w:r>
        <w:rPr>
          <w:rFonts w:hint="eastAsia" w:ascii="Times New Roman" w:hAnsi="Times New Roman" w:eastAsia="仿宋_GB2312" w:cs="Times New Roman"/>
          <w:sz w:val="24"/>
        </w:rPr>
        <w:t>鼓励户外广告和招牌与街巷、建筑进行视觉一体化设计，突出特色，避免“千店一面”。</w:t>
      </w:r>
    </w:p>
    <w:p w14:paraId="05B1E0D8">
      <w:pPr>
        <w:spacing w:line="560" w:lineRule="exact"/>
        <w:ind w:firstLine="480" w:firstLineChars="200"/>
        <w:rPr>
          <w:sz w:val="24"/>
        </w:rPr>
      </w:pPr>
      <w:r>
        <w:rPr>
          <w:rFonts w:hint="eastAsia" w:ascii="Times New Roman" w:hAnsi="Times New Roman" w:eastAsia="仿宋_GB2312" w:cs="Times New Roman"/>
          <w:sz w:val="24"/>
        </w:rPr>
        <w:t>户外广告和招牌设施设置应当符合节能和生态环保要求，鼓励采用新技术、新材料、新光源、新工艺、新设备。</w:t>
      </w:r>
    </w:p>
    <w:p w14:paraId="122C2724">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户外广告、招牌使用藏、汉及其他多种文字的，采用上下排布时，汉文置于上方，其他文字置于下方；采用左右排布时，汉文置于左侧，其他文字置于右侧。</w:t>
      </w:r>
    </w:p>
    <w:p w14:paraId="0E2A64C7">
      <w:pPr>
        <w:spacing w:line="560" w:lineRule="exact"/>
        <w:ind w:firstLine="480" w:firstLineChars="200"/>
        <w:rPr>
          <w:sz w:val="24"/>
        </w:rPr>
      </w:pPr>
      <w:r>
        <w:rPr>
          <w:rFonts w:hint="eastAsia" w:ascii="Times New Roman" w:hAnsi="Times New Roman" w:eastAsia="仿宋_GB2312" w:cs="Times New Roman"/>
          <w:sz w:val="24"/>
        </w:rPr>
        <w:t>鼓励设置人优先选择纳入户外广告招牌设施制作企业红榜的单位开展设计、制作、安装业务，提升设施质量、安全水平与风貌效果。</w:t>
      </w:r>
    </w:p>
    <w:p w14:paraId="288EF522">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第五条 管理机制</w:t>
      </w:r>
    </w:p>
    <w:p w14:paraId="03A6B1FF">
      <w:pPr>
        <w:spacing w:line="560" w:lineRule="exact"/>
        <w:ind w:firstLine="480" w:firstLineChars="200"/>
        <w:rPr>
          <w:sz w:val="24"/>
        </w:rPr>
      </w:pPr>
      <w:r>
        <w:rPr>
          <w:rFonts w:hint="eastAsia" w:ascii="Times New Roman" w:hAnsi="Times New Roman" w:eastAsia="仿宋_GB2312" w:cs="Times New Roman"/>
          <w:sz w:val="24"/>
        </w:rPr>
        <w:t>州及辖区内各县（市）人民政府应当加强对户外广告和招牌设置工作的领导，协调解决户外广告和招牌设置管理中的重大问题。</w:t>
      </w:r>
    </w:p>
    <w:p w14:paraId="02F18131">
      <w:pPr>
        <w:spacing w:line="560" w:lineRule="exact"/>
        <w:ind w:firstLine="480" w:firstLineChars="200"/>
        <w:rPr>
          <w:sz w:val="24"/>
        </w:rPr>
      </w:pPr>
      <w:r>
        <w:rPr>
          <w:rFonts w:hint="eastAsia" w:ascii="Times New Roman" w:hAnsi="Times New Roman" w:eastAsia="仿宋_GB2312" w:cs="Times New Roman"/>
          <w:sz w:val="24"/>
        </w:rPr>
        <w:t>州城市管理部门负责户外广告和招牌设施设置专项规划编制和行政许可、指导、监督管理和检查。县（市）城市管理部门负责本行政区域内户外广告和招牌设施设置的审批和监督管理，指导、督促乡镇（街道）完成辖区、国省道等公路建筑控制区范围内户外广告和招牌的日常巡查、现场管控等相关工作。</w:t>
      </w:r>
    </w:p>
    <w:p w14:paraId="67439314">
      <w:pPr>
        <w:spacing w:line="560" w:lineRule="exact"/>
        <w:ind w:firstLine="480" w:firstLineChars="200"/>
        <w:rPr>
          <w:sz w:val="24"/>
        </w:rPr>
      </w:pPr>
      <w:r>
        <w:rPr>
          <w:rFonts w:hint="eastAsia" w:ascii="Times New Roman" w:hAnsi="Times New Roman" w:eastAsia="仿宋_GB2312" w:cs="Times New Roman"/>
          <w:sz w:val="24"/>
        </w:rPr>
        <w:t>市场监督管理部门依法对户外广告设施内容和招牌设施涉及广告的内容进行监督管理，查处虚假、违法广告，联合卫生健康部门负责医疗广告发布的监督管理。</w:t>
      </w:r>
    </w:p>
    <w:p w14:paraId="2CBF26E6">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文化部门负责文化宣传等公益类广告设施具体内容的审查，对广告内容的合规性、导向性进行监督。</w:t>
      </w:r>
    </w:p>
    <w:p w14:paraId="08E9EC28">
      <w:pPr>
        <w:spacing w:line="560" w:lineRule="exact"/>
        <w:ind w:firstLine="480" w:firstLineChars="200"/>
        <w:rPr>
          <w:sz w:val="24"/>
        </w:rPr>
      </w:pPr>
      <w:r>
        <w:rPr>
          <w:rFonts w:hint="eastAsia" w:ascii="Times New Roman" w:hAnsi="Times New Roman" w:eastAsia="仿宋_GB2312" w:cs="Times New Roman"/>
          <w:sz w:val="24"/>
        </w:rPr>
        <w:t>综合行政执法部门负责查处户外广告和招牌设置相关违法违规行为，依法实施行政处罚以及相关行政强制措施。</w:t>
      </w:r>
    </w:p>
    <w:p w14:paraId="147B10EF">
      <w:pPr>
        <w:spacing w:line="560" w:lineRule="exact"/>
        <w:ind w:firstLine="480" w:firstLineChars="200"/>
        <w:rPr>
          <w:sz w:val="24"/>
        </w:rPr>
      </w:pPr>
      <w:r>
        <w:rPr>
          <w:rFonts w:hint="eastAsia" w:ascii="Times New Roman" w:hAnsi="Times New Roman" w:eastAsia="仿宋_GB2312" w:cs="Times New Roman"/>
          <w:sz w:val="24"/>
        </w:rPr>
        <w:t>财政部门负责按照事权，将户外广告和招牌设施专项整治、审批系统运维、红榜企业评审管理等必要工作经费纳入同级预算统筹保障。</w:t>
      </w:r>
    </w:p>
    <w:p w14:paraId="04C2A089">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民宗部门依法对户外广告和招牌设施上使用的少数民族文字、符号开展审核，实施监督管理，规范民族文字符号使用。</w:t>
      </w:r>
    </w:p>
    <w:p w14:paraId="52FA8E55">
      <w:pPr>
        <w:spacing w:line="560" w:lineRule="exact"/>
        <w:ind w:firstLine="480" w:firstLineChars="200"/>
        <w:rPr>
          <w:sz w:val="24"/>
        </w:rPr>
      </w:pPr>
      <w:r>
        <w:rPr>
          <w:rFonts w:hint="eastAsia" w:ascii="Times New Roman" w:hAnsi="Times New Roman" w:eastAsia="仿宋_GB2312" w:cs="Times New Roman"/>
          <w:sz w:val="24"/>
        </w:rPr>
        <w:t>交通运输、民政、气象、公安交管、住房和城乡建设、文化旅游、自然资源、林业、应急管理、消防救援等部门结合各自工作职责，做好本行业、本领域户外广告和招牌设施的监督管理工作。</w:t>
      </w:r>
    </w:p>
    <w:p w14:paraId="2D7BCC22">
      <w:pPr>
        <w:spacing w:line="560" w:lineRule="exact"/>
        <w:ind w:firstLine="480" w:firstLineChars="200"/>
        <w:rPr>
          <w:sz w:val="24"/>
        </w:rPr>
      </w:pPr>
      <w:r>
        <w:rPr>
          <w:rFonts w:hint="eastAsia" w:ascii="Times New Roman" w:hAnsi="Times New Roman" w:eastAsia="仿宋_GB2312" w:cs="Times New Roman"/>
          <w:sz w:val="24"/>
        </w:rPr>
        <w:t>州、县（市）应当建立部门联合审查机制，推行线上审批管理系统。各县（市）应当建设户外广告和招牌设施审批管理系统，实现申请受理、联合审查、许可发证、台账管理、信息公示、到期预警、执法线索推送等功能；州级统筹推进跨县（市）信息互通共享。行政审批部门作出许可后，应当及时将许可信息同步推送城市管理、综合行政执法及相关参与审批部门。</w:t>
      </w:r>
    </w:p>
    <w:p w14:paraId="71D72C51">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第六条 规划与设置</w:t>
      </w:r>
    </w:p>
    <w:p w14:paraId="5009B80C">
      <w:pPr>
        <w:spacing w:line="560" w:lineRule="exact"/>
        <w:ind w:firstLine="480" w:firstLineChars="200"/>
        <w:rPr>
          <w:sz w:val="24"/>
        </w:rPr>
      </w:pPr>
      <w:r>
        <w:rPr>
          <w:rFonts w:hint="eastAsia" w:ascii="Times New Roman" w:hAnsi="Times New Roman" w:eastAsia="仿宋_GB2312" w:cs="Times New Roman"/>
          <w:sz w:val="24"/>
        </w:rPr>
        <w:t>州城市管理部门应组织编制城镇户外广告和招牌设施设置的专项规划，县（市）城市管理部门可依据上级规划及辖区实际，编制重要节点、特色街区、商业综合体等户外广告和招牌设施的设置实施方案，报同级人民政府批准后实施。</w:t>
      </w:r>
    </w:p>
    <w:p w14:paraId="0E1EC203">
      <w:pPr>
        <w:spacing w:line="560" w:lineRule="exact"/>
        <w:ind w:firstLine="480" w:firstLineChars="200"/>
        <w:rPr>
          <w:sz w:val="24"/>
        </w:rPr>
      </w:pPr>
      <w:r>
        <w:rPr>
          <w:rFonts w:hint="eastAsia" w:ascii="Times New Roman" w:hAnsi="Times New Roman" w:eastAsia="仿宋_GB2312" w:cs="Times New Roman"/>
          <w:sz w:val="24"/>
        </w:rPr>
        <w:t>实施方案与专项方案应提交审批或备案部门，用于对照开展审核。</w:t>
      </w:r>
    </w:p>
    <w:p w14:paraId="3E351EF3">
      <w:pPr>
        <w:spacing w:line="560" w:lineRule="exact"/>
        <w:ind w:firstLine="480" w:firstLineChars="200"/>
        <w:rPr>
          <w:sz w:val="24"/>
        </w:rPr>
      </w:pPr>
      <w:r>
        <w:rPr>
          <w:rFonts w:hint="eastAsia" w:ascii="Times New Roman" w:hAnsi="Times New Roman" w:eastAsia="仿宋_GB2312" w:cs="Times New Roman"/>
          <w:sz w:val="24"/>
        </w:rPr>
        <w:t>自然资源和规划部门在审批新建、改建、扩建建（构）筑物、设施或改建建（构）筑物外立面的规划时，涉及预留户外广告和招牌设施位置的，建设单位应将广告招牌设置方案纳入建筑外立面设计内容一并报审。审批要求符合专项规划，并征求城市管理部门意见。</w:t>
      </w:r>
    </w:p>
    <w:p w14:paraId="0871B29C">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第七条 日常监管</w:t>
      </w:r>
    </w:p>
    <w:p w14:paraId="6AB01435">
      <w:pPr>
        <w:spacing w:line="560" w:lineRule="exact"/>
        <w:ind w:firstLine="480" w:firstLineChars="200"/>
        <w:rPr>
          <w:sz w:val="24"/>
        </w:rPr>
      </w:pPr>
      <w:r>
        <w:rPr>
          <w:rFonts w:hint="eastAsia" w:ascii="Times New Roman" w:hAnsi="Times New Roman" w:eastAsia="仿宋_GB2312" w:cs="Times New Roman"/>
          <w:sz w:val="24"/>
        </w:rPr>
        <w:t>属于文化宣传等公益类广告，按照“谁建设、谁使用、谁负责管理”原则，由建设和使用社会宣传阵地的单位负责日常更新维护管理工作。</w:t>
      </w:r>
    </w:p>
    <w:p w14:paraId="1FCDB59D">
      <w:pPr>
        <w:spacing w:line="560" w:lineRule="exact"/>
        <w:ind w:firstLine="480" w:firstLineChars="200"/>
        <w:rPr>
          <w:sz w:val="24"/>
        </w:rPr>
      </w:pPr>
      <w:r>
        <w:rPr>
          <w:rFonts w:hint="eastAsia" w:ascii="Times New Roman" w:hAnsi="Times New Roman" w:eastAsia="仿宋_GB2312" w:cs="Times New Roman"/>
          <w:sz w:val="24"/>
        </w:rPr>
        <w:t>城区路灯灯杆广告设施由城市管理部门统一负责设置和更新维护管理。</w:t>
      </w:r>
    </w:p>
    <w:p w14:paraId="37972DFB">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各县（市）应当在城镇区域合理规划布局规范的便民广告张贴栏，并定期进行清理和规范。</w:t>
      </w:r>
    </w:p>
    <w:p w14:paraId="0D11F512">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户外商业广告按照“谁设置、谁管理”原则，由实施责任主体负责维护管理工作。</w:t>
      </w:r>
    </w:p>
    <w:p w14:paraId="75A4E70E">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州城市管理部门牵头，会同市场监管、综合行政执法等部门建立阿坝州户外广告和招牌设施制作公司红榜制度，制定红榜入选条件、评审程序、动态复核与退出机制并向社会公开。</w:t>
      </w:r>
    </w:p>
    <w:p w14:paraId="67F230EA">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（一）红榜企业主要从具备相应施工设计资质、近三年无相关行政处罚记录、设施工程质量安全良好、积极配合公益广告设置、投诉纠纷少的企业中遴选；</w:t>
      </w:r>
    </w:p>
    <w:p w14:paraId="16CC22A7">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（二）红榜名单向社会公开发布，实行动态管理，每年复核；出现严重违法违规、发生安全责任事故的，及时移出红榜；</w:t>
      </w:r>
    </w:p>
    <w:p w14:paraId="4E4C8D1E">
      <w:pPr>
        <w:spacing w:line="560" w:lineRule="exact"/>
        <w:ind w:firstLine="480" w:firstLineChars="200"/>
        <w:rPr>
          <w:sz w:val="24"/>
        </w:rPr>
      </w:pPr>
      <w:r>
        <w:rPr>
          <w:rFonts w:hint="eastAsia" w:ascii="Times New Roman" w:hAnsi="Times New Roman" w:eastAsia="仿宋_GB2312" w:cs="Times New Roman"/>
          <w:sz w:val="24"/>
        </w:rPr>
        <w:t>（三）纳入红榜的企业，在办理本州户外广告、招牌审批业务时，可按规定享受咨询指导、容缺受理等服务。</w:t>
      </w:r>
    </w:p>
    <w:p w14:paraId="60E34799">
      <w:pPr>
        <w:spacing w:line="560" w:lineRule="exact"/>
        <w:jc w:val="center"/>
        <w:rPr>
          <w:rFonts w:hint="eastAsia" w:ascii="黑体" w:hAnsi="黑体" w:eastAsia="黑体" w:cs="黑体"/>
          <w:sz w:val="24"/>
        </w:rPr>
      </w:pPr>
      <w:r>
        <w:rPr>
          <w:rFonts w:hint="eastAsia" w:ascii="黑体" w:hAnsi="黑体" w:eastAsia="黑体" w:cs="黑体"/>
          <w:sz w:val="24"/>
        </w:rPr>
        <w:t>第二章 户外广告设施设置要求</w:t>
      </w:r>
    </w:p>
    <w:p w14:paraId="2B14183C">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第八条 户外商业广告禁止区域</w:t>
      </w:r>
    </w:p>
    <w:p w14:paraId="34DDAC8F">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下列区域、单位、位置禁止设置户外商业广告：</w:t>
      </w:r>
    </w:p>
    <w:p w14:paraId="271699A3">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（一）文物保护单位、历史建筑、城市风貌保护区以及风景名胜的建设控制地带；</w:t>
      </w:r>
    </w:p>
    <w:p w14:paraId="1ADB8399">
      <w:pPr>
        <w:spacing w:line="560" w:lineRule="exact"/>
        <w:ind w:firstLine="480" w:firstLineChars="200"/>
        <w:rPr>
          <w:sz w:val="24"/>
        </w:rPr>
      </w:pPr>
      <w:r>
        <w:rPr>
          <w:rFonts w:hint="eastAsia" w:ascii="Times New Roman" w:hAnsi="Times New Roman" w:eastAsia="仿宋_GB2312" w:cs="Times New Roman"/>
          <w:sz w:val="24"/>
        </w:rPr>
        <w:t>（二）国家机关、中小学校、博物馆、图书馆、文化馆、公立医院等。</w:t>
      </w:r>
    </w:p>
    <w:p w14:paraId="5BF3FF49">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第九条 户外广告禁止情形</w:t>
      </w:r>
    </w:p>
    <w:p w14:paraId="13A0076A">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有下列情形之一的，禁止设置户外广告：</w:t>
      </w:r>
    </w:p>
    <w:p w14:paraId="67C0BB70">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（一）利用交通标志、消防、电力、通讯、邮政等公共设施的；</w:t>
      </w:r>
    </w:p>
    <w:p w14:paraId="2F97E380">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（二）影响交通标志和交通安全、市政、消防等公共设施使用或者影响道路交通安全畅通的；</w:t>
      </w:r>
    </w:p>
    <w:p w14:paraId="260CA978">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（三）利用落地扶梯、道路及桥梁防撞墙与隔声墙、危房、违章建筑或可能危及建（构）筑物及设施安全的；</w:t>
      </w:r>
    </w:p>
    <w:p w14:paraId="33F1A9A8">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（四）占用绿地或者影响树木生长的；</w:t>
      </w:r>
    </w:p>
    <w:p w14:paraId="706B038F">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（五）妨碍居民正常生活或损害城市容貌及建筑物形象的；</w:t>
      </w:r>
    </w:p>
    <w:p w14:paraId="79E61039">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（六）禁止使用与交通标志、警示标识、安全标识等特殊标识相同的配色方案；</w:t>
      </w:r>
    </w:p>
    <w:p w14:paraId="7B17282A">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（七）橱窗广告仅限于实物或创意造型展示，禁止在橱窗的玻璃上设置永久性粘贴广告；</w:t>
      </w:r>
    </w:p>
    <w:p w14:paraId="1BF371B0">
      <w:pPr>
        <w:spacing w:line="560" w:lineRule="exact"/>
        <w:ind w:firstLine="480" w:firstLineChars="200"/>
        <w:rPr>
          <w:sz w:val="24"/>
        </w:rPr>
      </w:pPr>
      <w:r>
        <w:rPr>
          <w:rFonts w:hint="eastAsia" w:ascii="Times New Roman" w:hAnsi="Times New Roman" w:eastAsia="仿宋_GB2312" w:cs="Times New Roman"/>
          <w:sz w:val="24"/>
        </w:rPr>
        <w:t>（八）禁止设置户外广告设施的其他情形。</w:t>
      </w:r>
    </w:p>
    <w:p w14:paraId="04545809">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第十条 户外广告设置特殊要求</w:t>
      </w:r>
    </w:p>
    <w:p w14:paraId="28306FBA">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利用道路两侧和道路路口设置户外广告设施不得有下列情形：</w:t>
      </w:r>
    </w:p>
    <w:p w14:paraId="781E1E48">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（一）跨越道路、延伸扩展至道路上方；</w:t>
      </w:r>
    </w:p>
    <w:p w14:paraId="363E18E8">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（二）违反限高规定；</w:t>
      </w:r>
    </w:p>
    <w:p w14:paraId="70B959FC">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（三）与交通标志颜色和样式相同或近似；</w:t>
      </w:r>
    </w:p>
    <w:p w14:paraId="52EB0D8C">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（四）与道路交通信号近似或设置强光装饰；</w:t>
      </w:r>
    </w:p>
    <w:p w14:paraId="30C4139C">
      <w:pPr>
        <w:spacing w:line="560" w:lineRule="exact"/>
        <w:ind w:firstLine="480" w:firstLineChars="200"/>
        <w:rPr>
          <w:sz w:val="24"/>
        </w:rPr>
      </w:pPr>
      <w:r>
        <w:rPr>
          <w:rFonts w:hint="eastAsia" w:ascii="Times New Roman" w:hAnsi="Times New Roman" w:eastAsia="仿宋_GB2312" w:cs="Times New Roman"/>
          <w:sz w:val="24"/>
        </w:rPr>
        <w:t>（五）禁止设置户外广告设施的其他情形。</w:t>
      </w:r>
    </w:p>
    <w:p w14:paraId="10BE890D">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第十一条 照明和电子显示装置广告</w:t>
      </w:r>
    </w:p>
    <w:p w14:paraId="14DFE54A">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户外广告照明及电子显示装置户外广告，还应当符合下列规定：</w:t>
      </w:r>
    </w:p>
    <w:p w14:paraId="78BC0C9B">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（一）不得影响行车安全，不得产生影响正常生活秩序的光污染、噪声污染、电磁辐射等污染；设置于交通信号灯、交通标志周围10米以内及其背景空间内的，不得采用闪光方式和红、黄、绿三种颜色。</w:t>
      </w:r>
    </w:p>
    <w:p w14:paraId="71D34A8C">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（二）依附于建筑物的电子显示屏面积应根据建筑结构特征及周边环境确定，设置高度不超过建筑顶部；</w:t>
      </w:r>
    </w:p>
    <w:p w14:paraId="7FB16367">
      <w:pPr>
        <w:spacing w:line="560" w:lineRule="exact"/>
        <w:ind w:firstLine="480" w:firstLineChars="200"/>
        <w:rPr>
          <w:sz w:val="24"/>
        </w:rPr>
      </w:pPr>
      <w:r>
        <w:rPr>
          <w:rFonts w:hint="eastAsia" w:ascii="Times New Roman" w:hAnsi="Times New Roman" w:eastAsia="仿宋_GB2312" w:cs="Times New Roman"/>
          <w:sz w:val="24"/>
        </w:rPr>
        <w:t>（三）符合城市照明管理要求和电子显示屏亮度控制标准，安装亮度调节装置，开闭时间符合有关管理规定。</w:t>
      </w:r>
    </w:p>
    <w:p w14:paraId="76D73539">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第十二条 大型户外广告设施设置审批</w:t>
      </w:r>
    </w:p>
    <w:p w14:paraId="26D13875">
      <w:pPr>
        <w:spacing w:line="560" w:lineRule="exact"/>
        <w:ind w:firstLine="480" w:firstLineChars="200"/>
        <w:rPr>
          <w:sz w:val="24"/>
        </w:rPr>
      </w:pPr>
      <w:r>
        <w:rPr>
          <w:rFonts w:hint="eastAsia" w:ascii="Times New Roman" w:hAnsi="Times New Roman" w:eastAsia="仿宋_GB2312" w:cs="Times New Roman"/>
          <w:sz w:val="24"/>
        </w:rPr>
        <w:t>大型户外广告设施的设置须经属地城市管理部门同意，按照有关规定办理审批手续；在城市建（构）筑物和其他设施上悬挂、张贴宣传品等，应经属地城市管理部门批准。</w:t>
      </w:r>
    </w:p>
    <w:p w14:paraId="6F274CAD">
      <w:pPr>
        <w:spacing w:line="560" w:lineRule="exact"/>
        <w:ind w:firstLine="480" w:firstLineChars="200"/>
        <w:rPr>
          <w:sz w:val="24"/>
        </w:rPr>
      </w:pPr>
      <w:r>
        <w:rPr>
          <w:rFonts w:hint="eastAsia" w:ascii="Times New Roman" w:hAnsi="Times New Roman" w:eastAsia="仿宋_GB2312" w:cs="Times New Roman"/>
          <w:sz w:val="24"/>
        </w:rPr>
        <w:t>开展大型户外广告设施设置审批时，城市管理部门根据项目位置、类型组织开展联合审查：涉及国土空间规划、选址的，征求自然资源部门意见；涉及国省县乡道公路建筑控制区的，征求交通运输部门意见；涉及交通安全的，征求公安交管部门意见；涉及消防安全、应急安全的，征求消防救援、应急管理部门意见；涉及宗教场所、文物保护范围的，征求民宗、文物主管部门意见；涉及藏汉英文字规范的，征求相关语言文字管理部门意见。各参与部门应当在规定时限内反馈书面审查意见。</w:t>
      </w:r>
    </w:p>
    <w:p w14:paraId="03F02CC1">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大型户外广告申办人应提交设置申请表并附以下材料：</w:t>
      </w:r>
    </w:p>
    <w:p w14:paraId="1B127BC2">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（一）设置人企业、事业单位的营业执照或组织机构代码证等证明材料；</w:t>
      </w:r>
    </w:p>
    <w:p w14:paraId="05F18029">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（二）符合国土空间规划、户外广告专项规划要求的选址论证材料，公益广告提交文化部门内容审查意见，商业广告由设置人承诺广告内容合法真实；</w:t>
      </w:r>
    </w:p>
    <w:p w14:paraId="05921BCE">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（三）设置场地、场所、建（构）筑物、设施等的权属证明材料，其中，租赁场地、建（构）筑物、设施设置的，还应当提供产权人同意设置的证明材料；</w:t>
      </w:r>
    </w:p>
    <w:p w14:paraId="6DDB4A6D">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（四）具备相应资质的专业设计机构出具的户外广告设施有关设计文件（方案设计、结构设计、位置图、效果图、制作、安装、维护的技术方案）；</w:t>
      </w:r>
    </w:p>
    <w:p w14:paraId="2698E183">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（五）户外广告设施施工、运行安全承诺书；</w:t>
      </w:r>
    </w:p>
    <w:p w14:paraId="0DEBACD5">
      <w:pPr>
        <w:spacing w:line="560" w:lineRule="exact"/>
        <w:ind w:firstLine="480" w:firstLineChars="200"/>
        <w:rPr>
          <w:sz w:val="24"/>
        </w:rPr>
      </w:pPr>
      <w:r>
        <w:rPr>
          <w:rFonts w:hint="eastAsia" w:ascii="Times New Roman" w:hAnsi="Times New Roman" w:eastAsia="仿宋_GB2312" w:cs="Times New Roman"/>
          <w:sz w:val="24"/>
        </w:rPr>
        <w:t>（六）审批部门要求提交的其他材料。</w:t>
      </w:r>
    </w:p>
    <w:p w14:paraId="39EC97C3">
      <w:pPr>
        <w:spacing w:line="560" w:lineRule="exact"/>
        <w:ind w:firstLine="480" w:firstLineChars="200"/>
        <w:rPr>
          <w:sz w:val="24"/>
        </w:rPr>
      </w:pPr>
      <w:r>
        <w:rPr>
          <w:rFonts w:hint="eastAsia" w:ascii="Times New Roman" w:hAnsi="Times New Roman" w:eastAsia="仿宋_GB2312" w:cs="Times New Roman"/>
          <w:sz w:val="24"/>
        </w:rPr>
        <w:t>大型户外广告设施设置期限届满后不再设置或者申请延期未获得批准的，设置人应当及时拆除。</w:t>
      </w:r>
    </w:p>
    <w:p w14:paraId="5CA1D0A0">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第十三条 临时户外广告审批</w:t>
      </w:r>
    </w:p>
    <w:p w14:paraId="1B8CD69D">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因举办文化、旅游、体育、公益活动或者商品交易会、展销会等需设置临时户外广告的，设置人应报属地城市管理部门审批，申办人应提交下列材料：</w:t>
      </w:r>
    </w:p>
    <w:p w14:paraId="74D28E66">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（一）临时户外广告设置申请表；</w:t>
      </w:r>
    </w:p>
    <w:p w14:paraId="0CD1FDAC">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（二）设置人企业、事业单位的营业执照或组织机构代码证等证明材料；</w:t>
      </w:r>
    </w:p>
    <w:p w14:paraId="5ECD485D">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（三）临时户外广告设置形式、范围和期限的书面说明；</w:t>
      </w:r>
    </w:p>
    <w:p w14:paraId="2A27CBEF">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（四）审批部门要求提交的其他材料。</w:t>
      </w:r>
    </w:p>
    <w:p w14:paraId="71CC2FD6">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设置人应当按照活动的期限和地点设置临时户外广告，不得影响市容环境秩序和周边交通，期满后设置人应及时拆除。</w:t>
      </w:r>
    </w:p>
    <w:p w14:paraId="1CC713A1">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第十四条 公益广告设施设置审批</w:t>
      </w:r>
    </w:p>
    <w:p w14:paraId="3E72836D">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经行政许可设置的商业户外广告设施，其画面空置不得影响市容市貌；影响市容市貌的应当按照规定设置公益广告覆盖。</w:t>
      </w:r>
    </w:p>
    <w:p w14:paraId="59F7810B">
      <w:pPr>
        <w:spacing w:line="560" w:lineRule="exact"/>
        <w:ind w:firstLine="480" w:firstLineChars="200"/>
        <w:rPr>
          <w:sz w:val="24"/>
        </w:rPr>
      </w:pPr>
      <w:r>
        <w:rPr>
          <w:rFonts w:hint="eastAsia" w:ascii="Times New Roman" w:hAnsi="Times New Roman" w:eastAsia="仿宋_GB2312" w:cs="Times New Roman"/>
          <w:sz w:val="24"/>
        </w:rPr>
        <w:t>经行政许可设置的户外公益广告设施不得擅自变更性质发布商业广告。</w:t>
      </w:r>
    </w:p>
    <w:p w14:paraId="07FCA0A9">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第十五条 户外广告使用期限</w:t>
      </w:r>
    </w:p>
    <w:p w14:paraId="323E0630">
      <w:pPr>
        <w:spacing w:line="560" w:lineRule="exact"/>
        <w:ind w:firstLine="480" w:firstLineChars="200"/>
        <w:rPr>
          <w:sz w:val="24"/>
        </w:rPr>
      </w:pPr>
      <w:r>
        <w:rPr>
          <w:rFonts w:hint="eastAsia" w:ascii="Times New Roman" w:hAnsi="Times New Roman" w:eastAsia="仿宋_GB2312" w:cs="Times New Roman"/>
          <w:sz w:val="24"/>
        </w:rPr>
        <w:t>户外广告设施应当按照许可期限设置，设置期限最长不得超过5年，临时性户外广告设施设置期限最长不得超过30天。</w:t>
      </w:r>
    </w:p>
    <w:p w14:paraId="7E9F1EFC">
      <w:pPr>
        <w:spacing w:line="560" w:lineRule="exact"/>
        <w:jc w:val="center"/>
        <w:rPr>
          <w:rFonts w:hint="eastAsia" w:ascii="黑体" w:hAnsi="黑体" w:eastAsia="黑体" w:cs="黑体"/>
          <w:sz w:val="24"/>
        </w:rPr>
      </w:pPr>
      <w:r>
        <w:rPr>
          <w:rFonts w:hint="eastAsia" w:ascii="黑体" w:hAnsi="黑体" w:eastAsia="黑体" w:cs="黑体"/>
          <w:sz w:val="24"/>
        </w:rPr>
        <w:t>第三章 招牌设施设置要求</w:t>
      </w:r>
    </w:p>
    <w:p w14:paraId="300E38DF">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第十六条 招牌一般规定</w:t>
      </w:r>
    </w:p>
    <w:p w14:paraId="719A67E1">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户外招牌设施设置应遵守下列规定：</w:t>
      </w:r>
    </w:p>
    <w:p w14:paraId="7B949A8B">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（一）“一店一面一招”，即每个临街店铺只设一个招牌；有多个方向临街立面的，每个方向立面只设一个，设置规模及风格应统一；</w:t>
      </w:r>
    </w:p>
    <w:p w14:paraId="48F4D599">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二）多个单位共用一个场所或者一个建筑物内有多个单位的，由该场所、建筑物的所有人或者管理人牵头规划设置招牌设施，规范制作。写字楼、办公楼等玻璃幕墙建筑，应由场所、建筑物的所有权人或者管理人牵头规划招牌设施，在大楼入口或大堂处进行集中设置；</w:t>
      </w:r>
    </w:p>
    <w:p w14:paraId="3F0BB0CA">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（三）历史文化保护区、历史建筑核心保护范围以及城市重点区域道路两侧的招牌设施需符合历史文化名城保护条例及历史街区保护、城市风貌管控等专项规划的要求，体现特有的文化或者特色；</w:t>
      </w:r>
    </w:p>
    <w:p w14:paraId="2117A6A3">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（四）在同一建（构）筑物墙体上设置牌匾标识，其高度、大小、规格等应当协调有序；</w:t>
      </w:r>
    </w:p>
    <w:p w14:paraId="314E8CB2">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（五）招牌标识用字应当准确规范，藏、汉两种文字齐全，部分使用英文的，应符合国家语言文字规范要求；</w:t>
      </w:r>
    </w:p>
    <w:p w14:paraId="15A2FD4E">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（六）不得利用招牌推介产品或者发布经营性广告宣传信息；</w:t>
      </w:r>
    </w:p>
    <w:p w14:paraId="7D1E9815">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（七）国际、国内统一品牌的连锁店、专卖店、经商务部认定的中华老字号店及银行、保险、电信等行业户外招牌设置，应符合城市市容市貌要求，根据相关法律法规等规定及现场实际情况确定其规格和位置。</w:t>
      </w:r>
    </w:p>
    <w:p w14:paraId="44F9DE71">
      <w:pPr>
        <w:spacing w:line="560" w:lineRule="exact"/>
        <w:ind w:firstLine="480" w:firstLineChars="200"/>
        <w:rPr>
          <w:sz w:val="24"/>
        </w:rPr>
      </w:pPr>
      <w:r>
        <w:rPr>
          <w:rFonts w:hint="eastAsia" w:ascii="Times New Roman" w:hAnsi="Times New Roman" w:eastAsia="仿宋_GB2312" w:cs="Times New Roman"/>
          <w:sz w:val="24"/>
        </w:rPr>
        <w:t>（八）不应以设置招牌名义，或以连锁店、加盟店品牌标准识别系统（VI及VI色彩）统一名义，整体改造建筑外立面装饰装修，破坏建筑风貌特征。历史文化街区、民族风貌街区应从严管控。</w:t>
      </w:r>
    </w:p>
    <w:p w14:paraId="49298D43">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第十七条 招牌禁设情形</w:t>
      </w:r>
    </w:p>
    <w:p w14:paraId="2C70D9D9">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户外招牌设施不得有下列设置情形：</w:t>
      </w:r>
    </w:p>
    <w:p w14:paraId="499DECD8">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（一）利用违法建筑、危险房屋设置，或设置后可能危及建（构）筑物及其附属设施安全；</w:t>
      </w:r>
    </w:p>
    <w:p w14:paraId="0B7FC086">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（二）妨碍交通安全设施、市政公共设施、交通管理设施、交通标志、交通信号灯、消防救援设施、消防安全标志、无障碍设施的正常使用；</w:t>
      </w:r>
    </w:p>
    <w:p w14:paraId="399978EA">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（三）妨碍车辆、船舶等交通工具及行人通行，延伸扩展至道路上方或跨越道路；</w:t>
      </w:r>
    </w:p>
    <w:p w14:paraId="79CA8222">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（四）妨碍他人生产经营、居民正常生活，影响他人对建（构）筑物的合法使用，包括影响采光、通风、造成光污染等；</w:t>
      </w:r>
    </w:p>
    <w:p w14:paraId="5029E6D0">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（五）利用商家（单位）自有或租赁的建（构）筑物及其设施以外部位或建筑用地范围以外部位；</w:t>
      </w:r>
    </w:p>
    <w:p w14:paraId="3B368836">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（六）占用消防通道或疏散通道，占用消防登高面；</w:t>
      </w:r>
    </w:p>
    <w:p w14:paraId="2441395E">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（七）损害城市容貌，破坏城市景观或建（构）筑物形象；</w:t>
      </w:r>
    </w:p>
    <w:p w14:paraId="4024CB85">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（八）利用树木、损毁绿地或影响园林植物生长及景观；</w:t>
      </w:r>
    </w:p>
    <w:p w14:paraId="3CE90DE2">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（九）突破建（构）筑物外立面轮廓线（含女儿墙、屋顶、裙楼顶部），或利用建筑物楼顶或二十米以上外立面设置招牌（楼宇名称、大型城市交通枢纽除外）；</w:t>
      </w:r>
    </w:p>
    <w:p w14:paraId="5427F9E9">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（十）利用建（构）筑物的玻璃幕墙、采光玻璃、橱窗内外侧设置招牌，遮挡玻璃；</w:t>
      </w:r>
    </w:p>
    <w:p w14:paraId="579D1864">
      <w:pPr>
        <w:spacing w:line="560" w:lineRule="exact"/>
        <w:ind w:firstLine="480" w:firstLineChars="200"/>
        <w:rPr>
          <w:sz w:val="24"/>
        </w:rPr>
      </w:pPr>
      <w:r>
        <w:rPr>
          <w:rFonts w:hint="eastAsia" w:ascii="Times New Roman" w:hAnsi="Times New Roman" w:eastAsia="仿宋_GB2312" w:cs="Times New Roman"/>
          <w:sz w:val="24"/>
        </w:rPr>
        <w:t>（十一）法律、法规、规章、标准以及技术规范规定的其他禁设情形。</w:t>
      </w:r>
    </w:p>
    <w:p w14:paraId="2E438BC5">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第十八条 招牌申请</w:t>
      </w:r>
    </w:p>
    <w:p w14:paraId="55D17F22">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设置招牌应当向设置地的县（市）城市管理行政主管部门提出书面申请，并按要求提交申请表、主体资格证明或产权主体同意的证明、设置设计图纸、安全承诺书等材料。涉及文物保护、宗教场所、语言文字、公路建筑控制区等特殊情形的，城市管理部门按程序征求相关主管部门意见。</w:t>
      </w:r>
    </w:p>
    <w:p w14:paraId="4705BCD2">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（二）已取得审批或备案登记的招牌，其内容、样式、尺寸、位置等严禁擅自变更。确需变更的，应当按照原程序重新申请。</w:t>
      </w:r>
    </w:p>
    <w:p w14:paraId="1A8108C1">
      <w:pPr>
        <w:spacing w:line="560" w:lineRule="exact"/>
        <w:ind w:firstLine="480" w:firstLineChars="200"/>
        <w:rPr>
          <w:sz w:val="24"/>
        </w:rPr>
      </w:pPr>
      <w:r>
        <w:rPr>
          <w:rFonts w:hint="eastAsia" w:ascii="Times New Roman" w:hAnsi="Times New Roman" w:eastAsia="仿宋_GB2312" w:cs="Times New Roman"/>
          <w:sz w:val="24"/>
        </w:rPr>
        <w:t>（三）设置人因歇业、解散或注销的，应当停止使用并自行拆除招牌，恢复建筑原貌，严禁超期使用。</w:t>
      </w:r>
    </w:p>
    <w:p w14:paraId="46864417">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第十九条 招牌审批与备案</w:t>
      </w:r>
    </w:p>
    <w:p w14:paraId="1D40D280">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（一）县（市）城市管理部门负责招牌审批与审定，在收到设置申请五日内对申请人的申请进行审查。对符合规定要求的，予以许可；对不予许可或应补充材料的，应当书面说明。</w:t>
      </w:r>
    </w:p>
    <w:p w14:paraId="294E7B3C">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（二）经审批同意设置的招牌，设置人应当在竣工后10日内通知审批机关进行现场验收。验收合格的，予以核发许可证或确认备案；验收不合格的，责令限期整改。</w:t>
      </w:r>
    </w:p>
    <w:p w14:paraId="7EC303A4">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（三）新设或变更招牌涉及藏文内容、用字规范等情况，均应由设置人报送相关部门申请审核，审批意见纳入申请材料。</w:t>
      </w:r>
    </w:p>
    <w:p w14:paraId="64936E9B">
      <w:pPr>
        <w:spacing w:line="560" w:lineRule="exact"/>
        <w:ind w:firstLine="480" w:firstLineChars="200"/>
        <w:rPr>
          <w:sz w:val="24"/>
        </w:rPr>
      </w:pPr>
      <w:r>
        <w:rPr>
          <w:rFonts w:hint="eastAsia" w:ascii="Times New Roman" w:hAnsi="Times New Roman" w:eastAsia="仿宋_GB2312" w:cs="Times New Roman"/>
          <w:sz w:val="24"/>
        </w:rPr>
        <w:t>（四）已取得审批许可的招牌，仅进行版面、字体的局部调整，可仅实行备案管理。</w:t>
      </w:r>
    </w:p>
    <w:p w14:paraId="5AB083E6">
      <w:pPr>
        <w:spacing w:line="560" w:lineRule="exact"/>
        <w:jc w:val="center"/>
        <w:rPr>
          <w:rFonts w:hint="eastAsia" w:ascii="黑体" w:hAnsi="黑体" w:eastAsia="黑体" w:cs="黑体"/>
          <w:sz w:val="24"/>
        </w:rPr>
      </w:pPr>
      <w:r>
        <w:rPr>
          <w:rFonts w:hint="eastAsia" w:ascii="黑体" w:hAnsi="黑体" w:eastAsia="黑体" w:cs="黑体"/>
          <w:sz w:val="24"/>
        </w:rPr>
        <w:t>第四章 安全与维护</w:t>
      </w:r>
    </w:p>
    <w:p w14:paraId="38868DFA">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第二十条 设计和施工</w:t>
      </w:r>
    </w:p>
    <w:p w14:paraId="367A328F">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涉及建筑结构安全的户外广告和招牌，设置人应当委托具备相应资质的单位，结合建筑整体布局和建（构）筑物结构安全要求进行设计。</w:t>
      </w:r>
    </w:p>
    <w:p w14:paraId="5C2F57D6">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户外广告和招牌设置人应当委托具备相应资质的单位进行施工。</w:t>
      </w:r>
    </w:p>
    <w:p w14:paraId="6BB4C661">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第二十一条 安全维护责任人</w:t>
      </w:r>
    </w:p>
    <w:p w14:paraId="7D014692">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设置人是户外广告和招牌维护、管理的安全责任人。</w:t>
      </w:r>
    </w:p>
    <w:p w14:paraId="7D98314D">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（一）户外广告和招牌的设置人应建立安全生产管理体系，完善户外广告设施和招牌设施的维护管养、隐患排查和应急处置制度并组织实施，做好台账记录和管理；</w:t>
      </w:r>
    </w:p>
    <w:p w14:paraId="5B7127F4">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（二）在极端天气前后及城市户外广告和招牌设施技术标准规定的期限内定期开展安全隐患排查；</w:t>
      </w:r>
    </w:p>
    <w:p w14:paraId="4C290DF7">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（三）户外广告设施和招牌设施存在安全隐患的，应当及时进行整改或拆除。</w:t>
      </w:r>
    </w:p>
    <w:p w14:paraId="3C79C5AB">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（四）在设置期限内，每年对户外广告设施和招牌设施进行安全检测；</w:t>
      </w:r>
    </w:p>
    <w:p w14:paraId="1FBB7076">
      <w:pPr>
        <w:spacing w:line="560" w:lineRule="exact"/>
        <w:ind w:firstLine="480" w:firstLineChars="200"/>
        <w:rPr>
          <w:sz w:val="24"/>
        </w:rPr>
      </w:pPr>
      <w:r>
        <w:rPr>
          <w:rFonts w:hint="eastAsia" w:ascii="Times New Roman" w:hAnsi="Times New Roman" w:eastAsia="仿宋_GB2312" w:cs="Times New Roman"/>
          <w:sz w:val="24"/>
        </w:rPr>
        <w:t>（五）户外广告、招牌达到设计使用年限的，设置人应当予以更新；在建设、整修、更新或者拆除期间，应当采取安全保障措施并在现场明显位置设置警示标志。</w:t>
      </w:r>
    </w:p>
    <w:p w14:paraId="10C0F826">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第二十二条 日常维护责任人</w:t>
      </w:r>
    </w:p>
    <w:p w14:paraId="17390095">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户外广告和招牌设置人应当加强日常维护管理，保持户外广告和招牌整洁、完好、美观。</w:t>
      </w:r>
    </w:p>
    <w:p w14:paraId="665ABE36">
      <w:pPr>
        <w:spacing w:line="560" w:lineRule="exact"/>
        <w:ind w:firstLine="480" w:firstLineChars="200"/>
        <w:rPr>
          <w:sz w:val="24"/>
        </w:rPr>
      </w:pPr>
      <w:r>
        <w:rPr>
          <w:rFonts w:hint="eastAsia" w:ascii="Times New Roman" w:hAnsi="Times New Roman" w:eastAsia="仿宋_GB2312" w:cs="Times New Roman"/>
          <w:sz w:val="24"/>
        </w:rPr>
        <w:t>户外广告和招牌出现画面污损、严重褪色、字体残缺等影响市容市貌情形的，应当及时维修、更新；配置夜间照明设施的，应当保持照明设施功能完好；设置霓虹灯、电子显示装置、灯箱等设施的，应当保持画面显示完整；出现断亮、残损的，应当及时维护、更换，并在修复前停止使用。</w:t>
      </w:r>
    </w:p>
    <w:p w14:paraId="7DAF2F15">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第二十三条 拆除和复原</w:t>
      </w:r>
    </w:p>
    <w:p w14:paraId="13F8B1F2">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因户外广告和招牌设置人搬迁、变更、歇业、解散或者被注销需要拆除的，设置人应当在搬迁、变更、歇业、解散或者被注销之日起7日内拆除，恢复附着物原状。</w:t>
      </w:r>
    </w:p>
    <w:p w14:paraId="26770BA6">
      <w:pPr>
        <w:spacing w:line="560" w:lineRule="exact"/>
        <w:ind w:firstLine="480" w:firstLineChars="200"/>
        <w:rPr>
          <w:sz w:val="24"/>
        </w:rPr>
      </w:pPr>
      <w:r>
        <w:rPr>
          <w:rFonts w:hint="eastAsia" w:ascii="Times New Roman" w:hAnsi="Times New Roman" w:eastAsia="仿宋_GB2312" w:cs="Times New Roman"/>
          <w:sz w:val="24"/>
        </w:rPr>
        <w:t>设置人未履行前款义务且下落不明的，由户外广告和招牌附着建（构）筑物、设施的产权人或者管理人代为履行。</w:t>
      </w:r>
    </w:p>
    <w:p w14:paraId="628DD549">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第二十四条 产权人责任</w:t>
      </w:r>
    </w:p>
    <w:p w14:paraId="54BD4D9F">
      <w:pPr>
        <w:spacing w:line="560" w:lineRule="exact"/>
        <w:ind w:firstLine="480" w:firstLineChars="200"/>
        <w:rPr>
          <w:sz w:val="24"/>
        </w:rPr>
      </w:pPr>
      <w:r>
        <w:rPr>
          <w:rFonts w:hint="eastAsia" w:ascii="Times New Roman" w:hAnsi="Times New Roman" w:eastAsia="仿宋_GB2312" w:cs="Times New Roman"/>
          <w:sz w:val="24"/>
        </w:rPr>
        <w:t>建（构）筑物所有权人应当督促户外广告和招牌设置人履行本办法第二十一条、第二十二条、第二十三条规定的责任；不得将其所有的建（构）筑物用于设置未经批准的户外广告。</w:t>
      </w:r>
    </w:p>
    <w:p w14:paraId="5A5C0B4C">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第二十五条 期满管理</w:t>
      </w:r>
    </w:p>
    <w:p w14:paraId="0390732A">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户外广告设置期限届满后不再设置或者申请延期未获得批准的，户外广告设置人应当在7日内予以拆除；临时户外广告在设置期限届满后，设置人应当在3日内予以拆除。</w:t>
      </w:r>
    </w:p>
    <w:p w14:paraId="1C45C0F7">
      <w:pPr>
        <w:spacing w:line="560" w:lineRule="exact"/>
        <w:ind w:firstLine="480" w:firstLineChars="200"/>
        <w:rPr>
          <w:sz w:val="24"/>
        </w:rPr>
      </w:pPr>
      <w:r>
        <w:rPr>
          <w:rFonts w:hint="eastAsia" w:ascii="Times New Roman" w:hAnsi="Times New Roman" w:eastAsia="仿宋_GB2312" w:cs="Times New Roman"/>
          <w:sz w:val="24"/>
        </w:rPr>
        <w:t>户外广告在批准使用期限内，因城市规划、建设、管理等公共利益需要确需拆除的，原发证机关应当提前30日书面通知设置人限期拆除;因拆除造成的直接经济损失，应当依法予以补偿。</w:t>
      </w:r>
    </w:p>
    <w:p w14:paraId="2C9DBCB4">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第二十六条 赔偿责任</w:t>
      </w:r>
    </w:p>
    <w:p w14:paraId="2AEF55AB">
      <w:pPr>
        <w:spacing w:line="560" w:lineRule="exact"/>
        <w:ind w:firstLine="480" w:firstLineChars="200"/>
        <w:rPr>
          <w:sz w:val="24"/>
        </w:rPr>
      </w:pPr>
      <w:r>
        <w:rPr>
          <w:rFonts w:hint="eastAsia" w:ascii="Times New Roman" w:hAnsi="Times New Roman" w:eastAsia="仿宋_GB2312" w:cs="Times New Roman"/>
          <w:sz w:val="24"/>
        </w:rPr>
        <w:t>户外广告和招牌设施因设置、维护不当，造成人身伤害或者财产损失的，户外广告设置人应当依法承担赔偿责任。</w:t>
      </w:r>
    </w:p>
    <w:p w14:paraId="50035CB6">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第二十七条 管理责任</w:t>
      </w:r>
    </w:p>
    <w:p w14:paraId="3D1CE9CE">
      <w:pPr>
        <w:spacing w:line="560" w:lineRule="exact"/>
        <w:ind w:firstLine="480" w:firstLineChars="200"/>
        <w:rPr>
          <w:sz w:val="24"/>
        </w:rPr>
      </w:pPr>
      <w:r>
        <w:rPr>
          <w:rFonts w:hint="eastAsia" w:ascii="Times New Roman" w:hAnsi="Times New Roman" w:eastAsia="仿宋_GB2312" w:cs="Times New Roman"/>
          <w:sz w:val="24"/>
        </w:rPr>
        <w:t>有关部门工作人员违反本办法规定，不履行法定职责或者玩忽职守、滥用职权、徇私舞弊的，由上级行政机关或者有关部门责令改正，对相关责任人员依法予以行政处分；涉嫌犯罪的，依法追究刑事责任。</w:t>
      </w:r>
    </w:p>
    <w:p w14:paraId="5F5CDD0E">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第二十八条 监督管理</w:t>
      </w:r>
    </w:p>
    <w:p w14:paraId="663D979A">
      <w:pPr>
        <w:spacing w:line="560" w:lineRule="exact"/>
        <w:ind w:firstLine="480" w:firstLineChars="200"/>
        <w:rPr>
          <w:sz w:val="24"/>
        </w:rPr>
      </w:pPr>
      <w:r>
        <w:rPr>
          <w:rFonts w:hint="eastAsia" w:ascii="Times New Roman" w:hAnsi="Times New Roman" w:eastAsia="仿宋_GB2312" w:cs="Times New Roman"/>
          <w:sz w:val="24"/>
        </w:rPr>
        <w:t>行政审批部门应及时将户外广告许可信息推送至城市管理部门和综合行政执法部门。各级城市管理部门应当加强对户外广告和招牌设置工作的监督检查。各级综合行政执法部门应当加强对户外广告的常态化巡查，督促设置人履行户外广告和招牌设施安全隐患整改责任、督促设置人及时整改设施破损、褪色、画面不全等问题。拒不履行的，责令其限期整改或者拆除，并依法予以处罚。</w:t>
      </w:r>
    </w:p>
    <w:p w14:paraId="0E199ACE">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第二十九条 法律责任</w:t>
      </w:r>
    </w:p>
    <w:p w14:paraId="2437C8CE">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对违反本办法规定的行为，法律、法规已有处罚规定的，从其规定，由综合行政执法部门实施行政处罚。</w:t>
      </w:r>
    </w:p>
    <w:p w14:paraId="77FE2F19">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（一）未经审批擅自设置大型户外广告，或者未按照许可要求设置大型户外广告的，责令限期拆除；逾期不拆除的，处1000元以上10000元以下罚款，并可依法申请人民法院强制拆除。</w:t>
      </w:r>
    </w:p>
    <w:p w14:paraId="266A18B2">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（二）未经审批擅自设置招牌，或者擅自变更招牌位置、规格、样式的，责令限期改正或者拆除；逾期不改正的，处200元以上1000元以下罚款。</w:t>
      </w:r>
    </w:p>
    <w:p w14:paraId="357F3EA4">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（三）户外广告、招牌设施出现污损、褪色、残缺、断亮，拒不按照要求维修、更换或者停用的，责令限期改正；拒不改正的，对户外广告处200元以上2000元以下罚款，对招牌处100元以上500元以下罚款。</w:t>
      </w:r>
    </w:p>
    <w:p w14:paraId="469F455A">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（四）户外广告设置期满、临时户外广告到期，未在本办法规定期限内自行拆除的，责令限期拆除；逾期不拆除的，处2000元以上5000元以下罚款。</w:t>
      </w:r>
    </w:p>
    <w:p w14:paraId="3C1F3708">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（五）户外广告、招牌设施存在安全隐患，经责令整改拒不整改或者拒不拆除的，责令限期拆除，并处1000元以上5000元以下罚款；造成安全事故的，依法追究相应法律责任。</w:t>
      </w:r>
    </w:p>
    <w:p w14:paraId="2DADB709">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（六）违反本办法第八条、第九条、第十七条禁止设置规定设置户外广告或者招牌的，责令限期拆除；逾期不拆除的，按照本条第一项、第二项予以处罚。</w:t>
      </w:r>
    </w:p>
    <w:p w14:paraId="5DD10C18">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（七）将建（构）筑物提供给他人设置未经审批的户外广告、招牌设施的，责令产权人督促整改；拒不改正的，处500元以上3000元以下罚款。</w:t>
      </w:r>
    </w:p>
    <w:p w14:paraId="4FF21D42">
      <w:pPr>
        <w:spacing w:line="560" w:lineRule="exact"/>
        <w:ind w:firstLine="480" w:firstLineChars="200"/>
        <w:rPr>
          <w:sz w:val="24"/>
        </w:rPr>
      </w:pPr>
      <w:r>
        <w:rPr>
          <w:rFonts w:hint="eastAsia" w:ascii="Times New Roman" w:hAnsi="Times New Roman" w:eastAsia="仿宋_GB2312" w:cs="Times New Roman"/>
          <w:sz w:val="24"/>
        </w:rPr>
        <w:t>本条规定的行政处罚信息按规定推送至公共信用信息平台，实施信用监管。</w:t>
      </w:r>
    </w:p>
    <w:p w14:paraId="00BEC96C">
      <w:pPr>
        <w:spacing w:line="560" w:lineRule="exact"/>
        <w:jc w:val="center"/>
        <w:rPr>
          <w:rFonts w:hint="eastAsia" w:ascii="黑体" w:hAnsi="黑体" w:eastAsia="黑体" w:cs="黑体"/>
          <w:sz w:val="24"/>
        </w:rPr>
      </w:pPr>
      <w:r>
        <w:rPr>
          <w:rFonts w:hint="eastAsia" w:ascii="黑体" w:hAnsi="黑体" w:eastAsia="黑体" w:cs="黑体"/>
          <w:sz w:val="24"/>
        </w:rPr>
        <w:t>第五章 附则</w:t>
      </w:r>
    </w:p>
    <w:p w14:paraId="4EED4FCE">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第三十条 解释权</w:t>
      </w:r>
    </w:p>
    <w:p w14:paraId="4E30C8A2">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本办法由阿坝藏族羌族自治州住房和城乡建设局负责解释。</w:t>
      </w:r>
    </w:p>
    <w:p w14:paraId="0FBD0FCA">
      <w:pPr>
        <w:spacing w:line="560" w:lineRule="exact"/>
        <w:ind w:firstLine="482" w:firstLineChars="200"/>
        <w:rPr>
          <w:rFonts w:ascii="Times New Roman" w:hAnsi="Times New Roman" w:eastAsia="楷体_GB2312" w:cs="Times New Roman"/>
          <w:b/>
          <w:bCs/>
          <w:sz w:val="24"/>
        </w:rPr>
      </w:pPr>
      <w:r>
        <w:rPr>
          <w:rFonts w:hint="eastAsia" w:ascii="Times New Roman" w:hAnsi="Times New Roman" w:eastAsia="楷体_GB2312" w:cs="Times New Roman"/>
          <w:b/>
          <w:bCs/>
          <w:sz w:val="24"/>
        </w:rPr>
        <w:t>第三十一条 施行日期</w:t>
      </w:r>
    </w:p>
    <w:p w14:paraId="0F8CAA3D">
      <w:pPr>
        <w:spacing w:line="56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本办法自发布之日起施行。</w:t>
      </w:r>
    </w:p>
    <w:p w14:paraId="38E60C9E">
      <w:pPr>
        <w:spacing w:line="560" w:lineRule="exact"/>
        <w:ind w:firstLine="480" w:firstLineChars="200"/>
        <w:rPr>
          <w:rFonts w:ascii="Times New Roman" w:hAnsi="Times New Roman" w:eastAsia="仿宋_GB2312" w:cs="Times New Roman"/>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13EFBC-6BD8-44B0-AB57-4C82DEEFA02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A7A7F66-748C-4E22-8383-097F0A7EC131}"/>
  </w:font>
  <w:font w:name="Calibri Light">
    <w:panose1 w:val="020F03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3" w:fontKey="{4EE38F2C-EA84-411B-A7D4-BF1FB12D1E95}"/>
  </w:font>
  <w:font w:name="楷体_GB2312">
    <w:altName w:val="楷体"/>
    <w:panose1 w:val="00000000000000000000"/>
    <w:charset w:val="86"/>
    <w:family w:val="auto"/>
    <w:pitch w:val="default"/>
    <w:sig w:usb0="00000000" w:usb1="00000000" w:usb2="00000000" w:usb3="00000000" w:csb0="00040000" w:csb1="00000000"/>
    <w:embedRegular r:id="rId4" w:fontKey="{2B704E64-07F9-4238-833A-EE8661CE9B5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embedRegular r:id="rId5" w:fontKey="{24DEE576-38B6-440E-BCE0-079A1258039C}"/>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61F13"/>
    <w:rsid w:val="00076515"/>
    <w:rsid w:val="00134189"/>
    <w:rsid w:val="001C5712"/>
    <w:rsid w:val="00264C8B"/>
    <w:rsid w:val="0028696E"/>
    <w:rsid w:val="003041E6"/>
    <w:rsid w:val="003A0914"/>
    <w:rsid w:val="00466013"/>
    <w:rsid w:val="005B54A5"/>
    <w:rsid w:val="00636B17"/>
    <w:rsid w:val="00777118"/>
    <w:rsid w:val="00786C9B"/>
    <w:rsid w:val="007D286B"/>
    <w:rsid w:val="007D686D"/>
    <w:rsid w:val="007F7735"/>
    <w:rsid w:val="0089647B"/>
    <w:rsid w:val="0092064F"/>
    <w:rsid w:val="009E283E"/>
    <w:rsid w:val="00A14DC8"/>
    <w:rsid w:val="00A9523C"/>
    <w:rsid w:val="00AA4F45"/>
    <w:rsid w:val="00B54C27"/>
    <w:rsid w:val="00BE4FD8"/>
    <w:rsid w:val="00C8247C"/>
    <w:rsid w:val="00C933B6"/>
    <w:rsid w:val="00F23D4B"/>
    <w:rsid w:val="00F80CE2"/>
    <w:rsid w:val="00FB5213"/>
    <w:rsid w:val="01CC5EE4"/>
    <w:rsid w:val="028E4F47"/>
    <w:rsid w:val="035A307B"/>
    <w:rsid w:val="049A5E25"/>
    <w:rsid w:val="050B287F"/>
    <w:rsid w:val="082A74C0"/>
    <w:rsid w:val="09772BD9"/>
    <w:rsid w:val="09C74F1B"/>
    <w:rsid w:val="0B204BAA"/>
    <w:rsid w:val="0B582596"/>
    <w:rsid w:val="0F4A0448"/>
    <w:rsid w:val="112E1DCF"/>
    <w:rsid w:val="13180F89"/>
    <w:rsid w:val="135B2C24"/>
    <w:rsid w:val="13A02D2C"/>
    <w:rsid w:val="14DC1B42"/>
    <w:rsid w:val="14EC73E1"/>
    <w:rsid w:val="1AA2738A"/>
    <w:rsid w:val="1BE0016A"/>
    <w:rsid w:val="1BF400B9"/>
    <w:rsid w:val="1C5D7A0C"/>
    <w:rsid w:val="1EB15DEE"/>
    <w:rsid w:val="1ED33FB6"/>
    <w:rsid w:val="1F75506D"/>
    <w:rsid w:val="20461F13"/>
    <w:rsid w:val="210B5C89"/>
    <w:rsid w:val="231F5A1C"/>
    <w:rsid w:val="23290648"/>
    <w:rsid w:val="24D665AE"/>
    <w:rsid w:val="24E862E1"/>
    <w:rsid w:val="266D6A9E"/>
    <w:rsid w:val="280E42B1"/>
    <w:rsid w:val="2E980D78"/>
    <w:rsid w:val="30542A7D"/>
    <w:rsid w:val="31E87920"/>
    <w:rsid w:val="31EC7411"/>
    <w:rsid w:val="31EE53CF"/>
    <w:rsid w:val="32AA2E28"/>
    <w:rsid w:val="32F04CDF"/>
    <w:rsid w:val="35B30245"/>
    <w:rsid w:val="38797524"/>
    <w:rsid w:val="3C261771"/>
    <w:rsid w:val="3E271AB0"/>
    <w:rsid w:val="3F397A0D"/>
    <w:rsid w:val="44E421C9"/>
    <w:rsid w:val="48541414"/>
    <w:rsid w:val="4D063625"/>
    <w:rsid w:val="4FC926E8"/>
    <w:rsid w:val="50377F99"/>
    <w:rsid w:val="54A13C33"/>
    <w:rsid w:val="562763BA"/>
    <w:rsid w:val="576A47B0"/>
    <w:rsid w:val="57C2639A"/>
    <w:rsid w:val="59CA7788"/>
    <w:rsid w:val="5BED775E"/>
    <w:rsid w:val="5C621EFA"/>
    <w:rsid w:val="60634492"/>
    <w:rsid w:val="62456545"/>
    <w:rsid w:val="636E5628"/>
    <w:rsid w:val="64A86030"/>
    <w:rsid w:val="65841133"/>
    <w:rsid w:val="66B23A7E"/>
    <w:rsid w:val="66C35C8B"/>
    <w:rsid w:val="66DE4873"/>
    <w:rsid w:val="6874548F"/>
    <w:rsid w:val="69420423"/>
    <w:rsid w:val="69E5416A"/>
    <w:rsid w:val="6B99520C"/>
    <w:rsid w:val="6BB81B36"/>
    <w:rsid w:val="6E1312A6"/>
    <w:rsid w:val="6E511DCE"/>
    <w:rsid w:val="6FCD1928"/>
    <w:rsid w:val="70141305"/>
    <w:rsid w:val="71017ADB"/>
    <w:rsid w:val="712E63F7"/>
    <w:rsid w:val="72113D4E"/>
    <w:rsid w:val="728A1053"/>
    <w:rsid w:val="73D72D76"/>
    <w:rsid w:val="797872B9"/>
    <w:rsid w:val="7A523156"/>
    <w:rsid w:val="7A9E639B"/>
    <w:rsid w:val="7BB120FE"/>
    <w:rsid w:val="7C3A6597"/>
    <w:rsid w:val="7CF14EA8"/>
    <w:rsid w:val="7FBB51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jc w:val="left"/>
    </w:p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tabs>
        <w:tab w:val="center" w:pos="4153"/>
        <w:tab w:val="right" w:pos="8306"/>
      </w:tabs>
      <w:snapToGrid w:val="0"/>
      <w:jc w:val="center"/>
    </w:pPr>
    <w:rPr>
      <w:sz w:val="18"/>
      <w:szCs w:val="18"/>
    </w:rPr>
  </w:style>
  <w:style w:type="paragraph" w:styleId="5">
    <w:name w:val="Title"/>
    <w:basedOn w:val="1"/>
    <w:next w:val="1"/>
    <w:qFormat/>
    <w:uiPriority w:val="10"/>
    <w:pPr>
      <w:contextualSpacing/>
    </w:pPr>
    <w:rPr>
      <w:rFonts w:asciiTheme="majorHAnsi" w:hAnsiTheme="majorHAnsi" w:eastAsiaTheme="majorEastAsia" w:cstheme="majorBidi"/>
      <w:b/>
      <w:spacing w:val="-10"/>
      <w:sz w:val="30"/>
      <w:szCs w:val="56"/>
    </w:rPr>
  </w:style>
  <w:style w:type="paragraph" w:styleId="6">
    <w:name w:val="annotation subject"/>
    <w:basedOn w:val="2"/>
    <w:next w:val="2"/>
    <w:link w:val="14"/>
    <w:qFormat/>
    <w:uiPriority w:val="0"/>
    <w:rPr>
      <w:b/>
      <w:bCs/>
    </w:rPr>
  </w:style>
  <w:style w:type="character" w:styleId="9">
    <w:name w:val="annotation reference"/>
    <w:basedOn w:val="8"/>
    <w:qFormat/>
    <w:uiPriority w:val="0"/>
    <w:rPr>
      <w:sz w:val="21"/>
      <w:szCs w:val="21"/>
    </w:rPr>
  </w:style>
  <w:style w:type="character" w:customStyle="1" w:styleId="10">
    <w:name w:val="页眉 字符"/>
    <w:basedOn w:val="8"/>
    <w:link w:val="4"/>
    <w:qFormat/>
    <w:uiPriority w:val="0"/>
    <w:rPr>
      <w:kern w:val="2"/>
      <w:sz w:val="18"/>
      <w:szCs w:val="18"/>
    </w:rPr>
  </w:style>
  <w:style w:type="character" w:customStyle="1" w:styleId="11">
    <w:name w:val="页脚 字符"/>
    <w:basedOn w:val="8"/>
    <w:link w:val="3"/>
    <w:qFormat/>
    <w:uiPriority w:val="0"/>
    <w:rPr>
      <w:kern w:val="2"/>
      <w:sz w:val="18"/>
      <w:szCs w:val="18"/>
    </w:rPr>
  </w:style>
  <w:style w:type="paragraph" w:customStyle="1" w:styleId="12">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3">
    <w:name w:val="批注文字 字符"/>
    <w:basedOn w:val="8"/>
    <w:link w:val="2"/>
    <w:qFormat/>
    <w:uiPriority w:val="0"/>
    <w:rPr>
      <w:kern w:val="2"/>
      <w:sz w:val="21"/>
      <w:szCs w:val="24"/>
    </w:rPr>
  </w:style>
  <w:style w:type="character" w:customStyle="1" w:styleId="14">
    <w:name w:val="批注主题 字符"/>
    <w:basedOn w:val="13"/>
    <w:link w:val="6"/>
    <w:qFormat/>
    <w:uiPriority w:val="0"/>
    <w:rPr>
      <w:b/>
      <w:bCs/>
      <w:kern w:val="2"/>
      <w:sz w:val="21"/>
      <w:szCs w:val="24"/>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7957</Words>
  <Characters>8001</Characters>
  <Lines>10</Lines>
  <Paragraphs>174</Paragraphs>
  <TotalTime>12</TotalTime>
  <ScaleCrop>false</ScaleCrop>
  <LinksUpToDate>false</LinksUpToDate>
  <CharactersWithSpaces>8037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2026-10-14T03:09:00Z</dcterms:created>
  <dc:creator>bobo</dc:creator>
  <cp:lastModifiedBy>微信用户</cp:lastModifiedBy>
  <dcterms:modified xsi:type="dcterms:W3CDTF">2026-10-21T02:01:40Z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C1E7D9EA28DB444EB33E1F68AC522C01_13</vt:lpwstr>
  </property>
  <property fmtid="{D5CDD505-2E9C-101B-9397-08002B2CF9AE}" pid="4" name="KSOTemplateDocerSaveRecord">
    <vt:lpwstr>eyJoZGlkIjoiY2YyZjM3ZWZiY2FlOThkMjVkM2Q2ZDkwZTkzMzYwZTkiLCJ1c2VySWQiOiIyNzkzMzc1NjMifQ==</vt:lpwstr>
  </property>
</Properties>
</file>