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6AD7B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 xml:space="preserve"> </w:t>
      </w:r>
      <w:bookmarkStart w:id="0" w:name="_GoBack"/>
      <w:bookmarkEnd w:id="0"/>
      <w:r>
        <w:rPr>
          <w:rFonts w:ascii="Times New Roman" w:hAnsi="Times New Roman" w:eastAsia="方正小标宋简体" w:cs="Times New Roman"/>
          <w:sz w:val="44"/>
          <w:szCs w:val="44"/>
        </w:rPr>
        <w:t>关于进一步优化促进阿坝州房地产市场平稳</w:t>
      </w:r>
    </w:p>
    <w:p w14:paraId="1E80AA6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健康发展的若干政策措施</w:t>
      </w:r>
    </w:p>
    <w:p w14:paraId="33371AA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w:t>
      </w:r>
      <w:r>
        <w:rPr>
          <w:rFonts w:hint="eastAsia" w:ascii="Times New Roman" w:hAnsi="Times New Roman" w:eastAsia="楷体_GB2312" w:cs="Times New Roman"/>
          <w:b/>
          <w:bCs/>
          <w:sz w:val="32"/>
          <w:szCs w:val="32"/>
          <w:lang w:val="en-US" w:eastAsia="zh-CN"/>
        </w:rPr>
        <w:t>征求意见</w:t>
      </w:r>
      <w:r>
        <w:rPr>
          <w:rFonts w:ascii="Times New Roman" w:hAnsi="Times New Roman" w:eastAsia="楷体_GB2312" w:cs="Times New Roman"/>
          <w:b/>
          <w:bCs/>
          <w:sz w:val="32"/>
          <w:szCs w:val="32"/>
        </w:rPr>
        <w:t>稿）</w:t>
      </w:r>
    </w:p>
    <w:p w14:paraId="6841D1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p>
    <w:p w14:paraId="016FE5D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为深入贯彻落实党中央、国务院关于促进房地产市场平稳健康发展的决策部署，加快构建房地产发展新模式，根据住房城乡建设部、自然资源部、金融监管总局《关于完善商品住房销售制度的通知》（建房规〔2026〕3号）等有关文件精神，结合阿坝州实际，制定以下政策措施。</w:t>
      </w:r>
    </w:p>
    <w:p w14:paraId="6CD0CA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sz w:val="32"/>
          <w:szCs w:val="32"/>
        </w:rPr>
      </w:pPr>
      <w:r>
        <w:rPr>
          <w:rFonts w:ascii="Times New Roman" w:hAnsi="Times New Roman" w:eastAsia="黑体" w:cs="Times New Roman"/>
          <w:sz w:val="32"/>
          <w:szCs w:val="32"/>
        </w:rPr>
        <w:t>一、优化土地供应与住房供应结构</w:t>
      </w:r>
    </w:p>
    <w:p w14:paraId="51B12A8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sz w:val="32"/>
          <w:szCs w:val="32"/>
          <w:lang w:eastAsia="zh-CN"/>
        </w:rPr>
      </w:pPr>
      <w:r>
        <w:rPr>
          <w:rFonts w:ascii="Times New Roman" w:hAnsi="Times New Roman" w:eastAsia="楷体_GB2312" w:cs="Times New Roman"/>
          <w:b/>
          <w:bCs/>
          <w:sz w:val="32"/>
          <w:szCs w:val="32"/>
        </w:rPr>
        <w:t>（一）加强土地供应调控</w:t>
      </w:r>
      <w:r>
        <w:rPr>
          <w:rFonts w:hint="eastAsia" w:ascii="Times New Roman" w:hAnsi="Times New Roman" w:eastAsia="楷体_GB2312" w:cs="Times New Roman"/>
          <w:b/>
          <w:bCs/>
          <w:sz w:val="32"/>
          <w:szCs w:val="32"/>
          <w:lang w:eastAsia="zh-CN"/>
        </w:rPr>
        <w:t>。</w:t>
      </w:r>
      <w:r>
        <w:rPr>
          <w:rFonts w:ascii="Times New Roman" w:hAnsi="Times New Roman" w:eastAsia="仿宋_GB2312" w:cs="Times New Roman"/>
          <w:sz w:val="32"/>
          <w:szCs w:val="32"/>
        </w:rPr>
        <w:t>坚持“人地挂钩、增存挂钩”，强化国土空间总体规划管控，积极推进闲置和存量房地产用地盘活利用。对商品住房去化周期超过32个月的县（市），暂停新增商品住宅用地供应；去化周期在18个月（不含）至32个月的县（市），按照“盘活多少、供应多少”的原则，合理确定新出让商品住宅用地规模上限。同步优化商品住宅用地的容积率、绿地率、建筑密度、建筑高度等规划指标。建立动态调整机制，根据去化周期变化及时调整供地节奏。</w:t>
      </w:r>
    </w:p>
    <w:p w14:paraId="3DC4D24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楷体_GB2312" w:cs="Times New Roman"/>
          <w:b/>
          <w:bCs/>
          <w:sz w:val="32"/>
          <w:szCs w:val="32"/>
        </w:rPr>
        <w:t>（</w:t>
      </w:r>
      <w:r>
        <w:rPr>
          <w:rFonts w:ascii="Times New Roman" w:hAnsi="Times New Roman" w:eastAsia="楷体_GB2312" w:cs="Times New Roman"/>
          <w:b/>
          <w:bCs/>
          <w:sz w:val="32"/>
          <w:szCs w:val="32"/>
          <w:lang w:val="en-US" w:eastAsia="zh-CN"/>
        </w:rPr>
        <w:t>二</w:t>
      </w:r>
      <w:r>
        <w:rPr>
          <w:rFonts w:ascii="Times New Roman" w:hAnsi="Times New Roman" w:eastAsia="楷体_GB2312" w:cs="Times New Roman"/>
          <w:b/>
          <w:bCs/>
          <w:sz w:val="32"/>
          <w:szCs w:val="32"/>
        </w:rPr>
        <w:t>）完善保障性住房供给机制。</w:t>
      </w:r>
      <w:r>
        <w:rPr>
          <w:rFonts w:ascii="Times New Roman" w:hAnsi="Times New Roman" w:eastAsia="仿宋_GB2312" w:cs="Times New Roman"/>
          <w:sz w:val="32"/>
          <w:szCs w:val="32"/>
        </w:rPr>
        <w:t>坚持“以需定建、以需定购”，积极争取并用好地方政府专项债券、保障性住房再贷款等政策。通过划拨土地集中新建、城市更新项目配建、收购存量商品房等多种方式，多渠道筹建保障性租赁住房。重点保障新市民、青年人、稳定就业生活的农业转移人口等群体住房需求。各县（市）应安排一定比例的保障性住房房源，定向供应新就业形态劳动者等公共服务群体。</w:t>
      </w:r>
    </w:p>
    <w:p w14:paraId="44186C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b w:val="0"/>
          <w:bCs w:val="0"/>
          <w:sz w:val="32"/>
          <w:szCs w:val="32"/>
        </w:rPr>
      </w:pPr>
      <w:r>
        <w:rPr>
          <w:rFonts w:ascii="Times New Roman" w:hAnsi="Times New Roman" w:eastAsia="黑体" w:cs="Times New Roman"/>
          <w:b w:val="0"/>
          <w:bCs w:val="0"/>
          <w:sz w:val="32"/>
          <w:szCs w:val="32"/>
          <w:lang w:val="en-US" w:eastAsia="zh-CN"/>
        </w:rPr>
        <w:t>二、</w:t>
      </w:r>
      <w:r>
        <w:rPr>
          <w:rFonts w:ascii="Times New Roman" w:hAnsi="Times New Roman" w:eastAsia="黑体" w:cs="Times New Roman"/>
          <w:b w:val="0"/>
          <w:bCs w:val="0"/>
          <w:sz w:val="32"/>
          <w:szCs w:val="32"/>
        </w:rPr>
        <w:t>稳步推进商品住房销售制度改革</w:t>
      </w:r>
    </w:p>
    <w:p w14:paraId="73F78B7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sz w:val="32"/>
          <w:szCs w:val="32"/>
          <w:lang w:val="en-US" w:eastAsia="zh-CN"/>
        </w:rPr>
      </w:pPr>
      <w:r>
        <w:rPr>
          <w:rFonts w:ascii="Times New Roman" w:hAnsi="Times New Roman" w:eastAsia="楷体_GB2312" w:cs="Times New Roman"/>
          <w:b/>
          <w:bCs/>
          <w:sz w:val="32"/>
          <w:szCs w:val="32"/>
          <w:lang w:eastAsia="zh-CN"/>
        </w:rPr>
        <w:t>（</w:t>
      </w:r>
      <w:r>
        <w:rPr>
          <w:rFonts w:ascii="Times New Roman" w:hAnsi="Times New Roman" w:eastAsia="楷体_GB2312" w:cs="Times New Roman"/>
          <w:b/>
          <w:bCs/>
          <w:sz w:val="32"/>
          <w:szCs w:val="32"/>
          <w:lang w:val="en-US" w:eastAsia="zh-CN"/>
        </w:rPr>
        <w:t>三</w:t>
      </w:r>
      <w:r>
        <w:rPr>
          <w:rFonts w:ascii="Times New Roman" w:hAnsi="Times New Roman" w:eastAsia="楷体_GB2312" w:cs="Times New Roman"/>
          <w:b/>
          <w:bCs/>
          <w:sz w:val="32"/>
          <w:szCs w:val="32"/>
          <w:lang w:eastAsia="zh-CN"/>
        </w:rPr>
        <w:t>）</w:t>
      </w:r>
      <w:r>
        <w:rPr>
          <w:rFonts w:ascii="Times New Roman" w:hAnsi="Times New Roman" w:eastAsia="楷体_GB2312" w:cs="Times New Roman"/>
          <w:b/>
          <w:bCs/>
          <w:sz w:val="32"/>
          <w:szCs w:val="32"/>
          <w:lang w:val="en-US" w:eastAsia="zh-CN"/>
        </w:rPr>
        <w:t>加强商品住房预售管理。</w:t>
      </w:r>
      <w:r>
        <w:rPr>
          <w:rFonts w:ascii="Times New Roman" w:hAnsi="Times New Roman" w:eastAsia="仿宋_GB2312" w:cs="Times New Roman"/>
          <w:sz w:val="32"/>
          <w:szCs w:val="32"/>
        </w:rPr>
        <w:t>商品住房项目实行预售的，单体建筑应完成主体结构封顶。加强预售资金监管，购房人支付的定金、首付款、按揭贷款等购房款项应全部纳入监管账户。</w:t>
      </w:r>
      <w:r>
        <w:rPr>
          <w:rFonts w:ascii="Times New Roman" w:hAnsi="Times New Roman" w:eastAsia="仿宋_GB2312" w:cs="Times New Roman"/>
          <w:sz w:val="32"/>
          <w:szCs w:val="32"/>
          <w:lang w:val="en-US" w:eastAsia="zh-CN"/>
        </w:rPr>
        <w:t>2026年8月28</w:t>
      </w:r>
      <w:r>
        <w:rPr>
          <w:rFonts w:ascii="Times New Roman" w:hAnsi="Times New Roman" w:eastAsia="仿宋_GB2312" w:cs="Times New Roman"/>
          <w:sz w:val="32"/>
          <w:szCs w:val="32"/>
        </w:rPr>
        <w:t>日前已取得建设工程规划许可证的商品住房项目，实行预售的，预售条件、预售资金监管等按</w:t>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lang w:val="en-US" w:eastAsia="zh-CN"/>
        </w:rPr>
        <w:t>阿坝州商品房预售资金监管办法</w:t>
      </w:r>
      <w:r>
        <w:rPr>
          <w:rFonts w:ascii="Times New Roman" w:hAnsi="Times New Roman" w:eastAsia="仿宋_GB2312" w:cs="Times New Roman"/>
          <w:sz w:val="32"/>
          <w:szCs w:val="32"/>
          <w:lang w:eastAsia="zh-CN"/>
        </w:rPr>
        <w:t>》（阿</w:t>
      </w:r>
      <w:r>
        <w:rPr>
          <w:rFonts w:ascii="Times New Roman" w:hAnsi="Times New Roman" w:eastAsia="仿宋_GB2312" w:cs="Times New Roman"/>
          <w:sz w:val="32"/>
          <w:szCs w:val="32"/>
          <w:lang w:val="en-US" w:eastAsia="zh-CN"/>
        </w:rPr>
        <w:t>州住建发</w:t>
      </w:r>
      <w:r>
        <w:rPr>
          <w:rFonts w:ascii="Times New Roman" w:hAnsi="Times New Roman" w:eastAsia="仿宋_GB2312" w:cs="Times New Roman"/>
          <w:sz w:val="32"/>
          <w:szCs w:val="32"/>
        </w:rPr>
        <w:t>〔</w:t>
      </w:r>
      <w:r>
        <w:rPr>
          <w:rFonts w:ascii="Times New Roman" w:hAnsi="Times New Roman" w:eastAsia="仿宋_GB2312" w:cs="Times New Roman"/>
          <w:sz w:val="32"/>
          <w:szCs w:val="32"/>
          <w:lang w:val="en-US" w:eastAsia="zh-CN"/>
        </w:rPr>
        <w:t>2024</w:t>
      </w:r>
      <w:r>
        <w:rPr>
          <w:rFonts w:ascii="Times New Roman" w:hAnsi="Times New Roman" w:eastAsia="仿宋_GB2312" w:cs="Times New Roman"/>
          <w:sz w:val="32"/>
          <w:szCs w:val="32"/>
        </w:rPr>
        <w:t>〕</w:t>
      </w:r>
      <w:r>
        <w:rPr>
          <w:rFonts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3号</w:t>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rPr>
        <w:t>规定执行。</w:t>
      </w:r>
    </w:p>
    <w:p w14:paraId="79BA4F9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楷体_GB2312" w:cs="Times New Roman"/>
          <w:b/>
          <w:bCs/>
          <w:sz w:val="32"/>
          <w:szCs w:val="32"/>
          <w:lang w:val="en-US" w:eastAsia="zh-CN"/>
        </w:rPr>
      </w:pPr>
      <w:r>
        <w:rPr>
          <w:rFonts w:ascii="Times New Roman" w:hAnsi="Times New Roman" w:eastAsia="楷体_GB2312" w:cs="Times New Roman"/>
          <w:b/>
          <w:bCs/>
          <w:sz w:val="32"/>
          <w:szCs w:val="32"/>
          <w:lang w:val="en-US" w:eastAsia="zh-CN"/>
        </w:rPr>
        <w:t>（四）推行商品住房现房销售。</w:t>
      </w:r>
      <w:r>
        <w:rPr>
          <w:rFonts w:ascii="Times New Roman" w:hAnsi="Times New Roman" w:eastAsia="仿宋_GB2312" w:cs="Times New Roman"/>
          <w:sz w:val="32"/>
          <w:szCs w:val="32"/>
          <w:lang w:val="en-US" w:eastAsia="zh-CN"/>
        </w:rPr>
        <w:t>自2026年8月28日起，</w:t>
      </w:r>
      <w:r>
        <w:rPr>
          <w:rFonts w:ascii="Times New Roman" w:hAnsi="Times New Roman" w:eastAsia="仿宋_GB2312" w:cs="Times New Roman"/>
          <w:sz w:val="32"/>
          <w:szCs w:val="32"/>
        </w:rPr>
        <w:t>新出让土地的商品住房项目和已出让土地未取得建设工程规划许可证的商品住房项目，优先选择现房销售；已取得建设工程规划许可证的商品住房项目，鼓励实行现房销售。大力推行“交房即交证”。</w:t>
      </w:r>
    </w:p>
    <w:p w14:paraId="604E04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sz w:val="32"/>
          <w:szCs w:val="32"/>
          <w:highlight w:val="yellow"/>
          <w:lang w:eastAsia="zh-CN"/>
        </w:rPr>
      </w:pPr>
      <w:r>
        <w:rPr>
          <w:rFonts w:ascii="Times New Roman" w:hAnsi="Times New Roman" w:eastAsia="黑体" w:cs="Times New Roman"/>
          <w:sz w:val="32"/>
          <w:szCs w:val="32"/>
          <w:lang w:val="en-US" w:eastAsia="zh-CN"/>
        </w:rPr>
        <w:t>三</w:t>
      </w:r>
      <w:r>
        <w:rPr>
          <w:rFonts w:ascii="Times New Roman" w:hAnsi="Times New Roman" w:eastAsia="黑体" w:cs="Times New Roman"/>
          <w:sz w:val="32"/>
          <w:szCs w:val="32"/>
        </w:rPr>
        <w:t>、加大住房公积金支持力度</w:t>
      </w:r>
    </w:p>
    <w:p w14:paraId="27E508F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Times New Roman" w:hAnsi="Times New Roman" w:eastAsia="仿宋_GB2312" w:cs="Times New Roman"/>
          <w:sz w:val="32"/>
          <w:szCs w:val="32"/>
          <w:lang w:val="en-US"/>
        </w:rPr>
      </w:pPr>
      <w:r>
        <w:rPr>
          <w:rFonts w:ascii="Times New Roman" w:hAnsi="Times New Roman" w:eastAsia="楷体_GB2312" w:cs="Times New Roman"/>
          <w:b/>
          <w:bCs/>
          <w:sz w:val="32"/>
          <w:szCs w:val="32"/>
        </w:rPr>
        <w:t>（</w:t>
      </w:r>
      <w:r>
        <w:rPr>
          <w:rFonts w:ascii="Times New Roman" w:hAnsi="Times New Roman" w:eastAsia="楷体_GB2312" w:cs="Times New Roman"/>
          <w:b/>
          <w:bCs/>
          <w:sz w:val="32"/>
          <w:szCs w:val="32"/>
          <w:lang w:val="en-US" w:eastAsia="zh-CN"/>
        </w:rPr>
        <w:t>五</w:t>
      </w:r>
      <w:r>
        <w:rPr>
          <w:rFonts w:ascii="Times New Roman" w:hAnsi="Times New Roman" w:eastAsia="楷体_GB2312" w:cs="Times New Roman"/>
          <w:b/>
          <w:bCs/>
          <w:sz w:val="32"/>
          <w:szCs w:val="32"/>
        </w:rPr>
        <w:t>）提高住房公积金贷款额度。</w:t>
      </w:r>
      <w:r>
        <w:rPr>
          <w:rFonts w:ascii="Times New Roman" w:hAnsi="Times New Roman" w:eastAsia="仿宋_GB2312" w:cs="Times New Roman"/>
          <w:sz w:val="32"/>
          <w:szCs w:val="32"/>
        </w:rPr>
        <w:t>单缴存职工贷款额度上限由60万元提高至100万元，双缴存职工贷款额度上限由80万元提高至140万元。符合国家生育政策的多子女家庭，二孩家庭贷款额度上限上浮20%，三孩及以上家庭上浮30%。</w:t>
      </w:r>
      <w:r>
        <w:rPr>
          <w:rFonts w:ascii="Times New Roman" w:hAnsi="Times New Roman" w:eastAsia="仿宋_GB2312" w:cs="Times New Roman"/>
          <w:sz w:val="32"/>
          <w:szCs w:val="32"/>
          <w:lang w:val="en-US" w:eastAsia="zh-CN"/>
        </w:rPr>
        <w:t>“菁英”“骨干”“青俊”工程人才贷款额度上限可分别上浮60%、40%、20%。多子女家庭贷款额度和人才贷款额度上浮比例可叠加计算。</w:t>
      </w:r>
    </w:p>
    <w:p w14:paraId="36E00A8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sz w:val="32"/>
          <w:szCs w:val="32"/>
          <w:lang w:val="en-US" w:eastAsia="zh-CN"/>
        </w:rPr>
      </w:pPr>
      <w:r>
        <w:rPr>
          <w:rFonts w:ascii="Times New Roman" w:hAnsi="Times New Roman" w:eastAsia="楷体_GB2312" w:cs="Times New Roman"/>
          <w:b/>
          <w:bCs/>
          <w:sz w:val="32"/>
          <w:szCs w:val="32"/>
        </w:rPr>
        <w:t>（</w:t>
      </w:r>
      <w:r>
        <w:rPr>
          <w:rFonts w:ascii="Times New Roman" w:hAnsi="Times New Roman" w:eastAsia="楷体_GB2312" w:cs="Times New Roman"/>
          <w:b/>
          <w:bCs/>
          <w:sz w:val="32"/>
          <w:szCs w:val="32"/>
          <w:lang w:val="en-US" w:eastAsia="zh-CN"/>
        </w:rPr>
        <w:t>六</w:t>
      </w:r>
      <w:r>
        <w:rPr>
          <w:rFonts w:ascii="Times New Roman" w:hAnsi="Times New Roman" w:eastAsia="楷体_GB2312" w:cs="Times New Roman"/>
          <w:b/>
          <w:bCs/>
          <w:sz w:val="32"/>
          <w:szCs w:val="32"/>
        </w:rPr>
        <w:t>）降低住房公积金贷款首付比例</w:t>
      </w:r>
      <w:r>
        <w:rPr>
          <w:rFonts w:hint="eastAsia" w:ascii="Times New Roman" w:hAnsi="Times New Roman" w:eastAsia="楷体_GB2312" w:cs="Times New Roman"/>
          <w:b/>
          <w:bCs/>
          <w:sz w:val="32"/>
          <w:szCs w:val="32"/>
          <w:lang w:eastAsia="zh-CN"/>
        </w:rPr>
        <w:t>。</w:t>
      </w:r>
      <w:r>
        <w:rPr>
          <w:rFonts w:ascii="Times New Roman" w:hAnsi="Times New Roman" w:eastAsia="仿宋_GB2312" w:cs="Times New Roman"/>
          <w:sz w:val="32"/>
          <w:szCs w:val="32"/>
          <w:lang w:val="en-US" w:eastAsia="zh-CN"/>
        </w:rPr>
        <w:t>缴存职工及配偶购</w:t>
      </w:r>
      <w:r>
        <w:rPr>
          <w:rFonts w:hint="eastAsia" w:ascii="Times New Roman" w:hAnsi="Times New Roman" w:eastAsia="仿宋_GB2312" w:cs="Times New Roman"/>
          <w:sz w:val="32"/>
          <w:szCs w:val="32"/>
          <w:lang w:val="en-US" w:eastAsia="zh-CN"/>
        </w:rPr>
        <w:t>买、建造、翻建、大修</w:t>
      </w:r>
      <w:r>
        <w:rPr>
          <w:rFonts w:ascii="Times New Roman" w:hAnsi="Times New Roman" w:eastAsia="仿宋_GB2312" w:cs="Times New Roman"/>
          <w:sz w:val="32"/>
          <w:szCs w:val="32"/>
          <w:lang w:val="en-US" w:eastAsia="zh-CN"/>
        </w:rPr>
        <w:t>自</w:t>
      </w:r>
      <w:r>
        <w:rPr>
          <w:rFonts w:hint="eastAsia" w:ascii="Times New Roman" w:hAnsi="Times New Roman" w:eastAsia="仿宋_GB2312" w:cs="Times New Roman"/>
          <w:sz w:val="32"/>
          <w:szCs w:val="32"/>
          <w:lang w:val="en-US" w:eastAsia="zh-CN"/>
        </w:rPr>
        <w:t>住</w:t>
      </w:r>
      <w:r>
        <w:rPr>
          <w:rFonts w:ascii="Times New Roman" w:hAnsi="Times New Roman" w:eastAsia="仿宋_GB2312" w:cs="Times New Roman"/>
          <w:sz w:val="32"/>
          <w:szCs w:val="32"/>
          <w:lang w:val="en-US" w:eastAsia="zh-CN"/>
        </w:rPr>
        <w:t>住房申请公积金贷款或申请办理“商转公”，名下无未结清住房公积金贷款，可按首套房政策执行，最低首付款比例统一下调至20%。</w:t>
      </w:r>
    </w:p>
    <w:p w14:paraId="27C984A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sz w:val="32"/>
          <w:szCs w:val="32"/>
          <w:lang w:val="en-US" w:eastAsia="zh-CN"/>
        </w:rPr>
      </w:pPr>
      <w:r>
        <w:rPr>
          <w:rFonts w:ascii="Times New Roman" w:hAnsi="Times New Roman" w:eastAsia="楷体_GB2312" w:cs="Times New Roman"/>
          <w:b/>
          <w:bCs/>
          <w:sz w:val="32"/>
          <w:szCs w:val="32"/>
        </w:rPr>
        <w:t>（</w:t>
      </w:r>
      <w:r>
        <w:rPr>
          <w:rFonts w:ascii="Times New Roman" w:hAnsi="Times New Roman" w:eastAsia="楷体_GB2312" w:cs="Times New Roman"/>
          <w:b/>
          <w:bCs/>
          <w:sz w:val="32"/>
          <w:szCs w:val="32"/>
          <w:lang w:val="en-US" w:eastAsia="zh-CN"/>
        </w:rPr>
        <w:t>七</w:t>
      </w:r>
      <w:r>
        <w:rPr>
          <w:rFonts w:ascii="Times New Roman" w:hAnsi="Times New Roman" w:eastAsia="楷体_GB2312" w:cs="Times New Roman"/>
          <w:b/>
          <w:bCs/>
          <w:sz w:val="32"/>
          <w:szCs w:val="32"/>
        </w:rPr>
        <w:t>）延长借款人年龄上限</w:t>
      </w:r>
      <w:r>
        <w:rPr>
          <w:rFonts w:ascii="Times New Roman" w:hAnsi="Times New Roman" w:eastAsia="楷体_GB2312" w:cs="Times New Roman"/>
          <w:b/>
          <w:bCs/>
          <w:sz w:val="32"/>
          <w:szCs w:val="32"/>
          <w:lang w:eastAsia="zh-CN"/>
        </w:rPr>
        <w:t>。</w:t>
      </w:r>
      <w:r>
        <w:rPr>
          <w:rFonts w:ascii="Times New Roman" w:hAnsi="Times New Roman" w:eastAsia="仿宋_GB2312" w:cs="Times New Roman"/>
          <w:sz w:val="32"/>
          <w:szCs w:val="32"/>
          <w:lang w:val="en-US" w:eastAsia="zh-CN"/>
        </w:rPr>
        <w:t>住房公积金借款人个人信用良好、具备偿还能力的，其借款年龄上限可延长至延迟法定退休年龄后5年：男职工最长不超过68周岁、女职工最长不超过63周岁。借款最长年限不超过30年。</w:t>
      </w:r>
    </w:p>
    <w:p w14:paraId="797225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sz w:val="32"/>
          <w:szCs w:val="32"/>
        </w:rPr>
      </w:pPr>
      <w:r>
        <w:rPr>
          <w:rFonts w:ascii="Times New Roman" w:hAnsi="Times New Roman" w:eastAsia="黑体" w:cs="Times New Roman"/>
          <w:sz w:val="32"/>
          <w:szCs w:val="32"/>
          <w:lang w:val="en-US" w:eastAsia="zh-CN"/>
        </w:rPr>
        <w:t>四</w:t>
      </w:r>
      <w:r>
        <w:rPr>
          <w:rFonts w:ascii="Times New Roman" w:hAnsi="Times New Roman" w:eastAsia="黑体" w:cs="Times New Roman"/>
          <w:sz w:val="32"/>
          <w:szCs w:val="32"/>
        </w:rPr>
        <w:t>、</w:t>
      </w:r>
      <w:r>
        <w:rPr>
          <w:rFonts w:ascii="Times New Roman" w:hAnsi="Times New Roman" w:eastAsia="黑体" w:cs="Times New Roman"/>
          <w:sz w:val="32"/>
          <w:szCs w:val="32"/>
          <w:lang w:val="en-US" w:eastAsia="zh-CN"/>
        </w:rPr>
        <w:t>鼓励</w:t>
      </w:r>
      <w:r>
        <w:rPr>
          <w:rFonts w:ascii="Times New Roman" w:hAnsi="Times New Roman" w:eastAsia="黑体" w:cs="Times New Roman"/>
          <w:sz w:val="32"/>
          <w:szCs w:val="32"/>
        </w:rPr>
        <w:t>实施多元化购房支持政策</w:t>
      </w:r>
    </w:p>
    <w:p w14:paraId="555417E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sz w:val="32"/>
          <w:szCs w:val="32"/>
          <w:lang w:val="en-US" w:eastAsia="zh-CN"/>
        </w:rPr>
      </w:pPr>
      <w:r>
        <w:rPr>
          <w:rFonts w:ascii="Times New Roman" w:hAnsi="Times New Roman" w:eastAsia="楷体_GB2312" w:cs="Times New Roman"/>
          <w:b/>
          <w:bCs/>
          <w:sz w:val="32"/>
          <w:szCs w:val="32"/>
        </w:rPr>
        <w:t>（</w:t>
      </w:r>
      <w:r>
        <w:rPr>
          <w:rFonts w:ascii="Times New Roman" w:hAnsi="Times New Roman" w:eastAsia="楷体_GB2312" w:cs="Times New Roman"/>
          <w:b/>
          <w:bCs/>
          <w:sz w:val="32"/>
          <w:szCs w:val="32"/>
          <w:lang w:val="en-US" w:eastAsia="zh-CN"/>
        </w:rPr>
        <w:t>八</w:t>
      </w:r>
      <w:r>
        <w:rPr>
          <w:rFonts w:ascii="Times New Roman" w:hAnsi="Times New Roman" w:eastAsia="楷体_GB2312" w:cs="Times New Roman"/>
          <w:b/>
          <w:bCs/>
          <w:sz w:val="32"/>
          <w:szCs w:val="32"/>
        </w:rPr>
        <w:t>）鼓励各县（市）因地制宜出台购房支持政策。</w:t>
      </w:r>
      <w:r>
        <w:rPr>
          <w:rFonts w:ascii="Times New Roman" w:hAnsi="Times New Roman" w:eastAsia="仿宋_GB2312" w:cs="Times New Roman"/>
          <w:sz w:val="32"/>
          <w:szCs w:val="32"/>
        </w:rPr>
        <w:t>支持各县（市）“一县一策”动态出台促进房地产市场平稳健康发展的政策措施，可在团购、人才安居、多孩家庭购房等方面给予购房补贴或奖励。</w:t>
      </w:r>
      <w:r>
        <w:rPr>
          <w:rFonts w:ascii="Times New Roman" w:hAnsi="Times New Roman" w:eastAsia="仿宋_GB2312" w:cs="Times New Roman"/>
          <w:sz w:val="32"/>
          <w:szCs w:val="32"/>
          <w:lang w:val="en-US" w:eastAsia="zh-CN"/>
        </w:rPr>
        <w:t>鼓励按照《四川省住房“收旧换新”改革试点实施方案》探索开展商品住房“收旧换新”试点。</w:t>
      </w:r>
    </w:p>
    <w:p w14:paraId="7C0550A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楷体_GB2312" w:cs="Times New Roman"/>
          <w:b/>
          <w:bCs/>
          <w:sz w:val="32"/>
          <w:szCs w:val="32"/>
        </w:rPr>
        <w:t>（</w:t>
      </w:r>
      <w:r>
        <w:rPr>
          <w:rFonts w:ascii="Times New Roman" w:hAnsi="Times New Roman" w:eastAsia="楷体_GB2312" w:cs="Times New Roman"/>
          <w:b/>
          <w:bCs/>
          <w:sz w:val="32"/>
          <w:szCs w:val="32"/>
          <w:lang w:val="en-US" w:eastAsia="zh-CN"/>
        </w:rPr>
        <w:t>九</w:t>
      </w:r>
      <w:r>
        <w:rPr>
          <w:rFonts w:ascii="Times New Roman" w:hAnsi="Times New Roman" w:eastAsia="楷体_GB2312" w:cs="Times New Roman"/>
          <w:b/>
          <w:bCs/>
          <w:sz w:val="32"/>
          <w:szCs w:val="32"/>
        </w:rPr>
        <w:t>）推行房票安置。</w:t>
      </w:r>
      <w:r>
        <w:rPr>
          <w:rFonts w:ascii="Times New Roman" w:hAnsi="Times New Roman" w:eastAsia="仿宋_GB2312" w:cs="Times New Roman"/>
          <w:sz w:val="32"/>
          <w:szCs w:val="32"/>
        </w:rPr>
        <w:t>在集体土地征收、山洪地质灾害避险搬迁、</w:t>
      </w:r>
      <w:r>
        <w:rPr>
          <w:rFonts w:ascii="Times New Roman" w:hAnsi="Times New Roman" w:eastAsia="仿宋_GB2312" w:cs="Times New Roman"/>
          <w:sz w:val="32"/>
          <w:szCs w:val="32"/>
          <w:lang w:val="en-US" w:eastAsia="zh-CN"/>
        </w:rPr>
        <w:t>城市危旧房</w:t>
      </w:r>
      <w:r>
        <w:rPr>
          <w:rFonts w:ascii="Times New Roman" w:hAnsi="Times New Roman" w:eastAsia="仿宋_GB2312" w:cs="Times New Roman"/>
          <w:sz w:val="32"/>
          <w:szCs w:val="32"/>
        </w:rPr>
        <w:t>改造等安置工作中，推行以房票形式发放房屋补偿权益。对采用房票安置并实施额外购房奖励的，积极</w:t>
      </w:r>
      <w:r>
        <w:rPr>
          <w:rFonts w:ascii="Times New Roman" w:hAnsi="Times New Roman" w:eastAsia="仿宋_GB2312" w:cs="Times New Roman"/>
          <w:sz w:val="32"/>
          <w:szCs w:val="32"/>
          <w:lang w:val="en-US" w:eastAsia="zh-CN"/>
        </w:rPr>
        <w:t>争取</w:t>
      </w:r>
      <w:r>
        <w:rPr>
          <w:rFonts w:ascii="Times New Roman" w:hAnsi="Times New Roman" w:eastAsia="仿宋_GB2312" w:cs="Times New Roman"/>
          <w:sz w:val="32"/>
          <w:szCs w:val="32"/>
        </w:rPr>
        <w:t>省级补助。</w:t>
      </w:r>
    </w:p>
    <w:p w14:paraId="55B603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sz w:val="32"/>
          <w:szCs w:val="32"/>
        </w:rPr>
      </w:pPr>
      <w:r>
        <w:rPr>
          <w:rFonts w:ascii="Times New Roman" w:hAnsi="Times New Roman" w:eastAsia="黑体" w:cs="Times New Roman"/>
          <w:sz w:val="32"/>
          <w:szCs w:val="32"/>
          <w:lang w:val="en-US" w:eastAsia="zh-CN"/>
        </w:rPr>
        <w:t>五</w:t>
      </w:r>
      <w:r>
        <w:rPr>
          <w:rFonts w:ascii="Times New Roman" w:hAnsi="Times New Roman" w:eastAsia="黑体" w:cs="Times New Roman"/>
          <w:sz w:val="32"/>
          <w:szCs w:val="32"/>
        </w:rPr>
        <w:t>、提升住房供应质量与服务水平</w:t>
      </w:r>
    </w:p>
    <w:p w14:paraId="6D4EE1F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楷体_GB2312" w:cs="Times New Roman"/>
          <w:b/>
          <w:bCs/>
          <w:sz w:val="32"/>
          <w:szCs w:val="32"/>
        </w:rPr>
        <w:t>（</w:t>
      </w:r>
      <w:r>
        <w:rPr>
          <w:rFonts w:ascii="Times New Roman" w:hAnsi="Times New Roman" w:eastAsia="楷体_GB2312" w:cs="Times New Roman"/>
          <w:b/>
          <w:bCs/>
          <w:sz w:val="32"/>
          <w:szCs w:val="32"/>
          <w:lang w:val="en-US" w:eastAsia="zh-CN"/>
        </w:rPr>
        <w:t>十</w:t>
      </w:r>
      <w:r>
        <w:rPr>
          <w:rFonts w:ascii="Times New Roman" w:hAnsi="Times New Roman" w:eastAsia="楷体_GB2312" w:cs="Times New Roman"/>
          <w:b/>
          <w:bCs/>
          <w:sz w:val="32"/>
          <w:szCs w:val="32"/>
        </w:rPr>
        <w:t>）建设“好房子”。</w:t>
      </w:r>
      <w:r>
        <w:rPr>
          <w:rFonts w:ascii="Times New Roman" w:hAnsi="Times New Roman" w:eastAsia="仿宋_GB2312" w:cs="Times New Roman"/>
          <w:sz w:val="32"/>
          <w:szCs w:val="32"/>
        </w:rPr>
        <w:t>以群众需求为导向，突出阿坝州生态宜居特色，引导房地产开发企业优化产品设计，建设安全、舒适、绿色、智慧的“好房子”。落实《住宅项目规范》，推动“好房子、好小区、好社区、好城区”建设。</w:t>
      </w:r>
    </w:p>
    <w:p w14:paraId="099B542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楷体_GB2312" w:cs="Times New Roman"/>
          <w:b/>
          <w:bCs/>
          <w:sz w:val="32"/>
          <w:szCs w:val="32"/>
        </w:rPr>
        <w:t>（十</w:t>
      </w:r>
      <w:r>
        <w:rPr>
          <w:rFonts w:ascii="Times New Roman" w:hAnsi="Times New Roman" w:eastAsia="楷体_GB2312" w:cs="Times New Roman"/>
          <w:b/>
          <w:bCs/>
          <w:sz w:val="32"/>
          <w:szCs w:val="32"/>
          <w:lang w:val="en-US" w:eastAsia="zh-CN"/>
        </w:rPr>
        <w:t>一</w:t>
      </w:r>
      <w:r>
        <w:rPr>
          <w:rFonts w:ascii="Times New Roman" w:hAnsi="Times New Roman" w:eastAsia="楷体_GB2312" w:cs="Times New Roman"/>
          <w:b/>
          <w:bCs/>
          <w:sz w:val="32"/>
          <w:szCs w:val="32"/>
        </w:rPr>
        <w:t>）推进不动产登记全生命周期监管。</w:t>
      </w:r>
      <w:r>
        <w:rPr>
          <w:rFonts w:ascii="Times New Roman" w:hAnsi="Times New Roman" w:eastAsia="仿宋_GB2312" w:cs="Times New Roman"/>
          <w:sz w:val="32"/>
          <w:szCs w:val="32"/>
        </w:rPr>
        <w:t>认真落实四川省自然资源厅等9部门《关于建立国有建设用地上城镇住宅项目不动产登记全生命周期监管长效机制的指导意见》（川自然资发〔2026〕10号）。优化商品住房买卖合同网签、不动产登记、抵押贷款办理等环节流程，强化部门协同。</w:t>
      </w:r>
    </w:p>
    <w:p w14:paraId="5F68BF9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楷体_GB2312" w:cs="Times New Roman"/>
          <w:b/>
          <w:bCs/>
          <w:sz w:val="32"/>
          <w:szCs w:val="32"/>
        </w:rPr>
        <w:t>（十</w:t>
      </w:r>
      <w:r>
        <w:rPr>
          <w:rFonts w:ascii="Times New Roman" w:hAnsi="Times New Roman" w:eastAsia="楷体_GB2312" w:cs="Times New Roman"/>
          <w:b/>
          <w:bCs/>
          <w:sz w:val="32"/>
          <w:szCs w:val="32"/>
          <w:lang w:val="en-US" w:eastAsia="zh-CN"/>
        </w:rPr>
        <w:t>二</w:t>
      </w:r>
      <w:r>
        <w:rPr>
          <w:rFonts w:ascii="Times New Roman" w:hAnsi="Times New Roman" w:eastAsia="楷体_GB2312" w:cs="Times New Roman"/>
          <w:b/>
          <w:bCs/>
          <w:sz w:val="32"/>
          <w:szCs w:val="32"/>
        </w:rPr>
        <w:t>）打造住房消费服务平台。</w:t>
      </w:r>
      <w:r>
        <w:rPr>
          <w:rFonts w:ascii="Times New Roman" w:hAnsi="Times New Roman" w:eastAsia="仿宋_GB2312" w:cs="Times New Roman"/>
          <w:sz w:val="32"/>
          <w:szCs w:val="32"/>
        </w:rPr>
        <w:t>以线上平台和线下活动相结合的方式，集成楼盘推介、金融贷款、业务指导等一站式住房消费服务。常态化开展房产促消费活动，联动商务、文旅等领域举办线下展销推介。</w:t>
      </w:r>
    </w:p>
    <w:p w14:paraId="528B1F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sz w:val="32"/>
          <w:szCs w:val="32"/>
        </w:rPr>
      </w:pPr>
      <w:r>
        <w:rPr>
          <w:rFonts w:ascii="Times New Roman" w:hAnsi="Times New Roman" w:eastAsia="黑体" w:cs="Times New Roman"/>
          <w:sz w:val="32"/>
          <w:szCs w:val="32"/>
          <w:lang w:val="en-US" w:eastAsia="zh-CN"/>
        </w:rPr>
        <w:t>六</w:t>
      </w:r>
      <w:r>
        <w:rPr>
          <w:rFonts w:ascii="Times New Roman" w:hAnsi="Times New Roman" w:eastAsia="黑体" w:cs="Times New Roman"/>
          <w:sz w:val="32"/>
          <w:szCs w:val="32"/>
        </w:rPr>
        <w:t>、附则</w:t>
      </w:r>
    </w:p>
    <w:p w14:paraId="6D0DCF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本政策措施自印发之日起施行</w:t>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rPr>
        <w:t>此前有关规定与本政策措施不一致的，以本政策措施为准。若国家、省有新政策规定</w:t>
      </w:r>
      <w:r>
        <w:rPr>
          <w:rFonts w:ascii="Times New Roman" w:hAnsi="Times New Roman" w:eastAsia="仿宋_GB2312" w:cs="Times New Roman"/>
          <w:sz w:val="32"/>
          <w:szCs w:val="32"/>
          <w:lang w:eastAsia="zh-CN"/>
        </w:rPr>
        <w:t>的</w:t>
      </w:r>
      <w:r>
        <w:rPr>
          <w:rFonts w:ascii="Times New Roman" w:hAnsi="Times New Roman" w:eastAsia="仿宋_GB2312" w:cs="Times New Roman"/>
          <w:sz w:val="32"/>
          <w:szCs w:val="32"/>
        </w:rPr>
        <w:t>，从其规定。</w:t>
      </w:r>
    </w:p>
    <w:p w14:paraId="74912B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本政策措施由阿坝州住房和城乡建设局负责解释。各县（市）可结合本地实际制定实施细则。</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80C0E8D-3517-40FE-BD47-0715DAA2D08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cida Sans">
    <w:altName w:val="Lucida Sans Unicode"/>
    <w:panose1 w:val="020B0602030504020204"/>
    <w:charset w:val="00"/>
    <w:family w:val="auto"/>
    <w:pitch w:val="default"/>
    <w:sig w:usb0="00000000" w:usb1="00000000" w:usb2="00000000" w:usb3="00000000" w:csb0="20000001" w:csb1="00000000"/>
  </w:font>
  <w:font w:name="方正小标宋简体">
    <w:panose1 w:val="02000000000000000000"/>
    <w:charset w:val="86"/>
    <w:family w:val="auto"/>
    <w:pitch w:val="default"/>
    <w:sig w:usb0="00000001" w:usb1="08000000" w:usb2="00000000" w:usb3="00000000" w:csb0="00040000" w:csb1="00000000"/>
    <w:embedRegular r:id="rId2" w:fontKey="{8C24F056-DD0A-4439-A7B6-25B9D611CAA8}"/>
  </w:font>
  <w:font w:name="仿宋_GB2312">
    <w:altName w:val="仿宋"/>
    <w:panose1 w:val="02010609030101010101"/>
    <w:charset w:val="86"/>
    <w:family w:val="auto"/>
    <w:pitch w:val="default"/>
    <w:sig w:usb0="00000000" w:usb1="00000000" w:usb2="00000000" w:usb3="00000000" w:csb0="00040000" w:csb1="00000000"/>
    <w:embedRegular r:id="rId3" w:fontKey="{86A81840-A1CB-4806-8DA2-B4D39CA27277}"/>
  </w:font>
  <w:font w:name="楷体_GB2312">
    <w:altName w:val="楷体"/>
    <w:panose1 w:val="02010609030101010101"/>
    <w:charset w:val="86"/>
    <w:family w:val="auto"/>
    <w:pitch w:val="default"/>
    <w:sig w:usb0="00000000" w:usb1="00000000" w:usb2="00000000" w:usb3="00000000" w:csb0="00040000" w:csb1="00000000"/>
    <w:embedRegular r:id="rId4" w:fontKey="{1847ABAD-AE5A-41D0-A0C9-A90C07159255}"/>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C09E2">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6200" cy="131445"/>
              <wp:effectExtent l="0" t="0" r="0" b="0"/>
              <wp:wrapNone/>
              <wp:docPr id="1" name="文本框 1"/>
              <wp:cNvGraphicFramePr/>
              <a:graphic xmlns:a="http://schemas.openxmlformats.org/drawingml/2006/main">
                <a:graphicData uri="http://schemas.microsoft.com/office/word/2010/wordprocessingShape">
                  <wps:wsp>
                    <wps:cNvSpPr/>
                    <wps:spPr>
                      <a:xfrm>
                        <a:off x="0" y="0"/>
                        <a:ext cx="76200" cy="131433"/>
                      </a:xfrm>
                      <a:prstGeom prst="rect">
                        <a:avLst/>
                      </a:prstGeom>
                      <a:noFill/>
                      <a:ln w="6350" cap="flat" cmpd="sng">
                        <a:noFill/>
                        <a:prstDash val="solid"/>
                        <a:round/>
                      </a:ln>
                      <a:effectLst/>
                    </wps:spPr>
                    <wps:txbx>
                      <w:txbxContent>
                        <w:p w14:paraId="69417FE5">
                          <w:pPr>
                            <w:pStyle w:val="5"/>
                          </w:pP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0.35pt;width:6pt;mso-position-horizontal:center;mso-position-horizontal-relative:margin;mso-wrap-style:none;z-index:251659264;mso-width-relative:page;mso-height-relative:page;" filled="f" stroked="f" coordsize="21600,21600" o:gfxdata="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xVfhx9UAAAADAQAADwAAAAAAAAABACAAAAAiAAAAZHJz&#10;L2Rvd25yZXYueG1sUEsBAhQAFAAAAAgAh07iQIT8xhUHAgAAAQQAAA4AAAAAAAAAAQAgAAAAJAEA&#10;AGRycy9lMm9Eb2MueG1sUEsFBgAAAAAGAAYAWQEAAJ0FAAAAAA==&#10;">
              <v:fill on="f" focussize="0,0"/>
              <v:stroke on="f" weight="0.5pt" joinstyle="round"/>
              <v:imagedata o:title=""/>
              <o:lock v:ext="edit" aspectratio="f"/>
              <v:textbox inset="0mm,0mm,0mm,0mm" style="mso-fit-shape-to-text:t;">
                <w:txbxContent>
                  <w:p w14:paraId="69417FE5">
                    <w:pPr>
                      <w:pStyle w:val="5"/>
                    </w:pP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1C060E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paragraph" w:styleId="2">
    <w:name w:val="heading 1"/>
    <w:basedOn w:val="1"/>
    <w:next w:val="1"/>
    <w:link w:val="1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1"/>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link w:val="12"/>
    <w:qFormat/>
    <w:uiPriority w:val="0"/>
    <w:pPr>
      <w:keepNext/>
      <w:keepLines/>
      <w:spacing w:before="260" w:after="260" w:line="415" w:lineRule="auto"/>
      <w:outlineLvl w:val="2"/>
    </w:pPr>
    <w:rPr>
      <w:b/>
      <w:bCs/>
      <w:sz w:val="32"/>
      <w:szCs w:val="32"/>
    </w:rPr>
  </w:style>
  <w:style w:type="character" w:default="1" w:styleId="8">
    <w:name w:val="Default Paragraph Font"/>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Hyperlink"/>
    <w:basedOn w:val="8"/>
    <w:qFormat/>
    <w:uiPriority w:val="0"/>
    <w:rPr>
      <w:color w:val="0000FF"/>
      <w:u w:val="single"/>
    </w:rPr>
  </w:style>
  <w:style w:type="character" w:customStyle="1" w:styleId="10">
    <w:name w:val="heading 1 Char"/>
    <w:basedOn w:val="8"/>
    <w:link w:val="2"/>
    <w:uiPriority w:val="0"/>
    <w:rPr>
      <w:rFonts w:ascii="Calibri" w:hAnsi="Calibri" w:eastAsia="宋体" w:cs="Arial"/>
      <w:b/>
      <w:bCs/>
      <w:kern w:val="44"/>
      <w:sz w:val="44"/>
      <w:szCs w:val="44"/>
      <w:lang w:val="en-US" w:eastAsia="zh-CN" w:bidi="ar-SA"/>
    </w:rPr>
  </w:style>
  <w:style w:type="character" w:customStyle="1" w:styleId="11">
    <w:name w:val="heading 2 Char"/>
    <w:basedOn w:val="8"/>
    <w:link w:val="3"/>
    <w:qFormat/>
    <w:uiPriority w:val="0"/>
    <w:rPr>
      <w:rFonts w:ascii="Times New Roman" w:hAnsi="Calibri" w:eastAsia="黑体" w:cs="Arial"/>
      <w:b/>
      <w:bCs/>
      <w:kern w:val="2"/>
      <w:sz w:val="32"/>
      <w:szCs w:val="32"/>
      <w:lang w:val="en-US" w:eastAsia="zh-CN" w:bidi="ar-SA"/>
    </w:rPr>
  </w:style>
  <w:style w:type="character" w:customStyle="1" w:styleId="12">
    <w:name w:val="heading 3 Char"/>
    <w:basedOn w:val="8"/>
    <w:link w:val="4"/>
    <w:qFormat/>
    <w:uiPriority w:val="0"/>
    <w:rPr>
      <w:rFonts w:ascii="Calibri" w:hAnsi="Calibri" w:eastAsia="宋体" w:cs="Arial"/>
      <w:b/>
      <w:bCs/>
      <w:kern w:val="2"/>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rgbClr val="000000"/>
      </a:dk1>
      <a:lt1>
        <a:srgbClr val="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
        <a:ea typeface=""/>
        <a:cs typeface=""/>
      </a:majorFont>
      <a:minorFont>
        <a:latin typeface=""/>
        <a:ea typeface=""/>
        <a:cs typeface=""/>
      </a:minorFont>
    </a:fontScheme>
    <a:fmtScheme name="WPS">
      <a:fillStyleLst>
        <a:solidFill>
          <a:schemeClr val="phClr"/>
        </a:solidFill>
        <a:gradFill rotWithShape="1">
          <a:gsLst>
            <a:gs pos="0">
              <a:schemeClr val="phClr">
                <a:lumOff val="17500"/>
              </a:schemeClr>
            </a:gs>
            <a:gs pos="100000">
              <a:schemeClr val="phClr"/>
            </a:gs>
          </a:gsLst>
          <a:lin ang="2700000" scaled="1"/>
        </a:gradFill>
        <a:gradFill rotWithShape="1">
          <a:gsLst>
            <a:gs pos="0">
              <a:schemeClr val="phClr">
                <a:hueOff val="-2520000"/>
              </a:schemeClr>
            </a:gs>
            <a:gs pos="100000">
              <a:schemeClr val="phClr"/>
            </a:gs>
          </a:gsLst>
          <a:lin ang="2700000" scaled="1"/>
        </a:gradFill>
      </a:fillStyleLst>
      <a:lnStyleLst>
        <a:ln w="12700" cap="flat" cmpd="sng">
          <a:solidFill>
            <a:schemeClr val="phClr"/>
          </a:solidFill>
          <a:prstDash val="solid"/>
          <a:miter/>
        </a:ln>
        <a:ln w="12700" cap="flat" cmpd="sng">
          <a:solidFill>
            <a:schemeClr val="phClr"/>
          </a:solidFill>
          <a:prstDash val="solid"/>
          <a:miter/>
        </a:ln>
        <a:ln w="12700" cap="flat" cmpd="sng">
          <a:gradFill rotWithShape="1">
            <a:gsLst>
              <a:gs pos="0">
                <a:schemeClr val="phClr">
                  <a:hueOff val="-4200000"/>
                </a:schemeClr>
              </a:gs>
              <a:gs pos="100000">
                <a:schemeClr val="phClr"/>
              </a:gs>
            </a:gsLst>
            <a:lin ang="2700000" scaled="1"/>
          </a:gradFill>
          <a:prstDash val="solid"/>
          <a:miter/>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ustomData xmlns="http://www.yozosoft.com.cn/officeDocument/2016/customData">
  <customProps>
    <docPr revisions="3 0 5 0 0 0 1 0 0 0 26650 1 1 1 1 1"/>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2722AC-8140-4337-BF3C-40549368516D}">
  <ds:schemaRefs/>
</ds:datastoreItem>
</file>

<file path=docProps/app.xml><?xml version="1.0" encoding="utf-8"?>
<Properties xmlns="http://schemas.openxmlformats.org/officeDocument/2006/extended-properties" xmlns:vt="http://schemas.openxmlformats.org/officeDocument/2006/docPropsVTypes">
  <Template>Normal.eit</Template>
  <Pages>4</Pages>
  <Words>2315</Words>
  <Characters>2397</Characters>
  <Lines>0</Lines>
  <Paragraphs>55</Paragraphs>
  <TotalTime>11</TotalTime>
  <ScaleCrop>false</ScaleCrop>
  <LinksUpToDate>false</LinksUpToDate>
  <CharactersWithSpaces>2424</CharactersWithSpaces>
  <Application>WPS Office_12.1.0.18912_F1E327BC-269C-435d-A152-05C5408002CA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2026-09-01T01:02:00Z</dcterms:created>
  <dc:creator>圆圆o_O</dc:creator>
  <cp:lastModifiedBy>微信用户</cp:lastModifiedBy>
  <cp:lastPrinted>2026-10-12T09:38:00Z</cp:lastPrinted>
  <dcterms:modified xsi:type="dcterms:W3CDTF">2026-10-12T06:58:21Z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C16BDAE269C749D0827638D21E45A090_13</vt:lpwstr>
  </property>
  <property fmtid="{D5CDD505-2E9C-101B-9397-08002B2CF9AE}" pid="4" name="KSOTemplateDocerSaveRecord">
    <vt:lpwstr>eyJoZGlkIjoiODY5YzM2ODE2OTc3MDBjN2Q4N2I1MjAyZGFkZTBiMTkiLCJ1c2VySWQiOiI1MjkwOTQ0NjYifQ==</vt:lpwstr>
  </property>
</Properties>
</file>