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A180C">
      <w:pPr>
        <w:rPr>
          <w:rFonts w:ascii="黑体" w:eastAsia="黑体"/>
          <w:sz w:val="32"/>
          <w:szCs w:val="32"/>
        </w:rPr>
      </w:pPr>
      <w:r>
        <w:rPr>
          <w:rFonts w:ascii="黑体" w:eastAsia="黑体"/>
          <w:sz w:val="32"/>
          <w:szCs w:val="32"/>
        </w:rPr>
        <w:t>附件</w:t>
      </w:r>
      <w:r>
        <w:rPr>
          <w:rFonts w:hint="eastAsia" w:ascii="黑体" w:eastAsia="黑体"/>
          <w:sz w:val="32"/>
          <w:szCs w:val="32"/>
        </w:rPr>
        <w:t>2</w:t>
      </w:r>
    </w:p>
    <w:p w14:paraId="3DF12D3F"/>
    <w:p w14:paraId="090E254C"/>
    <w:p w14:paraId="4CB4CF07"/>
    <w:p w14:paraId="35982E97">
      <w:pPr>
        <w:ind w:firstLine="1050" w:firstLineChars="500"/>
      </w:pPr>
    </w:p>
    <w:p w14:paraId="6CF9C9AA">
      <w:pPr>
        <w:ind w:firstLine="1050" w:firstLineChars="500"/>
      </w:pPr>
    </w:p>
    <w:p w14:paraId="5538663E">
      <w:pPr>
        <w:ind w:firstLine="1760" w:firstLineChars="400"/>
        <w:rPr>
          <w:rFonts w:ascii="黑体" w:eastAsia="黑体"/>
          <w:sz w:val="44"/>
          <w:szCs w:val="44"/>
        </w:rPr>
      </w:pPr>
    </w:p>
    <w:p w14:paraId="02BB6FD1">
      <w:pPr>
        <w:ind w:firstLine="1760" w:firstLineChars="400"/>
        <w:rPr>
          <w:rFonts w:ascii="黑体" w:eastAsia="黑体"/>
          <w:sz w:val="44"/>
          <w:szCs w:val="44"/>
        </w:rPr>
      </w:pPr>
    </w:p>
    <w:p w14:paraId="5C000907">
      <w:pPr>
        <w:jc w:val="center"/>
        <w:rPr>
          <w:rFonts w:hint="eastAsia" w:ascii="黑体" w:eastAsia="黑体"/>
          <w:sz w:val="44"/>
          <w:szCs w:val="44"/>
        </w:rPr>
      </w:pPr>
      <w:r>
        <w:rPr>
          <w:rFonts w:hint="eastAsia" w:ascii="黑体" w:eastAsia="黑体"/>
          <w:sz w:val="44"/>
          <w:szCs w:val="44"/>
        </w:rPr>
        <w:t>阿坝州国家文化公园服务中心</w:t>
      </w:r>
    </w:p>
    <w:p w14:paraId="740CAF2E">
      <w:pPr>
        <w:jc w:val="center"/>
        <w:rPr>
          <w:rFonts w:ascii="黑体" w:eastAsia="黑体"/>
          <w:sz w:val="44"/>
          <w:szCs w:val="44"/>
        </w:rPr>
      </w:pPr>
      <w:r>
        <w:rPr>
          <w:rFonts w:ascii="黑体" w:eastAsia="黑体"/>
          <w:sz w:val="44"/>
          <w:szCs w:val="44"/>
        </w:rPr>
        <w:t>2026</w:t>
      </w:r>
      <w:r>
        <w:rPr>
          <w:rFonts w:hint="eastAsia" w:ascii="黑体" w:eastAsia="黑体"/>
          <w:sz w:val="44"/>
          <w:szCs w:val="44"/>
        </w:rPr>
        <w:t>年部门预算</w:t>
      </w:r>
    </w:p>
    <w:p w14:paraId="45276E93">
      <w:pPr>
        <w:ind w:firstLine="1760" w:firstLineChars="400"/>
        <w:rPr>
          <w:rFonts w:ascii="黑体" w:eastAsia="黑体"/>
          <w:sz w:val="44"/>
          <w:szCs w:val="44"/>
        </w:rPr>
      </w:pPr>
    </w:p>
    <w:p w14:paraId="0A5000EB">
      <w:pPr>
        <w:ind w:firstLine="1760" w:firstLineChars="400"/>
        <w:rPr>
          <w:rFonts w:ascii="黑体" w:eastAsia="黑体"/>
          <w:sz w:val="44"/>
          <w:szCs w:val="44"/>
        </w:rPr>
      </w:pPr>
    </w:p>
    <w:p w14:paraId="04C3133D">
      <w:pPr>
        <w:ind w:firstLine="1760" w:firstLineChars="400"/>
        <w:rPr>
          <w:rFonts w:ascii="黑体" w:eastAsia="黑体"/>
          <w:sz w:val="44"/>
          <w:szCs w:val="44"/>
        </w:rPr>
      </w:pPr>
    </w:p>
    <w:p w14:paraId="3B26D133">
      <w:pPr>
        <w:ind w:firstLine="1760" w:firstLineChars="400"/>
        <w:rPr>
          <w:rFonts w:ascii="黑体" w:eastAsia="黑体"/>
          <w:sz w:val="44"/>
          <w:szCs w:val="44"/>
        </w:rPr>
      </w:pPr>
    </w:p>
    <w:p w14:paraId="23B3957B">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保密审查情况：已经保密审核内容审定</w:t>
      </w:r>
    </w:p>
    <w:p w14:paraId="07749728">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p>
    <w:p w14:paraId="5292E951">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部门主要负责人审签情况：同意对外公开</w:t>
      </w:r>
    </w:p>
    <w:p w14:paraId="04DDAF79">
      <w:pPr>
        <w:keepNext w:val="0"/>
        <w:keepLines w:val="0"/>
        <w:pageBreakBefore w:val="0"/>
        <w:kinsoku/>
        <w:wordWrap/>
        <w:overflowPunct/>
        <w:topLinePunct w:val="0"/>
        <w:bidi w:val="0"/>
        <w:spacing w:beforeAutospacing="0" w:afterAutospacing="0" w:line="560" w:lineRule="exact"/>
        <w:ind w:firstLine="960" w:firstLineChars="300"/>
        <w:rPr>
          <w:rFonts w:hint="eastAsia" w:ascii="仿宋_GB2312" w:hAnsi="仿宋_GB2312" w:eastAsia="仿宋_GB2312" w:cs="仿宋_GB2312"/>
          <w:b w:val="0"/>
          <w:bCs w:val="0"/>
          <w:color w:val="000000"/>
          <w:sz w:val="32"/>
          <w:szCs w:val="32"/>
          <w:lang w:val="en-US" w:eastAsia="zh-CN"/>
        </w:rPr>
      </w:pPr>
    </w:p>
    <w:p w14:paraId="7378CE7E">
      <w:pPr>
        <w:keepNext w:val="0"/>
        <w:keepLines w:val="0"/>
        <w:pageBreakBefore w:val="0"/>
        <w:kinsoku/>
        <w:wordWrap/>
        <w:overflowPunct/>
        <w:topLinePunct w:val="0"/>
        <w:bidi w:val="0"/>
        <w:spacing w:beforeAutospacing="0" w:afterAutospacing="0" w:line="560" w:lineRule="exact"/>
        <w:ind w:firstLine="960" w:firstLineChars="300"/>
      </w:pPr>
      <w:r>
        <w:rPr>
          <w:rFonts w:hint="eastAsia" w:ascii="仿宋_GB2312" w:hAnsi="仿宋_GB2312" w:eastAsia="仿宋_GB2312" w:cs="仿宋_GB2312"/>
          <w:b w:val="0"/>
          <w:bCs w:val="0"/>
          <w:color w:val="000000"/>
          <w:sz w:val="32"/>
          <w:szCs w:val="32"/>
          <w:lang w:val="en-US" w:eastAsia="zh-CN"/>
        </w:rPr>
        <w:t>报送时间：2026年1月</w:t>
      </w:r>
    </w:p>
    <w:p w14:paraId="2D24F655">
      <w:pPr>
        <w:ind w:firstLine="1760" w:firstLineChars="400"/>
        <w:rPr>
          <w:rFonts w:ascii="黑体" w:eastAsia="黑体"/>
          <w:sz w:val="44"/>
          <w:szCs w:val="44"/>
        </w:rPr>
      </w:pPr>
      <w:bookmarkStart w:id="0" w:name="_GoBack"/>
      <w:bookmarkEnd w:id="0"/>
    </w:p>
    <w:p w14:paraId="05C6B5B1">
      <w:pPr>
        <w:ind w:firstLine="1760" w:firstLineChars="400"/>
        <w:rPr>
          <w:rFonts w:ascii="黑体" w:eastAsia="黑体"/>
          <w:sz w:val="44"/>
          <w:szCs w:val="44"/>
        </w:rPr>
      </w:pPr>
    </w:p>
    <w:p w14:paraId="7966B424">
      <w:pPr>
        <w:ind w:firstLine="1760" w:firstLineChars="400"/>
        <w:rPr>
          <w:rFonts w:ascii="黑体" w:eastAsia="黑体"/>
          <w:sz w:val="44"/>
          <w:szCs w:val="44"/>
        </w:rPr>
      </w:pPr>
    </w:p>
    <w:p w14:paraId="6D4442AE">
      <w:pPr>
        <w:ind w:firstLine="1760" w:firstLineChars="400"/>
        <w:rPr>
          <w:rFonts w:ascii="黑体" w:eastAsia="黑体"/>
          <w:sz w:val="44"/>
          <w:szCs w:val="44"/>
        </w:rPr>
      </w:pPr>
    </w:p>
    <w:p w14:paraId="6FC9F953">
      <w:pPr>
        <w:ind w:firstLine="1760" w:firstLineChars="400"/>
        <w:rPr>
          <w:rFonts w:ascii="黑体" w:eastAsia="黑体"/>
          <w:sz w:val="44"/>
          <w:szCs w:val="44"/>
        </w:rPr>
      </w:pPr>
    </w:p>
    <w:p w14:paraId="5B080064">
      <w:pPr>
        <w:rPr>
          <w:rFonts w:ascii="黑体" w:eastAsia="黑体"/>
          <w:sz w:val="44"/>
          <w:szCs w:val="44"/>
        </w:rPr>
      </w:pPr>
      <w:r>
        <w:rPr>
          <w:rFonts w:ascii="黑体" w:eastAsia="黑体"/>
          <w:sz w:val="44"/>
          <w:szCs w:val="44"/>
        </w:rPr>
        <w:br w:type="page"/>
      </w:r>
    </w:p>
    <w:p w14:paraId="49DD7DE0">
      <w:pPr>
        <w:rPr>
          <w:rFonts w:ascii="黑体" w:eastAsia="黑体"/>
          <w:sz w:val="44"/>
          <w:szCs w:val="44"/>
        </w:rPr>
      </w:pPr>
    </w:p>
    <w:p w14:paraId="241A2A64">
      <w:pPr>
        <w:ind w:firstLine="3120" w:firstLineChars="600"/>
        <w:rPr>
          <w:rFonts w:ascii="黑体" w:eastAsia="黑体"/>
          <w:sz w:val="52"/>
          <w:szCs w:val="52"/>
        </w:rPr>
      </w:pPr>
      <w:r>
        <w:rPr>
          <w:rFonts w:hint="eastAsia" w:ascii="黑体" w:eastAsia="黑体"/>
          <w:sz w:val="52"/>
          <w:szCs w:val="52"/>
        </w:rPr>
        <w:t>目录</w:t>
      </w:r>
    </w:p>
    <w:p w14:paraId="1358F261">
      <w:pPr>
        <w:ind w:firstLine="3080" w:firstLineChars="700"/>
        <w:rPr>
          <w:rFonts w:ascii="黑体" w:eastAsia="黑体"/>
          <w:sz w:val="44"/>
          <w:szCs w:val="44"/>
        </w:rPr>
      </w:pPr>
    </w:p>
    <w:p w14:paraId="267F24C9">
      <w:pPr>
        <w:pStyle w:val="10"/>
        <w:ind w:firstLine="0" w:firstLineChars="0"/>
        <w:rPr>
          <w:rFonts w:ascii="黑体" w:eastAsia="黑体"/>
          <w:sz w:val="32"/>
          <w:szCs w:val="32"/>
        </w:rPr>
      </w:pPr>
      <w:r>
        <w:rPr>
          <w:rFonts w:hint="eastAsia" w:ascii="黑体" w:eastAsia="黑体"/>
          <w:sz w:val="32"/>
          <w:szCs w:val="32"/>
        </w:rPr>
        <w:t>一、基本职能及主要工作</w:t>
      </w:r>
    </w:p>
    <w:p w14:paraId="073BA7EC">
      <w:pPr>
        <w:rPr>
          <w:rFonts w:ascii="楷体" w:eastAsia="楷体"/>
          <w:sz w:val="32"/>
          <w:szCs w:val="32"/>
        </w:rPr>
      </w:pPr>
      <w:r>
        <w:rPr>
          <w:rFonts w:hint="eastAsia" w:ascii="楷体" w:eastAsia="楷体"/>
          <w:sz w:val="32"/>
          <w:szCs w:val="32"/>
        </w:rPr>
        <w:t>（一）部门职能简介</w:t>
      </w:r>
    </w:p>
    <w:p w14:paraId="3AF20755">
      <w:pPr>
        <w:rPr>
          <w:rFonts w:ascii="楷体" w:eastAsia="楷体"/>
          <w:sz w:val="32"/>
          <w:szCs w:val="32"/>
        </w:rPr>
      </w:pPr>
      <w:r>
        <w:rPr>
          <w:rFonts w:hint="eastAsia" w:ascii="楷体" w:eastAsia="楷体"/>
          <w:sz w:val="32"/>
          <w:szCs w:val="32"/>
        </w:rPr>
        <w:t>（二）</w:t>
      </w:r>
      <w:r>
        <w:rPr>
          <w:rFonts w:ascii="楷体" w:eastAsia="楷体"/>
          <w:sz w:val="32"/>
          <w:szCs w:val="32"/>
        </w:rPr>
        <w:t>2026</w:t>
      </w:r>
      <w:r>
        <w:rPr>
          <w:rFonts w:hint="eastAsia" w:ascii="楷体" w:eastAsia="楷体"/>
          <w:sz w:val="32"/>
          <w:szCs w:val="32"/>
        </w:rPr>
        <w:t>年重点工作</w:t>
      </w:r>
    </w:p>
    <w:p w14:paraId="1824C0C5">
      <w:pPr>
        <w:rPr>
          <w:rFonts w:ascii="黑体" w:eastAsia="黑体"/>
          <w:sz w:val="32"/>
          <w:szCs w:val="32"/>
        </w:rPr>
      </w:pPr>
      <w:r>
        <w:rPr>
          <w:rFonts w:hint="eastAsia" w:ascii="黑体" w:eastAsia="黑体"/>
          <w:sz w:val="32"/>
          <w:szCs w:val="32"/>
        </w:rPr>
        <w:t>二、部门预算单位构成</w:t>
      </w:r>
    </w:p>
    <w:p w14:paraId="2382C7CB">
      <w:pPr>
        <w:rPr>
          <w:rFonts w:ascii="黑体" w:eastAsia="黑体"/>
          <w:sz w:val="32"/>
          <w:szCs w:val="32"/>
        </w:rPr>
      </w:pPr>
      <w:r>
        <w:rPr>
          <w:rFonts w:hint="eastAsia" w:ascii="黑体" w:eastAsia="黑体"/>
          <w:sz w:val="32"/>
          <w:szCs w:val="32"/>
        </w:rPr>
        <w:t>三、收支预算情况说明</w:t>
      </w:r>
    </w:p>
    <w:p w14:paraId="03A13722">
      <w:pPr>
        <w:rPr>
          <w:rFonts w:ascii="楷体" w:eastAsia="楷体"/>
          <w:sz w:val="32"/>
          <w:szCs w:val="32"/>
        </w:rPr>
      </w:pPr>
      <w:r>
        <w:rPr>
          <w:rFonts w:hint="eastAsia" w:ascii="楷体" w:eastAsia="楷体"/>
          <w:sz w:val="32"/>
          <w:szCs w:val="32"/>
        </w:rPr>
        <w:t>（一）收入预算情况</w:t>
      </w:r>
    </w:p>
    <w:p w14:paraId="7A29D801">
      <w:pPr>
        <w:rPr>
          <w:rFonts w:ascii="楷体" w:eastAsia="楷体"/>
          <w:sz w:val="32"/>
          <w:szCs w:val="32"/>
        </w:rPr>
      </w:pPr>
      <w:r>
        <w:rPr>
          <w:rFonts w:hint="eastAsia" w:ascii="楷体" w:eastAsia="楷体"/>
          <w:sz w:val="32"/>
          <w:szCs w:val="32"/>
        </w:rPr>
        <w:t>（二）支出预算情况</w:t>
      </w:r>
    </w:p>
    <w:p w14:paraId="0AE0BC9C">
      <w:pPr>
        <w:rPr>
          <w:rFonts w:ascii="黑体" w:eastAsia="黑体"/>
          <w:sz w:val="32"/>
          <w:szCs w:val="32"/>
        </w:rPr>
      </w:pPr>
      <w:r>
        <w:rPr>
          <w:rFonts w:hint="eastAsia" w:ascii="黑体" w:eastAsia="黑体"/>
          <w:sz w:val="32"/>
          <w:szCs w:val="32"/>
        </w:rPr>
        <w:t>四、财政拨款收支预算情况说明</w:t>
      </w:r>
    </w:p>
    <w:p w14:paraId="2A5C2F54">
      <w:pPr>
        <w:rPr>
          <w:rFonts w:ascii="黑体" w:eastAsia="黑体"/>
          <w:sz w:val="32"/>
          <w:szCs w:val="32"/>
        </w:rPr>
      </w:pPr>
      <w:r>
        <w:rPr>
          <w:rFonts w:hint="eastAsia" w:ascii="黑体" w:eastAsia="黑体"/>
          <w:sz w:val="32"/>
          <w:szCs w:val="32"/>
        </w:rPr>
        <w:t>五、一般公共预算当年拨款情况说明</w:t>
      </w:r>
    </w:p>
    <w:p w14:paraId="3D104501">
      <w:pPr>
        <w:rPr>
          <w:rFonts w:ascii="黑体" w:eastAsia="黑体"/>
          <w:sz w:val="32"/>
          <w:szCs w:val="32"/>
        </w:rPr>
      </w:pPr>
      <w:r>
        <w:rPr>
          <w:rFonts w:hint="eastAsia" w:ascii="楷体" w:eastAsia="楷体"/>
          <w:sz w:val="32"/>
          <w:szCs w:val="32"/>
        </w:rPr>
        <w:t>（一）一般公共预算当年拨款规模变化情况</w:t>
      </w:r>
      <w:r>
        <w:rPr>
          <w:rFonts w:ascii="楷体" w:eastAsia="楷体"/>
          <w:sz w:val="32"/>
          <w:szCs w:val="32"/>
        </w:rPr>
        <w:br w:type="textWrapping"/>
      </w:r>
      <w:r>
        <w:rPr>
          <w:rFonts w:hint="eastAsia" w:ascii="楷体" w:eastAsia="楷体"/>
          <w:sz w:val="32"/>
          <w:szCs w:val="32"/>
        </w:rPr>
        <w:t>（二）一般公共预算当年拨款结构情况</w:t>
      </w:r>
      <w:r>
        <w:rPr>
          <w:rFonts w:ascii="楷体" w:eastAsia="楷体"/>
          <w:sz w:val="32"/>
          <w:szCs w:val="32"/>
        </w:rPr>
        <w:br w:type="textWrapping"/>
      </w:r>
      <w:r>
        <w:rPr>
          <w:rFonts w:hint="eastAsia" w:ascii="楷体" w:eastAsia="楷体"/>
          <w:sz w:val="32"/>
          <w:szCs w:val="32"/>
        </w:rPr>
        <w:t>（三）一般公共预算当年拨款具体使用情况</w:t>
      </w:r>
      <w:r>
        <w:rPr>
          <w:rFonts w:ascii="??" w:hAnsi="??" w:cs="宋体"/>
          <w:kern w:val="0"/>
          <w:sz w:val="16"/>
          <w:szCs w:val="16"/>
        </w:rPr>
        <w:br w:type="textWrapping"/>
      </w:r>
      <w:r>
        <w:rPr>
          <w:rFonts w:hint="eastAsia" w:ascii="黑体" w:eastAsia="黑体"/>
          <w:sz w:val="32"/>
          <w:szCs w:val="32"/>
        </w:rPr>
        <w:t>六、一般公共预算基本支出情况说明</w:t>
      </w:r>
      <w:r>
        <w:rPr>
          <w:rFonts w:ascii="黑体" w:eastAsia="黑体"/>
          <w:sz w:val="32"/>
          <w:szCs w:val="32"/>
        </w:rPr>
        <w:br w:type="textWrapping"/>
      </w:r>
      <w:r>
        <w:rPr>
          <w:rFonts w:hint="eastAsia" w:ascii="黑体" w:eastAsia="黑体"/>
          <w:sz w:val="32"/>
          <w:szCs w:val="32"/>
        </w:rPr>
        <w:t>七、“三公”经费财政拨款预算安排情况说明</w:t>
      </w:r>
      <w:r>
        <w:rPr>
          <w:rFonts w:ascii="黑体" w:eastAsia="黑体"/>
          <w:sz w:val="32"/>
          <w:szCs w:val="32"/>
        </w:rPr>
        <w:br w:type="textWrapping"/>
      </w:r>
      <w:r>
        <w:rPr>
          <w:rFonts w:hint="eastAsia" w:ascii="黑体" w:eastAsia="黑体"/>
          <w:sz w:val="32"/>
          <w:szCs w:val="32"/>
        </w:rPr>
        <w:t>八、政府性基金预算支出情况说明</w:t>
      </w:r>
      <w:r>
        <w:rPr>
          <w:rFonts w:ascii="黑体" w:eastAsia="黑体"/>
          <w:sz w:val="32"/>
          <w:szCs w:val="32"/>
        </w:rPr>
        <w:br w:type="textWrapping"/>
      </w:r>
      <w:r>
        <w:rPr>
          <w:rFonts w:hint="eastAsia" w:ascii="黑体" w:eastAsia="黑体"/>
          <w:sz w:val="32"/>
          <w:szCs w:val="32"/>
        </w:rPr>
        <w:t>九、其他重要事项的情况说明</w:t>
      </w:r>
      <w:r>
        <w:rPr>
          <w:rFonts w:ascii="黑体" w:eastAsia="黑体"/>
          <w:sz w:val="32"/>
          <w:szCs w:val="32"/>
        </w:rPr>
        <w:br w:type="textWrapping"/>
      </w:r>
      <w:r>
        <w:rPr>
          <w:rFonts w:hint="eastAsia" w:ascii="黑体" w:eastAsia="黑体"/>
          <w:sz w:val="32"/>
          <w:szCs w:val="32"/>
        </w:rPr>
        <w:t>十、名称解释</w:t>
      </w:r>
    </w:p>
    <w:p w14:paraId="2F2A461F">
      <w:pPr>
        <w:rPr>
          <w:rFonts w:ascii="黑体" w:eastAsia="黑体"/>
          <w:sz w:val="32"/>
          <w:szCs w:val="32"/>
        </w:rPr>
      </w:pPr>
    </w:p>
    <w:p w14:paraId="2B366EFB">
      <w:pPr>
        <w:widowControl/>
        <w:shd w:val="clear" w:color="auto" w:fill="FFFFFF"/>
        <w:spacing w:before="100" w:beforeAutospacing="1" w:after="100" w:afterAutospacing="1" w:line="290" w:lineRule="atLeast"/>
        <w:ind w:right="300"/>
        <w:jc w:val="left"/>
        <w:rPr>
          <w:rFonts w:ascii="??" w:hAnsi="??" w:cs="宋体"/>
          <w:kern w:val="0"/>
          <w:sz w:val="12"/>
          <w:szCs w:val="12"/>
        </w:rPr>
      </w:pPr>
    </w:p>
    <w:p w14:paraId="5C2862FA">
      <w:pPr>
        <w:pStyle w:val="10"/>
        <w:keepNext w:val="0"/>
        <w:keepLines w:val="0"/>
        <w:pageBreakBefore w:val="0"/>
        <w:kinsoku/>
        <w:wordWrap/>
        <w:overflowPunct/>
        <w:topLinePunct w:val="0"/>
        <w:bidi w:val="0"/>
        <w:spacing w:line="600" w:lineRule="exact"/>
        <w:textAlignment w:val="auto"/>
        <w:rPr>
          <w:rFonts w:ascii="黑体" w:eastAsia="黑体"/>
          <w:sz w:val="32"/>
          <w:szCs w:val="32"/>
        </w:rPr>
      </w:pPr>
      <w:r>
        <w:rPr>
          <w:rFonts w:hint="eastAsia" w:ascii="黑体" w:eastAsia="黑体"/>
          <w:sz w:val="32"/>
          <w:szCs w:val="32"/>
        </w:rPr>
        <w:t>一、基本职能及主要工作</w:t>
      </w:r>
    </w:p>
    <w:p w14:paraId="7363C87E">
      <w:pPr>
        <w:keepNext w:val="0"/>
        <w:keepLines w:val="0"/>
        <w:pageBreakBefore w:val="0"/>
        <w:kinsoku/>
        <w:wordWrap/>
        <w:overflowPunct/>
        <w:topLinePunct w:val="0"/>
        <w:bidi w:val="0"/>
        <w:spacing w:line="600" w:lineRule="exact"/>
        <w:ind w:firstLine="643" w:firstLineChars="200"/>
        <w:textAlignment w:val="auto"/>
        <w:rPr>
          <w:rFonts w:ascii="楷体" w:eastAsia="楷体"/>
          <w:b/>
          <w:bCs/>
          <w:sz w:val="32"/>
          <w:szCs w:val="32"/>
        </w:rPr>
      </w:pPr>
      <w:r>
        <w:rPr>
          <w:rFonts w:hint="eastAsia" w:ascii="楷体" w:eastAsia="楷体"/>
          <w:b/>
          <w:bCs/>
          <w:sz w:val="32"/>
          <w:szCs w:val="32"/>
        </w:rPr>
        <w:t>（一）部门职能简介</w:t>
      </w:r>
    </w:p>
    <w:p w14:paraId="3EA6051C">
      <w:pPr>
        <w:pStyle w:val="12"/>
        <w:keepNext w:val="0"/>
        <w:keepLines w:val="0"/>
        <w:pageBreakBefore w:val="0"/>
        <w:widowControl/>
        <w:suppressLineNumbers w:val="0"/>
        <w:kinsoku/>
        <w:wordWrap/>
        <w:overflowPunct/>
        <w:topLinePunct w:val="0"/>
        <w:autoSpaceDE w:val="0"/>
        <w:autoSpaceDN/>
        <w:bidi w:val="0"/>
        <w:adjustRightInd/>
        <w:spacing w:before="0" w:beforeAutospacing="0" w:after="0" w:afterAutospacing="0" w:line="600" w:lineRule="exact"/>
        <w:ind w:left="0" w:firstLine="632" w:firstLineChars="200"/>
        <w:jc w:val="left"/>
        <w:textAlignment w:val="auto"/>
        <w:rPr>
          <w:rFonts w:hint="eastAsia" w:ascii="仿宋_GB2312" w:hAnsi="Times New Roman" w:eastAsia="仿宋_GB2312" w:cs="仿宋_GB2312"/>
          <w:spacing w:val="-2"/>
          <w:kern w:val="2"/>
          <w:sz w:val="32"/>
          <w:szCs w:val="32"/>
        </w:rPr>
      </w:pPr>
      <w:r>
        <w:rPr>
          <w:rFonts w:hint="eastAsia" w:ascii="仿宋_GB2312" w:hAnsi="Times New Roman" w:eastAsia="仿宋_GB2312" w:cs="仿宋_GB2312"/>
          <w:spacing w:val="-2"/>
          <w:kern w:val="2"/>
          <w:sz w:val="32"/>
          <w:szCs w:val="32"/>
        </w:rPr>
        <w:t>阿坝州</w:t>
      </w:r>
      <w:r>
        <w:rPr>
          <w:rFonts w:hint="eastAsia" w:ascii="仿宋_GB2312" w:hAnsi="Times New Roman" w:eastAsia="仿宋_GB2312" w:cs="仿宋_GB2312"/>
          <w:spacing w:val="-2"/>
          <w:kern w:val="2"/>
          <w:sz w:val="32"/>
          <w:szCs w:val="32"/>
          <w:lang w:eastAsia="zh-CN"/>
        </w:rPr>
        <w:t>国家文化公园服务中心</w:t>
      </w:r>
      <w:r>
        <w:rPr>
          <w:rFonts w:hint="eastAsia" w:ascii="仿宋_GB2312" w:hAnsi="Times New Roman" w:eastAsia="仿宋_GB2312" w:cs="仿宋_GB2312"/>
          <w:spacing w:val="-2"/>
          <w:kern w:val="2"/>
          <w:sz w:val="32"/>
          <w:szCs w:val="32"/>
        </w:rPr>
        <w:t>报告主体包含阿坝州文化体育和旅游局</w:t>
      </w:r>
      <w:r>
        <w:rPr>
          <w:rFonts w:hint="eastAsia" w:ascii="Times New Roman" w:hAnsi="Times New Roman" w:eastAsia="仿宋_GB2312" w:cs="Times New Roman"/>
          <w:spacing w:val="-2"/>
          <w:kern w:val="2"/>
          <w:sz w:val="32"/>
          <w:szCs w:val="32"/>
          <w:lang w:val="en-US" w:eastAsia="zh-CN"/>
        </w:rPr>
        <w:t>5</w:t>
      </w:r>
      <w:r>
        <w:rPr>
          <w:rFonts w:hint="eastAsia" w:ascii="仿宋_GB2312" w:hAnsi="Times New Roman" w:eastAsia="仿宋_GB2312" w:cs="仿宋_GB2312"/>
          <w:spacing w:val="-2"/>
          <w:kern w:val="2"/>
          <w:sz w:val="32"/>
          <w:szCs w:val="32"/>
        </w:rPr>
        <w:t>个非独立核算事业单位，</w:t>
      </w:r>
      <w:r>
        <w:rPr>
          <w:rFonts w:hint="eastAsia" w:ascii="Times New Roman" w:hAnsi="Times New Roman" w:eastAsia="仿宋_GB2312" w:cs="Times New Roman"/>
          <w:spacing w:val="-2"/>
          <w:kern w:val="2"/>
          <w:sz w:val="32"/>
          <w:szCs w:val="32"/>
          <w:lang w:val="en-US" w:eastAsia="zh-CN"/>
        </w:rPr>
        <w:t>5</w:t>
      </w:r>
      <w:r>
        <w:rPr>
          <w:rFonts w:hint="eastAsia" w:ascii="仿宋_GB2312" w:hAnsi="Times New Roman" w:eastAsia="仿宋_GB2312" w:cs="仿宋_GB2312"/>
          <w:spacing w:val="-2"/>
          <w:kern w:val="2"/>
          <w:sz w:val="32"/>
          <w:szCs w:val="32"/>
        </w:rPr>
        <w:t>个单位主要职能分别如下：</w:t>
      </w:r>
    </w:p>
    <w:p w14:paraId="58B93E9A">
      <w:pPr>
        <w:keepNext w:val="0"/>
        <w:keepLines w:val="0"/>
        <w:pageBreakBefore w:val="0"/>
        <w:widowControl/>
        <w:suppressLineNumbers w:val="0"/>
        <w:kinsoku/>
        <w:wordWrap/>
        <w:overflowPunct/>
        <w:topLinePunct w:val="0"/>
        <w:autoSpaceDE w:val="0"/>
        <w:autoSpaceDN/>
        <w:bidi w:val="0"/>
        <w:adjustRightInd/>
        <w:snapToGrid w:val="0"/>
        <w:spacing w:beforeAutospacing="0" w:afterAutospacing="0" w:line="600" w:lineRule="exact"/>
        <w:ind w:left="0" w:firstLine="632" w:firstLineChars="200"/>
        <w:textAlignment w:val="auto"/>
        <w:rPr>
          <w:rFonts w:hint="eastAsia" w:ascii="仿宋_GB2312" w:hAnsi="Times New Roman" w:eastAsia="仿宋_GB2312" w:cs="仿宋_GB2312"/>
          <w:spacing w:val="-2"/>
          <w:kern w:val="2"/>
          <w:sz w:val="32"/>
          <w:szCs w:val="32"/>
        </w:rPr>
      </w:pPr>
      <w:r>
        <w:rPr>
          <w:rFonts w:hint="eastAsia" w:ascii="仿宋_GB2312" w:hAnsi="Times New Roman" w:eastAsia="仿宋_GB2312" w:cs="仿宋_GB2312"/>
          <w:spacing w:val="-2"/>
          <w:kern w:val="2"/>
          <w:sz w:val="32"/>
          <w:szCs w:val="32"/>
        </w:rPr>
        <w:t>阿坝州全域旅游产业发展中心主要负责推进全州文化、体育和旅游产业融合发展，促进文化、体育和旅游与相关产业融合发展。</w:t>
      </w:r>
    </w:p>
    <w:p w14:paraId="47AD60D6">
      <w:pPr>
        <w:keepNext w:val="0"/>
        <w:keepLines w:val="0"/>
        <w:pageBreakBefore w:val="0"/>
        <w:widowControl/>
        <w:suppressLineNumbers w:val="0"/>
        <w:kinsoku/>
        <w:wordWrap/>
        <w:overflowPunct/>
        <w:topLinePunct w:val="0"/>
        <w:autoSpaceDE w:val="0"/>
        <w:autoSpaceDN/>
        <w:bidi w:val="0"/>
        <w:adjustRightInd/>
        <w:snapToGrid w:val="0"/>
        <w:spacing w:beforeAutospacing="0" w:afterAutospacing="0" w:line="600" w:lineRule="exact"/>
        <w:ind w:left="0" w:firstLine="632" w:firstLineChars="200"/>
        <w:textAlignment w:val="auto"/>
        <w:rPr>
          <w:rFonts w:hint="eastAsia" w:ascii="仿宋_GB2312" w:hAnsi="Times New Roman" w:eastAsia="仿宋_GB2312" w:cs="仿宋_GB2312"/>
          <w:spacing w:val="-2"/>
          <w:kern w:val="2"/>
          <w:sz w:val="32"/>
          <w:szCs w:val="32"/>
        </w:rPr>
      </w:pPr>
      <w:r>
        <w:rPr>
          <w:rFonts w:hint="eastAsia" w:ascii="仿宋_GB2312" w:hAnsi="Times New Roman" w:eastAsia="仿宋_GB2312" w:cs="仿宋_GB2312"/>
          <w:spacing w:val="-2"/>
          <w:kern w:val="2"/>
          <w:sz w:val="32"/>
          <w:szCs w:val="32"/>
          <w:lang w:eastAsia="zh-CN"/>
        </w:rPr>
        <w:t>阿坝州国家文化公园服务中心主要负责</w:t>
      </w:r>
      <w:r>
        <w:rPr>
          <w:rFonts w:hint="eastAsia" w:ascii="仿宋_GB2312" w:hAnsi="Times New Roman" w:eastAsia="仿宋_GB2312" w:cs="仿宋_GB2312"/>
          <w:spacing w:val="-2"/>
          <w:kern w:val="2"/>
          <w:sz w:val="32"/>
          <w:szCs w:val="32"/>
        </w:rPr>
        <w:t>承担阿坝州国家文化公园建设的事务性工作等职责;协助拟订全州国家文化公园发展规划并组织实施；统筹协调和指导全州各县（市）开展国家文化公园相关资源的收集、挖掘、整理、研究和保护管理运用等业务工作；开展相关文化宣传教育和学术研究;负责相关项目申报并组织实施。</w:t>
      </w:r>
    </w:p>
    <w:p w14:paraId="68E3DFA2">
      <w:pPr>
        <w:keepNext w:val="0"/>
        <w:keepLines w:val="0"/>
        <w:pageBreakBefore w:val="0"/>
        <w:widowControl/>
        <w:suppressLineNumbers w:val="0"/>
        <w:kinsoku/>
        <w:wordWrap/>
        <w:overflowPunct/>
        <w:topLinePunct w:val="0"/>
        <w:autoSpaceDE w:val="0"/>
        <w:autoSpaceDN/>
        <w:bidi w:val="0"/>
        <w:adjustRightInd/>
        <w:snapToGrid w:val="0"/>
        <w:spacing w:beforeAutospacing="0" w:afterAutospacing="0" w:line="600" w:lineRule="exact"/>
        <w:ind w:left="0" w:firstLine="632" w:firstLineChars="200"/>
        <w:textAlignment w:val="auto"/>
        <w:rPr>
          <w:rFonts w:hint="eastAsia" w:ascii="仿宋_GB2312" w:hAnsi="Times New Roman" w:eastAsia="仿宋_GB2312" w:cs="仿宋_GB2312"/>
          <w:spacing w:val="-2"/>
          <w:kern w:val="2"/>
          <w:sz w:val="32"/>
          <w:szCs w:val="32"/>
        </w:rPr>
      </w:pPr>
      <w:r>
        <w:rPr>
          <w:rFonts w:hint="eastAsia" w:ascii="仿宋_GB2312" w:hAnsi="Times New Roman" w:eastAsia="仿宋_GB2312" w:cs="仿宋_GB2312"/>
          <w:spacing w:val="-2"/>
          <w:kern w:val="2"/>
          <w:sz w:val="32"/>
          <w:szCs w:val="32"/>
        </w:rPr>
        <w:t>阿坝全域旅游营销中心负责年度旅游营销计划的制定和执行以及全域旅游整体形象推广。实施开展全州旅游市场整体营销、市场开发、形象设计、重大旅游节庆活动策划以及境内外旅游交易与交流合作等工作。</w:t>
      </w:r>
    </w:p>
    <w:p w14:paraId="5116996B">
      <w:pPr>
        <w:keepNext w:val="0"/>
        <w:keepLines w:val="0"/>
        <w:pageBreakBefore w:val="0"/>
        <w:widowControl/>
        <w:suppressLineNumbers w:val="0"/>
        <w:kinsoku/>
        <w:wordWrap/>
        <w:overflowPunct/>
        <w:topLinePunct w:val="0"/>
        <w:autoSpaceDE w:val="0"/>
        <w:autoSpaceDN/>
        <w:bidi w:val="0"/>
        <w:adjustRightInd/>
        <w:snapToGrid w:val="0"/>
        <w:spacing w:beforeAutospacing="0" w:afterAutospacing="0" w:line="600" w:lineRule="exact"/>
        <w:ind w:left="0" w:firstLine="632" w:firstLineChars="200"/>
        <w:textAlignment w:val="auto"/>
        <w:rPr>
          <w:rFonts w:hint="eastAsia" w:ascii="仿宋_GB2312" w:hAnsi="Times New Roman" w:eastAsia="仿宋_GB2312" w:cs="仿宋_GB2312"/>
          <w:spacing w:val="-2"/>
          <w:kern w:val="2"/>
          <w:sz w:val="32"/>
          <w:szCs w:val="32"/>
        </w:rPr>
      </w:pPr>
      <w:r>
        <w:rPr>
          <w:rFonts w:hint="eastAsia" w:ascii="仿宋_GB2312" w:hAnsi="Times New Roman" w:eastAsia="仿宋_GB2312" w:cs="仿宋_GB2312"/>
          <w:spacing w:val="-2"/>
          <w:kern w:val="2"/>
          <w:sz w:val="32"/>
          <w:szCs w:val="32"/>
        </w:rPr>
        <w:t>阿坝州全域旅游应急指挥中心负责迅速、有效地处置全州旅游突发事件，提高各类旅游突发事件应急处置能力，最大限度地保障旅游者和旅游经营者的生命财产安全，增强整体防范水平和抗风险能力，促进旅游业安全、有序、可持续发展。</w:t>
      </w:r>
    </w:p>
    <w:p w14:paraId="0374D4DC">
      <w:pPr>
        <w:keepNext w:val="0"/>
        <w:keepLines w:val="0"/>
        <w:pageBreakBefore w:val="0"/>
        <w:kinsoku/>
        <w:wordWrap/>
        <w:overflowPunct/>
        <w:topLinePunct w:val="0"/>
        <w:bidi w:val="0"/>
        <w:spacing w:line="600" w:lineRule="exact"/>
        <w:ind w:firstLine="632" w:firstLineChars="200"/>
        <w:textAlignment w:val="auto"/>
        <w:rPr>
          <w:rFonts w:hint="default" w:ascii="仿宋_GB2312" w:hAnsi="Times New Roman" w:eastAsia="仿宋_GB2312" w:cs="仿宋_GB2312"/>
          <w:spacing w:val="-2"/>
          <w:kern w:val="2"/>
          <w:sz w:val="32"/>
          <w:szCs w:val="32"/>
          <w:highlight w:val="none"/>
          <w:lang w:val="en-US" w:eastAsia="zh-CN"/>
        </w:rPr>
      </w:pPr>
      <w:r>
        <w:rPr>
          <w:rFonts w:hint="eastAsia" w:ascii="仿宋_GB2312" w:hAnsi="Times New Roman" w:eastAsia="仿宋_GB2312" w:cs="仿宋_GB2312"/>
          <w:spacing w:val="-2"/>
          <w:kern w:val="2"/>
          <w:sz w:val="32"/>
          <w:szCs w:val="32"/>
          <w:highlight w:val="none"/>
          <w:lang w:val="en-US" w:eastAsia="zh-CN"/>
        </w:rPr>
        <w:t>州文化生态保护区服务中心负责阿坝州各级文化生态保护区建设、项目争取、组织管理、协调服务等行政辅助和事务性工作。</w:t>
      </w:r>
    </w:p>
    <w:p w14:paraId="17653B82">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（二）2026年重点工作</w:t>
      </w:r>
    </w:p>
    <w:p w14:paraId="5E611049">
      <w:pPr>
        <w:pStyle w:val="10"/>
        <w:keepNext w:val="0"/>
        <w:keepLines w:val="0"/>
        <w:pageBreakBefore w:val="0"/>
        <w:numPr>
          <w:ilvl w:val="0"/>
          <w:numId w:val="0"/>
        </w:numPr>
        <w:kinsoku/>
        <w:wordWrap/>
        <w:overflowPunct/>
        <w:topLinePunct w:val="0"/>
        <w:bidi w:val="0"/>
        <w:spacing w:line="600" w:lineRule="exact"/>
        <w:ind w:firstLine="640" w:firstLineChars="200"/>
        <w:textAlignment w:val="auto"/>
        <w:rPr>
          <w:rFonts w:hint="eastAsia" w:ascii="Times New Roman" w:hAnsi="Times New Roman" w:eastAsia="方正仿宋_GBK" w:cs="Times New Roman"/>
          <w:b w:val="0"/>
          <w:bCs w:val="0"/>
          <w:sz w:val="32"/>
          <w:szCs w:val="32"/>
          <w:lang w:val="en-US" w:eastAsia="zh-CN"/>
        </w:rPr>
      </w:pPr>
      <w:r>
        <w:rPr>
          <w:rFonts w:hint="eastAsia" w:ascii="仿宋_GB2312" w:hAnsi="仿宋_GB2312" w:eastAsia="仿宋_GB2312" w:cs="仿宋_GB2312"/>
          <w:b w:val="0"/>
          <w:bCs w:val="0"/>
          <w:sz w:val="32"/>
          <w:szCs w:val="32"/>
          <w:lang w:val="en-US" w:eastAsia="zh-CN"/>
        </w:rPr>
        <w:t>2026年，我们将围绕“六大任务”，着力抓好“八大行动”。</w:t>
      </w:r>
      <w:r>
        <w:rPr>
          <w:rFonts w:hint="eastAsia" w:ascii="仿宋_GB2312" w:hAnsi="仿宋_GB2312" w:eastAsia="仿宋_GB2312" w:cs="仿宋_GB2312"/>
          <w:b/>
          <w:bCs/>
          <w:sz w:val="32"/>
          <w:szCs w:val="32"/>
          <w:lang w:val="en-US" w:eastAsia="zh-CN"/>
        </w:rPr>
        <w:t>一是规划引领行动。</w:t>
      </w:r>
      <w:r>
        <w:rPr>
          <w:rFonts w:hint="eastAsia" w:ascii="仿宋_GB2312" w:hAnsi="仿宋_GB2312" w:eastAsia="仿宋_GB2312" w:cs="仿宋_GB2312"/>
          <w:b w:val="0"/>
          <w:bCs w:val="0"/>
          <w:sz w:val="32"/>
          <w:szCs w:val="32"/>
          <w:lang w:val="en-US" w:eastAsia="zh-CN"/>
        </w:rPr>
        <w:t>持续修改完善《国际生态文化旅游目的地规划》，深入梳理行业项目纳入十五五及相关规划。</w:t>
      </w:r>
      <w:r>
        <w:rPr>
          <w:rFonts w:hint="eastAsia" w:ascii="仿宋_GB2312" w:hAnsi="仿宋_GB2312" w:eastAsia="仿宋_GB2312" w:cs="仿宋_GB2312"/>
          <w:b/>
          <w:bCs/>
          <w:sz w:val="32"/>
          <w:szCs w:val="32"/>
          <w:lang w:val="en-US" w:eastAsia="zh-CN"/>
        </w:rPr>
        <w:t>二是品牌推广行动。</w:t>
      </w:r>
      <w:r>
        <w:rPr>
          <w:rFonts w:hint="eastAsia" w:ascii="仿宋_GB2312" w:hAnsi="仿宋_GB2312" w:eastAsia="仿宋_GB2312" w:cs="仿宋_GB2312"/>
          <w:b w:val="0"/>
          <w:bCs w:val="0"/>
          <w:sz w:val="32"/>
          <w:szCs w:val="32"/>
          <w:lang w:val="en-US" w:eastAsia="zh-CN"/>
        </w:rPr>
        <w:t>持续实施“天下九寨沟·大美阿坝州”全国全球推广计划，赴港澳、瑞士、韩国等地开展文旅招商推介。</w:t>
      </w:r>
      <w:r>
        <w:rPr>
          <w:rFonts w:hint="eastAsia" w:ascii="仿宋_GB2312" w:hAnsi="仿宋_GB2312" w:eastAsia="仿宋_GB2312" w:cs="仿宋_GB2312"/>
          <w:b/>
          <w:bCs/>
          <w:sz w:val="32"/>
          <w:szCs w:val="32"/>
          <w:lang w:val="en-US" w:eastAsia="zh-CN"/>
        </w:rPr>
        <w:t>三是景区提质行动。</w:t>
      </w:r>
      <w:r>
        <w:rPr>
          <w:rFonts w:hint="eastAsia" w:ascii="仿宋_GB2312" w:hAnsi="仿宋_GB2312" w:eastAsia="仿宋_GB2312" w:cs="仿宋_GB2312"/>
          <w:b w:val="0"/>
          <w:bCs w:val="0"/>
          <w:sz w:val="32"/>
          <w:szCs w:val="32"/>
          <w:lang w:val="en-US" w:eastAsia="zh-CN"/>
        </w:rPr>
        <w:t>锚定“六最”推动九寨沟、黄龙、四姑娘山等核心景区管理水平更新提质。</w:t>
      </w:r>
      <w:r>
        <w:rPr>
          <w:rFonts w:hint="eastAsia" w:ascii="仿宋_GB2312" w:hAnsi="仿宋_GB2312" w:eastAsia="仿宋_GB2312" w:cs="仿宋_GB2312"/>
          <w:b/>
          <w:bCs/>
          <w:sz w:val="32"/>
          <w:szCs w:val="32"/>
          <w:lang w:val="en-US" w:eastAsia="zh-CN"/>
        </w:rPr>
        <w:t>四是基础提升行动。</w:t>
      </w:r>
      <w:r>
        <w:rPr>
          <w:rFonts w:hint="eastAsia" w:ascii="仿宋_GB2312" w:hAnsi="仿宋_GB2312" w:eastAsia="仿宋_GB2312" w:cs="仿宋_GB2312"/>
          <w:b w:val="0"/>
          <w:bCs w:val="0"/>
          <w:sz w:val="32"/>
          <w:szCs w:val="32"/>
          <w:lang w:val="en-US" w:eastAsia="zh-CN"/>
        </w:rPr>
        <w:t>重点推动黄河九曲第一湾提升改造、莲宝叶则创国家5A级景区补短建设等项目建设，努力推动金川县嘎达山景区开发、小金县高质量户外运动目的地等拟开工项目。</w:t>
      </w:r>
      <w:r>
        <w:rPr>
          <w:rFonts w:hint="eastAsia" w:ascii="仿宋_GB2312" w:hAnsi="仿宋_GB2312" w:eastAsia="仿宋_GB2312" w:cs="仿宋_GB2312"/>
          <w:b/>
          <w:bCs/>
          <w:sz w:val="32"/>
          <w:szCs w:val="32"/>
          <w:lang w:val="en-US" w:eastAsia="zh-CN"/>
        </w:rPr>
        <w:t>五是业态培育行动。</w:t>
      </w:r>
      <w:r>
        <w:rPr>
          <w:rFonts w:hint="eastAsia" w:ascii="仿宋_GB2312" w:hAnsi="仿宋_GB2312" w:eastAsia="仿宋_GB2312" w:cs="仿宋_GB2312"/>
          <w:b w:val="0"/>
          <w:bCs w:val="0"/>
          <w:sz w:val="32"/>
          <w:szCs w:val="32"/>
          <w:lang w:val="en-US" w:eastAsia="zh-CN"/>
        </w:rPr>
        <w:t>持续推动新业态培育，打造提升冰雪、红色、乡村等旅游新业态新场景，梯次推进5A、4A级景区、旅游度假区及特色街区创建。</w:t>
      </w:r>
      <w:r>
        <w:rPr>
          <w:rFonts w:hint="eastAsia" w:ascii="仿宋_GB2312" w:hAnsi="仿宋_GB2312" w:eastAsia="仿宋_GB2312" w:cs="仿宋_GB2312"/>
          <w:b/>
          <w:bCs/>
          <w:sz w:val="32"/>
          <w:szCs w:val="32"/>
          <w:lang w:val="en-US" w:eastAsia="zh-CN"/>
        </w:rPr>
        <w:t>六是文化铸魂行动。</w:t>
      </w:r>
      <w:r>
        <w:rPr>
          <w:rFonts w:hint="eastAsia" w:ascii="仿宋_GB2312" w:hAnsi="仿宋_GB2312" w:eastAsia="仿宋_GB2312" w:cs="仿宋_GB2312"/>
          <w:b w:val="0"/>
          <w:bCs w:val="0"/>
          <w:sz w:val="32"/>
          <w:szCs w:val="32"/>
          <w:lang w:val="en-US" w:eastAsia="zh-CN"/>
        </w:rPr>
        <w:t>持续推进《岷山导江》创编，做强“爱润阿坝”“村晚”等特色品牌。深入开展“戏曲进乡村”等文化惠民活动，推动营盘山创建国家考古遗址公园，藏羌碉楼与村寨申遗。</w:t>
      </w:r>
      <w:r>
        <w:rPr>
          <w:rFonts w:hint="eastAsia" w:ascii="仿宋_GB2312" w:hAnsi="仿宋_GB2312" w:eastAsia="仿宋_GB2312" w:cs="仿宋_GB2312"/>
          <w:b/>
          <w:bCs/>
          <w:sz w:val="32"/>
          <w:szCs w:val="32"/>
          <w:lang w:val="en-US" w:eastAsia="zh-CN"/>
        </w:rPr>
        <w:t>七是结构优化行动。</w:t>
      </w:r>
      <w:r>
        <w:rPr>
          <w:rFonts w:hint="eastAsia" w:ascii="仿宋_GB2312" w:hAnsi="仿宋_GB2312" w:eastAsia="仿宋_GB2312" w:cs="仿宋_GB2312"/>
          <w:b w:val="0"/>
          <w:bCs w:val="0"/>
          <w:sz w:val="32"/>
          <w:szCs w:val="32"/>
          <w:lang w:val="en-US" w:eastAsia="zh-CN"/>
        </w:rPr>
        <w:t>积极推动游客结构优化，调整优化免票政策。</w:t>
      </w:r>
      <w:r>
        <w:rPr>
          <w:rFonts w:hint="eastAsia" w:ascii="仿宋_GB2312" w:hAnsi="仿宋_GB2312" w:eastAsia="仿宋_GB2312" w:cs="仿宋_GB2312"/>
          <w:b/>
          <w:bCs/>
          <w:sz w:val="32"/>
          <w:szCs w:val="32"/>
          <w:lang w:val="en-US" w:eastAsia="zh-CN"/>
        </w:rPr>
        <w:t>八是全域净旅行动。</w:t>
      </w:r>
      <w:r>
        <w:rPr>
          <w:rFonts w:hint="eastAsia" w:ascii="仿宋_GB2312" w:hAnsi="仿宋_GB2312" w:eastAsia="仿宋_GB2312" w:cs="仿宋_GB2312"/>
          <w:b w:val="0"/>
          <w:bCs w:val="0"/>
          <w:sz w:val="32"/>
          <w:szCs w:val="32"/>
          <w:lang w:val="en-US" w:eastAsia="zh-CN"/>
        </w:rPr>
        <w:t xml:space="preserve">推进《旅游者权益保护条例》立法实施，开展文旅市场专项整治，源头严打不合理低价游，深入开展诚信经营、文明旅游宣传引导。  </w:t>
      </w:r>
      <w:r>
        <w:rPr>
          <w:rFonts w:hint="eastAsia" w:ascii="Times New Roman" w:hAnsi="Times New Roman" w:eastAsia="方正仿宋_GBK" w:cs="Times New Roman"/>
          <w:b w:val="0"/>
          <w:bCs w:val="0"/>
          <w:sz w:val="32"/>
          <w:szCs w:val="32"/>
          <w:lang w:val="en-US" w:eastAsia="zh-CN"/>
        </w:rPr>
        <w:t xml:space="preserve">  </w:t>
      </w:r>
    </w:p>
    <w:p w14:paraId="1EBD581D">
      <w:pPr>
        <w:pStyle w:val="10"/>
        <w:keepNext w:val="0"/>
        <w:keepLines w:val="0"/>
        <w:pageBreakBefore w:val="0"/>
        <w:numPr>
          <w:ilvl w:val="0"/>
          <w:numId w:val="0"/>
        </w:numPr>
        <w:kinsoku/>
        <w:wordWrap/>
        <w:overflowPunct/>
        <w:topLinePunct w:val="0"/>
        <w:bidi w:val="0"/>
        <w:spacing w:line="600" w:lineRule="exact"/>
        <w:ind w:firstLine="640" w:firstLineChars="200"/>
        <w:textAlignment w:val="auto"/>
        <w:rPr>
          <w:rFonts w:ascii="黑体" w:eastAsia="黑体"/>
          <w:sz w:val="32"/>
          <w:szCs w:val="32"/>
        </w:rPr>
      </w:pPr>
      <w:r>
        <w:rPr>
          <w:rFonts w:hint="eastAsia" w:ascii="黑体" w:eastAsia="黑体" w:cs="Times New Roman"/>
          <w:sz w:val="32"/>
          <w:szCs w:val="32"/>
          <w:lang w:val="en-US" w:eastAsia="zh-CN"/>
        </w:rPr>
        <w:t>二、</w:t>
      </w:r>
      <w:r>
        <w:rPr>
          <w:rFonts w:hint="eastAsia" w:ascii="黑体" w:eastAsia="黑体"/>
          <w:sz w:val="32"/>
          <w:szCs w:val="32"/>
        </w:rPr>
        <w:t>部门预算单位构成</w:t>
      </w:r>
    </w:p>
    <w:p w14:paraId="3A1FE14F">
      <w:pPr>
        <w:pStyle w:val="12"/>
        <w:keepNext w:val="0"/>
        <w:keepLines w:val="0"/>
        <w:pageBreakBefore w:val="0"/>
        <w:widowControl/>
        <w:suppressLineNumbers w:val="0"/>
        <w:kinsoku/>
        <w:wordWrap/>
        <w:overflowPunct/>
        <w:topLinePunct w:val="0"/>
        <w:autoSpaceDE w:val="0"/>
        <w:autoSpaceDN/>
        <w:bidi w:val="0"/>
        <w:spacing w:before="0" w:beforeAutospacing="0" w:after="0" w:afterAutospacing="0" w:line="600" w:lineRule="exact"/>
        <w:ind w:left="0" w:firstLine="640" w:firstLineChars="200"/>
        <w:jc w:val="left"/>
        <w:textAlignment w:val="auto"/>
        <w:rPr>
          <w:rFonts w:hint="default" w:ascii="仿宋_GB2312" w:hAnsi="宋体" w:eastAsia="仿宋_GB2312" w:cs="仿宋_GB2312"/>
          <w:kern w:val="0"/>
          <w:sz w:val="32"/>
          <w:szCs w:val="32"/>
          <w:lang w:val="en-US"/>
        </w:rPr>
      </w:pPr>
      <w:r>
        <w:rPr>
          <w:rFonts w:hint="eastAsia" w:ascii="仿宋_GB2312" w:hAnsi="宋体" w:eastAsia="仿宋_GB2312" w:cs="仿宋_GB2312"/>
          <w:kern w:val="0"/>
          <w:sz w:val="32"/>
          <w:szCs w:val="32"/>
          <w:shd w:val="clear" w:fill="FFFFFF"/>
        </w:rPr>
        <w:t>本单位本年度纳入本套决算编制范围的独立编制机构数共</w:t>
      </w:r>
      <w:r>
        <w:rPr>
          <w:rFonts w:hint="eastAsia" w:ascii="仿宋_GB2312" w:eastAsia="仿宋_GB2312" w:cs="仿宋_GB2312"/>
          <w:kern w:val="0"/>
          <w:sz w:val="32"/>
          <w:szCs w:val="32"/>
          <w:shd w:val="clear" w:fill="FFFFFF"/>
          <w:lang w:val="en-US" w:eastAsia="zh-CN"/>
        </w:rPr>
        <w:t>5</w:t>
      </w:r>
      <w:r>
        <w:rPr>
          <w:rFonts w:hint="eastAsia" w:ascii="仿宋_GB2312" w:hAnsi="宋体" w:eastAsia="仿宋_GB2312" w:cs="仿宋_GB2312"/>
          <w:kern w:val="0"/>
          <w:sz w:val="32"/>
          <w:szCs w:val="32"/>
          <w:shd w:val="clear" w:fill="FFFFFF"/>
        </w:rPr>
        <w:t>个</w:t>
      </w:r>
      <w:r>
        <w:rPr>
          <w:rFonts w:hint="eastAsia" w:ascii="仿宋_GB2312" w:eastAsia="仿宋_GB2312" w:cs="仿宋_GB2312"/>
          <w:kern w:val="0"/>
          <w:sz w:val="32"/>
          <w:szCs w:val="32"/>
          <w:shd w:val="clear" w:color="auto" w:fill="FFFFFF"/>
          <w:lang w:val="en-US" w:eastAsia="zh-CN"/>
        </w:rPr>
        <w:t>，分别为</w:t>
      </w:r>
      <w:r>
        <w:rPr>
          <w:rFonts w:hint="eastAsia" w:ascii="仿宋_GB2312" w:hAnsi="宋体" w:eastAsia="仿宋_GB2312" w:cs="仿宋_GB2312"/>
          <w:kern w:val="0"/>
          <w:sz w:val="32"/>
          <w:szCs w:val="32"/>
          <w:shd w:val="clear" w:fill="FFFFFF"/>
          <w:lang w:val="en-US" w:eastAsia="zh-CN"/>
        </w:rPr>
        <w:t>全域旅游产业发展中心、全域旅游营销中心、州国家文化公园服务中心、州文化生态保护区服务中心、州旅游质量促进中心。</w:t>
      </w:r>
    </w:p>
    <w:p w14:paraId="1321A496">
      <w:pPr>
        <w:pStyle w:val="10"/>
        <w:keepNext w:val="0"/>
        <w:keepLines w:val="0"/>
        <w:pageBreakBefore w:val="0"/>
        <w:kinsoku/>
        <w:wordWrap/>
        <w:overflowPunct/>
        <w:topLinePunct w:val="0"/>
        <w:bidi w:val="0"/>
        <w:spacing w:line="600" w:lineRule="exact"/>
        <w:ind w:left="720" w:firstLine="0" w:firstLineChars="0"/>
        <w:textAlignment w:val="auto"/>
        <w:rPr>
          <w:rFonts w:ascii="黑体" w:eastAsia="黑体"/>
          <w:sz w:val="32"/>
          <w:szCs w:val="32"/>
        </w:rPr>
      </w:pPr>
      <w:r>
        <w:rPr>
          <w:rFonts w:hint="eastAsia" w:ascii="黑体" w:eastAsia="黑体"/>
          <w:sz w:val="32"/>
          <w:szCs w:val="32"/>
        </w:rPr>
        <w:t>三、收支预算情况说明</w:t>
      </w:r>
    </w:p>
    <w:p w14:paraId="0A138324">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highlight w:val="none"/>
        </w:rPr>
      </w:pPr>
      <w:r>
        <w:rPr>
          <w:rFonts w:hint="eastAsia" w:ascii="楷体" w:eastAsia="楷体" w:cs="Times New Roman"/>
          <w:b/>
          <w:bCs/>
          <w:sz w:val="32"/>
          <w:szCs w:val="32"/>
          <w:highlight w:val="none"/>
        </w:rPr>
        <w:t>（一）收入预算情况</w:t>
      </w:r>
    </w:p>
    <w:p w14:paraId="7FA1D943">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highlight w:val="none"/>
          <w:lang w:val="en-US" w:eastAsia="zh-CN" w:bidi="ar"/>
        </w:rPr>
      </w:pPr>
      <w:r>
        <w:rPr>
          <w:rFonts w:hint="eastAsia" w:ascii="仿宋_GB2312" w:hAnsi="Times New Roman" w:eastAsia="仿宋_GB2312" w:cs="仿宋_GB2312"/>
          <w:spacing w:val="-2"/>
          <w:kern w:val="2"/>
          <w:sz w:val="32"/>
          <w:szCs w:val="32"/>
          <w:highlight w:val="none"/>
          <w:lang w:val="en-US" w:eastAsia="zh-CN" w:bidi="ar"/>
        </w:rPr>
        <w:t>2026年收入预算647.23万元，其中：上年结转0万元，占0%；一般公共预算拨款收入647.23万元，占100%；事业收入0万元，占0%；其他收入0万元，占0%。</w:t>
      </w:r>
    </w:p>
    <w:p w14:paraId="0D8158AB">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仿宋_GB2312"/>
          <w:color w:val="0000FF"/>
          <w:sz w:val="32"/>
          <w:szCs w:val="32"/>
        </w:rPr>
      </w:pPr>
      <w:r>
        <w:rPr>
          <w:rFonts w:hint="eastAsia" w:ascii="楷体" w:eastAsia="楷体" w:cs="Times New Roman"/>
          <w:b/>
          <w:bCs/>
          <w:sz w:val="32"/>
          <w:szCs w:val="32"/>
          <w:lang w:eastAsia="zh-CN"/>
        </w:rPr>
        <w:t>（</w:t>
      </w:r>
      <w:r>
        <w:rPr>
          <w:rFonts w:hint="eastAsia" w:ascii="楷体" w:eastAsia="楷体" w:cs="Times New Roman"/>
          <w:b/>
          <w:bCs/>
          <w:sz w:val="32"/>
          <w:szCs w:val="32"/>
          <w:lang w:val="en-US" w:eastAsia="zh-CN"/>
        </w:rPr>
        <w:t>二</w:t>
      </w:r>
      <w:r>
        <w:rPr>
          <w:rFonts w:hint="eastAsia" w:ascii="楷体" w:eastAsia="楷体" w:cs="Times New Roman"/>
          <w:b/>
          <w:bCs/>
          <w:sz w:val="32"/>
          <w:szCs w:val="32"/>
          <w:lang w:eastAsia="zh-CN"/>
        </w:rPr>
        <w:t>）</w:t>
      </w:r>
      <w:r>
        <w:rPr>
          <w:rFonts w:hint="eastAsia" w:ascii="楷体" w:eastAsia="楷体" w:cs="Times New Roman"/>
          <w:b/>
          <w:bCs/>
          <w:sz w:val="32"/>
          <w:szCs w:val="32"/>
        </w:rPr>
        <w:t>支出预算情况</w:t>
      </w:r>
    </w:p>
    <w:p w14:paraId="0D40D932">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2026年支出预算647.23万元，其中：基本支出647.23万元，占100%；项目支出0万元，占0%。</w:t>
      </w:r>
    </w:p>
    <w:p w14:paraId="00CE173C">
      <w:pPr>
        <w:keepNext w:val="0"/>
        <w:keepLines w:val="0"/>
        <w:pageBreakBefore w:val="0"/>
        <w:kinsoku/>
        <w:wordWrap/>
        <w:overflowPunct/>
        <w:topLinePunct w:val="0"/>
        <w:bidi w:val="0"/>
        <w:spacing w:line="600" w:lineRule="exact"/>
        <w:ind w:left="638" w:leftChars="304" w:firstLine="0" w:firstLineChars="0"/>
        <w:jc w:val="left"/>
        <w:textAlignment w:val="auto"/>
        <w:rPr>
          <w:rFonts w:hint="eastAsia" w:ascii="黑体" w:eastAsia="黑体"/>
          <w:sz w:val="32"/>
          <w:szCs w:val="32"/>
        </w:rPr>
      </w:pPr>
      <w:r>
        <w:rPr>
          <w:rFonts w:hint="eastAsia" w:ascii="黑体" w:eastAsia="黑体"/>
          <w:sz w:val="32"/>
          <w:szCs w:val="32"/>
        </w:rPr>
        <w:t>四、财政拨款收支预算情况说明</w:t>
      </w:r>
    </w:p>
    <w:p w14:paraId="10B1F7E3">
      <w:pPr>
        <w:keepNext w:val="0"/>
        <w:keepLines w:val="0"/>
        <w:pageBreakBefore w:val="0"/>
        <w:kinsoku/>
        <w:wordWrap/>
        <w:overflowPunct/>
        <w:topLinePunct w:val="0"/>
        <w:bidi w:val="0"/>
        <w:spacing w:line="600" w:lineRule="exact"/>
        <w:ind w:firstLine="632" w:firstLineChars="200"/>
        <w:textAlignment w:val="auto"/>
        <w:rPr>
          <w:rFonts w:hint="default" w:ascii="仿宋_GB2312" w:hAnsi="Times New Roman" w:eastAsia="仿宋_GB2312" w:cs="仿宋_GB2312"/>
          <w:spacing w:val="-2"/>
          <w:kern w:val="2"/>
          <w:sz w:val="32"/>
          <w:szCs w:val="32"/>
          <w:highlight w:val="none"/>
          <w:lang w:val="en-US" w:eastAsia="zh-CN" w:bidi="ar"/>
        </w:rPr>
      </w:pPr>
      <w:r>
        <w:rPr>
          <w:rFonts w:hint="eastAsia" w:ascii="仿宋_GB2312" w:hAnsi="Times New Roman" w:eastAsia="仿宋_GB2312" w:cs="仿宋_GB2312"/>
          <w:spacing w:val="-2"/>
          <w:kern w:val="2"/>
          <w:sz w:val="32"/>
          <w:szCs w:val="32"/>
          <w:lang w:val="en-US" w:eastAsia="zh-CN" w:bidi="ar"/>
        </w:rPr>
        <w:t>部门2026年财政拨款收支总预算647.23万元,比2025年财政拨款收支总预算增加11.2万元</w:t>
      </w:r>
      <w:r>
        <w:rPr>
          <w:rFonts w:hint="eastAsia" w:ascii="仿宋_GB2312" w:hAnsi="Times New Roman" w:eastAsia="仿宋_GB2312" w:cs="仿宋_GB2312"/>
          <w:spacing w:val="-2"/>
          <w:kern w:val="2"/>
          <w:sz w:val="32"/>
          <w:szCs w:val="32"/>
          <w:highlight w:val="none"/>
          <w:lang w:val="en-US" w:eastAsia="zh-CN" w:bidi="ar"/>
        </w:rPr>
        <w:t>，主要原因:工资基数增加，人员经费预算增加。</w:t>
      </w:r>
    </w:p>
    <w:p w14:paraId="1596A00A">
      <w:pPr>
        <w:keepNext w:val="0"/>
        <w:keepLines w:val="0"/>
        <w:pageBreakBefore w:val="0"/>
        <w:kinsoku/>
        <w:wordWrap/>
        <w:overflowPunct/>
        <w:topLinePunct w:val="0"/>
        <w:bidi w:val="0"/>
        <w:spacing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收入包括：一般公共预算拨款收入647.23万元。</w:t>
      </w:r>
    </w:p>
    <w:p w14:paraId="08DA2790">
      <w:pPr>
        <w:keepNext w:val="0"/>
        <w:keepLines w:val="0"/>
        <w:pageBreakBefore w:val="0"/>
        <w:kinsoku/>
        <w:wordWrap/>
        <w:overflowPunct/>
        <w:topLinePunct w:val="0"/>
        <w:bidi w:val="0"/>
        <w:spacing w:line="600" w:lineRule="exact"/>
        <w:ind w:firstLine="632" w:firstLineChars="200"/>
        <w:textAlignment w:val="auto"/>
        <w:rPr>
          <w:rFonts w:hint="default"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支出包括：文化旅游体育与传媒支出458.89万元，社会保障和就业支出93.71万元，卫生健康支出39.09万元，住房保障支出55.54万元。</w:t>
      </w:r>
    </w:p>
    <w:p w14:paraId="472E34EB">
      <w:pPr>
        <w:keepNext w:val="0"/>
        <w:keepLines w:val="0"/>
        <w:pageBreakBefore w:val="0"/>
        <w:kinsoku/>
        <w:wordWrap/>
        <w:overflowPunct/>
        <w:topLinePunct w:val="0"/>
        <w:bidi w:val="0"/>
        <w:spacing w:line="600" w:lineRule="exact"/>
        <w:ind w:firstLine="640" w:firstLineChars="200"/>
        <w:textAlignment w:val="auto"/>
        <w:rPr>
          <w:rFonts w:ascii="黑体" w:eastAsia="黑体"/>
          <w:sz w:val="32"/>
          <w:szCs w:val="32"/>
        </w:rPr>
      </w:pPr>
      <w:r>
        <w:rPr>
          <w:rFonts w:hint="eastAsia" w:ascii="黑体" w:eastAsia="黑体"/>
          <w:sz w:val="32"/>
          <w:szCs w:val="32"/>
        </w:rPr>
        <w:t>五、一般公共预算当年拨款情况说明</w:t>
      </w:r>
    </w:p>
    <w:p w14:paraId="5577B8E8">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（一）一般公共预算当年拨款规模变化情况</w:t>
      </w:r>
    </w:p>
    <w:p w14:paraId="7FDBAA65">
      <w:pPr>
        <w:keepNext w:val="0"/>
        <w:keepLines w:val="0"/>
        <w:pageBreakBefore w:val="0"/>
        <w:kinsoku/>
        <w:wordWrap/>
        <w:overflowPunct/>
        <w:topLinePunct w:val="0"/>
        <w:bidi w:val="0"/>
        <w:spacing w:line="600" w:lineRule="exact"/>
        <w:ind w:firstLine="632" w:firstLineChars="200"/>
        <w:textAlignment w:val="auto"/>
        <w:rPr>
          <w:rFonts w:hint="default" w:ascii="仿宋_GB2312" w:hAnsi="Times New Roman" w:eastAsia="仿宋_GB2312" w:cs="仿宋_GB2312"/>
          <w:spacing w:val="-2"/>
          <w:kern w:val="2"/>
          <w:sz w:val="32"/>
          <w:szCs w:val="32"/>
          <w:highlight w:val="none"/>
          <w:lang w:val="en-US" w:eastAsia="zh-CN" w:bidi="ar"/>
        </w:rPr>
      </w:pPr>
      <w:r>
        <w:rPr>
          <w:rFonts w:hint="eastAsia" w:ascii="仿宋_GB2312" w:hAnsi="Times New Roman" w:eastAsia="仿宋_GB2312" w:cs="仿宋_GB2312"/>
          <w:spacing w:val="-2"/>
          <w:kern w:val="2"/>
          <w:sz w:val="32"/>
          <w:szCs w:val="32"/>
          <w:lang w:val="en-US" w:eastAsia="zh-CN" w:bidi="ar"/>
        </w:rPr>
        <w:t>部门2026年一般公共预算当年拨款647.23万元，比2025年预算数增加11.2万元</w:t>
      </w:r>
      <w:r>
        <w:rPr>
          <w:rFonts w:hint="eastAsia" w:ascii="仿宋_GB2312" w:hAnsi="Times New Roman" w:eastAsia="仿宋_GB2312" w:cs="仿宋_GB2312"/>
          <w:spacing w:val="-2"/>
          <w:kern w:val="2"/>
          <w:sz w:val="32"/>
          <w:szCs w:val="32"/>
          <w:highlight w:val="none"/>
          <w:lang w:val="en-US" w:eastAsia="zh-CN" w:bidi="ar"/>
        </w:rPr>
        <w:t>，主要原因:工资基数增加，人员经费预算增加。</w:t>
      </w:r>
    </w:p>
    <w:p w14:paraId="0456ABD2">
      <w:pPr>
        <w:pStyle w:val="11"/>
        <w:keepNext w:val="0"/>
        <w:keepLines w:val="0"/>
        <w:pageBreakBefore w:val="0"/>
        <w:numPr>
          <w:ilvl w:val="0"/>
          <w:numId w:val="0"/>
        </w:numPr>
        <w:kinsoku/>
        <w:wordWrap/>
        <w:overflowPunct/>
        <w:topLinePunct w:val="0"/>
        <w:bidi w:val="0"/>
        <w:spacing w:before="0" w:line="600" w:lineRule="exact"/>
        <w:ind w:firstLine="643" w:firstLineChars="200"/>
        <w:jc w:val="left"/>
        <w:textAlignment w:val="auto"/>
        <w:rPr>
          <w:rFonts w:cs="仿宋_GB2312"/>
          <w:kern w:val="2"/>
          <w:sz w:val="32"/>
          <w:szCs w:val="32"/>
        </w:rPr>
      </w:pPr>
      <w:r>
        <w:rPr>
          <w:rFonts w:hint="eastAsia" w:ascii="楷体" w:hAnsi="Calibri" w:eastAsia="楷体" w:cs="Times New Roman"/>
          <w:b/>
          <w:bCs/>
          <w:kern w:val="2"/>
          <w:sz w:val="32"/>
          <w:szCs w:val="32"/>
          <w:lang w:val="en-US" w:eastAsia="zh-CN" w:bidi="ar-SA"/>
        </w:rPr>
        <w:t>（二）一般公共预算当年拨款结构情况</w:t>
      </w:r>
      <w:r>
        <w:rPr>
          <w:rFonts w:hint="eastAsia" w:ascii="楷体" w:hAnsi="Calibri" w:eastAsia="楷体" w:cs="Times New Roman"/>
          <w:b/>
          <w:bCs/>
          <w:kern w:val="2"/>
          <w:sz w:val="32"/>
          <w:szCs w:val="32"/>
          <w:lang w:val="en-US" w:eastAsia="zh-CN" w:bidi="ar-SA"/>
        </w:rPr>
        <w:br w:type="textWrapping"/>
      </w:r>
      <w:r>
        <w:rPr>
          <w:rFonts w:hint="eastAsia" w:cs="宋体"/>
          <w:sz w:val="32"/>
          <w:szCs w:val="32"/>
          <w:lang w:val="en-US" w:eastAsia="zh-CN"/>
        </w:rPr>
        <w:t xml:space="preserve">    </w:t>
      </w:r>
      <w:r>
        <w:rPr>
          <w:rFonts w:hint="eastAsia" w:ascii="仿宋_GB2312" w:hAnsi="宋体" w:eastAsia="仿宋_GB2312" w:cs="仿宋_GB2312"/>
          <w:kern w:val="0"/>
          <w:sz w:val="32"/>
          <w:szCs w:val="32"/>
          <w:shd w:val="clear" w:color="auto" w:fill="FFFFFF"/>
          <w:lang w:val="en-US" w:eastAsia="zh-CN" w:bidi="ar"/>
        </w:rPr>
        <w:t>文化旅游体育与传媒支出458.89万元，</w:t>
      </w:r>
      <w:r>
        <w:rPr>
          <w:rFonts w:hint="eastAsia" w:hAnsi="宋体" w:cs="仿宋_GB2312"/>
          <w:kern w:val="0"/>
          <w:sz w:val="32"/>
          <w:szCs w:val="32"/>
          <w:shd w:val="clear" w:color="auto" w:fill="FFFFFF"/>
          <w:lang w:val="en-US" w:eastAsia="zh-CN" w:bidi="ar"/>
        </w:rPr>
        <w:t>占70.9%；</w:t>
      </w:r>
      <w:r>
        <w:rPr>
          <w:rFonts w:hint="eastAsia" w:ascii="仿宋_GB2312" w:hAnsi="宋体" w:eastAsia="仿宋_GB2312" w:cs="仿宋_GB2312"/>
          <w:kern w:val="0"/>
          <w:sz w:val="32"/>
          <w:szCs w:val="32"/>
          <w:shd w:val="clear" w:color="auto" w:fill="FFFFFF"/>
          <w:lang w:val="en-US" w:eastAsia="zh-CN" w:bidi="ar"/>
        </w:rPr>
        <w:t>社会保障和就业支出</w:t>
      </w:r>
      <w:r>
        <w:rPr>
          <w:rFonts w:hint="eastAsia" w:hAnsi="宋体" w:cs="仿宋_GB2312"/>
          <w:kern w:val="0"/>
          <w:sz w:val="32"/>
          <w:szCs w:val="32"/>
          <w:shd w:val="clear" w:color="auto" w:fill="FFFFFF"/>
          <w:lang w:val="en-US" w:eastAsia="zh-CN" w:bidi="ar"/>
        </w:rPr>
        <w:t>93.71万元，占14.48%；</w:t>
      </w:r>
      <w:r>
        <w:rPr>
          <w:rFonts w:hint="eastAsia" w:ascii="仿宋_GB2312" w:hAnsi="宋体" w:eastAsia="仿宋_GB2312" w:cs="仿宋_GB2312"/>
          <w:kern w:val="0"/>
          <w:sz w:val="32"/>
          <w:szCs w:val="32"/>
          <w:shd w:val="clear" w:color="auto" w:fill="FFFFFF"/>
          <w:lang w:val="en-US" w:eastAsia="zh-CN" w:bidi="ar"/>
        </w:rPr>
        <w:t>卫生健康支出</w:t>
      </w:r>
      <w:r>
        <w:rPr>
          <w:rFonts w:hint="eastAsia" w:hAnsi="宋体" w:cs="仿宋_GB2312"/>
          <w:kern w:val="0"/>
          <w:sz w:val="32"/>
          <w:szCs w:val="32"/>
          <w:shd w:val="clear" w:color="auto" w:fill="FFFFFF"/>
          <w:lang w:val="en-US" w:eastAsia="zh-CN" w:bidi="ar"/>
        </w:rPr>
        <w:t>39.09</w:t>
      </w:r>
      <w:r>
        <w:rPr>
          <w:rFonts w:hint="eastAsia" w:ascii="仿宋_GB2312" w:hAnsi="宋体" w:eastAsia="仿宋_GB2312" w:cs="仿宋_GB2312"/>
          <w:kern w:val="0"/>
          <w:sz w:val="32"/>
          <w:szCs w:val="32"/>
          <w:shd w:val="clear" w:color="auto" w:fill="FFFFFF"/>
          <w:lang w:val="en-US" w:eastAsia="zh-CN" w:bidi="ar"/>
        </w:rPr>
        <w:t>万元，</w:t>
      </w:r>
      <w:r>
        <w:rPr>
          <w:rFonts w:hint="eastAsia" w:hAnsi="宋体" w:cs="仿宋_GB2312"/>
          <w:kern w:val="0"/>
          <w:sz w:val="32"/>
          <w:szCs w:val="32"/>
          <w:shd w:val="clear" w:color="auto" w:fill="FFFFFF"/>
          <w:lang w:val="en-US" w:eastAsia="zh-CN" w:bidi="ar"/>
        </w:rPr>
        <w:t>占6.04%；</w:t>
      </w:r>
      <w:r>
        <w:rPr>
          <w:rFonts w:hint="eastAsia" w:ascii="仿宋_GB2312" w:hAnsi="宋体" w:eastAsia="仿宋_GB2312" w:cs="仿宋_GB2312"/>
          <w:kern w:val="0"/>
          <w:sz w:val="32"/>
          <w:szCs w:val="32"/>
          <w:shd w:val="clear" w:color="auto" w:fill="FFFFFF"/>
          <w:lang w:val="en-US" w:eastAsia="zh-CN" w:bidi="ar"/>
        </w:rPr>
        <w:t>住房保障支出</w:t>
      </w:r>
      <w:r>
        <w:rPr>
          <w:rFonts w:hint="eastAsia" w:hAnsi="宋体" w:cs="仿宋_GB2312"/>
          <w:kern w:val="0"/>
          <w:sz w:val="32"/>
          <w:szCs w:val="32"/>
          <w:shd w:val="clear" w:color="auto" w:fill="FFFFFF"/>
          <w:lang w:val="en-US" w:eastAsia="zh-CN" w:bidi="ar"/>
        </w:rPr>
        <w:t>55.54</w:t>
      </w:r>
      <w:r>
        <w:rPr>
          <w:rFonts w:hint="eastAsia" w:ascii="仿宋_GB2312" w:hAnsi="宋体" w:eastAsia="仿宋_GB2312" w:cs="仿宋_GB2312"/>
          <w:kern w:val="0"/>
          <w:sz w:val="32"/>
          <w:szCs w:val="32"/>
          <w:shd w:val="clear" w:color="auto" w:fill="FFFFFF"/>
          <w:lang w:val="en-US" w:eastAsia="zh-CN" w:bidi="ar"/>
        </w:rPr>
        <w:t>万元</w:t>
      </w:r>
      <w:r>
        <w:rPr>
          <w:rFonts w:hint="eastAsia" w:hAnsi="宋体" w:cs="仿宋_GB2312"/>
          <w:kern w:val="0"/>
          <w:sz w:val="32"/>
          <w:szCs w:val="32"/>
          <w:shd w:val="clear" w:color="auto" w:fill="FFFFFF"/>
          <w:lang w:val="en-US" w:eastAsia="zh-CN" w:bidi="ar"/>
        </w:rPr>
        <w:t>，占8.58%</w:t>
      </w:r>
      <w:r>
        <w:rPr>
          <w:rFonts w:hint="eastAsia" w:ascii="仿宋_GB2312" w:hAnsi="宋体" w:eastAsia="仿宋_GB2312" w:cs="仿宋_GB2312"/>
          <w:kern w:val="0"/>
          <w:sz w:val="32"/>
          <w:szCs w:val="32"/>
          <w:shd w:val="clear" w:color="auto" w:fill="FFFFFF"/>
          <w:lang w:val="en-US" w:eastAsia="zh-CN" w:bidi="ar"/>
        </w:rPr>
        <w:t>。</w:t>
      </w:r>
    </w:p>
    <w:p w14:paraId="56F69599">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（三）一般公共预算当年拨款具体使用情况</w:t>
      </w:r>
    </w:p>
    <w:p w14:paraId="39580906">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lang w:val="en-US" w:eastAsia="zh-CN"/>
        </w:rPr>
      </w:pPr>
      <w:r>
        <w:rPr>
          <w:rFonts w:hint="eastAsia" w:cs="仿宋_GB2312"/>
          <w:kern w:val="2"/>
          <w:sz w:val="32"/>
          <w:szCs w:val="32"/>
          <w:highlight w:val="none"/>
          <w:lang w:val="en-US" w:eastAsia="zh-CN"/>
        </w:rPr>
        <w:t>1.</w:t>
      </w:r>
      <w:r>
        <w:rPr>
          <w:rFonts w:hint="eastAsia" w:cs="仿宋_GB2312"/>
          <w:kern w:val="2"/>
          <w:sz w:val="32"/>
          <w:szCs w:val="32"/>
          <w:highlight w:val="none"/>
        </w:rPr>
        <w:t>文化旅游体育与传媒支出（类）文化和旅游（款） 文化和旅游管理事务（项目）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458.89</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单位人员经费、公用经费</w:t>
      </w:r>
      <w:r>
        <w:rPr>
          <w:rFonts w:hint="eastAsia" w:cs="仿宋_GB2312"/>
          <w:kern w:val="2"/>
          <w:sz w:val="32"/>
          <w:szCs w:val="32"/>
          <w:highlight w:val="none"/>
          <w:lang w:eastAsia="zh-CN"/>
        </w:rPr>
        <w:t>。</w:t>
      </w:r>
    </w:p>
    <w:p w14:paraId="7198808F">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highlight w:val="none"/>
        </w:rPr>
      </w:pPr>
      <w:r>
        <w:rPr>
          <w:rFonts w:hint="eastAsia" w:cs="仿宋_GB2312"/>
          <w:kern w:val="2"/>
          <w:sz w:val="32"/>
          <w:szCs w:val="32"/>
          <w:highlight w:val="none"/>
          <w:lang w:val="en-US" w:eastAsia="zh-CN"/>
        </w:rPr>
        <w:t>2</w:t>
      </w:r>
      <w:r>
        <w:rPr>
          <w:rFonts w:hint="eastAsia" w:cs="仿宋_GB2312"/>
          <w:kern w:val="2"/>
          <w:sz w:val="32"/>
          <w:szCs w:val="32"/>
          <w:highlight w:val="none"/>
        </w:rPr>
        <w:t>．社会保障和就业支出（类）行政事业单位离退休（款）机关事业单位基本养老保险缴费支出（项目）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62.48</w:t>
      </w:r>
      <w:r>
        <w:rPr>
          <w:rFonts w:hint="eastAsia" w:cs="仿宋_GB2312"/>
          <w:kern w:val="2"/>
          <w:sz w:val="32"/>
          <w:szCs w:val="32"/>
          <w:highlight w:val="none"/>
        </w:rPr>
        <w:t>万元，主要用于</w:t>
      </w:r>
      <w:r>
        <w:rPr>
          <w:rFonts w:hint="eastAsia" w:cs="仿宋_GB2312"/>
          <w:kern w:val="2"/>
          <w:sz w:val="32"/>
          <w:szCs w:val="32"/>
          <w:highlight w:val="none"/>
          <w:lang w:eastAsia="zh-CN"/>
        </w:rPr>
        <w:t>：</w:t>
      </w:r>
      <w:r>
        <w:rPr>
          <w:rFonts w:hint="eastAsia" w:cs="仿宋_GB2312"/>
          <w:kern w:val="2"/>
          <w:sz w:val="32"/>
          <w:szCs w:val="32"/>
          <w:highlight w:val="none"/>
          <w:lang w:val="en-US" w:eastAsia="zh-CN"/>
        </w:rPr>
        <w:t>职工基本养老保险单位部分缴款。</w:t>
      </w:r>
    </w:p>
    <w:p w14:paraId="3EE71232">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cs="仿宋_GB2312"/>
          <w:kern w:val="2"/>
          <w:sz w:val="32"/>
          <w:szCs w:val="32"/>
          <w:highlight w:val="none"/>
          <w:lang w:val="en-US" w:eastAsia="zh-CN"/>
        </w:rPr>
      </w:pPr>
      <w:r>
        <w:rPr>
          <w:rFonts w:hint="eastAsia" w:cs="仿宋_GB2312"/>
          <w:kern w:val="2"/>
          <w:sz w:val="32"/>
          <w:szCs w:val="32"/>
          <w:highlight w:val="none"/>
          <w:lang w:val="en-US" w:eastAsia="zh-CN"/>
        </w:rPr>
        <w:t>3</w:t>
      </w:r>
      <w:r>
        <w:rPr>
          <w:rFonts w:hint="eastAsia" w:cs="仿宋_GB2312"/>
          <w:kern w:val="2"/>
          <w:sz w:val="32"/>
          <w:szCs w:val="32"/>
          <w:highlight w:val="none"/>
        </w:rPr>
        <w:t>．社会保障和就业支出（类）行政事业单位离退休（款）机关事业单位职业年金缴费支出</w:t>
      </w:r>
      <w:r>
        <w:rPr>
          <w:rFonts w:hint="eastAsia" w:cs="仿宋_GB2312"/>
          <w:kern w:val="2"/>
          <w:sz w:val="32"/>
          <w:szCs w:val="32"/>
          <w:highlight w:val="none"/>
          <w:lang w:eastAsia="zh-CN"/>
        </w:rPr>
        <w:t>（</w:t>
      </w:r>
      <w:r>
        <w:rPr>
          <w:rFonts w:hint="eastAsia" w:cs="仿宋_GB2312"/>
          <w:kern w:val="2"/>
          <w:sz w:val="32"/>
          <w:szCs w:val="32"/>
          <w:highlight w:val="none"/>
        </w:rPr>
        <w:t>项目）</w:t>
      </w:r>
      <w:r>
        <w:rPr>
          <w:rFonts w:hint="eastAsia" w:cs="仿宋_GB2312"/>
          <w:kern w:val="2"/>
          <w:sz w:val="32"/>
          <w:szCs w:val="32"/>
          <w:highlight w:val="none"/>
          <w:lang w:eastAsia="zh-CN"/>
        </w:rPr>
        <w:t>2026年</w:t>
      </w:r>
      <w:r>
        <w:rPr>
          <w:rFonts w:hint="eastAsia" w:cs="仿宋_GB2312"/>
          <w:kern w:val="2"/>
          <w:sz w:val="32"/>
          <w:szCs w:val="32"/>
          <w:highlight w:val="none"/>
        </w:rPr>
        <w:t>预算数为</w:t>
      </w:r>
      <w:r>
        <w:rPr>
          <w:rFonts w:hint="eastAsia" w:cs="仿宋_GB2312"/>
          <w:kern w:val="2"/>
          <w:sz w:val="32"/>
          <w:szCs w:val="32"/>
          <w:highlight w:val="none"/>
          <w:lang w:val="en-US" w:eastAsia="zh-CN"/>
        </w:rPr>
        <w:t>31.24</w:t>
      </w:r>
      <w:r>
        <w:rPr>
          <w:rFonts w:hint="eastAsia" w:cs="仿宋_GB2312"/>
          <w:kern w:val="2"/>
          <w:sz w:val="32"/>
          <w:szCs w:val="32"/>
          <w:highlight w:val="none"/>
        </w:rPr>
        <w:t>万元，主要用</w:t>
      </w:r>
      <w:r>
        <w:rPr>
          <w:rFonts w:hint="eastAsia" w:cs="仿宋_GB2312"/>
          <w:kern w:val="2"/>
          <w:sz w:val="32"/>
          <w:szCs w:val="32"/>
          <w:highlight w:val="none"/>
          <w:lang w:val="en-US" w:eastAsia="zh-CN"/>
        </w:rPr>
        <w:t>于：职工职业年金单位部分缴款。</w:t>
      </w:r>
    </w:p>
    <w:p w14:paraId="0E19D357">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lang w:val="en-US" w:eastAsia="zh-CN"/>
        </w:rPr>
      </w:pPr>
      <w:r>
        <w:rPr>
          <w:rFonts w:hint="eastAsia" w:cs="仿宋_GB2312"/>
          <w:kern w:val="2"/>
          <w:sz w:val="32"/>
          <w:szCs w:val="32"/>
          <w:lang w:val="en-US" w:eastAsia="zh-CN"/>
        </w:rPr>
        <w:t>4.卫生健康支出（类）行政事业单位医疗（款）事业单位医疗（项目）2026年预算数33.04万元，主要用于：职工医疗保险单位应交款项。</w:t>
      </w:r>
    </w:p>
    <w:p w14:paraId="3FF76D21">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cs="仿宋_GB2312"/>
          <w:kern w:val="2"/>
          <w:sz w:val="32"/>
          <w:szCs w:val="32"/>
          <w:lang w:val="en-US" w:eastAsia="zh-CN"/>
        </w:rPr>
      </w:pPr>
      <w:r>
        <w:rPr>
          <w:rFonts w:hint="eastAsia" w:cs="仿宋_GB2312"/>
          <w:kern w:val="2"/>
          <w:sz w:val="32"/>
          <w:szCs w:val="32"/>
          <w:lang w:val="en-US" w:eastAsia="zh-CN"/>
        </w:rPr>
        <w:t>5.卫生健康支出（类）行政事业单位医疗（款）其他行政事业单位医疗支出（项目）2026年预</w:t>
      </w:r>
      <w:r>
        <w:rPr>
          <w:rFonts w:hint="eastAsia" w:cs="仿宋_GB2312"/>
          <w:kern w:val="2"/>
          <w:sz w:val="32"/>
          <w:szCs w:val="32"/>
        </w:rPr>
        <w:t>算数为</w:t>
      </w:r>
      <w:r>
        <w:rPr>
          <w:rFonts w:hint="eastAsia" w:cs="仿宋_GB2312"/>
          <w:kern w:val="2"/>
          <w:sz w:val="32"/>
          <w:szCs w:val="32"/>
          <w:lang w:val="en-US" w:eastAsia="zh-CN"/>
        </w:rPr>
        <w:t>6.06</w:t>
      </w:r>
      <w:r>
        <w:rPr>
          <w:rFonts w:hint="eastAsia" w:cs="仿宋_GB2312"/>
          <w:kern w:val="2"/>
          <w:sz w:val="32"/>
          <w:szCs w:val="32"/>
        </w:rPr>
        <w:t>万元，主要用于</w:t>
      </w:r>
      <w:r>
        <w:rPr>
          <w:rFonts w:hint="eastAsia" w:cs="仿宋_GB2312"/>
          <w:kern w:val="2"/>
          <w:sz w:val="32"/>
          <w:szCs w:val="32"/>
          <w:lang w:eastAsia="zh-CN"/>
        </w:rPr>
        <w:t>：</w:t>
      </w:r>
      <w:r>
        <w:rPr>
          <w:rFonts w:hint="eastAsia" w:cs="仿宋_GB2312"/>
          <w:kern w:val="2"/>
          <w:sz w:val="32"/>
          <w:szCs w:val="32"/>
          <w:lang w:val="en-US" w:eastAsia="zh-CN"/>
        </w:rPr>
        <w:t>职工医疗医疗补助缴费</w:t>
      </w:r>
      <w:r>
        <w:rPr>
          <w:rFonts w:hint="default" w:cs="仿宋_GB2312"/>
          <w:kern w:val="2"/>
          <w:sz w:val="32"/>
          <w:szCs w:val="32"/>
          <w:lang w:val="en-US" w:eastAsia="zh-CN"/>
        </w:rPr>
        <w:t>。</w:t>
      </w:r>
    </w:p>
    <w:p w14:paraId="21156401">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eastAsia" w:ascii="ˎ̥" w:hAnsi="ˎ̥" w:eastAsia="宋体" w:cs="宋体"/>
          <w:sz w:val="32"/>
          <w:szCs w:val="32"/>
          <w:lang w:val="en-US" w:eastAsia="zh-CN"/>
        </w:rPr>
      </w:pPr>
      <w:r>
        <w:rPr>
          <w:rFonts w:hint="eastAsia" w:cs="仿宋_GB2312"/>
          <w:kern w:val="2"/>
          <w:sz w:val="32"/>
          <w:szCs w:val="32"/>
          <w:lang w:val="en-US" w:eastAsia="zh-CN"/>
        </w:rPr>
        <w:t>6.</w:t>
      </w:r>
      <w:r>
        <w:rPr>
          <w:rFonts w:hint="eastAsia" w:cs="仿宋_GB2312"/>
          <w:kern w:val="2"/>
          <w:sz w:val="32"/>
          <w:szCs w:val="32"/>
        </w:rPr>
        <w:t>住房保障支出（类）住房改革支出（款）住房公积金</w:t>
      </w:r>
      <w:r>
        <w:rPr>
          <w:rFonts w:hint="eastAsia" w:cs="仿宋_GB2312"/>
          <w:kern w:val="2"/>
          <w:sz w:val="32"/>
          <w:szCs w:val="32"/>
          <w:lang w:eastAsia="zh-CN"/>
        </w:rPr>
        <w:t>（</w:t>
      </w:r>
      <w:r>
        <w:rPr>
          <w:rFonts w:hint="eastAsia" w:cs="仿宋_GB2312"/>
          <w:kern w:val="2"/>
          <w:sz w:val="32"/>
          <w:szCs w:val="32"/>
        </w:rPr>
        <w:t>项目）</w:t>
      </w:r>
      <w:r>
        <w:rPr>
          <w:rFonts w:hint="eastAsia" w:cs="仿宋_GB2312"/>
          <w:kern w:val="2"/>
          <w:sz w:val="32"/>
          <w:szCs w:val="32"/>
          <w:lang w:eastAsia="zh-CN"/>
        </w:rPr>
        <w:t>2026年</w:t>
      </w:r>
      <w:r>
        <w:rPr>
          <w:rFonts w:hint="eastAsia" w:cs="仿宋_GB2312"/>
          <w:kern w:val="2"/>
          <w:sz w:val="32"/>
          <w:szCs w:val="32"/>
        </w:rPr>
        <w:t>预算数为</w:t>
      </w:r>
      <w:r>
        <w:rPr>
          <w:rFonts w:hint="eastAsia" w:cs="仿宋_GB2312"/>
          <w:kern w:val="2"/>
          <w:sz w:val="32"/>
          <w:szCs w:val="32"/>
          <w:lang w:val="en-US" w:eastAsia="zh-CN"/>
        </w:rPr>
        <w:t>55.54</w:t>
      </w:r>
      <w:r>
        <w:rPr>
          <w:rFonts w:hint="eastAsia" w:cs="仿宋_GB2312"/>
          <w:kern w:val="2"/>
          <w:sz w:val="32"/>
          <w:szCs w:val="32"/>
        </w:rPr>
        <w:t>万元，主要用于</w:t>
      </w:r>
      <w:r>
        <w:rPr>
          <w:rFonts w:hint="eastAsia" w:cs="仿宋_GB2312"/>
          <w:kern w:val="2"/>
          <w:sz w:val="32"/>
          <w:szCs w:val="32"/>
          <w:lang w:eastAsia="zh-CN"/>
        </w:rPr>
        <w:t>：职工住房公积金单位交款部分。</w:t>
      </w:r>
    </w:p>
    <w:p w14:paraId="67E637EF">
      <w:pPr>
        <w:pStyle w:val="11"/>
        <w:keepNext w:val="0"/>
        <w:keepLines w:val="0"/>
        <w:pageBreakBefore w:val="0"/>
        <w:kinsoku/>
        <w:wordWrap/>
        <w:overflowPunct/>
        <w:topLinePunct w:val="0"/>
        <w:bidi w:val="0"/>
        <w:spacing w:before="0" w:line="600" w:lineRule="exact"/>
        <w:ind w:firstLine="660"/>
        <w:textAlignment w:val="auto"/>
        <w:rPr>
          <w:rFonts w:ascii="黑体" w:eastAsia="黑体"/>
          <w:sz w:val="32"/>
          <w:szCs w:val="32"/>
        </w:rPr>
      </w:pPr>
      <w:r>
        <w:rPr>
          <w:rFonts w:hint="eastAsia" w:ascii="黑体" w:eastAsia="黑体"/>
          <w:sz w:val="32"/>
          <w:szCs w:val="32"/>
        </w:rPr>
        <w:t>六、一般公共预算基本支出情况说明</w:t>
      </w:r>
    </w:p>
    <w:p w14:paraId="65559212">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部门2026年一般公共预算基本支出647.23万元，其中：人员经费579.54万元，主要包括：基本工资、津贴补贴、奖金、其他社会保障缴费、绩效工资、机关事业单位基本养老保险缴费、职业年金缴费、其他工资福利支出、离休费、奖励金、住房公积金、其他对个人和家庭的补助支出。</w:t>
      </w:r>
    </w:p>
    <w:p w14:paraId="560E334C">
      <w:pPr>
        <w:pStyle w:val="11"/>
        <w:keepNext w:val="0"/>
        <w:keepLines w:val="0"/>
        <w:pageBreakBefore w:val="0"/>
        <w:kinsoku/>
        <w:wordWrap/>
        <w:overflowPunct/>
        <w:topLinePunct w:val="0"/>
        <w:bidi w:val="0"/>
        <w:spacing w:before="0" w:line="600" w:lineRule="exact"/>
        <w:ind w:firstLine="632" w:firstLineChars="200"/>
        <w:textAlignment w:val="auto"/>
        <w:rPr>
          <w:rFonts w:ascii="黑体" w:eastAsia="黑体"/>
          <w:sz w:val="32"/>
          <w:szCs w:val="32"/>
        </w:rPr>
      </w:pPr>
      <w:r>
        <w:rPr>
          <w:rFonts w:hint="eastAsia" w:ascii="仿宋_GB2312" w:hAnsi="Times New Roman" w:eastAsia="仿宋_GB2312" w:cs="仿宋_GB2312"/>
          <w:spacing w:val="-2"/>
          <w:kern w:val="2"/>
          <w:sz w:val="32"/>
          <w:szCs w:val="32"/>
          <w:lang w:val="en-US" w:eastAsia="zh-CN" w:bidi="ar"/>
        </w:rPr>
        <w:t>公用经费67.7万元，主要包括：办公费、印刷费、手续费、水费、电费、邮电费、差旅费、维修（护）费、租赁费、会议费、培训费、劳务费、工会经费、福利费、其他交通工具运行维护费、其他商品和服务支出。</w:t>
      </w:r>
      <w:r>
        <w:rPr>
          <w:rFonts w:hint="eastAsia" w:ascii="仿宋_GB2312" w:hAnsi="Times New Roman" w:eastAsia="仿宋_GB2312" w:cs="仿宋_GB2312"/>
          <w:spacing w:val="-2"/>
          <w:kern w:val="2"/>
          <w:sz w:val="32"/>
          <w:szCs w:val="32"/>
          <w:lang w:val="en-US" w:eastAsia="zh-CN" w:bidi="ar"/>
        </w:rPr>
        <w:br w:type="textWrapping"/>
      </w:r>
      <w:r>
        <w:rPr>
          <w:rFonts w:hint="eastAsia" w:ascii="黑体" w:eastAsia="黑体"/>
          <w:sz w:val="32"/>
          <w:szCs w:val="32"/>
        </w:rPr>
        <w:t xml:space="preserve">    七、“三公”经费财政拨款预算安排情况说明</w:t>
      </w:r>
    </w:p>
    <w:p w14:paraId="37C85DE9">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2026年“三公”经费财政拨款预算数0.88万元，其中：因公出国（境）经费0万元，公务接待费0.88万元，公务用车购置及运行维护费0万元。</w:t>
      </w:r>
    </w:p>
    <w:p w14:paraId="6ABA4783">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1.2026年因公出国（境）经费0万元。</w:t>
      </w:r>
    </w:p>
    <w:p w14:paraId="69E0EE81">
      <w:pPr>
        <w:pStyle w:val="11"/>
        <w:keepNext w:val="0"/>
        <w:keepLines w:val="0"/>
        <w:pageBreakBefore w:val="0"/>
        <w:kinsoku/>
        <w:wordWrap/>
        <w:overflowPunct/>
        <w:topLinePunct w:val="0"/>
        <w:bidi w:val="0"/>
        <w:spacing w:before="0" w:line="600" w:lineRule="exact"/>
        <w:ind w:firstLine="632" w:firstLineChars="200"/>
        <w:textAlignment w:val="auto"/>
        <w:rPr>
          <w:rFonts w:hint="default"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2.2026年公务接待经费0.88万元。与2025年预算经费持平。</w:t>
      </w:r>
    </w:p>
    <w:p w14:paraId="57FA76EB">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3.2026年公务用车购置及运行维护费0万元。其中公务用车购置经费0万元，公务用运行维护费0万元。较2024年预算经费增加/减少0万元，增长0%，主要原因：单位无公务用车。</w:t>
      </w:r>
    </w:p>
    <w:p w14:paraId="7B77005F">
      <w:pPr>
        <w:pStyle w:val="11"/>
        <w:keepNext w:val="0"/>
        <w:keepLines w:val="0"/>
        <w:pageBreakBefore w:val="0"/>
        <w:kinsoku/>
        <w:wordWrap/>
        <w:overflowPunct/>
        <w:topLinePunct w:val="0"/>
        <w:bidi w:val="0"/>
        <w:spacing w:before="0" w:line="600" w:lineRule="exact"/>
        <w:ind w:firstLine="640" w:firstLineChars="200"/>
        <w:textAlignment w:val="auto"/>
        <w:rPr>
          <w:rFonts w:ascii="黑体" w:eastAsia="黑体"/>
          <w:sz w:val="32"/>
          <w:szCs w:val="32"/>
        </w:rPr>
      </w:pPr>
      <w:r>
        <w:rPr>
          <w:rFonts w:hint="eastAsia" w:ascii="黑体" w:eastAsia="黑体"/>
          <w:sz w:val="32"/>
          <w:szCs w:val="32"/>
        </w:rPr>
        <w:t>八、政府性基金</w:t>
      </w:r>
      <w:r>
        <w:rPr>
          <w:rFonts w:hint="eastAsia" w:ascii="黑体" w:eastAsia="黑体" w:cs="仿宋_GB2312"/>
          <w:kern w:val="2"/>
          <w:sz w:val="32"/>
          <w:szCs w:val="32"/>
        </w:rPr>
        <w:t>预算</w:t>
      </w:r>
      <w:r>
        <w:rPr>
          <w:rFonts w:hint="eastAsia" w:ascii="黑体" w:eastAsia="黑体"/>
          <w:sz w:val="32"/>
          <w:szCs w:val="32"/>
        </w:rPr>
        <w:t>支出情况说明</w:t>
      </w:r>
    </w:p>
    <w:p w14:paraId="08E0228A">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部门2026年政府性基金预算拨款安排的支出0万元。较2025年预算经费增加/减少0万元，增长</w:t>
      </w:r>
      <w:r>
        <w:rPr>
          <w:rFonts w:hint="eastAsia" w:hAnsi="Times New Roman" w:cs="仿宋_GB2312"/>
          <w:spacing w:val="-2"/>
          <w:kern w:val="2"/>
          <w:sz w:val="32"/>
          <w:szCs w:val="32"/>
          <w:lang w:val="en-US" w:eastAsia="zh-CN" w:bidi="ar"/>
        </w:rPr>
        <w:t>/下降</w:t>
      </w:r>
      <w:r>
        <w:rPr>
          <w:rFonts w:hint="eastAsia" w:ascii="仿宋_GB2312" w:hAnsi="Times New Roman" w:eastAsia="仿宋_GB2312" w:cs="仿宋_GB2312"/>
          <w:spacing w:val="-2"/>
          <w:kern w:val="2"/>
          <w:sz w:val="32"/>
          <w:szCs w:val="32"/>
          <w:lang w:val="en-US" w:eastAsia="zh-CN" w:bidi="ar"/>
        </w:rPr>
        <w:t>0%。</w:t>
      </w:r>
    </w:p>
    <w:p w14:paraId="787F875C">
      <w:pPr>
        <w:pStyle w:val="11"/>
        <w:keepNext w:val="0"/>
        <w:keepLines w:val="0"/>
        <w:pageBreakBefore w:val="0"/>
        <w:kinsoku/>
        <w:wordWrap/>
        <w:overflowPunct/>
        <w:topLinePunct w:val="0"/>
        <w:bidi w:val="0"/>
        <w:spacing w:before="0" w:line="600" w:lineRule="exact"/>
        <w:ind w:firstLine="640" w:firstLineChars="200"/>
        <w:textAlignment w:val="auto"/>
        <w:rPr>
          <w:rFonts w:ascii="黑体" w:eastAsia="黑体"/>
          <w:sz w:val="32"/>
          <w:szCs w:val="32"/>
        </w:rPr>
      </w:pPr>
      <w:r>
        <w:rPr>
          <w:rFonts w:hint="eastAsia" w:ascii="黑体" w:eastAsia="黑体"/>
          <w:sz w:val="32"/>
          <w:szCs w:val="32"/>
        </w:rPr>
        <w:t>九、其他重要事项的情况说明</w:t>
      </w:r>
    </w:p>
    <w:p w14:paraId="7F45A2C6">
      <w:pPr>
        <w:pStyle w:val="11"/>
        <w:keepNext w:val="0"/>
        <w:keepLines w:val="0"/>
        <w:pageBreakBefore w:val="0"/>
        <w:kinsoku/>
        <w:wordWrap/>
        <w:overflowPunct/>
        <w:topLinePunct w:val="0"/>
        <w:bidi w:val="0"/>
        <w:spacing w:before="0" w:line="600" w:lineRule="exact"/>
        <w:ind w:firstLine="643" w:firstLineChars="200"/>
        <w:textAlignment w:val="auto"/>
        <w:rPr>
          <w:rFonts w:cs="仿宋_GB2312"/>
          <w:color w:val="FF0000"/>
          <w:kern w:val="2"/>
          <w:sz w:val="32"/>
          <w:szCs w:val="32"/>
        </w:rPr>
      </w:pPr>
      <w:r>
        <w:rPr>
          <w:rFonts w:hint="eastAsia" w:ascii="楷体" w:hAnsi="Calibri" w:eastAsia="楷体" w:cs="Times New Roman"/>
          <w:b/>
          <w:bCs/>
          <w:kern w:val="2"/>
          <w:sz w:val="32"/>
          <w:szCs w:val="32"/>
          <w:lang w:val="en-US" w:eastAsia="zh-CN" w:bidi="ar-SA"/>
        </w:rPr>
        <w:t>（一）机关运行经费</w:t>
      </w:r>
      <w:r>
        <w:rPr>
          <w:rFonts w:hint="eastAsia" w:ascii="楷体" w:hAnsi="Calibri" w:eastAsia="楷体" w:cs="Times New Roman"/>
          <w:b/>
          <w:bCs/>
          <w:kern w:val="2"/>
          <w:sz w:val="32"/>
          <w:szCs w:val="32"/>
          <w:lang w:val="en-US" w:eastAsia="zh-CN" w:bidi="ar-SA"/>
        </w:rPr>
        <w:br w:type="textWrapping"/>
      </w:r>
      <w:r>
        <w:rPr>
          <w:rFonts w:hint="eastAsia" w:cs="仿宋_GB2312"/>
          <w:kern w:val="2"/>
          <w:sz w:val="32"/>
          <w:szCs w:val="32"/>
        </w:rPr>
        <w:t xml:space="preserve">　  </w:t>
      </w:r>
      <w:r>
        <w:rPr>
          <w:rFonts w:hint="eastAsia" w:ascii="仿宋_GB2312" w:hAnsi="Times New Roman" w:eastAsia="仿宋_GB2312" w:cs="仿宋_GB2312"/>
          <w:spacing w:val="-2"/>
          <w:kern w:val="2"/>
          <w:sz w:val="32"/>
          <w:szCs w:val="32"/>
          <w:lang w:val="en-US" w:eastAsia="zh-CN" w:bidi="ar"/>
        </w:rPr>
        <w:t>部门2026年机关运行经费财政拨款预算为</w:t>
      </w:r>
      <w:r>
        <w:rPr>
          <w:rFonts w:hint="eastAsia" w:hAnsi="Times New Roman" w:cs="仿宋_GB2312"/>
          <w:spacing w:val="-2"/>
          <w:kern w:val="2"/>
          <w:sz w:val="32"/>
          <w:szCs w:val="32"/>
          <w:lang w:val="en-US" w:eastAsia="zh-CN" w:bidi="ar"/>
        </w:rPr>
        <w:t>0</w:t>
      </w:r>
      <w:r>
        <w:rPr>
          <w:rFonts w:hint="eastAsia" w:ascii="仿宋_GB2312" w:hAnsi="Times New Roman" w:eastAsia="仿宋_GB2312" w:cs="仿宋_GB2312"/>
          <w:spacing w:val="-2"/>
          <w:kern w:val="2"/>
          <w:sz w:val="32"/>
          <w:szCs w:val="32"/>
          <w:lang w:val="en-US" w:eastAsia="zh-CN" w:bidi="ar"/>
        </w:rPr>
        <w:t>万元，比2025年预算</w:t>
      </w:r>
      <w:r>
        <w:rPr>
          <w:rFonts w:hint="eastAsia" w:hAnsi="Times New Roman" w:cs="仿宋_GB2312"/>
          <w:spacing w:val="-2"/>
          <w:kern w:val="2"/>
          <w:sz w:val="32"/>
          <w:szCs w:val="32"/>
          <w:lang w:val="en-US" w:eastAsia="zh-CN" w:bidi="ar"/>
        </w:rPr>
        <w:t>增加/</w:t>
      </w:r>
      <w:r>
        <w:rPr>
          <w:rFonts w:hint="eastAsia" w:ascii="仿宋_GB2312" w:hAnsi="Times New Roman" w:eastAsia="仿宋_GB2312" w:cs="仿宋_GB2312"/>
          <w:spacing w:val="-2"/>
          <w:kern w:val="2"/>
          <w:sz w:val="32"/>
          <w:szCs w:val="32"/>
          <w:lang w:val="en-US" w:eastAsia="zh-CN" w:bidi="ar"/>
        </w:rPr>
        <w:t>减少</w:t>
      </w:r>
      <w:r>
        <w:rPr>
          <w:rFonts w:hint="eastAsia" w:hAnsi="Times New Roman" w:cs="仿宋_GB2312"/>
          <w:spacing w:val="-2"/>
          <w:kern w:val="2"/>
          <w:sz w:val="32"/>
          <w:szCs w:val="32"/>
          <w:lang w:val="en-US" w:eastAsia="zh-CN" w:bidi="ar"/>
        </w:rPr>
        <w:t>0</w:t>
      </w:r>
      <w:r>
        <w:rPr>
          <w:rFonts w:hint="eastAsia" w:ascii="仿宋_GB2312" w:hAnsi="Times New Roman" w:eastAsia="仿宋_GB2312" w:cs="仿宋_GB2312"/>
          <w:spacing w:val="-2"/>
          <w:kern w:val="2"/>
          <w:sz w:val="32"/>
          <w:szCs w:val="32"/>
          <w:lang w:val="en-US" w:eastAsia="zh-CN" w:bidi="ar"/>
        </w:rPr>
        <w:t>万元，</w:t>
      </w:r>
      <w:r>
        <w:rPr>
          <w:rFonts w:hint="eastAsia" w:hAnsi="Times New Roman" w:cs="仿宋_GB2312"/>
          <w:spacing w:val="-2"/>
          <w:kern w:val="2"/>
          <w:sz w:val="32"/>
          <w:szCs w:val="32"/>
          <w:lang w:val="en-US" w:eastAsia="zh-CN" w:bidi="ar"/>
        </w:rPr>
        <w:t>增长/下降0</w:t>
      </w:r>
      <w:r>
        <w:rPr>
          <w:rFonts w:hint="eastAsia" w:ascii="仿宋_GB2312" w:hAnsi="Times New Roman" w:eastAsia="仿宋_GB2312" w:cs="仿宋_GB2312"/>
          <w:spacing w:val="-2"/>
          <w:kern w:val="2"/>
          <w:sz w:val="32"/>
          <w:szCs w:val="32"/>
          <w:lang w:val="en-US" w:eastAsia="zh-CN" w:bidi="ar"/>
        </w:rPr>
        <w:t>%。</w:t>
      </w:r>
      <w:r>
        <w:rPr>
          <w:rFonts w:hint="eastAsia" w:cs="仿宋_GB2312"/>
          <w:color w:val="000000"/>
          <w:kern w:val="2"/>
          <w:sz w:val="32"/>
          <w:szCs w:val="32"/>
        </w:rPr>
        <w:t xml:space="preserve"> </w:t>
      </w:r>
    </w:p>
    <w:p w14:paraId="67694562">
      <w:pPr>
        <w:pStyle w:val="11"/>
        <w:keepNext w:val="0"/>
        <w:keepLines w:val="0"/>
        <w:pageBreakBefore w:val="0"/>
        <w:kinsoku/>
        <w:wordWrap/>
        <w:overflowPunct/>
        <w:topLinePunct w:val="0"/>
        <w:bidi w:val="0"/>
        <w:spacing w:before="0" w:line="600" w:lineRule="exact"/>
        <w:ind w:firstLine="643" w:firstLineChars="200"/>
        <w:textAlignment w:val="auto"/>
        <w:rPr>
          <w:rFonts w:hint="default" w:ascii="仿宋_GB2312" w:hAnsi="Times New Roman" w:eastAsia="仿宋_GB2312" w:cs="仿宋_GB2312"/>
          <w:spacing w:val="-2"/>
          <w:kern w:val="2"/>
          <w:sz w:val="32"/>
          <w:szCs w:val="32"/>
          <w:lang w:val="en-US" w:eastAsia="zh-CN" w:bidi="ar"/>
        </w:rPr>
      </w:pPr>
      <w:r>
        <w:rPr>
          <w:rFonts w:hint="eastAsia" w:ascii="楷体" w:hAnsi="Calibri" w:eastAsia="楷体" w:cs="Times New Roman"/>
          <w:b/>
          <w:bCs/>
          <w:kern w:val="2"/>
          <w:sz w:val="32"/>
          <w:szCs w:val="32"/>
          <w:lang w:val="en-US" w:eastAsia="zh-CN" w:bidi="ar-SA"/>
        </w:rPr>
        <w:t>（二）政府采购情况</w:t>
      </w:r>
      <w:r>
        <w:rPr>
          <w:rFonts w:hint="eastAsia" w:ascii="楷体" w:hAnsi="Calibri" w:eastAsia="楷体" w:cs="Times New Roman"/>
          <w:b/>
          <w:bCs/>
          <w:kern w:val="2"/>
          <w:sz w:val="32"/>
          <w:szCs w:val="32"/>
          <w:lang w:val="en-US" w:eastAsia="zh-CN" w:bidi="ar-SA"/>
        </w:rPr>
        <w:br w:type="textWrapping"/>
      </w:r>
      <w:r>
        <w:rPr>
          <w:rFonts w:hint="eastAsia" w:cs="仿宋_GB2312"/>
          <w:kern w:val="2"/>
          <w:sz w:val="32"/>
          <w:szCs w:val="32"/>
        </w:rPr>
        <w:t>　</w:t>
      </w:r>
      <w:r>
        <w:rPr>
          <w:rFonts w:hint="eastAsia" w:cs="仿宋_GB2312"/>
          <w:color w:val="000000"/>
          <w:kern w:val="2"/>
          <w:sz w:val="32"/>
          <w:szCs w:val="32"/>
        </w:rPr>
        <w:t xml:space="preserve">　 </w:t>
      </w:r>
      <w:r>
        <w:rPr>
          <w:rFonts w:hint="eastAsia" w:ascii="仿宋_GB2312" w:hAnsi="Times New Roman" w:eastAsia="仿宋_GB2312" w:cs="仿宋_GB2312"/>
          <w:spacing w:val="-2"/>
          <w:kern w:val="2"/>
          <w:sz w:val="32"/>
          <w:szCs w:val="32"/>
          <w:lang w:val="en-US" w:eastAsia="zh-CN" w:bidi="ar"/>
        </w:rPr>
        <w:t>2026年部门（单位）安排政府采购预算</w:t>
      </w:r>
      <w:r>
        <w:rPr>
          <w:rFonts w:hint="eastAsia" w:hAnsi="Times New Roman" w:cs="仿宋_GB2312"/>
          <w:spacing w:val="-2"/>
          <w:kern w:val="2"/>
          <w:sz w:val="32"/>
          <w:szCs w:val="32"/>
          <w:lang w:val="en-US" w:eastAsia="zh-CN" w:bidi="ar"/>
        </w:rPr>
        <w:t>0</w:t>
      </w:r>
      <w:r>
        <w:rPr>
          <w:rFonts w:hint="eastAsia" w:ascii="仿宋_GB2312" w:hAnsi="Times New Roman" w:eastAsia="仿宋_GB2312" w:cs="仿宋_GB2312"/>
          <w:spacing w:val="-2"/>
          <w:kern w:val="2"/>
          <w:sz w:val="32"/>
          <w:szCs w:val="32"/>
          <w:lang w:val="en-US" w:eastAsia="zh-CN" w:bidi="ar"/>
        </w:rPr>
        <w:t>万元。</w:t>
      </w:r>
    </w:p>
    <w:p w14:paraId="765B3344">
      <w:pPr>
        <w:keepNext w:val="0"/>
        <w:keepLines w:val="0"/>
        <w:pageBreakBefore w:val="0"/>
        <w:kinsoku/>
        <w:wordWrap/>
        <w:overflowPunct/>
        <w:topLinePunct w:val="0"/>
        <w:bidi w:val="0"/>
        <w:spacing w:line="600" w:lineRule="exact"/>
        <w:ind w:firstLine="643" w:firstLineChars="200"/>
        <w:textAlignment w:val="auto"/>
        <w:rPr>
          <w:rFonts w:hint="eastAsia" w:ascii="楷体" w:eastAsia="楷体" w:cs="Times New Roman"/>
          <w:b/>
          <w:bCs/>
          <w:sz w:val="32"/>
          <w:szCs w:val="32"/>
        </w:rPr>
      </w:pPr>
      <w:r>
        <w:rPr>
          <w:rFonts w:hint="eastAsia" w:ascii="楷体" w:eastAsia="楷体" w:cs="Times New Roman"/>
          <w:b/>
          <w:bCs/>
          <w:sz w:val="32"/>
          <w:szCs w:val="32"/>
        </w:rPr>
        <w:t>（三）国有资产占有使用情况</w:t>
      </w:r>
    </w:p>
    <w:p w14:paraId="5E501122">
      <w:pPr>
        <w:pStyle w:val="11"/>
        <w:keepNext w:val="0"/>
        <w:keepLines w:val="0"/>
        <w:pageBreakBefore w:val="0"/>
        <w:kinsoku/>
        <w:wordWrap/>
        <w:overflowPunct/>
        <w:topLinePunct w:val="0"/>
        <w:bidi w:val="0"/>
        <w:spacing w:before="0" w:line="600" w:lineRule="exact"/>
        <w:ind w:firstLine="632"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仿宋_GB2312" w:hAnsi="Times New Roman" w:eastAsia="仿宋_GB2312" w:cs="仿宋_GB2312"/>
          <w:spacing w:val="-2"/>
          <w:kern w:val="2"/>
          <w:sz w:val="32"/>
          <w:szCs w:val="32"/>
          <w:lang w:val="en-US" w:eastAsia="zh-CN" w:bidi="ar"/>
        </w:rPr>
        <w:t>截至2025年12月31日，我单位固定资产</w:t>
      </w:r>
      <w:r>
        <w:rPr>
          <w:rFonts w:hint="eastAsia" w:hAnsi="Times New Roman" w:cs="仿宋_GB2312"/>
          <w:spacing w:val="-2"/>
          <w:kern w:val="2"/>
          <w:sz w:val="32"/>
          <w:szCs w:val="32"/>
          <w:lang w:val="en-US" w:eastAsia="zh-CN" w:bidi="ar"/>
        </w:rPr>
        <w:t>0万</w:t>
      </w:r>
      <w:r>
        <w:rPr>
          <w:rFonts w:hint="eastAsia" w:ascii="仿宋_GB2312" w:hAnsi="Times New Roman" w:eastAsia="仿宋_GB2312" w:cs="仿宋_GB2312"/>
          <w:spacing w:val="-2"/>
          <w:kern w:val="2"/>
          <w:sz w:val="32"/>
          <w:szCs w:val="32"/>
          <w:lang w:val="en-US" w:eastAsia="zh-CN" w:bidi="ar"/>
        </w:rPr>
        <w:t>元。</w:t>
      </w:r>
    </w:p>
    <w:p w14:paraId="6C880847">
      <w:pPr>
        <w:pStyle w:val="11"/>
        <w:keepNext w:val="0"/>
        <w:keepLines w:val="0"/>
        <w:pageBreakBefore w:val="0"/>
        <w:kinsoku/>
        <w:wordWrap/>
        <w:overflowPunct/>
        <w:topLinePunct w:val="0"/>
        <w:bidi w:val="0"/>
        <w:spacing w:before="0" w:line="600" w:lineRule="exact"/>
        <w:ind w:firstLine="643"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楷体" w:hAnsi="Calibri" w:eastAsia="楷体" w:cs="Times New Roman"/>
          <w:b/>
          <w:bCs/>
          <w:kern w:val="2"/>
          <w:sz w:val="32"/>
          <w:szCs w:val="32"/>
          <w:lang w:val="en-US" w:eastAsia="zh-CN" w:bidi="ar-SA"/>
        </w:rPr>
        <w:t>（四）绩效目标设置情况</w:t>
      </w:r>
      <w:r>
        <w:rPr>
          <w:rFonts w:hint="eastAsia" w:ascii="楷体" w:hAnsi="Calibri" w:eastAsia="楷体" w:cs="Times New Roman"/>
          <w:b/>
          <w:bCs/>
          <w:kern w:val="2"/>
          <w:sz w:val="32"/>
          <w:szCs w:val="32"/>
          <w:lang w:val="en-US" w:eastAsia="zh-CN" w:bidi="ar-SA"/>
        </w:rPr>
        <w:br w:type="textWrapping"/>
      </w:r>
      <w:r>
        <w:rPr>
          <w:rFonts w:hint="eastAsia" w:cs="仿宋_GB2312"/>
          <w:kern w:val="2"/>
          <w:sz w:val="32"/>
          <w:szCs w:val="32"/>
        </w:rPr>
        <w:t>　</w:t>
      </w:r>
      <w:r>
        <w:rPr>
          <w:rFonts w:hint="eastAsia" w:ascii="仿宋_GB2312" w:hAnsi="Times New Roman" w:eastAsia="仿宋_GB2312" w:cs="仿宋_GB2312"/>
          <w:spacing w:val="-2"/>
          <w:kern w:val="2"/>
          <w:sz w:val="32"/>
          <w:szCs w:val="32"/>
          <w:lang w:val="en-US" w:eastAsia="zh-CN" w:bidi="ar"/>
        </w:rPr>
        <w:t>　2026年单位通用项目和专用项目均按要求实行绩效目标管理，涉及一般公共预算当年拨款</w:t>
      </w:r>
      <w:r>
        <w:rPr>
          <w:rFonts w:hint="eastAsia" w:hAnsi="Times New Roman" w:cs="仿宋_GB2312"/>
          <w:spacing w:val="-2"/>
          <w:kern w:val="2"/>
          <w:sz w:val="32"/>
          <w:szCs w:val="32"/>
          <w:lang w:val="en-US" w:eastAsia="zh-CN" w:bidi="ar"/>
        </w:rPr>
        <w:t>0</w:t>
      </w:r>
      <w:r>
        <w:rPr>
          <w:rFonts w:hint="eastAsia" w:ascii="仿宋_GB2312" w:hAnsi="Times New Roman" w:eastAsia="仿宋_GB2312" w:cs="仿宋_GB2312"/>
          <w:spacing w:val="-2"/>
          <w:kern w:val="2"/>
          <w:sz w:val="32"/>
          <w:szCs w:val="32"/>
          <w:lang w:val="en-US" w:eastAsia="zh-CN" w:bidi="ar"/>
        </w:rPr>
        <w:t>万元。</w:t>
      </w:r>
    </w:p>
    <w:p w14:paraId="48B25FC6">
      <w:pPr>
        <w:pStyle w:val="11"/>
        <w:keepNext w:val="0"/>
        <w:keepLines w:val="0"/>
        <w:pageBreakBefore w:val="0"/>
        <w:kinsoku/>
        <w:wordWrap/>
        <w:overflowPunct/>
        <w:topLinePunct w:val="0"/>
        <w:bidi w:val="0"/>
        <w:spacing w:before="0" w:line="600" w:lineRule="exact"/>
        <w:ind w:firstLine="640" w:firstLineChars="200"/>
        <w:textAlignment w:val="auto"/>
        <w:rPr>
          <w:rFonts w:hint="eastAsia" w:ascii="仿宋_GB2312" w:hAnsi="Times New Roman" w:eastAsia="仿宋_GB2312" w:cs="仿宋_GB2312"/>
          <w:spacing w:val="-2"/>
          <w:kern w:val="2"/>
          <w:sz w:val="32"/>
          <w:szCs w:val="32"/>
          <w:lang w:val="en-US" w:eastAsia="zh-CN" w:bidi="ar"/>
        </w:rPr>
      </w:pPr>
      <w:r>
        <w:rPr>
          <w:rFonts w:hint="eastAsia" w:ascii="黑体" w:eastAsia="黑体"/>
          <w:sz w:val="32"/>
          <w:szCs w:val="32"/>
        </w:rPr>
        <w:t xml:space="preserve">十、名称解释 </w:t>
      </w:r>
      <w:r>
        <w:rPr>
          <w:rFonts w:hint="eastAsia" w:cs="仿宋_GB2312"/>
          <w:sz w:val="32"/>
          <w:szCs w:val="32"/>
        </w:rPr>
        <w:br w:type="textWrapping"/>
      </w:r>
      <w:r>
        <w:rPr>
          <w:rFonts w:hint="eastAsia" w:ascii="??" w:hAnsi="??" w:eastAsia="宋体" w:cs="宋体"/>
          <w:sz w:val="16"/>
        </w:rPr>
        <w:t xml:space="preserve">　　   </w:t>
      </w:r>
      <w:r>
        <w:rPr>
          <w:rFonts w:hint="eastAsia" w:ascii="楷体" w:hAnsi="Calibri" w:eastAsia="楷体" w:cs="Times New Roman"/>
          <w:b/>
          <w:bCs/>
          <w:kern w:val="2"/>
          <w:sz w:val="32"/>
          <w:szCs w:val="32"/>
          <w:lang w:val="en-US" w:eastAsia="zh-CN" w:bidi="ar-SA"/>
        </w:rPr>
        <w:t>（一）财政拨款收入：</w:t>
      </w:r>
      <w:r>
        <w:rPr>
          <w:rFonts w:hint="eastAsia" w:ascii="仿宋_GB2312" w:hAnsi="Times New Roman" w:eastAsia="仿宋_GB2312" w:cs="仿宋_GB2312"/>
          <w:spacing w:val="-2"/>
          <w:kern w:val="2"/>
          <w:sz w:val="32"/>
          <w:szCs w:val="32"/>
          <w:lang w:val="en-US" w:eastAsia="zh-CN" w:bidi="ar"/>
        </w:rPr>
        <w:t>指由财政拨款形成的部门收入。按现行管理制度，部门预算中反映的财政拨款仅包括一般公共预算拨款和政府性基金预算拨款。</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hAnsi="Calibri" w:eastAsia="楷体" w:cs="Times New Roman"/>
          <w:b/>
          <w:bCs/>
          <w:kern w:val="2"/>
          <w:sz w:val="32"/>
          <w:szCs w:val="32"/>
          <w:lang w:val="en-US" w:eastAsia="zh-CN" w:bidi="ar-SA"/>
        </w:rPr>
        <w:t>（二）事业收入：</w:t>
      </w:r>
      <w:r>
        <w:rPr>
          <w:rFonts w:hint="eastAsia" w:ascii="仿宋_GB2312" w:hAnsi="Times New Roman" w:eastAsia="仿宋_GB2312" w:cs="仿宋_GB2312"/>
          <w:spacing w:val="-2"/>
          <w:kern w:val="2"/>
          <w:sz w:val="32"/>
          <w:szCs w:val="32"/>
          <w:lang w:val="en-US" w:eastAsia="zh-CN" w:bidi="ar"/>
        </w:rPr>
        <w:t>指所属事业单位开展专业业务活动及辅助活动所取得的收入。</w:t>
      </w:r>
      <w:r>
        <w:rPr>
          <w:rFonts w:cs="仿宋_GB2312"/>
          <w:kern w:val="2"/>
          <w:sz w:val="32"/>
          <w:szCs w:val="32"/>
        </w:rPr>
        <w:br w:type="textWrapping"/>
      </w:r>
      <w:r>
        <w:rPr>
          <w:rFonts w:hint="eastAsia" w:cs="仿宋_GB2312"/>
          <w:kern w:val="2"/>
          <w:sz w:val="32"/>
          <w:szCs w:val="32"/>
        </w:rPr>
        <w:t>　　</w:t>
      </w:r>
      <w:r>
        <w:rPr>
          <w:rFonts w:hint="eastAsia" w:ascii="楷体" w:hAnsi="Calibri" w:eastAsia="楷体" w:cs="Times New Roman"/>
          <w:b/>
          <w:bCs/>
          <w:kern w:val="2"/>
          <w:sz w:val="32"/>
          <w:szCs w:val="32"/>
          <w:lang w:val="en-US" w:eastAsia="zh-CN" w:bidi="ar-SA"/>
        </w:rPr>
        <w:t>（三）事业单位经营收入：</w:t>
      </w:r>
      <w:r>
        <w:rPr>
          <w:rFonts w:hint="eastAsia" w:ascii="仿宋_GB2312" w:hAnsi="Times New Roman" w:eastAsia="仿宋_GB2312" w:cs="仿宋_GB2312"/>
          <w:spacing w:val="-2"/>
          <w:kern w:val="2"/>
          <w:sz w:val="32"/>
          <w:szCs w:val="32"/>
          <w:lang w:val="en-US" w:eastAsia="zh-CN" w:bidi="ar"/>
        </w:rPr>
        <w:t>指所属事业单位在专业业务活动及其辅助活动之外开展非独立核算经营活动取得的收入。</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eastAsia="楷体" w:cs="仿宋_GB2312"/>
          <w:kern w:val="2"/>
          <w:sz w:val="32"/>
          <w:szCs w:val="32"/>
        </w:rPr>
        <w:t>　</w:t>
      </w:r>
      <w:r>
        <w:rPr>
          <w:rFonts w:hint="eastAsia" w:ascii="楷体" w:hAnsi="Calibri" w:eastAsia="楷体" w:cs="Times New Roman"/>
          <w:b/>
          <w:bCs/>
          <w:kern w:val="2"/>
          <w:sz w:val="32"/>
          <w:szCs w:val="32"/>
          <w:lang w:val="en-US" w:eastAsia="zh-CN" w:bidi="ar-SA"/>
        </w:rPr>
        <w:t>（四）其他收入：</w:t>
      </w:r>
      <w:r>
        <w:rPr>
          <w:rFonts w:hint="eastAsia" w:ascii="仿宋_GB2312" w:hAnsi="Times New Roman" w:eastAsia="仿宋_GB2312" w:cs="仿宋_GB2312"/>
          <w:spacing w:val="-2"/>
          <w:kern w:val="2"/>
          <w:sz w:val="32"/>
          <w:szCs w:val="32"/>
          <w:lang w:val="en-US" w:eastAsia="zh-CN" w:bidi="ar"/>
        </w:rPr>
        <w:t>指除上述“财政拨款收入”、“事业收入”、“事业单位经营收入”等以外的收入，主要是所属行政事业单位按规定动用的售房收入、存款利息收入等。</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eastAsia="楷体" w:cs="仿宋_GB2312"/>
          <w:kern w:val="2"/>
          <w:sz w:val="32"/>
          <w:szCs w:val="32"/>
        </w:rPr>
        <w:t>　</w:t>
      </w:r>
      <w:r>
        <w:rPr>
          <w:rFonts w:hint="eastAsia" w:ascii="楷体" w:hAnsi="Calibri" w:eastAsia="楷体" w:cs="Times New Roman"/>
          <w:b/>
          <w:bCs/>
          <w:kern w:val="2"/>
          <w:sz w:val="32"/>
          <w:szCs w:val="32"/>
          <w:lang w:val="en-US" w:eastAsia="zh-CN" w:bidi="ar-SA"/>
        </w:rPr>
        <w:t>（五）用事业基金弥补收支差额：</w:t>
      </w:r>
      <w:r>
        <w:rPr>
          <w:rFonts w:hint="eastAsia" w:ascii="仿宋_GB2312" w:hAnsi="Times New Roman" w:eastAsia="仿宋_GB2312" w:cs="仿宋_GB2312"/>
          <w:spacing w:val="-2"/>
          <w:kern w:val="2"/>
          <w:sz w:val="32"/>
          <w:szCs w:val="32"/>
          <w:lang w:val="en-US" w:eastAsia="zh-CN" w:bidi="ar"/>
        </w:rPr>
        <w:t>指所属事业单位在预计用当年的“财政拨款收入”、“事业收入”、“事业单位经营收入”、“其他收入”不足以安排当年支出的情况下，使用以前年度积累的事业基金弥补本年度收支缺口的资金。</w:t>
      </w:r>
      <w:r>
        <w:rPr>
          <w:rFonts w:hint="eastAsia" w:ascii="仿宋_GB2312" w:hAnsi="Times New Roman" w:eastAsia="仿宋_GB2312" w:cs="仿宋_GB2312"/>
          <w:spacing w:val="-2"/>
          <w:kern w:val="2"/>
          <w:sz w:val="32"/>
          <w:szCs w:val="32"/>
          <w:lang w:val="en-US" w:eastAsia="zh-CN" w:bidi="ar"/>
        </w:rPr>
        <w:br w:type="textWrapping"/>
      </w:r>
      <w:r>
        <w:rPr>
          <w:rFonts w:hint="eastAsia" w:cs="仿宋_GB2312"/>
          <w:kern w:val="2"/>
          <w:sz w:val="32"/>
          <w:szCs w:val="32"/>
        </w:rPr>
        <w:t>　</w:t>
      </w:r>
      <w:r>
        <w:rPr>
          <w:rFonts w:hint="eastAsia" w:ascii="楷体" w:eastAsia="楷体" w:cs="仿宋_GB2312"/>
          <w:kern w:val="2"/>
          <w:sz w:val="32"/>
          <w:szCs w:val="32"/>
        </w:rPr>
        <w:t>　</w:t>
      </w:r>
      <w:r>
        <w:rPr>
          <w:rFonts w:hint="eastAsia" w:ascii="楷体" w:hAnsi="Calibri" w:eastAsia="楷体" w:cs="Times New Roman"/>
          <w:b/>
          <w:bCs/>
          <w:kern w:val="2"/>
          <w:sz w:val="32"/>
          <w:szCs w:val="32"/>
          <w:lang w:val="en-US" w:eastAsia="zh-CN" w:bidi="ar-SA"/>
        </w:rPr>
        <w:t>（六）上年结转：</w:t>
      </w:r>
      <w:r>
        <w:rPr>
          <w:rFonts w:hint="eastAsia" w:ascii="仿宋_GB2312" w:hAnsi="Times New Roman" w:eastAsia="仿宋_GB2312" w:cs="仿宋_GB2312"/>
          <w:spacing w:val="-2"/>
          <w:kern w:val="2"/>
          <w:sz w:val="32"/>
          <w:szCs w:val="32"/>
          <w:lang w:val="en-US" w:eastAsia="zh-CN" w:bidi="ar"/>
        </w:rPr>
        <w:t>指所属行政事业单位以前年度尚未完成、结转至本年按原规定用途继续使用的资金和以前年度已完成项目剩余资金经批准用于新用途使用的资金。</w:t>
      </w:r>
    </w:p>
    <w:p w14:paraId="5A46B0A7">
      <w:pPr>
        <w:keepNext w:val="0"/>
        <w:keepLines w:val="0"/>
        <w:pageBreakBefore w:val="0"/>
        <w:kinsoku/>
        <w:wordWrap/>
        <w:overflowPunct/>
        <w:topLinePunct w:val="0"/>
        <w:bidi w:val="0"/>
        <w:spacing w:line="600" w:lineRule="exact"/>
        <w:textAlignment w:val="auto"/>
        <w:rPr>
          <w:rFonts w:ascii="仿宋_GB2312" w:eastAsia="仿宋_GB2312" w:cs="仿宋_GB2312"/>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方正仿宋_GBK">
    <w:panose1 w:val="03000509000000000000"/>
    <w:charset w:val="86"/>
    <w:family w:val="script"/>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A512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1A52705"/>
    <w:rsid w:val="01F61F75"/>
    <w:rsid w:val="02CD73A2"/>
    <w:rsid w:val="02D50DC8"/>
    <w:rsid w:val="038F541B"/>
    <w:rsid w:val="03A350E8"/>
    <w:rsid w:val="04E83035"/>
    <w:rsid w:val="05157BA2"/>
    <w:rsid w:val="05AA2098"/>
    <w:rsid w:val="06071298"/>
    <w:rsid w:val="07D17DB0"/>
    <w:rsid w:val="0831084F"/>
    <w:rsid w:val="0B9C2483"/>
    <w:rsid w:val="0C547DB6"/>
    <w:rsid w:val="0D1424ED"/>
    <w:rsid w:val="0D4B23B2"/>
    <w:rsid w:val="0E06277D"/>
    <w:rsid w:val="0E2844A2"/>
    <w:rsid w:val="0EA578A0"/>
    <w:rsid w:val="0F096081"/>
    <w:rsid w:val="10645539"/>
    <w:rsid w:val="111D5683"/>
    <w:rsid w:val="11290C5D"/>
    <w:rsid w:val="11B37565"/>
    <w:rsid w:val="11C10E95"/>
    <w:rsid w:val="11EB5F12"/>
    <w:rsid w:val="121A67F7"/>
    <w:rsid w:val="12A54313"/>
    <w:rsid w:val="13B567D8"/>
    <w:rsid w:val="13C54541"/>
    <w:rsid w:val="13DF5603"/>
    <w:rsid w:val="160E47D0"/>
    <w:rsid w:val="174E5DF2"/>
    <w:rsid w:val="179559FB"/>
    <w:rsid w:val="179E57D5"/>
    <w:rsid w:val="185365BF"/>
    <w:rsid w:val="18B43502"/>
    <w:rsid w:val="1B697EA8"/>
    <w:rsid w:val="1E2F362A"/>
    <w:rsid w:val="1E4C1AE7"/>
    <w:rsid w:val="1E637854"/>
    <w:rsid w:val="1EA31A71"/>
    <w:rsid w:val="1F015405"/>
    <w:rsid w:val="1F75506D"/>
    <w:rsid w:val="20270F2B"/>
    <w:rsid w:val="212154AC"/>
    <w:rsid w:val="21A97250"/>
    <w:rsid w:val="21BA320B"/>
    <w:rsid w:val="24D46CDA"/>
    <w:rsid w:val="26C32B62"/>
    <w:rsid w:val="281A4A03"/>
    <w:rsid w:val="28702875"/>
    <w:rsid w:val="28C8445F"/>
    <w:rsid w:val="29A9551B"/>
    <w:rsid w:val="2A5C1303"/>
    <w:rsid w:val="2A614B6C"/>
    <w:rsid w:val="2ADE440E"/>
    <w:rsid w:val="2C8903AA"/>
    <w:rsid w:val="2DB42000"/>
    <w:rsid w:val="2EBD433B"/>
    <w:rsid w:val="2EE90A6E"/>
    <w:rsid w:val="300C7328"/>
    <w:rsid w:val="307373A7"/>
    <w:rsid w:val="308C0468"/>
    <w:rsid w:val="31AF440F"/>
    <w:rsid w:val="31E1612B"/>
    <w:rsid w:val="325847CC"/>
    <w:rsid w:val="32612A25"/>
    <w:rsid w:val="32E93950"/>
    <w:rsid w:val="32FC7B27"/>
    <w:rsid w:val="346468BD"/>
    <w:rsid w:val="34F871C7"/>
    <w:rsid w:val="351A4295"/>
    <w:rsid w:val="35357321"/>
    <w:rsid w:val="37070849"/>
    <w:rsid w:val="3729791C"/>
    <w:rsid w:val="37395C82"/>
    <w:rsid w:val="37874902"/>
    <w:rsid w:val="37C624B2"/>
    <w:rsid w:val="38F4304F"/>
    <w:rsid w:val="392E47B3"/>
    <w:rsid w:val="3A26548A"/>
    <w:rsid w:val="3ACC7DDF"/>
    <w:rsid w:val="3AD2116E"/>
    <w:rsid w:val="3E546A69"/>
    <w:rsid w:val="3F152D9E"/>
    <w:rsid w:val="3F780536"/>
    <w:rsid w:val="403B0B67"/>
    <w:rsid w:val="407F76A2"/>
    <w:rsid w:val="40CB28E7"/>
    <w:rsid w:val="40E340D5"/>
    <w:rsid w:val="416A0352"/>
    <w:rsid w:val="425F3C2F"/>
    <w:rsid w:val="433C7ACC"/>
    <w:rsid w:val="43BC29BB"/>
    <w:rsid w:val="44CD1324"/>
    <w:rsid w:val="44F543D6"/>
    <w:rsid w:val="456A0921"/>
    <w:rsid w:val="46B300A5"/>
    <w:rsid w:val="46CE1383"/>
    <w:rsid w:val="47AF2F63"/>
    <w:rsid w:val="47DB5B06"/>
    <w:rsid w:val="482F7BFF"/>
    <w:rsid w:val="490C7F41"/>
    <w:rsid w:val="49C83E68"/>
    <w:rsid w:val="49E16FAA"/>
    <w:rsid w:val="4A25750C"/>
    <w:rsid w:val="4A7162AD"/>
    <w:rsid w:val="4A743FEF"/>
    <w:rsid w:val="4AD945B9"/>
    <w:rsid w:val="4B863FDA"/>
    <w:rsid w:val="4B9C69E1"/>
    <w:rsid w:val="4BA60DDF"/>
    <w:rsid w:val="4BB723E6"/>
    <w:rsid w:val="4BBF74EC"/>
    <w:rsid w:val="4C93105A"/>
    <w:rsid w:val="4CC34DBA"/>
    <w:rsid w:val="4F2E29BF"/>
    <w:rsid w:val="4F9A4A0A"/>
    <w:rsid w:val="50100316"/>
    <w:rsid w:val="50450E16"/>
    <w:rsid w:val="50BB64D4"/>
    <w:rsid w:val="50D86525"/>
    <w:rsid w:val="51491D32"/>
    <w:rsid w:val="51B02D7C"/>
    <w:rsid w:val="5272350A"/>
    <w:rsid w:val="537D5CC3"/>
    <w:rsid w:val="53A11CDD"/>
    <w:rsid w:val="53AC1CE4"/>
    <w:rsid w:val="554A09EE"/>
    <w:rsid w:val="55A35789"/>
    <w:rsid w:val="56603FE0"/>
    <w:rsid w:val="56B45E9F"/>
    <w:rsid w:val="58A27F7A"/>
    <w:rsid w:val="58D77F83"/>
    <w:rsid w:val="59B12B6A"/>
    <w:rsid w:val="5A1455BF"/>
    <w:rsid w:val="5A4621BD"/>
    <w:rsid w:val="5B172EA1"/>
    <w:rsid w:val="5C425CFC"/>
    <w:rsid w:val="5CAB60E3"/>
    <w:rsid w:val="5CD074CF"/>
    <w:rsid w:val="5CFA65D6"/>
    <w:rsid w:val="5D0B433F"/>
    <w:rsid w:val="5DBE7604"/>
    <w:rsid w:val="5EB033F0"/>
    <w:rsid w:val="5EB36C05"/>
    <w:rsid w:val="5EE72B8A"/>
    <w:rsid w:val="5FBA1E19"/>
    <w:rsid w:val="60431238"/>
    <w:rsid w:val="60E23609"/>
    <w:rsid w:val="60FB291D"/>
    <w:rsid w:val="6138591F"/>
    <w:rsid w:val="636429FB"/>
    <w:rsid w:val="63807109"/>
    <w:rsid w:val="63952BB5"/>
    <w:rsid w:val="639B075C"/>
    <w:rsid w:val="643207A1"/>
    <w:rsid w:val="649E018F"/>
    <w:rsid w:val="651641C9"/>
    <w:rsid w:val="67762CFD"/>
    <w:rsid w:val="68594AF9"/>
    <w:rsid w:val="68BE495C"/>
    <w:rsid w:val="691E364C"/>
    <w:rsid w:val="693009AA"/>
    <w:rsid w:val="6A397C52"/>
    <w:rsid w:val="6A6B466F"/>
    <w:rsid w:val="6B3C600C"/>
    <w:rsid w:val="6B6C069F"/>
    <w:rsid w:val="6BAC4F3F"/>
    <w:rsid w:val="6C022DB1"/>
    <w:rsid w:val="6C4C0E97"/>
    <w:rsid w:val="6DBE71AC"/>
    <w:rsid w:val="6DC76061"/>
    <w:rsid w:val="6E587601"/>
    <w:rsid w:val="6F046E40"/>
    <w:rsid w:val="6F863CF9"/>
    <w:rsid w:val="6FAA3E8C"/>
    <w:rsid w:val="6FE56C72"/>
    <w:rsid w:val="6FF15617"/>
    <w:rsid w:val="70FC4273"/>
    <w:rsid w:val="712832BA"/>
    <w:rsid w:val="74850A24"/>
    <w:rsid w:val="74940C67"/>
    <w:rsid w:val="75B3373C"/>
    <w:rsid w:val="77ED700C"/>
    <w:rsid w:val="78BB0EB8"/>
    <w:rsid w:val="7B242D44"/>
    <w:rsid w:val="7C413482"/>
    <w:rsid w:val="7E576F8D"/>
    <w:rsid w:val="7EB10D93"/>
    <w:rsid w:val="7EEF71C5"/>
    <w:rsid w:val="7F4A08A0"/>
    <w:rsid w:val="7F6A0F42"/>
    <w:rsid w:val="7FC71E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keepNext w:val="0"/>
      <w:keepLines w:val="0"/>
      <w:widowControl w:val="0"/>
      <w:suppressLineNumbers w:val="0"/>
      <w:autoSpaceDE w:val="0"/>
      <w:autoSpaceDN w:val="0"/>
      <w:adjustRightInd w:val="0"/>
      <w:snapToGrid w:val="0"/>
      <w:spacing w:before="0" w:beforeAutospacing="0" w:after="0" w:afterAutospacing="0" w:line="588" w:lineRule="atLeast"/>
      <w:ind w:left="0" w:right="0"/>
      <w:jc w:val="both"/>
    </w:pPr>
    <w:rPr>
      <w:rFonts w:hint="eastAsia" w:ascii="宋体" w:hAnsi="宋体" w:eastAsia="仿宋_GB2312" w:cs="Times New Roman"/>
      <w:spacing w:val="-2"/>
      <w:kern w:val="2"/>
      <w:sz w:val="32"/>
      <w:szCs w:val="32"/>
      <w:lang w:val="en-US" w:eastAsia="zh-CN" w:bidi="ar"/>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List Paragraph"/>
    <w:basedOn w:val="1"/>
    <w:qFormat/>
    <w:uiPriority w:val="0"/>
    <w:pPr>
      <w:ind w:firstLine="200" w:firstLineChars="200"/>
    </w:pPr>
  </w:style>
  <w:style w:type="paragraph" w:customStyle="1" w:styleId="11">
    <w:name w:val="正文文本1"/>
    <w:basedOn w:val="1"/>
    <w:qFormat/>
    <w:uiPriority w:val="0"/>
    <w:pPr>
      <w:spacing w:before="93"/>
    </w:pPr>
    <w:rPr>
      <w:rFonts w:ascii="仿宋_GB2312" w:eastAsia="仿宋_GB2312"/>
      <w:kern w:val="0"/>
      <w:sz w:val="30"/>
      <w:szCs w:val="20"/>
    </w:rPr>
  </w:style>
  <w:style w:type="paragraph" w:customStyle="1" w:styleId="12">
    <w:name w:val="普通(网站) Char"/>
    <w:basedOn w:val="1"/>
    <w:autoRedefine/>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13">
    <w:name w:val="文档正文"/>
    <w:basedOn w:val="1"/>
    <w:autoRedefine/>
    <w:qFormat/>
    <w:uiPriority w:val="0"/>
    <w:pPr>
      <w:adjustRightInd w:val="0"/>
      <w:spacing w:line="480" w:lineRule="atLeast"/>
      <w:textAlignment w:val="baseline"/>
    </w:pPr>
    <w:rPr>
      <w:rFonts w:ascii="Arial" w:hAnsi="Arial"/>
      <w:kern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9</Pages>
  <Words>3322</Words>
  <Characters>3581</Characters>
  <Lines>124</Lines>
  <Paragraphs>51</Paragraphs>
  <TotalTime>1</TotalTime>
  <ScaleCrop>false</ScaleCrop>
  <LinksUpToDate>false</LinksUpToDate>
  <CharactersWithSpaces>3670</CharactersWithSpaces>
  <Application>WPS Office_12.1.0.24657_F1E327BC-269C-435d-A152-05C5408002CA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2022-12-30T09:44:00Z</dcterms:created>
  <dc:creator>疯丫头。。</dc:creator>
  <cp:lastModifiedBy>向日葵的微笑</cp:lastModifiedBy>
  <cp:lastPrinted>2018-01-30T09:39:00Z</cp:lastPrinted>
  <dcterms:modified xsi:type="dcterms:W3CDTF">2026-01-19T08:47:18Z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eyJoZGlkIjoiNWRkNjg2Y2VhZWY2ZjRlMmY3M2EyZTEwMTk0ODU3NTIiLCJ1c2VySWQiOiIyNjg1NTQzNjIifQ==</vt:lpwstr>
  </property>
  <property fmtid="{D5CDD505-2E9C-101B-9397-08002B2CF9AE}" pid="4" name="ICV">
    <vt:lpwstr>244B350B7B784D5DA2E5CAEC1EE26EC2_12</vt:lpwstr>
  </property>
</Properties>
</file>