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15E98D">
      <w:pPr>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52FF9D04">
      <w:pPr>
        <w:pStyle w:val="2"/>
        <w:rPr>
          <w:rFonts w:hint="default" w:ascii="Times New Roman" w:hAnsi="Times New Roman" w:cs="Times New Roman"/>
          <w:lang w:val="en-US" w:eastAsia="zh-CN"/>
        </w:rPr>
      </w:pPr>
    </w:p>
    <w:p w14:paraId="25C14E4D">
      <w:pPr>
        <w:pStyle w:val="2"/>
        <w:rPr>
          <w:rFonts w:hint="default" w:ascii="Times New Roman" w:hAnsi="Times New Roman" w:cs="Times New Roman"/>
          <w:lang w:val="en-US" w:eastAsia="zh-CN"/>
        </w:rPr>
      </w:pPr>
    </w:p>
    <w:p w14:paraId="2B732852">
      <w:pPr>
        <w:pStyle w:val="2"/>
        <w:rPr>
          <w:rFonts w:hint="default" w:ascii="Times New Roman" w:hAnsi="Times New Roman" w:cs="Times New Roman"/>
          <w:lang w:val="en-US" w:eastAsia="zh-CN"/>
        </w:rPr>
      </w:pPr>
    </w:p>
    <w:p w14:paraId="0631635B">
      <w:pPr>
        <w:rPr>
          <w:rFonts w:hint="default" w:ascii="Times New Roman" w:hAnsi="Times New Roman" w:cs="Times New Roman"/>
        </w:rPr>
      </w:pPr>
    </w:p>
    <w:p w14:paraId="53CA2AAD">
      <w:pPr>
        <w:rPr>
          <w:rFonts w:hint="default" w:ascii="Times New Roman" w:hAnsi="Times New Roman" w:cs="Times New Roman"/>
        </w:rPr>
      </w:pPr>
    </w:p>
    <w:p w14:paraId="205C4F22">
      <w:pPr>
        <w:ind w:firstLine="1050" w:firstLineChars="500"/>
        <w:rPr>
          <w:rFonts w:hint="default" w:ascii="Times New Roman" w:hAnsi="Times New Roman" w:cs="Times New Roman"/>
        </w:rPr>
      </w:pPr>
    </w:p>
    <w:p w14:paraId="54912562">
      <w:pPr>
        <w:ind w:firstLine="1050" w:firstLineChars="500"/>
        <w:rPr>
          <w:rFonts w:hint="default" w:ascii="Times New Roman" w:hAnsi="Times New Roman" w:cs="Times New Roman"/>
        </w:rPr>
      </w:pPr>
    </w:p>
    <w:p w14:paraId="631168BD">
      <w:pPr>
        <w:jc w:val="center"/>
        <w:rPr>
          <w:rFonts w:hint="default" w:ascii="Times New Roman" w:hAnsi="Times New Roman" w:eastAsia="黑体" w:cs="Times New Roman"/>
          <w:sz w:val="44"/>
          <w:szCs w:val="44"/>
        </w:rPr>
      </w:pPr>
      <w:r>
        <w:rPr>
          <w:rFonts w:hint="default" w:ascii="Times New Roman" w:hAnsi="Times New Roman" w:eastAsia="黑体" w:cs="Times New Roman"/>
          <w:sz w:val="44"/>
          <w:szCs w:val="44"/>
        </w:rPr>
        <w:t>州全域旅游研究所</w:t>
      </w:r>
    </w:p>
    <w:p w14:paraId="5E21F9E9">
      <w:pPr>
        <w:ind w:firstLine="1760" w:firstLineChars="400"/>
        <w:jc w:val="center"/>
        <w:rPr>
          <w:rFonts w:hint="default" w:ascii="Times New Roman" w:hAnsi="Times New Roman" w:eastAsia="黑体" w:cs="Times New Roman"/>
          <w:sz w:val="44"/>
          <w:szCs w:val="44"/>
        </w:rPr>
      </w:pPr>
    </w:p>
    <w:p w14:paraId="266D1A0D">
      <w:pPr>
        <w:jc w:val="center"/>
        <w:rPr>
          <w:rFonts w:hint="default" w:ascii="Times New Roman" w:hAnsi="Times New Roman" w:eastAsia="黑体" w:cs="Times New Roman"/>
          <w:sz w:val="44"/>
          <w:szCs w:val="44"/>
        </w:rPr>
      </w:pPr>
      <w:r>
        <w:rPr>
          <w:rFonts w:hint="default" w:ascii="Times New Roman" w:hAnsi="Times New Roman" w:eastAsia="黑体" w:cs="Times New Roman"/>
          <w:sz w:val="44"/>
          <w:szCs w:val="44"/>
        </w:rPr>
        <w:t>2026年部门预算</w:t>
      </w:r>
    </w:p>
    <w:p w14:paraId="53DF0641">
      <w:pPr>
        <w:ind w:firstLine="1760" w:firstLineChars="400"/>
        <w:jc w:val="center"/>
        <w:rPr>
          <w:rFonts w:hint="default" w:ascii="Times New Roman" w:hAnsi="Times New Roman" w:eastAsia="黑体" w:cs="Times New Roman"/>
          <w:sz w:val="44"/>
          <w:szCs w:val="44"/>
        </w:rPr>
      </w:pPr>
    </w:p>
    <w:p w14:paraId="5AB90F9E">
      <w:pPr>
        <w:ind w:firstLine="1760" w:firstLineChars="400"/>
        <w:rPr>
          <w:rFonts w:hint="default" w:ascii="Times New Roman" w:hAnsi="Times New Roman" w:eastAsia="黑体" w:cs="Times New Roman"/>
          <w:sz w:val="44"/>
          <w:szCs w:val="44"/>
        </w:rPr>
      </w:pPr>
    </w:p>
    <w:p w14:paraId="1A2AFDD1">
      <w:pPr>
        <w:ind w:firstLine="1760" w:firstLineChars="400"/>
        <w:rPr>
          <w:rFonts w:hint="default" w:ascii="Times New Roman" w:hAnsi="Times New Roman" w:eastAsia="黑体" w:cs="Times New Roman"/>
          <w:sz w:val="44"/>
          <w:szCs w:val="44"/>
        </w:rPr>
      </w:pPr>
    </w:p>
    <w:p w14:paraId="0CFC3D48">
      <w:pPr>
        <w:ind w:firstLine="1760" w:firstLineChars="400"/>
        <w:rPr>
          <w:rFonts w:hint="default" w:ascii="Times New Roman" w:hAnsi="Times New Roman" w:eastAsia="黑体" w:cs="Times New Roman"/>
          <w:sz w:val="44"/>
          <w:szCs w:val="44"/>
        </w:rPr>
      </w:pPr>
    </w:p>
    <w:p w14:paraId="5025F0ED">
      <w:pPr>
        <w:ind w:firstLine="1760" w:firstLineChars="400"/>
        <w:rPr>
          <w:rFonts w:hint="default" w:ascii="Times New Roman" w:hAnsi="Times New Roman" w:eastAsia="黑体" w:cs="Times New Roman"/>
          <w:sz w:val="44"/>
          <w:szCs w:val="44"/>
        </w:rPr>
      </w:pPr>
    </w:p>
    <w:p w14:paraId="5EBCD4E0">
      <w:pPr>
        <w:ind w:firstLine="1760" w:firstLineChars="400"/>
        <w:rPr>
          <w:rFonts w:hint="default" w:ascii="Times New Roman" w:hAnsi="Times New Roman" w:eastAsia="黑体" w:cs="Times New Roman"/>
          <w:sz w:val="44"/>
          <w:szCs w:val="44"/>
        </w:rPr>
      </w:pPr>
    </w:p>
    <w:p w14:paraId="39F58A4B">
      <w:pPr>
        <w:ind w:firstLine="1760" w:firstLineChars="400"/>
        <w:rPr>
          <w:rFonts w:hint="default" w:ascii="Times New Roman" w:hAnsi="Times New Roman" w:eastAsia="黑体" w:cs="Times New Roman"/>
          <w:sz w:val="44"/>
          <w:szCs w:val="44"/>
        </w:rPr>
      </w:pPr>
    </w:p>
    <w:p w14:paraId="26C38E8E">
      <w:pPr>
        <w:ind w:firstLine="1760" w:firstLineChars="400"/>
        <w:rPr>
          <w:rFonts w:hint="default" w:ascii="Times New Roman" w:hAnsi="Times New Roman" w:eastAsia="黑体" w:cs="Times New Roman"/>
          <w:sz w:val="44"/>
          <w:szCs w:val="44"/>
        </w:rPr>
      </w:pPr>
    </w:p>
    <w:p w14:paraId="086B3D06">
      <w:pPr>
        <w:ind w:firstLine="1760" w:firstLineChars="400"/>
        <w:rPr>
          <w:rFonts w:hint="default" w:ascii="Times New Roman" w:hAnsi="Times New Roman" w:eastAsia="黑体" w:cs="Times New Roman"/>
          <w:sz w:val="44"/>
          <w:szCs w:val="44"/>
        </w:rPr>
      </w:pPr>
    </w:p>
    <w:p w14:paraId="610C8248">
      <w:pPr>
        <w:ind w:firstLine="1760" w:firstLineChars="400"/>
        <w:rPr>
          <w:rFonts w:hint="default" w:ascii="Times New Roman" w:hAnsi="Times New Roman" w:eastAsia="黑体" w:cs="Times New Roman"/>
          <w:sz w:val="44"/>
          <w:szCs w:val="44"/>
        </w:rPr>
      </w:pPr>
    </w:p>
    <w:p w14:paraId="017BD2AF">
      <w:pPr>
        <w:ind w:firstLine="1760" w:firstLineChars="400"/>
        <w:rPr>
          <w:rFonts w:hint="default" w:ascii="Times New Roman" w:hAnsi="Times New Roman" w:eastAsia="黑体" w:cs="Times New Roman"/>
          <w:sz w:val="44"/>
          <w:szCs w:val="44"/>
        </w:rPr>
      </w:pPr>
    </w:p>
    <w:p w14:paraId="051DEEE7">
      <w:pPr>
        <w:ind w:firstLine="1760" w:firstLineChars="400"/>
        <w:rPr>
          <w:rFonts w:hint="default" w:ascii="Times New Roman" w:hAnsi="Times New Roman" w:eastAsia="黑体" w:cs="Times New Roman"/>
          <w:sz w:val="44"/>
          <w:szCs w:val="44"/>
        </w:rPr>
      </w:pPr>
    </w:p>
    <w:p w14:paraId="56F58A91">
      <w:pPr>
        <w:ind w:firstLine="1760" w:firstLineChars="400"/>
        <w:rPr>
          <w:rFonts w:hint="default" w:ascii="Times New Roman" w:hAnsi="Times New Roman" w:eastAsia="黑体" w:cs="Times New Roman"/>
          <w:sz w:val="44"/>
          <w:szCs w:val="44"/>
        </w:rPr>
      </w:pPr>
    </w:p>
    <w:p w14:paraId="346C24A7">
      <w:pPr>
        <w:ind w:firstLine="1760" w:firstLineChars="400"/>
        <w:rPr>
          <w:rFonts w:hint="default" w:ascii="Times New Roman" w:hAnsi="Times New Roman" w:eastAsia="黑体" w:cs="Times New Roman"/>
          <w:sz w:val="44"/>
          <w:szCs w:val="44"/>
        </w:rPr>
      </w:pPr>
    </w:p>
    <w:p w14:paraId="10DA5FFF">
      <w:pPr>
        <w:rPr>
          <w:rFonts w:hint="default" w:ascii="Times New Roman" w:hAnsi="Times New Roman" w:eastAsia="黑体" w:cs="Times New Roman"/>
          <w:sz w:val="44"/>
          <w:szCs w:val="44"/>
        </w:rPr>
      </w:pPr>
    </w:p>
    <w:p w14:paraId="72C72A95">
      <w:pPr>
        <w:ind w:firstLine="3120" w:firstLineChars="600"/>
        <w:rPr>
          <w:rFonts w:hint="default" w:ascii="Times New Roman" w:hAnsi="Times New Roman" w:eastAsia="黑体" w:cs="Times New Roman"/>
          <w:sz w:val="52"/>
          <w:szCs w:val="52"/>
        </w:rPr>
      </w:pPr>
      <w:r>
        <w:rPr>
          <w:rFonts w:hint="default" w:ascii="Times New Roman" w:hAnsi="Times New Roman" w:eastAsia="黑体" w:cs="Times New Roman"/>
          <w:sz w:val="52"/>
          <w:szCs w:val="52"/>
        </w:rPr>
        <w:t>目录</w:t>
      </w:r>
    </w:p>
    <w:p w14:paraId="614CFCC9">
      <w:pPr>
        <w:ind w:firstLine="3080" w:firstLineChars="700"/>
        <w:rPr>
          <w:rFonts w:hint="default" w:ascii="Times New Roman" w:hAnsi="Times New Roman" w:eastAsia="黑体" w:cs="Times New Roman"/>
          <w:sz w:val="44"/>
          <w:szCs w:val="44"/>
        </w:rPr>
      </w:pPr>
    </w:p>
    <w:p w14:paraId="409A03E5">
      <w:pPr>
        <w:pStyle w:val="10"/>
        <w:ind w:firstLine="0" w:firstLineChars="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一、基本职能及主要工作</w:t>
      </w:r>
    </w:p>
    <w:p w14:paraId="34EE43BC">
      <w:pPr>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（一）部门职能简介</w:t>
      </w:r>
    </w:p>
    <w:p w14:paraId="1DB41582">
      <w:pPr>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（二）2026年重点工作</w:t>
      </w:r>
    </w:p>
    <w:p w14:paraId="75D07330">
      <w:pP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二、部门预算单位构成</w:t>
      </w:r>
    </w:p>
    <w:p w14:paraId="47103034">
      <w:pP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三、收支预算情况说明</w:t>
      </w:r>
    </w:p>
    <w:p w14:paraId="5EF9DAE4">
      <w:pPr>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（一）收入预算情况</w:t>
      </w:r>
    </w:p>
    <w:p w14:paraId="1D034668">
      <w:pPr>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（二）支出预算情况</w:t>
      </w:r>
    </w:p>
    <w:p w14:paraId="285D8E61">
      <w:pP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四、财政拨款收支预算情况说明</w:t>
      </w:r>
    </w:p>
    <w:p w14:paraId="1B6E9AF5">
      <w:pP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五、一般公共预算当年拨款情况说明</w:t>
      </w:r>
    </w:p>
    <w:p w14:paraId="42FE4C43">
      <w:pPr>
        <w:rPr>
          <w:rFonts w:hint="default" w:ascii="Times New Roman" w:hAnsi="Times New Roman" w:eastAsia="黑体" w:cs="Times New Roman"/>
          <w:sz w:val="32"/>
          <w:szCs w:val="32"/>
        </w:rPr>
      </w:pPr>
      <w:r>
        <w:rPr>
          <w:rFonts w:hint="default" w:ascii="Times New Roman" w:hAnsi="Times New Roman" w:eastAsia="楷体" w:cs="Times New Roman"/>
          <w:sz w:val="32"/>
          <w:szCs w:val="32"/>
        </w:rPr>
        <w:t>（一）一般公共预算当年拨款规模变化情况</w:t>
      </w:r>
      <w:r>
        <w:rPr>
          <w:rFonts w:hint="default" w:ascii="Times New Roman" w:hAnsi="Times New Roman" w:eastAsia="楷体" w:cs="Times New Roman"/>
          <w:sz w:val="32"/>
          <w:szCs w:val="32"/>
        </w:rPr>
        <w:br w:type="textWrapping"/>
      </w:r>
      <w:r>
        <w:rPr>
          <w:rFonts w:hint="default" w:ascii="Times New Roman" w:hAnsi="Times New Roman" w:eastAsia="楷体" w:cs="Times New Roman"/>
          <w:sz w:val="32"/>
          <w:szCs w:val="32"/>
        </w:rPr>
        <w:t>（二）一般公共预算当年拨款结构情况</w:t>
      </w:r>
      <w:r>
        <w:rPr>
          <w:rFonts w:hint="default" w:ascii="Times New Roman" w:hAnsi="Times New Roman" w:eastAsia="楷体" w:cs="Times New Roman"/>
          <w:sz w:val="32"/>
          <w:szCs w:val="32"/>
        </w:rPr>
        <w:br w:type="textWrapping"/>
      </w:r>
      <w:r>
        <w:rPr>
          <w:rFonts w:hint="default" w:ascii="Times New Roman" w:hAnsi="Times New Roman" w:eastAsia="楷体" w:cs="Times New Roman"/>
          <w:sz w:val="32"/>
          <w:szCs w:val="32"/>
        </w:rPr>
        <w:t>（三）一般公共预算当年拨款具体使用情况</w:t>
      </w:r>
      <w:r>
        <w:rPr>
          <w:rFonts w:hint="default" w:ascii="Times New Roman" w:hAnsi="Times New Roman" w:cs="Times New Roman"/>
          <w:kern w:val="0"/>
          <w:sz w:val="16"/>
          <w:szCs w:val="16"/>
        </w:rPr>
        <w:br w:type="textWrapping"/>
      </w:r>
      <w:r>
        <w:rPr>
          <w:rFonts w:hint="default" w:ascii="Times New Roman" w:hAnsi="Times New Roman" w:eastAsia="黑体" w:cs="Times New Roman"/>
          <w:sz w:val="32"/>
          <w:szCs w:val="32"/>
        </w:rPr>
        <w:t>六、一般公共预算基本支出情况说明</w:t>
      </w:r>
      <w:r>
        <w:rPr>
          <w:rFonts w:hint="default" w:ascii="Times New Roman" w:hAnsi="Times New Roman" w:eastAsia="黑体" w:cs="Times New Roman"/>
          <w:sz w:val="32"/>
          <w:szCs w:val="32"/>
        </w:rPr>
        <w:br w:type="textWrapping"/>
      </w:r>
      <w:r>
        <w:rPr>
          <w:rFonts w:hint="default" w:ascii="Times New Roman" w:hAnsi="Times New Roman" w:eastAsia="黑体" w:cs="Times New Roman"/>
          <w:sz w:val="32"/>
          <w:szCs w:val="32"/>
        </w:rPr>
        <w:t>七、“三公”经费财政拨款预算安排情况说明</w:t>
      </w:r>
      <w:r>
        <w:rPr>
          <w:rFonts w:hint="default" w:ascii="Times New Roman" w:hAnsi="Times New Roman" w:eastAsia="黑体" w:cs="Times New Roman"/>
          <w:sz w:val="32"/>
          <w:szCs w:val="32"/>
        </w:rPr>
        <w:br w:type="textWrapping"/>
      </w:r>
      <w:r>
        <w:rPr>
          <w:rFonts w:hint="default" w:ascii="Times New Roman" w:hAnsi="Times New Roman" w:eastAsia="黑体" w:cs="Times New Roman"/>
          <w:sz w:val="32"/>
          <w:szCs w:val="32"/>
        </w:rPr>
        <w:t>八、政府性基金预算支出情况说明</w:t>
      </w:r>
      <w:r>
        <w:rPr>
          <w:rFonts w:hint="default" w:ascii="Times New Roman" w:hAnsi="Times New Roman" w:eastAsia="黑体" w:cs="Times New Roman"/>
          <w:sz w:val="32"/>
          <w:szCs w:val="32"/>
        </w:rPr>
        <w:br w:type="textWrapping"/>
      </w:r>
      <w:r>
        <w:rPr>
          <w:rFonts w:hint="default" w:ascii="Times New Roman" w:hAnsi="Times New Roman" w:eastAsia="黑体" w:cs="Times New Roman"/>
          <w:sz w:val="32"/>
          <w:szCs w:val="32"/>
        </w:rPr>
        <w:t>九、其他重要事项的情况说明</w:t>
      </w:r>
      <w:r>
        <w:rPr>
          <w:rFonts w:hint="default" w:ascii="Times New Roman" w:hAnsi="Times New Roman" w:eastAsia="黑体" w:cs="Times New Roman"/>
          <w:sz w:val="32"/>
          <w:szCs w:val="32"/>
        </w:rPr>
        <w:br w:type="textWrapping"/>
      </w:r>
      <w:r>
        <w:rPr>
          <w:rFonts w:hint="default" w:ascii="Times New Roman" w:hAnsi="Times New Roman" w:eastAsia="黑体" w:cs="Times New Roman"/>
          <w:sz w:val="32"/>
          <w:szCs w:val="32"/>
        </w:rPr>
        <w:t>十、名称解释</w:t>
      </w:r>
    </w:p>
    <w:p w14:paraId="4F694C08">
      <w:pPr>
        <w:rPr>
          <w:rFonts w:hint="default" w:ascii="Times New Roman" w:hAnsi="Times New Roman" w:eastAsia="黑体" w:cs="Times New Roman"/>
          <w:sz w:val="32"/>
          <w:szCs w:val="32"/>
        </w:rPr>
      </w:pPr>
    </w:p>
    <w:p w14:paraId="6C5517FD">
      <w:pPr>
        <w:widowControl/>
        <w:shd w:val="clear" w:color="auto" w:fill="FFFFFF"/>
        <w:spacing w:before="100" w:beforeAutospacing="1" w:after="100" w:afterAutospacing="1" w:line="290" w:lineRule="atLeast"/>
        <w:ind w:right="300"/>
        <w:jc w:val="left"/>
        <w:rPr>
          <w:rFonts w:hint="default" w:ascii="Times New Roman" w:hAnsi="Times New Roman" w:cs="Times New Roman"/>
          <w:kern w:val="0"/>
          <w:sz w:val="12"/>
          <w:szCs w:val="12"/>
        </w:rPr>
      </w:pPr>
    </w:p>
    <w:p w14:paraId="0DF29F71">
      <w:pPr>
        <w:pStyle w:val="1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一、基本职能及主要工作</w:t>
      </w:r>
    </w:p>
    <w:p w14:paraId="31003A16">
      <w:pPr>
        <w:ind w:firstLine="640" w:firstLineChars="200"/>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（一）部门职能简介</w:t>
      </w:r>
    </w:p>
    <w:p w14:paraId="6083D69A">
      <w:pPr>
        <w:snapToGrid w:val="0"/>
        <w:spacing w:line="52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（1）紧紧围绕阿坝旅游发展所需，针对旅游发展重点和难点展开研究，为旅游决策提供政策建议和咨询意见；</w:t>
      </w:r>
    </w:p>
    <w:p w14:paraId="653AA3BC">
      <w:pPr>
        <w:snapToGrid w:val="0"/>
        <w:spacing w:line="52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（2）负责旅游专题研究项目的选题和申报工作，多渠道争取资金，完成项目研究工作，形成科研成果，做好成果转化和推广工作；</w:t>
      </w:r>
    </w:p>
    <w:p w14:paraId="599DB8B4">
      <w:pPr>
        <w:snapToGrid w:val="0"/>
        <w:spacing w:line="52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（3）承担州委州政府和州</w:t>
      </w:r>
      <w:r>
        <w:rPr>
          <w:rFonts w:hint="eastAsia" w:ascii="Times New Roman" w:hAnsi="Times New Roman" w:eastAsia="仿宋_GB2312" w:cs="Times New Roman"/>
          <w:sz w:val="32"/>
          <w:szCs w:val="32"/>
          <w:lang w:val="en-US" w:eastAsia="zh-CN"/>
        </w:rPr>
        <w:t>文广旅局</w:t>
      </w:r>
      <w:r>
        <w:rPr>
          <w:rFonts w:hint="default" w:ascii="Times New Roman" w:hAnsi="Times New Roman" w:eastAsia="仿宋_GB2312" w:cs="Times New Roman"/>
          <w:sz w:val="32"/>
          <w:szCs w:val="32"/>
        </w:rPr>
        <w:t>下达的科研项目，为</w:t>
      </w:r>
      <w:r>
        <w:rPr>
          <w:rFonts w:hint="eastAsia" w:ascii="Times New Roman" w:hAnsi="Times New Roman" w:eastAsia="仿宋_GB2312" w:cs="Times New Roman"/>
          <w:sz w:val="32"/>
          <w:szCs w:val="32"/>
          <w:lang w:val="en-US" w:eastAsia="zh-CN"/>
        </w:rPr>
        <w:t>全</w:t>
      </w:r>
      <w:r>
        <w:rPr>
          <w:rFonts w:hint="default" w:ascii="Times New Roman" w:hAnsi="Times New Roman" w:eastAsia="仿宋_GB2312" w:cs="Times New Roman"/>
          <w:sz w:val="32"/>
          <w:szCs w:val="32"/>
        </w:rPr>
        <w:t>州旅游重大项目提供科技支撑；</w:t>
      </w:r>
    </w:p>
    <w:p w14:paraId="0797E362">
      <w:pPr>
        <w:snapToGrid w:val="0"/>
        <w:spacing w:line="52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（4）参与或承担旅游产业、旅游景区、乡村旅游等规划设计与项目策划；</w:t>
      </w:r>
    </w:p>
    <w:p w14:paraId="338C5567">
      <w:pPr>
        <w:snapToGrid w:val="0"/>
        <w:spacing w:line="52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（5）参与或承担旅游产品、旅游商品研发等工作；</w:t>
      </w:r>
    </w:p>
    <w:p w14:paraId="61A2C895">
      <w:pPr>
        <w:snapToGrid w:val="0"/>
        <w:spacing w:line="52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（6）参与或承担旅游培训工作；</w:t>
      </w:r>
    </w:p>
    <w:p w14:paraId="5659A575">
      <w:pPr>
        <w:snapToGrid w:val="0"/>
        <w:spacing w:line="52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（7）参与规划评审、景区评定等方面工作，履行专家职责；</w:t>
      </w:r>
    </w:p>
    <w:p w14:paraId="1C153A0F">
      <w:pPr>
        <w:snapToGrid w:val="0"/>
        <w:spacing w:line="52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（8）完成上级交办的其他工作。</w:t>
      </w:r>
    </w:p>
    <w:p w14:paraId="383D6BC5">
      <w:pPr>
        <w:ind w:firstLine="640" w:firstLineChars="200"/>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（二）2026年重点工作</w:t>
      </w:r>
    </w:p>
    <w:p w14:paraId="4270ED8F">
      <w:pPr>
        <w:snapToGrid w:val="0"/>
        <w:spacing w:line="520" w:lineRule="exact"/>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1.继续加强作风整顿工作。总结2025年作风整顿成效，固化整顿成果。以“作风整顿永远在路上”的理念持续强化全所日常管理。</w:t>
      </w:r>
    </w:p>
    <w:p w14:paraId="538D0EC0">
      <w:pPr>
        <w:snapToGrid w:val="0"/>
        <w:spacing w:line="520" w:lineRule="exact"/>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2.持续开展</w:t>
      </w:r>
      <w:r>
        <w:rPr>
          <w:rFonts w:hint="default" w:ascii="Times New Roman" w:hAnsi="Times New Roman" w:eastAsia="仿宋_GB2312" w:cs="Times New Roman"/>
          <w:sz w:val="32"/>
          <w:szCs w:val="32"/>
          <w:lang w:eastAsia="zh-CN"/>
        </w:rPr>
        <w:t>科研项目（课题）研究工作。</w:t>
      </w:r>
      <w:r>
        <w:rPr>
          <w:rFonts w:hint="default" w:ascii="Times New Roman" w:hAnsi="Times New Roman" w:eastAsia="仿宋_GB2312" w:cs="Times New Roman"/>
          <w:sz w:val="32"/>
          <w:szCs w:val="32"/>
          <w:lang w:val="en-US" w:eastAsia="zh-CN"/>
        </w:rPr>
        <w:t>组织全所职工认真学习领会贯彻省委、州委十二届七次、八次全会精神，围绕全州中心工作，积极撰写项目（课题）申报书，通过省科技厅、省文旅厅、州科技局、州社科联等渠道申报立项。</w:t>
      </w:r>
    </w:p>
    <w:p w14:paraId="6ED1853F">
      <w:pPr>
        <w:snapToGrid w:val="0"/>
        <w:spacing w:line="520" w:lineRule="exact"/>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二是高质量完成省科技厅文旅发展专项资金项目。全力推进省文旅厅2025年第二批文化和旅游发展专项资金项目“阿坝州特色乡村旅游线路”各项工作，开展乡村旅游线路设计、可视化宣传制作，并在“一部手机游阿坝”平台专栏及州文广旅局媒体矩阵发布，按期完成项目结题验收。</w:t>
      </w:r>
    </w:p>
    <w:p w14:paraId="24D9331B">
      <w:pPr>
        <w:snapToGrid w:val="0"/>
        <w:spacing w:line="520" w:lineRule="exact"/>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4.推进州科技局项目。按照项目任务合同书实施进度，开展“阿坝州有机茶叶研学游基地建设研究与示范”重点项目的各项研究实施工作。</w:t>
      </w:r>
    </w:p>
    <w:p w14:paraId="07156B9F">
      <w:pPr>
        <w:snapToGrid w:val="0"/>
        <w:spacing w:line="520" w:lineRule="exact"/>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5.加快专著出版工作。推进《民族地区文旅高质量发展与实践——以阿坝藏族羌族自治州为例》书稿的修改完善及校稿等后续工作，确保</w:t>
      </w:r>
      <w:r>
        <w:rPr>
          <w:rFonts w:hint="eastAsia" w:ascii="Times New Roman" w:hAnsi="Times New Roman" w:eastAsia="仿宋_GB2312" w:cs="Times New Roman"/>
          <w:sz w:val="32"/>
          <w:szCs w:val="32"/>
          <w:lang w:val="en-US" w:eastAsia="zh-CN"/>
        </w:rPr>
        <w:t>今年</w:t>
      </w:r>
      <w:bookmarkStart w:id="0" w:name="_GoBack"/>
      <w:bookmarkEnd w:id="0"/>
      <w:r>
        <w:rPr>
          <w:rFonts w:hint="eastAsia" w:ascii="Times New Roman" w:hAnsi="Times New Roman" w:eastAsia="仿宋_GB2312" w:cs="Times New Roman"/>
          <w:sz w:val="32"/>
          <w:szCs w:val="32"/>
          <w:lang w:val="en-US" w:eastAsia="zh-CN"/>
        </w:rPr>
        <w:t>上半年</w:t>
      </w:r>
      <w:r>
        <w:rPr>
          <w:rFonts w:hint="default" w:ascii="Times New Roman" w:hAnsi="Times New Roman" w:eastAsia="仿宋_GB2312" w:cs="Times New Roman"/>
          <w:sz w:val="32"/>
          <w:szCs w:val="32"/>
          <w:lang w:val="en-US" w:eastAsia="zh-CN"/>
        </w:rPr>
        <w:t>正式出版。</w:t>
      </w:r>
    </w:p>
    <w:p w14:paraId="44B3B95B">
      <w:pPr>
        <w:snapToGrid w:val="0"/>
        <w:spacing w:line="520" w:lineRule="exact"/>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积极开展自选课题研究。围绕建设世界生态文化旅游目的地建设开展“优化游客结构，提升发展质量”“入境游客多维度研究”和“五最”景区研究工作。围绕“五个之州”建设，分板块开展研究，形成高质量研究报告。</w:t>
      </w:r>
    </w:p>
    <w:p w14:paraId="0FF4716F">
      <w:pPr>
        <w:snapToGrid w:val="0"/>
        <w:spacing w:line="520" w:lineRule="exact"/>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7.完成上级交办的工作。</w:t>
      </w:r>
      <w:r>
        <w:rPr>
          <w:rFonts w:hint="default" w:ascii="Times New Roman" w:hAnsi="Times New Roman" w:eastAsia="仿宋_GB2312" w:cs="Times New Roman"/>
          <w:sz w:val="32"/>
          <w:szCs w:val="32"/>
        </w:rPr>
        <w:t>围绕</w:t>
      </w:r>
      <w:r>
        <w:rPr>
          <w:rFonts w:hint="default" w:ascii="Times New Roman" w:hAnsi="Times New Roman" w:eastAsia="仿宋_GB2312" w:cs="Times New Roman"/>
          <w:sz w:val="32"/>
          <w:szCs w:val="32"/>
          <w:lang w:eastAsia="zh-CN"/>
        </w:rPr>
        <w:t>世界生态文化旅游目的地建设</w:t>
      </w:r>
      <w:r>
        <w:rPr>
          <w:rFonts w:hint="default" w:ascii="Times New Roman" w:hAnsi="Times New Roman" w:eastAsia="仿宋_GB2312" w:cs="Times New Roman"/>
          <w:sz w:val="32"/>
          <w:szCs w:val="32"/>
        </w:rPr>
        <w:t>和</w:t>
      </w:r>
      <w:r>
        <w:rPr>
          <w:rFonts w:hint="default" w:ascii="Times New Roman" w:hAnsi="Times New Roman" w:eastAsia="仿宋_GB2312" w:cs="Times New Roman"/>
          <w:sz w:val="32"/>
          <w:szCs w:val="32"/>
          <w:lang w:eastAsia="zh-CN"/>
        </w:rPr>
        <w:t>局</w:t>
      </w:r>
      <w:r>
        <w:rPr>
          <w:rFonts w:hint="default" w:ascii="Times New Roman" w:hAnsi="Times New Roman" w:eastAsia="仿宋_GB2312" w:cs="Times New Roman"/>
          <w:sz w:val="32"/>
          <w:szCs w:val="32"/>
        </w:rPr>
        <w:t>中心工作，充分发挥科技人员才智，认真做好上级交办的各项工作。</w:t>
      </w:r>
    </w:p>
    <w:p w14:paraId="1B7CD92B">
      <w:pPr>
        <w:pStyle w:val="10"/>
        <w:numPr>
          <w:ilvl w:val="0"/>
          <w:numId w:val="1"/>
        </w:numPr>
        <w:ind w:firstLineChars="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部门预算单位构成</w:t>
      </w:r>
    </w:p>
    <w:p w14:paraId="15DCD9FF">
      <w:pPr>
        <w:snapToGrid w:val="0"/>
        <w:spacing w:line="520" w:lineRule="exact"/>
        <w:ind w:firstLine="640" w:firstLineChars="200"/>
        <w:rPr>
          <w:rFonts w:hint="default" w:ascii="Times New Roman" w:hAnsi="Times New Roman" w:eastAsia="黑体" w:cs="Times New Roman"/>
          <w:sz w:val="32"/>
          <w:szCs w:val="32"/>
        </w:rPr>
      </w:pPr>
      <w:r>
        <w:rPr>
          <w:rFonts w:hint="default" w:ascii="Times New Roman" w:hAnsi="Times New Roman" w:eastAsia="仿宋_GB2312" w:cs="Times New Roman"/>
          <w:sz w:val="32"/>
          <w:szCs w:val="32"/>
          <w:lang w:val="en-US" w:eastAsia="zh-CN"/>
        </w:rPr>
        <w:t>阿坝州全域旅游研究所是阿坝州文化广播电视和旅游局主管的二级独立核算单位，属于公益一类事业单位。</w:t>
      </w:r>
    </w:p>
    <w:p w14:paraId="5E6CA6B5">
      <w:pPr>
        <w:pStyle w:val="10"/>
        <w:ind w:left="720" w:firstLine="0" w:firstLineChars="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三、收支预算情况说明</w:t>
      </w:r>
    </w:p>
    <w:p w14:paraId="1E2F42B1">
      <w:pPr>
        <w:spacing w:line="540" w:lineRule="exact"/>
        <w:ind w:firstLine="640" w:firstLineChars="200"/>
        <w:rPr>
          <w:rFonts w:hint="default" w:ascii="Times New Roman" w:hAnsi="Times New Roman" w:eastAsia="楷体" w:cs="Times New Roman"/>
          <w:sz w:val="32"/>
          <w:szCs w:val="32"/>
          <w:lang w:val="en-US" w:eastAsia="zh-CN"/>
        </w:rPr>
      </w:pPr>
      <w:r>
        <w:rPr>
          <w:rFonts w:hint="default" w:ascii="Times New Roman" w:hAnsi="Times New Roman" w:eastAsia="楷体" w:cs="Times New Roman"/>
          <w:sz w:val="32"/>
          <w:szCs w:val="32"/>
        </w:rPr>
        <w:t>（一）收入预算情况</w:t>
      </w:r>
      <w:r>
        <w:rPr>
          <w:rFonts w:hint="default" w:ascii="Times New Roman" w:hAnsi="Times New Roman" w:eastAsia="楷体" w:cs="Times New Roman"/>
          <w:sz w:val="32"/>
          <w:szCs w:val="32"/>
          <w:lang w:val="en-US" w:eastAsia="zh-CN"/>
        </w:rPr>
        <w:t>。</w:t>
      </w:r>
      <w:r>
        <w:rPr>
          <w:rFonts w:hint="default" w:ascii="Times New Roman" w:hAnsi="Times New Roman" w:eastAsia="楷体" w:cs="Times New Roman"/>
          <w:sz w:val="32"/>
          <w:szCs w:val="32"/>
          <w:lang w:eastAsia="zh-CN"/>
        </w:rPr>
        <w:t>本单</w:t>
      </w:r>
      <w:r>
        <w:rPr>
          <w:rFonts w:hint="default" w:ascii="Times New Roman" w:hAnsi="Times New Roman" w:eastAsia="仿宋_GB2312" w:cs="Times New Roman"/>
          <w:sz w:val="32"/>
          <w:szCs w:val="32"/>
          <w:lang w:eastAsia="zh-CN"/>
        </w:rPr>
        <w:t>位</w:t>
      </w:r>
      <w:r>
        <w:rPr>
          <w:rFonts w:hint="default" w:ascii="Times New Roman" w:hAnsi="Times New Roman" w:eastAsia="仿宋_GB2312" w:cs="Times New Roman"/>
          <w:sz w:val="32"/>
          <w:szCs w:val="32"/>
          <w:lang w:val="en-US" w:eastAsia="zh-CN"/>
        </w:rPr>
        <w:t>2026年预算收入278.34万元。</w:t>
      </w:r>
      <w:r>
        <w:rPr>
          <w:rFonts w:hint="default" w:ascii="Times New Roman" w:hAnsi="Times New Roman" w:eastAsia="仿宋_GB2312" w:cs="Times New Roman"/>
          <w:sz w:val="32"/>
          <w:szCs w:val="32"/>
        </w:rPr>
        <w:t>其中：一般公共预算拨款收入</w:t>
      </w:r>
      <w:r>
        <w:rPr>
          <w:rFonts w:hint="default" w:ascii="Times New Roman" w:hAnsi="Times New Roman" w:eastAsia="仿宋_GB2312" w:cs="Times New Roman"/>
          <w:sz w:val="32"/>
          <w:szCs w:val="32"/>
          <w:lang w:val="en-US" w:eastAsia="zh-CN"/>
        </w:rPr>
        <w:t>278.34</w:t>
      </w:r>
      <w:r>
        <w:rPr>
          <w:rFonts w:hint="default" w:ascii="Times New Roman" w:hAnsi="Times New Roman" w:eastAsia="仿宋_GB2312" w:cs="Times New Roman"/>
          <w:sz w:val="32"/>
          <w:szCs w:val="32"/>
        </w:rPr>
        <w:t>万元，占100%。</w:t>
      </w:r>
    </w:p>
    <w:p w14:paraId="3398A33F">
      <w:pPr>
        <w:spacing w:line="5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（二）支出预算情况</w:t>
      </w:r>
      <w:r>
        <w:rPr>
          <w:rFonts w:hint="default" w:ascii="Times New Roman" w:hAnsi="Times New Roman" w:eastAsia="楷体" w:cs="Times New Roman"/>
          <w:sz w:val="32"/>
          <w:szCs w:val="32"/>
          <w:lang w:eastAsia="zh-CN"/>
        </w:rPr>
        <w:t>。</w:t>
      </w:r>
      <w:r>
        <w:rPr>
          <w:rFonts w:hint="default" w:ascii="Times New Roman" w:hAnsi="Times New Roman" w:eastAsia="仿宋_GB2312" w:cs="Times New Roman"/>
          <w:sz w:val="32"/>
          <w:szCs w:val="32"/>
          <w:lang w:eastAsia="zh-CN"/>
        </w:rPr>
        <w:t>本单位</w:t>
      </w:r>
      <w:r>
        <w:rPr>
          <w:rFonts w:hint="default" w:ascii="Times New Roman" w:hAnsi="Times New Roman" w:eastAsia="仿宋_GB2312" w:cs="Times New Roman"/>
          <w:sz w:val="32"/>
          <w:szCs w:val="32"/>
          <w:lang w:val="en-US" w:eastAsia="zh-CN"/>
        </w:rPr>
        <w:t>2026年预算收入278.34万元。</w:t>
      </w:r>
      <w:r>
        <w:rPr>
          <w:rFonts w:hint="default" w:ascii="Times New Roman" w:hAnsi="Times New Roman" w:eastAsia="仿宋_GB2312" w:cs="Times New Roman"/>
          <w:sz w:val="32"/>
          <w:szCs w:val="32"/>
        </w:rPr>
        <w:t>其中：一般公共预算拨款收入</w:t>
      </w:r>
      <w:r>
        <w:rPr>
          <w:rFonts w:hint="default" w:ascii="Times New Roman" w:hAnsi="Times New Roman" w:eastAsia="仿宋_GB2312" w:cs="Times New Roman"/>
          <w:sz w:val="32"/>
          <w:szCs w:val="32"/>
          <w:lang w:val="en-US" w:eastAsia="zh-CN"/>
        </w:rPr>
        <w:t>278.34</w:t>
      </w:r>
      <w:r>
        <w:rPr>
          <w:rFonts w:hint="default" w:ascii="Times New Roman" w:hAnsi="Times New Roman" w:eastAsia="仿宋_GB2312" w:cs="Times New Roman"/>
          <w:sz w:val="32"/>
          <w:szCs w:val="32"/>
        </w:rPr>
        <w:t>万元，占100%。</w:t>
      </w:r>
    </w:p>
    <w:p w14:paraId="0B0F8DFA">
      <w:pPr>
        <w:spacing w:line="540" w:lineRule="exact"/>
        <w:ind w:firstLine="640" w:firstLineChars="200"/>
        <w:rPr>
          <w:rFonts w:hint="default" w:ascii="Times New Roman" w:hAnsi="Times New Roman" w:eastAsia="仿宋_GB2312" w:cs="Times New Roman"/>
          <w:sz w:val="32"/>
          <w:szCs w:val="32"/>
          <w:lang w:val="en-US" w:eastAsia="zh-CN"/>
        </w:rPr>
      </w:pPr>
    </w:p>
    <w:p w14:paraId="72CF50B1">
      <w:pPr>
        <w:jc w:val="left"/>
        <w:rPr>
          <w:rFonts w:hint="default" w:ascii="Times New Roman" w:hAnsi="Times New Roman" w:eastAsia="楷体" w:cs="Times New Roman"/>
          <w:sz w:val="32"/>
          <w:szCs w:val="32"/>
          <w:lang w:eastAsia="zh-CN"/>
        </w:rPr>
      </w:pPr>
    </w:p>
    <w:p w14:paraId="0242F649">
      <w:pPr>
        <w:numPr>
          <w:ilvl w:val="0"/>
          <w:numId w:val="1"/>
        </w:numPr>
        <w:ind w:left="1360" w:leftChars="0" w:hanging="720" w:firstLineChars="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财政拨款收支预算情况说明</w:t>
      </w:r>
    </w:p>
    <w:p w14:paraId="57C3902D">
      <w:pPr>
        <w:numPr>
          <w:ilvl w:val="0"/>
          <w:numId w:val="0"/>
        </w:num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2026年财政拨款收支总预算</w:t>
      </w:r>
      <w:r>
        <w:rPr>
          <w:rFonts w:hint="default" w:ascii="Times New Roman" w:hAnsi="Times New Roman" w:eastAsia="仿宋_GB2312" w:cs="Times New Roman"/>
          <w:sz w:val="32"/>
          <w:szCs w:val="32"/>
          <w:lang w:val="en-US" w:eastAsia="zh-CN"/>
        </w:rPr>
        <w:t>278.34</w:t>
      </w:r>
      <w:r>
        <w:rPr>
          <w:rFonts w:hint="default" w:ascii="Times New Roman" w:hAnsi="Times New Roman" w:eastAsia="仿宋_GB2312" w:cs="Times New Roman"/>
          <w:sz w:val="32"/>
          <w:szCs w:val="32"/>
        </w:rPr>
        <w:t>万元,比2025年财政拨款收支总预算增加</w:t>
      </w:r>
      <w:r>
        <w:rPr>
          <w:rFonts w:hint="default" w:ascii="Times New Roman" w:hAnsi="Times New Roman" w:eastAsia="仿宋_GB2312" w:cs="Times New Roman"/>
          <w:sz w:val="32"/>
          <w:szCs w:val="32"/>
          <w:lang w:val="en-US" w:eastAsia="zh-CN"/>
        </w:rPr>
        <w:t>18.16</w:t>
      </w:r>
      <w:r>
        <w:rPr>
          <w:rFonts w:hint="default" w:ascii="Times New Roman" w:hAnsi="Times New Roman" w:eastAsia="仿宋_GB2312" w:cs="Times New Roman"/>
          <w:sz w:val="32"/>
          <w:szCs w:val="32"/>
        </w:rPr>
        <w:t>万元，主要原因:</w:t>
      </w:r>
      <w:r>
        <w:rPr>
          <w:rFonts w:hint="default" w:ascii="Times New Roman" w:hAnsi="Times New Roman" w:eastAsia="仿宋_GB2312" w:cs="Times New Roman"/>
          <w:sz w:val="32"/>
          <w:szCs w:val="32"/>
          <w:lang w:eastAsia="zh-CN"/>
        </w:rPr>
        <w:t>人员经费增加</w:t>
      </w:r>
      <w:r>
        <w:rPr>
          <w:rFonts w:hint="default" w:ascii="Times New Roman" w:hAnsi="Times New Roman" w:eastAsia="仿宋_GB2312" w:cs="Times New Roman"/>
          <w:sz w:val="32"/>
          <w:szCs w:val="32"/>
          <w:lang w:val="en-US" w:eastAsia="zh-CN"/>
        </w:rPr>
        <w:t>18.43万元，公用经费减少0.27万元。</w:t>
      </w:r>
    </w:p>
    <w:p w14:paraId="685E2F67">
      <w:pPr>
        <w:numPr>
          <w:ilvl w:val="0"/>
          <w:numId w:val="0"/>
        </w:num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收入包括：本</w:t>
      </w:r>
      <w:r>
        <w:rPr>
          <w:rFonts w:hint="default" w:ascii="Times New Roman" w:hAnsi="Times New Roman" w:eastAsia="仿宋_GB2312" w:cs="Times New Roman"/>
          <w:sz w:val="32"/>
          <w:szCs w:val="32"/>
          <w:lang w:eastAsia="zh-CN"/>
        </w:rPr>
        <w:t>年度</w:t>
      </w:r>
      <w:r>
        <w:rPr>
          <w:rFonts w:hint="default" w:ascii="Times New Roman" w:hAnsi="Times New Roman" w:eastAsia="仿宋_GB2312" w:cs="Times New Roman"/>
          <w:sz w:val="32"/>
          <w:szCs w:val="32"/>
        </w:rPr>
        <w:t>一般公共预算拨款收入</w:t>
      </w:r>
      <w:r>
        <w:rPr>
          <w:rFonts w:hint="default" w:ascii="Times New Roman" w:hAnsi="Times New Roman" w:eastAsia="仿宋_GB2312" w:cs="Times New Roman"/>
          <w:sz w:val="32"/>
          <w:szCs w:val="32"/>
          <w:lang w:val="en-US" w:eastAsia="zh-CN"/>
        </w:rPr>
        <w:t>278.34</w:t>
      </w:r>
      <w:r>
        <w:rPr>
          <w:rFonts w:hint="default" w:ascii="Times New Roman" w:hAnsi="Times New Roman" w:eastAsia="仿宋_GB2312" w:cs="Times New Roman"/>
          <w:sz w:val="32"/>
          <w:szCs w:val="32"/>
        </w:rPr>
        <w:t>万元。支出包括：</w:t>
      </w:r>
      <w:r>
        <w:rPr>
          <w:rFonts w:hint="default" w:ascii="Times New Roman" w:hAnsi="Times New Roman" w:eastAsia="仿宋_GB2312" w:cs="Times New Roman"/>
          <w:sz w:val="32"/>
          <w:szCs w:val="32"/>
          <w:lang w:eastAsia="zh-CN"/>
        </w:rPr>
        <w:t>人员经费</w:t>
      </w:r>
      <w:r>
        <w:rPr>
          <w:rFonts w:hint="default" w:ascii="Times New Roman" w:hAnsi="Times New Roman" w:eastAsia="仿宋_GB2312" w:cs="Times New Roman"/>
          <w:sz w:val="32"/>
          <w:szCs w:val="32"/>
          <w:lang w:val="en-US" w:eastAsia="zh-CN"/>
        </w:rPr>
        <w:t>237.57万元，公用经费20.77万元，特定目标类项目经费20万元。</w:t>
      </w:r>
    </w:p>
    <w:p w14:paraId="4BA970ED">
      <w:pPr>
        <w:ind w:left="638" w:leftChars="304"/>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五、一般公共预算当年拨款情况说明</w:t>
      </w:r>
    </w:p>
    <w:p w14:paraId="0587AD6E">
      <w:pPr>
        <w:pStyle w:val="11"/>
        <w:spacing w:before="0" w:line="360" w:lineRule="auto"/>
        <w:ind w:firstLine="660"/>
        <w:rPr>
          <w:rFonts w:hint="default" w:ascii="Times New Roman" w:hAnsi="Times New Roman" w:eastAsia="楷体" w:cs="Times New Roman"/>
          <w:kern w:val="2"/>
          <w:sz w:val="32"/>
          <w:szCs w:val="32"/>
        </w:rPr>
      </w:pPr>
      <w:r>
        <w:rPr>
          <w:rFonts w:hint="default" w:ascii="Times New Roman" w:hAnsi="Times New Roman" w:eastAsia="楷体" w:cs="Times New Roman"/>
          <w:kern w:val="2"/>
          <w:sz w:val="32"/>
          <w:szCs w:val="32"/>
        </w:rPr>
        <w:t>（一）一般公共预算当年拨款规模变化情况</w:t>
      </w:r>
    </w:p>
    <w:p w14:paraId="5F241856">
      <w:pPr>
        <w:spacing w:line="54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2026年一般公共预算当年拨款</w:t>
      </w:r>
      <w:r>
        <w:rPr>
          <w:rFonts w:hint="default" w:ascii="Times New Roman" w:hAnsi="Times New Roman" w:eastAsia="仿宋_GB2312" w:cs="Times New Roman"/>
          <w:sz w:val="32"/>
          <w:szCs w:val="32"/>
          <w:lang w:val="en-US" w:eastAsia="zh-CN"/>
        </w:rPr>
        <w:t>278.34</w:t>
      </w:r>
      <w:r>
        <w:rPr>
          <w:rFonts w:hint="default" w:ascii="Times New Roman" w:hAnsi="Times New Roman" w:eastAsia="仿宋_GB2312" w:cs="Times New Roman"/>
          <w:sz w:val="32"/>
          <w:szCs w:val="32"/>
        </w:rPr>
        <w:t>万元，比2025年预算增加</w:t>
      </w:r>
      <w:r>
        <w:rPr>
          <w:rFonts w:hint="default" w:ascii="Times New Roman" w:hAnsi="Times New Roman" w:eastAsia="仿宋_GB2312" w:cs="Times New Roman"/>
          <w:sz w:val="32"/>
          <w:szCs w:val="32"/>
          <w:lang w:val="en-US" w:eastAsia="zh-CN"/>
        </w:rPr>
        <w:t>18.16</w:t>
      </w:r>
      <w:r>
        <w:rPr>
          <w:rFonts w:hint="default" w:ascii="Times New Roman" w:hAnsi="Times New Roman" w:eastAsia="仿宋_GB2312" w:cs="Times New Roman"/>
          <w:sz w:val="32"/>
          <w:szCs w:val="32"/>
        </w:rPr>
        <w:t>万元，主要原因:</w:t>
      </w:r>
      <w:r>
        <w:rPr>
          <w:rFonts w:hint="default" w:ascii="Times New Roman" w:hAnsi="Times New Roman" w:eastAsia="仿宋_GB2312" w:cs="Times New Roman"/>
          <w:sz w:val="32"/>
          <w:szCs w:val="32"/>
          <w:lang w:eastAsia="zh-CN"/>
        </w:rPr>
        <w:t>人员经费增加</w:t>
      </w:r>
      <w:r>
        <w:rPr>
          <w:rFonts w:hint="default" w:ascii="Times New Roman" w:hAnsi="Times New Roman" w:eastAsia="仿宋_GB2312" w:cs="Times New Roman"/>
          <w:sz w:val="32"/>
          <w:szCs w:val="32"/>
          <w:lang w:val="en-US" w:eastAsia="zh-CN"/>
        </w:rPr>
        <w:t>18.43万元，公用经费减少0.27万元。</w:t>
      </w:r>
    </w:p>
    <w:p w14:paraId="5349BEBC">
      <w:pPr>
        <w:pStyle w:val="11"/>
        <w:numPr>
          <w:ilvl w:val="0"/>
          <w:numId w:val="2"/>
        </w:numPr>
        <w:spacing w:before="0" w:line="360" w:lineRule="auto"/>
        <w:ind w:left="638" w:leftChars="304" w:firstLine="364" w:firstLineChars="114"/>
        <w:rPr>
          <w:rFonts w:hint="default" w:ascii="Times New Roman" w:hAnsi="Times New Roman" w:eastAsia="楷体" w:cs="Times New Roman"/>
          <w:kern w:val="2"/>
          <w:sz w:val="32"/>
          <w:szCs w:val="32"/>
        </w:rPr>
      </w:pPr>
      <w:r>
        <w:rPr>
          <w:rFonts w:hint="default" w:ascii="Times New Roman" w:hAnsi="Times New Roman" w:eastAsia="楷体" w:cs="Times New Roman"/>
          <w:kern w:val="2"/>
          <w:sz w:val="32"/>
          <w:szCs w:val="32"/>
        </w:rPr>
        <w:t>一般公共预算当年拨款结构情况</w:t>
      </w:r>
    </w:p>
    <w:p w14:paraId="596A3CD0">
      <w:pPr>
        <w:spacing w:line="54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文化旅游体育与传媒 支出201.07万元，占72.24%；社会保障和就业支出36.97万元，占13.28%；卫生健康支出16.13万元，占5.80%； 住房保障支出24.16万元，占8.68%。</w:t>
      </w:r>
    </w:p>
    <w:p w14:paraId="5C0ABEDD">
      <w:pPr>
        <w:pStyle w:val="11"/>
        <w:spacing w:before="0" w:line="360" w:lineRule="auto"/>
        <w:ind w:firstLine="660"/>
        <w:rPr>
          <w:rFonts w:hint="default" w:ascii="Times New Roman" w:hAnsi="Times New Roman" w:eastAsia="楷体" w:cs="Times New Roman"/>
          <w:kern w:val="2"/>
          <w:sz w:val="32"/>
          <w:szCs w:val="32"/>
        </w:rPr>
      </w:pPr>
      <w:r>
        <w:rPr>
          <w:rFonts w:hint="default" w:ascii="Times New Roman" w:hAnsi="Times New Roman" w:eastAsia="楷体" w:cs="Times New Roman"/>
          <w:kern w:val="2"/>
          <w:sz w:val="32"/>
          <w:szCs w:val="32"/>
        </w:rPr>
        <w:t>（三）一般公共预算当年拨款具体使用情况</w:t>
      </w:r>
    </w:p>
    <w:p w14:paraId="43B1B023">
      <w:pPr>
        <w:pStyle w:val="11"/>
        <w:spacing w:before="0" w:line="360" w:lineRule="auto"/>
        <w:ind w:firstLine="640" w:firstLineChars="200"/>
        <w:rPr>
          <w:rFonts w:hint="default" w:ascii="Times New Roman" w:hAnsi="Times New Roman" w:eastAsia="仿宋_GB2312" w:cs="Times New Roman"/>
          <w:kern w:val="2"/>
          <w:sz w:val="32"/>
          <w:szCs w:val="32"/>
          <w:lang w:val="en-US" w:eastAsia="zh-CN"/>
        </w:rPr>
      </w:pPr>
      <w:r>
        <w:rPr>
          <w:rFonts w:hint="default" w:ascii="Times New Roman" w:hAnsi="Times New Roman" w:cs="Times New Roman"/>
          <w:kern w:val="2"/>
          <w:sz w:val="32"/>
          <w:szCs w:val="32"/>
          <w:lang w:eastAsia="zh-CN"/>
        </w:rPr>
        <w:t>工资性支出</w:t>
      </w:r>
      <w:r>
        <w:rPr>
          <w:rFonts w:hint="default" w:ascii="Times New Roman" w:hAnsi="Times New Roman" w:cs="Times New Roman"/>
          <w:kern w:val="2"/>
          <w:sz w:val="32"/>
          <w:szCs w:val="32"/>
          <w:lang w:val="en-US" w:eastAsia="zh-CN"/>
        </w:rPr>
        <w:t>121.62万元，占43.70%；单位缴费78.60万元，占28.24%；日常公用经费6.31万元，占2.27%；目标绩效奖（按月随工资发放70%部分）28.59万元，占10.27%；日常公共用经费（其他运转类）14.46万元，占5.2%；其他支出0.89万元，占0.32%；退休人员经费3.05万元，1.1%；独生子女父母奖励0.02万元，占0.01%；项目经费基本科研业务费20万元，占7.19%；聘用人员经费4.8万元，占1.72%。</w:t>
      </w:r>
    </w:p>
    <w:p w14:paraId="642943BC">
      <w:pPr>
        <w:pStyle w:val="11"/>
        <w:spacing w:before="0" w:line="360" w:lineRule="auto"/>
        <w:ind w:firstLine="66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六、一般公共预算基本支出情况说明</w:t>
      </w:r>
    </w:p>
    <w:p w14:paraId="06527077">
      <w:pPr>
        <w:pStyle w:val="11"/>
        <w:spacing w:before="0" w:line="360" w:lineRule="auto"/>
        <w:ind w:firstLine="640" w:firstLineChars="200"/>
        <w:rPr>
          <w:rFonts w:hint="default" w:ascii="Times New Roman" w:hAnsi="Times New Roman" w:cs="Times New Roman"/>
          <w:kern w:val="2"/>
          <w:sz w:val="32"/>
          <w:szCs w:val="32"/>
        </w:rPr>
      </w:pPr>
      <w:r>
        <w:rPr>
          <w:rFonts w:hint="default" w:ascii="Times New Roman" w:hAnsi="Times New Roman" w:cs="Times New Roman"/>
          <w:kern w:val="2"/>
          <w:sz w:val="32"/>
          <w:szCs w:val="32"/>
          <w:lang w:eastAsia="zh-CN"/>
        </w:rPr>
        <w:t>单位</w:t>
      </w:r>
      <w:r>
        <w:rPr>
          <w:rFonts w:hint="default" w:ascii="Times New Roman" w:hAnsi="Times New Roman" w:cs="Times New Roman"/>
          <w:kern w:val="2"/>
          <w:sz w:val="32"/>
          <w:szCs w:val="32"/>
        </w:rPr>
        <w:t>2026年一般公共预算基本支出</w:t>
      </w:r>
      <w:r>
        <w:rPr>
          <w:rFonts w:hint="default" w:ascii="Times New Roman" w:hAnsi="Times New Roman" w:cs="Times New Roman"/>
          <w:kern w:val="2"/>
          <w:sz w:val="32"/>
          <w:szCs w:val="32"/>
          <w:lang w:val="en-US" w:eastAsia="zh-CN"/>
        </w:rPr>
        <w:t>25.34</w:t>
      </w:r>
      <w:r>
        <w:rPr>
          <w:rFonts w:hint="default" w:ascii="Times New Roman" w:hAnsi="Times New Roman" w:cs="Times New Roman"/>
          <w:kern w:val="2"/>
          <w:sz w:val="32"/>
          <w:szCs w:val="32"/>
        </w:rPr>
        <w:t>万元，其中：人员经费</w:t>
      </w:r>
      <w:r>
        <w:rPr>
          <w:rFonts w:hint="default" w:ascii="Times New Roman" w:hAnsi="Times New Roman" w:cs="Times New Roman"/>
          <w:kern w:val="2"/>
          <w:sz w:val="32"/>
          <w:szCs w:val="32"/>
          <w:lang w:val="en-US" w:eastAsia="zh-CN"/>
        </w:rPr>
        <w:t>237.57</w:t>
      </w:r>
      <w:r>
        <w:rPr>
          <w:rFonts w:hint="default" w:ascii="Times New Roman" w:hAnsi="Times New Roman" w:cs="Times New Roman"/>
          <w:kern w:val="2"/>
          <w:sz w:val="32"/>
          <w:szCs w:val="32"/>
        </w:rPr>
        <w:t>万元，主要包括：基本工资、津贴补贴、奖金、其他社会保障缴费、绩效工资、机关事业单位基本养老保险缴费、职业年金缴费、其他工资福利支出、离休费、奖励金、住房公积金、其他对个人和家庭的补助支出。</w:t>
      </w:r>
    </w:p>
    <w:p w14:paraId="6AE8C65C">
      <w:pPr>
        <w:pStyle w:val="11"/>
        <w:spacing w:before="0" w:line="360" w:lineRule="auto"/>
        <w:ind w:firstLine="640" w:firstLineChars="200"/>
        <w:rPr>
          <w:rFonts w:hint="default" w:ascii="Times New Roman" w:hAnsi="Times New Roman" w:eastAsia="黑体" w:cs="Times New Roman"/>
          <w:sz w:val="32"/>
          <w:szCs w:val="32"/>
        </w:rPr>
      </w:pPr>
      <w:r>
        <w:rPr>
          <w:rFonts w:hint="default" w:ascii="Times New Roman" w:hAnsi="Times New Roman" w:cs="Times New Roman"/>
          <w:kern w:val="2"/>
          <w:sz w:val="32"/>
          <w:szCs w:val="32"/>
        </w:rPr>
        <w:t>公用经费</w:t>
      </w:r>
      <w:r>
        <w:rPr>
          <w:rFonts w:hint="default" w:ascii="Times New Roman" w:hAnsi="Times New Roman" w:cs="Times New Roman"/>
          <w:kern w:val="2"/>
          <w:sz w:val="32"/>
          <w:szCs w:val="32"/>
          <w:lang w:val="en-US" w:eastAsia="zh-CN"/>
        </w:rPr>
        <w:t>20.77</w:t>
      </w:r>
      <w:r>
        <w:rPr>
          <w:rFonts w:hint="default" w:ascii="Times New Roman" w:hAnsi="Times New Roman" w:cs="Times New Roman"/>
          <w:kern w:val="2"/>
          <w:sz w:val="32"/>
          <w:szCs w:val="32"/>
        </w:rPr>
        <w:t>万元，主要包括：办公费、印刷费、手续费、水费、电费、邮电费、差旅费、维修（护）费、租赁费、会议费、培训费、劳务费、工会经费、福利费、其他交通工具运行维护费、其他商品和服务支出。</w:t>
      </w:r>
      <w:r>
        <w:rPr>
          <w:rFonts w:hint="default" w:ascii="Times New Roman" w:hAnsi="Times New Roman" w:cs="Times New Roman"/>
          <w:kern w:val="2"/>
          <w:sz w:val="32"/>
          <w:szCs w:val="32"/>
        </w:rPr>
        <w:br w:type="textWrapping"/>
      </w:r>
      <w:r>
        <w:rPr>
          <w:rFonts w:hint="default" w:ascii="Times New Roman" w:hAnsi="Times New Roman" w:eastAsia="黑体" w:cs="Times New Roman"/>
          <w:sz w:val="32"/>
          <w:szCs w:val="32"/>
        </w:rPr>
        <w:t xml:space="preserve">    七、“三公”经费财政拨款预算安排情况说明</w:t>
      </w:r>
    </w:p>
    <w:p w14:paraId="340BC585">
      <w:pPr>
        <w:pStyle w:val="11"/>
        <w:spacing w:before="0" w:line="360" w:lineRule="auto"/>
        <w:ind w:firstLine="640" w:firstLineChars="200"/>
        <w:rPr>
          <w:rFonts w:hint="default" w:ascii="Times New Roman" w:hAnsi="Times New Roman" w:cs="Times New Roman"/>
          <w:kern w:val="2"/>
          <w:sz w:val="32"/>
          <w:szCs w:val="32"/>
        </w:rPr>
      </w:pPr>
      <w:r>
        <w:rPr>
          <w:rFonts w:hint="default" w:ascii="Times New Roman" w:hAnsi="Times New Roman" w:cs="Times New Roman"/>
          <w:kern w:val="2"/>
          <w:sz w:val="32"/>
          <w:szCs w:val="32"/>
          <w:lang w:eastAsia="zh-CN"/>
        </w:rPr>
        <w:t>单位</w:t>
      </w:r>
      <w:r>
        <w:rPr>
          <w:rFonts w:hint="default" w:ascii="Times New Roman" w:hAnsi="Times New Roman" w:cs="Times New Roman"/>
          <w:kern w:val="2"/>
          <w:sz w:val="32"/>
          <w:szCs w:val="32"/>
        </w:rPr>
        <w:t>2026年“三公”经费财政拨款预算数</w:t>
      </w:r>
      <w:r>
        <w:rPr>
          <w:rFonts w:hint="default" w:ascii="Times New Roman" w:hAnsi="Times New Roman" w:cs="Times New Roman"/>
          <w:kern w:val="2"/>
          <w:sz w:val="32"/>
          <w:szCs w:val="32"/>
          <w:lang w:val="en-US" w:eastAsia="zh-CN"/>
        </w:rPr>
        <w:t>0.22</w:t>
      </w:r>
      <w:r>
        <w:rPr>
          <w:rFonts w:hint="default" w:ascii="Times New Roman" w:hAnsi="Times New Roman" w:cs="Times New Roman"/>
          <w:kern w:val="2"/>
          <w:sz w:val="32"/>
          <w:szCs w:val="32"/>
        </w:rPr>
        <w:t>万元，其中：因公出国（境）经费</w:t>
      </w:r>
      <w:r>
        <w:rPr>
          <w:rFonts w:hint="default" w:ascii="Times New Roman" w:hAnsi="Times New Roman" w:cs="Times New Roman"/>
          <w:kern w:val="2"/>
          <w:sz w:val="32"/>
          <w:szCs w:val="32"/>
          <w:lang w:val="en-US" w:eastAsia="zh-CN"/>
        </w:rPr>
        <w:t>0</w:t>
      </w:r>
      <w:r>
        <w:rPr>
          <w:rFonts w:hint="default" w:ascii="Times New Roman" w:hAnsi="Times New Roman" w:cs="Times New Roman"/>
          <w:kern w:val="2"/>
          <w:sz w:val="32"/>
          <w:szCs w:val="32"/>
        </w:rPr>
        <w:t>万元，公务接待费</w:t>
      </w:r>
      <w:r>
        <w:rPr>
          <w:rFonts w:hint="default" w:ascii="Times New Roman" w:hAnsi="Times New Roman" w:cs="Times New Roman"/>
          <w:kern w:val="2"/>
          <w:sz w:val="32"/>
          <w:szCs w:val="32"/>
          <w:lang w:val="en-US" w:eastAsia="zh-CN"/>
        </w:rPr>
        <w:t>0.22</w:t>
      </w:r>
      <w:r>
        <w:rPr>
          <w:rFonts w:hint="default" w:ascii="Times New Roman" w:hAnsi="Times New Roman" w:cs="Times New Roman"/>
          <w:kern w:val="2"/>
          <w:sz w:val="32"/>
          <w:szCs w:val="32"/>
        </w:rPr>
        <w:t>万元，公务用车购置及运行维护费</w:t>
      </w:r>
      <w:r>
        <w:rPr>
          <w:rFonts w:hint="default" w:ascii="Times New Roman" w:hAnsi="Times New Roman" w:cs="Times New Roman"/>
          <w:kern w:val="2"/>
          <w:sz w:val="32"/>
          <w:szCs w:val="32"/>
          <w:lang w:val="en-US" w:eastAsia="zh-CN"/>
        </w:rPr>
        <w:t>0</w:t>
      </w:r>
      <w:r>
        <w:rPr>
          <w:rFonts w:hint="default" w:ascii="Times New Roman" w:hAnsi="Times New Roman" w:cs="Times New Roman"/>
          <w:kern w:val="2"/>
          <w:sz w:val="32"/>
          <w:szCs w:val="32"/>
        </w:rPr>
        <w:t>万元。</w:t>
      </w:r>
    </w:p>
    <w:p w14:paraId="2FC79C4C">
      <w:pPr>
        <w:pStyle w:val="11"/>
        <w:spacing w:before="0" w:line="360" w:lineRule="auto"/>
        <w:ind w:firstLine="640" w:firstLineChars="200"/>
        <w:rPr>
          <w:rFonts w:hint="default" w:ascii="Times New Roman" w:hAnsi="Times New Roman" w:cs="Times New Roman"/>
          <w:kern w:val="2"/>
          <w:sz w:val="32"/>
          <w:szCs w:val="32"/>
        </w:rPr>
      </w:pPr>
      <w:r>
        <w:rPr>
          <w:rFonts w:hint="default" w:ascii="Times New Roman" w:hAnsi="Times New Roman" w:cs="Times New Roman"/>
          <w:kern w:val="2"/>
          <w:sz w:val="32"/>
          <w:szCs w:val="32"/>
        </w:rPr>
        <w:t>（一）2026年因公出国（境）经费</w:t>
      </w:r>
      <w:r>
        <w:rPr>
          <w:rFonts w:hint="default" w:ascii="Times New Roman" w:hAnsi="Times New Roman" w:cs="Times New Roman"/>
          <w:kern w:val="2"/>
          <w:sz w:val="32"/>
          <w:szCs w:val="32"/>
          <w:lang w:val="en-US" w:eastAsia="zh-CN"/>
        </w:rPr>
        <w:t>0</w:t>
      </w:r>
      <w:r>
        <w:rPr>
          <w:rFonts w:hint="default" w:ascii="Times New Roman" w:hAnsi="Times New Roman" w:cs="Times New Roman"/>
          <w:kern w:val="2"/>
          <w:sz w:val="32"/>
          <w:szCs w:val="32"/>
        </w:rPr>
        <w:t>万元。</w:t>
      </w:r>
    </w:p>
    <w:p w14:paraId="1E0A33B8">
      <w:pPr>
        <w:pStyle w:val="11"/>
        <w:spacing w:before="0" w:line="360" w:lineRule="auto"/>
        <w:ind w:firstLine="640" w:firstLineChars="200"/>
        <w:rPr>
          <w:rFonts w:hint="default" w:ascii="Times New Roman" w:hAnsi="Times New Roman" w:cs="Times New Roman"/>
          <w:color w:val="000000"/>
          <w:kern w:val="2"/>
          <w:sz w:val="32"/>
          <w:szCs w:val="32"/>
          <w:lang w:eastAsia="zh-CN"/>
        </w:rPr>
      </w:pPr>
      <w:r>
        <w:rPr>
          <w:rFonts w:hint="default" w:ascii="Times New Roman" w:hAnsi="Times New Roman" w:cs="Times New Roman"/>
          <w:kern w:val="2"/>
          <w:sz w:val="32"/>
          <w:szCs w:val="32"/>
        </w:rPr>
        <w:t>（二）</w:t>
      </w:r>
      <w:r>
        <w:rPr>
          <w:rFonts w:hint="default" w:ascii="Times New Roman" w:hAnsi="Times New Roman" w:cs="Times New Roman"/>
          <w:color w:val="000000"/>
          <w:kern w:val="2"/>
          <w:sz w:val="32"/>
          <w:szCs w:val="32"/>
        </w:rPr>
        <w:t>2026年公务接待经费</w:t>
      </w:r>
      <w:r>
        <w:rPr>
          <w:rFonts w:hint="default" w:ascii="Times New Roman" w:hAnsi="Times New Roman" w:cs="Times New Roman"/>
          <w:color w:val="000000"/>
          <w:kern w:val="2"/>
          <w:sz w:val="32"/>
          <w:szCs w:val="32"/>
          <w:lang w:val="en-US" w:eastAsia="zh-CN"/>
        </w:rPr>
        <w:t>0.22</w:t>
      </w:r>
      <w:r>
        <w:rPr>
          <w:rFonts w:hint="default" w:ascii="Times New Roman" w:hAnsi="Times New Roman" w:cs="Times New Roman"/>
          <w:color w:val="000000"/>
          <w:kern w:val="2"/>
          <w:sz w:val="32"/>
          <w:szCs w:val="32"/>
        </w:rPr>
        <w:t>万元。较2025年预算</w:t>
      </w:r>
      <w:r>
        <w:rPr>
          <w:rFonts w:hint="default" w:ascii="Times New Roman" w:hAnsi="Times New Roman" w:cs="Times New Roman"/>
          <w:color w:val="000000"/>
          <w:kern w:val="2"/>
          <w:sz w:val="32"/>
          <w:szCs w:val="32"/>
          <w:lang w:eastAsia="zh-CN"/>
        </w:rPr>
        <w:t>持平。</w:t>
      </w:r>
    </w:p>
    <w:p w14:paraId="768B978A">
      <w:pPr>
        <w:pStyle w:val="11"/>
        <w:spacing w:before="0" w:line="360" w:lineRule="auto"/>
        <w:ind w:firstLine="640" w:firstLineChars="200"/>
        <w:rPr>
          <w:rFonts w:hint="default" w:ascii="Times New Roman" w:hAnsi="Times New Roman" w:cs="Times New Roman"/>
          <w:sz w:val="32"/>
          <w:szCs w:val="32"/>
          <w:lang w:eastAsia="zh-CN"/>
        </w:rPr>
      </w:pPr>
      <w:r>
        <w:rPr>
          <w:rFonts w:hint="default" w:ascii="Times New Roman" w:hAnsi="Times New Roman" w:cs="Times New Roman"/>
          <w:color w:val="000000"/>
          <w:kern w:val="2"/>
          <w:sz w:val="32"/>
          <w:szCs w:val="32"/>
        </w:rPr>
        <w:t>（三）2026年公务用车购置及运行维护费</w:t>
      </w:r>
      <w:r>
        <w:rPr>
          <w:rFonts w:hint="default" w:ascii="Times New Roman" w:hAnsi="Times New Roman" w:cs="Times New Roman"/>
          <w:color w:val="000000"/>
          <w:kern w:val="2"/>
          <w:sz w:val="32"/>
          <w:szCs w:val="32"/>
          <w:lang w:val="en-US" w:eastAsia="zh-CN"/>
        </w:rPr>
        <w:t>0</w:t>
      </w:r>
      <w:r>
        <w:rPr>
          <w:rFonts w:hint="default" w:ascii="Times New Roman" w:hAnsi="Times New Roman" w:cs="Times New Roman"/>
          <w:color w:val="000000"/>
          <w:kern w:val="2"/>
          <w:sz w:val="32"/>
          <w:szCs w:val="32"/>
        </w:rPr>
        <w:t>万元。较2025年预算经费</w:t>
      </w:r>
      <w:r>
        <w:rPr>
          <w:rFonts w:hint="default" w:ascii="Times New Roman" w:hAnsi="Times New Roman" w:cs="Times New Roman"/>
          <w:sz w:val="32"/>
          <w:szCs w:val="32"/>
          <w:lang w:eastAsia="zh-CN"/>
        </w:rPr>
        <w:t>持平。</w:t>
      </w:r>
    </w:p>
    <w:p w14:paraId="1F4043DC">
      <w:pPr>
        <w:pStyle w:val="11"/>
        <w:spacing w:before="0" w:line="360" w:lineRule="auto"/>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八、政府性基金</w:t>
      </w:r>
      <w:r>
        <w:rPr>
          <w:rFonts w:hint="default" w:ascii="Times New Roman" w:hAnsi="Times New Roman" w:eastAsia="黑体" w:cs="Times New Roman"/>
          <w:kern w:val="2"/>
          <w:sz w:val="32"/>
          <w:szCs w:val="32"/>
        </w:rPr>
        <w:t>预算</w:t>
      </w:r>
      <w:r>
        <w:rPr>
          <w:rFonts w:hint="default" w:ascii="Times New Roman" w:hAnsi="Times New Roman" w:eastAsia="黑体" w:cs="Times New Roman"/>
          <w:sz w:val="32"/>
          <w:szCs w:val="32"/>
        </w:rPr>
        <w:t>支出情况说明</w:t>
      </w:r>
    </w:p>
    <w:p w14:paraId="589BF378">
      <w:pPr>
        <w:pStyle w:val="11"/>
        <w:spacing w:before="0" w:line="360" w:lineRule="auto"/>
        <w:ind w:firstLine="640" w:firstLineChars="200"/>
        <w:rPr>
          <w:rFonts w:hint="default" w:ascii="Times New Roman" w:hAnsi="Times New Roman" w:cs="Times New Roman"/>
          <w:kern w:val="2"/>
          <w:sz w:val="32"/>
          <w:szCs w:val="32"/>
        </w:rPr>
      </w:pPr>
      <w:r>
        <w:rPr>
          <w:rFonts w:hint="default" w:ascii="Times New Roman" w:hAnsi="Times New Roman" w:cs="Times New Roman"/>
          <w:kern w:val="2"/>
          <w:sz w:val="32"/>
          <w:szCs w:val="32"/>
          <w:lang w:eastAsia="zh-CN"/>
        </w:rPr>
        <w:t>单位</w:t>
      </w:r>
      <w:r>
        <w:rPr>
          <w:rFonts w:hint="default" w:ascii="Times New Roman" w:hAnsi="Times New Roman" w:cs="Times New Roman"/>
          <w:kern w:val="2"/>
          <w:sz w:val="32"/>
          <w:szCs w:val="32"/>
        </w:rPr>
        <w:t>2026年政府性基金预算拨款安排的支出</w:t>
      </w:r>
      <w:r>
        <w:rPr>
          <w:rFonts w:hint="default" w:ascii="Times New Roman" w:hAnsi="Times New Roman" w:cs="Times New Roman"/>
          <w:kern w:val="2"/>
          <w:sz w:val="32"/>
          <w:szCs w:val="32"/>
          <w:lang w:val="en-US" w:eastAsia="zh-CN"/>
        </w:rPr>
        <w:t>0</w:t>
      </w:r>
      <w:r>
        <w:rPr>
          <w:rFonts w:hint="default" w:ascii="Times New Roman" w:hAnsi="Times New Roman" w:cs="Times New Roman"/>
          <w:kern w:val="2"/>
          <w:sz w:val="32"/>
          <w:szCs w:val="32"/>
        </w:rPr>
        <w:t>万元。较2025年预算经费</w:t>
      </w:r>
      <w:r>
        <w:rPr>
          <w:rFonts w:hint="default" w:ascii="Times New Roman" w:hAnsi="Times New Roman" w:cs="Times New Roman"/>
          <w:sz w:val="32"/>
          <w:szCs w:val="32"/>
          <w:lang w:eastAsia="zh-CN"/>
        </w:rPr>
        <w:t>持平</w:t>
      </w:r>
      <w:r>
        <w:rPr>
          <w:rFonts w:hint="default" w:ascii="Times New Roman" w:hAnsi="Times New Roman" w:cs="Times New Roman"/>
          <w:kern w:val="2"/>
          <w:sz w:val="32"/>
          <w:szCs w:val="32"/>
        </w:rPr>
        <w:t>。</w:t>
      </w:r>
    </w:p>
    <w:p w14:paraId="4825CB73">
      <w:pPr>
        <w:pStyle w:val="11"/>
        <w:spacing w:before="0" w:line="360" w:lineRule="auto"/>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九、其他重要事项的情况说明</w:t>
      </w:r>
    </w:p>
    <w:p w14:paraId="78170FA7">
      <w:pPr>
        <w:pStyle w:val="11"/>
        <w:spacing w:before="0" w:line="360" w:lineRule="auto"/>
        <w:ind w:firstLine="640" w:firstLineChars="200"/>
        <w:rPr>
          <w:rFonts w:hint="default" w:ascii="Times New Roman" w:hAnsi="Times New Roman" w:cs="Times New Roman"/>
          <w:color w:val="FF0000"/>
          <w:kern w:val="2"/>
          <w:sz w:val="32"/>
          <w:szCs w:val="32"/>
        </w:rPr>
      </w:pPr>
      <w:r>
        <w:rPr>
          <w:rFonts w:hint="default" w:ascii="Times New Roman" w:hAnsi="Times New Roman" w:eastAsia="楷体" w:cs="Times New Roman"/>
          <w:kern w:val="2"/>
          <w:sz w:val="32"/>
          <w:szCs w:val="32"/>
        </w:rPr>
        <w:t>（一）机关运行经费</w:t>
      </w:r>
      <w:r>
        <w:rPr>
          <w:rFonts w:hint="default" w:ascii="Times New Roman" w:hAnsi="Times New Roman" w:cs="Times New Roman"/>
          <w:kern w:val="2"/>
          <w:sz w:val="32"/>
          <w:szCs w:val="32"/>
        </w:rPr>
        <w:br w:type="textWrapping"/>
      </w:r>
      <w:r>
        <w:rPr>
          <w:rFonts w:hint="default" w:ascii="Times New Roman" w:hAnsi="Times New Roman" w:cs="Times New Roman"/>
          <w:kern w:val="2"/>
          <w:sz w:val="32"/>
          <w:szCs w:val="32"/>
        </w:rPr>
        <w:t xml:space="preserve">　 </w:t>
      </w:r>
      <w:r>
        <w:rPr>
          <w:rFonts w:hint="default" w:ascii="Times New Roman" w:hAnsi="Times New Roman" w:cs="Times New Roman"/>
          <w:kern w:val="2"/>
          <w:sz w:val="32"/>
          <w:szCs w:val="32"/>
          <w:lang w:eastAsia="zh-CN"/>
        </w:rPr>
        <w:t>单位</w:t>
      </w:r>
      <w:r>
        <w:rPr>
          <w:rFonts w:hint="default" w:ascii="Times New Roman" w:hAnsi="Times New Roman" w:cs="Times New Roman"/>
          <w:kern w:val="2"/>
          <w:sz w:val="32"/>
          <w:szCs w:val="32"/>
        </w:rPr>
        <w:t>2026年机关运行经费财政拨款预算为</w:t>
      </w:r>
      <w:r>
        <w:rPr>
          <w:rFonts w:hint="default" w:ascii="Times New Roman" w:hAnsi="Times New Roman" w:cs="Times New Roman"/>
          <w:kern w:val="2"/>
          <w:sz w:val="32"/>
          <w:szCs w:val="32"/>
          <w:lang w:val="en-US" w:eastAsia="zh-CN"/>
        </w:rPr>
        <w:t>0</w:t>
      </w:r>
      <w:r>
        <w:rPr>
          <w:rFonts w:hint="default" w:ascii="Times New Roman" w:hAnsi="Times New Roman" w:cs="Times New Roman"/>
          <w:kern w:val="2"/>
          <w:sz w:val="32"/>
          <w:szCs w:val="32"/>
        </w:rPr>
        <w:t>万元，比2025年预算</w:t>
      </w:r>
      <w:r>
        <w:rPr>
          <w:rFonts w:hint="default" w:ascii="Times New Roman" w:hAnsi="Times New Roman" w:cs="Times New Roman"/>
          <w:sz w:val="32"/>
          <w:szCs w:val="32"/>
          <w:lang w:eastAsia="zh-CN"/>
        </w:rPr>
        <w:t>持平。</w:t>
      </w:r>
      <w:r>
        <w:rPr>
          <w:rFonts w:hint="default" w:ascii="Times New Roman" w:hAnsi="Times New Roman" w:cs="Times New Roman"/>
          <w:color w:val="000000"/>
          <w:kern w:val="2"/>
          <w:sz w:val="32"/>
          <w:szCs w:val="32"/>
        </w:rPr>
        <w:t xml:space="preserve"> </w:t>
      </w:r>
    </w:p>
    <w:p w14:paraId="33F38204">
      <w:pPr>
        <w:pStyle w:val="11"/>
        <w:spacing w:before="0" w:line="360" w:lineRule="auto"/>
        <w:ind w:firstLine="640" w:firstLineChars="200"/>
        <w:rPr>
          <w:rFonts w:hint="default" w:ascii="Times New Roman" w:hAnsi="Times New Roman" w:cs="Times New Roman"/>
          <w:color w:val="000000"/>
          <w:kern w:val="2"/>
          <w:sz w:val="32"/>
          <w:szCs w:val="32"/>
          <w:lang w:eastAsia="zh-CN"/>
        </w:rPr>
      </w:pPr>
      <w:r>
        <w:rPr>
          <w:rFonts w:hint="default" w:ascii="Times New Roman" w:hAnsi="Times New Roman" w:eastAsia="楷体" w:cs="Times New Roman"/>
          <w:kern w:val="2"/>
          <w:sz w:val="32"/>
          <w:szCs w:val="32"/>
        </w:rPr>
        <w:t>（二）政府采购情况</w:t>
      </w:r>
      <w:r>
        <w:rPr>
          <w:rFonts w:hint="default" w:ascii="Times New Roman" w:hAnsi="Times New Roman" w:cs="Times New Roman"/>
          <w:kern w:val="2"/>
          <w:sz w:val="32"/>
          <w:szCs w:val="32"/>
        </w:rPr>
        <w:br w:type="textWrapping"/>
      </w:r>
      <w:r>
        <w:rPr>
          <w:rFonts w:hint="default" w:ascii="Times New Roman" w:hAnsi="Times New Roman" w:cs="Times New Roman"/>
          <w:kern w:val="2"/>
          <w:sz w:val="32"/>
          <w:szCs w:val="32"/>
        </w:rPr>
        <w:t>　</w:t>
      </w:r>
      <w:r>
        <w:rPr>
          <w:rFonts w:hint="default" w:ascii="Times New Roman" w:hAnsi="Times New Roman" w:cs="Times New Roman"/>
          <w:color w:val="000000"/>
          <w:kern w:val="2"/>
          <w:sz w:val="32"/>
          <w:szCs w:val="32"/>
        </w:rPr>
        <w:t>　 2026年</w:t>
      </w:r>
      <w:r>
        <w:rPr>
          <w:rFonts w:hint="default" w:ascii="Times New Roman" w:hAnsi="Times New Roman" w:cs="Times New Roman"/>
          <w:kern w:val="2"/>
          <w:sz w:val="32"/>
          <w:szCs w:val="32"/>
          <w:lang w:eastAsia="zh-CN"/>
        </w:rPr>
        <w:t>单位</w:t>
      </w:r>
      <w:r>
        <w:rPr>
          <w:rFonts w:hint="default" w:ascii="Times New Roman" w:hAnsi="Times New Roman" w:cs="Times New Roman"/>
          <w:color w:val="000000"/>
          <w:kern w:val="2"/>
          <w:sz w:val="32"/>
          <w:szCs w:val="32"/>
        </w:rPr>
        <w:t>安排政府采购预算</w:t>
      </w:r>
      <w:r>
        <w:rPr>
          <w:rFonts w:hint="default" w:ascii="Times New Roman" w:hAnsi="Times New Roman" w:cs="Times New Roman"/>
          <w:color w:val="000000"/>
          <w:kern w:val="2"/>
          <w:sz w:val="32"/>
          <w:szCs w:val="32"/>
          <w:lang w:val="en-US" w:eastAsia="zh-CN"/>
        </w:rPr>
        <w:t>0</w:t>
      </w:r>
      <w:r>
        <w:rPr>
          <w:rFonts w:hint="default" w:ascii="Times New Roman" w:hAnsi="Times New Roman" w:cs="Times New Roman"/>
          <w:color w:val="000000"/>
          <w:kern w:val="2"/>
          <w:sz w:val="32"/>
          <w:szCs w:val="32"/>
        </w:rPr>
        <w:t>万元</w:t>
      </w:r>
      <w:r>
        <w:rPr>
          <w:rFonts w:hint="default" w:ascii="Times New Roman" w:hAnsi="Times New Roman" w:cs="Times New Roman"/>
          <w:color w:val="000000"/>
          <w:kern w:val="2"/>
          <w:sz w:val="32"/>
          <w:szCs w:val="32"/>
          <w:lang w:eastAsia="zh-CN"/>
        </w:rPr>
        <w:t>。</w:t>
      </w:r>
    </w:p>
    <w:p w14:paraId="03DC313D">
      <w:pPr>
        <w:pStyle w:val="11"/>
        <w:spacing w:before="0" w:line="360" w:lineRule="auto"/>
        <w:ind w:firstLine="640" w:firstLineChars="200"/>
        <w:rPr>
          <w:rFonts w:hint="default" w:ascii="Times New Roman" w:hAnsi="Times New Roman" w:eastAsia="楷体" w:cs="Times New Roman"/>
          <w:kern w:val="2"/>
          <w:sz w:val="32"/>
          <w:szCs w:val="32"/>
        </w:rPr>
      </w:pPr>
      <w:r>
        <w:rPr>
          <w:rFonts w:hint="default" w:ascii="Times New Roman" w:hAnsi="Times New Roman" w:eastAsia="楷体" w:cs="Times New Roman"/>
          <w:kern w:val="2"/>
          <w:sz w:val="32"/>
          <w:szCs w:val="32"/>
        </w:rPr>
        <w:t>（三）国有资产占有使用情况</w:t>
      </w:r>
    </w:p>
    <w:p w14:paraId="4BAC9D45">
      <w:pPr>
        <w:pStyle w:val="11"/>
        <w:spacing w:before="0" w:line="360" w:lineRule="auto"/>
        <w:ind w:firstLine="640" w:firstLineChars="200"/>
        <w:rPr>
          <w:rFonts w:hint="default" w:ascii="Times New Roman" w:hAnsi="Times New Roman" w:cs="Times New Roman"/>
          <w:kern w:val="2"/>
          <w:sz w:val="32"/>
          <w:szCs w:val="32"/>
        </w:rPr>
      </w:pPr>
      <w:r>
        <w:rPr>
          <w:rFonts w:hint="default" w:ascii="Times New Roman" w:hAnsi="Times New Roman" w:cs="Times New Roman"/>
          <w:kern w:val="2"/>
          <w:sz w:val="32"/>
          <w:szCs w:val="32"/>
        </w:rPr>
        <w:t>截至2025年12月31日，我单位固定资产</w:t>
      </w:r>
      <w:r>
        <w:rPr>
          <w:rFonts w:hint="default" w:ascii="Times New Roman" w:hAnsi="Times New Roman" w:cs="Times New Roman"/>
          <w:kern w:val="2"/>
          <w:sz w:val="32"/>
          <w:szCs w:val="32"/>
          <w:lang w:val="en-US" w:eastAsia="zh-CN"/>
        </w:rPr>
        <w:t>36.5</w:t>
      </w:r>
      <w:r>
        <w:rPr>
          <w:rFonts w:hint="default" w:ascii="Times New Roman" w:hAnsi="Times New Roman" w:cs="Times New Roman"/>
          <w:kern w:val="2"/>
          <w:sz w:val="32"/>
          <w:szCs w:val="32"/>
        </w:rPr>
        <w:t>万元。</w:t>
      </w:r>
    </w:p>
    <w:p w14:paraId="56E0BE9C">
      <w:pPr>
        <w:pStyle w:val="11"/>
        <w:spacing w:before="0" w:line="360" w:lineRule="auto"/>
        <w:ind w:firstLine="640" w:firstLineChars="200"/>
        <w:rPr>
          <w:rFonts w:hint="default" w:ascii="Times New Roman" w:hAnsi="Times New Roman" w:eastAsia="黑体" w:cs="Times New Roman"/>
          <w:sz w:val="32"/>
          <w:szCs w:val="32"/>
        </w:rPr>
      </w:pPr>
      <w:r>
        <w:rPr>
          <w:rFonts w:hint="default" w:ascii="Times New Roman" w:hAnsi="Times New Roman" w:eastAsia="楷体" w:cs="Times New Roman"/>
          <w:kern w:val="2"/>
          <w:sz w:val="32"/>
          <w:szCs w:val="32"/>
        </w:rPr>
        <w:t>（四）绩效目标设置情况</w:t>
      </w:r>
      <w:r>
        <w:rPr>
          <w:rFonts w:hint="default" w:ascii="Times New Roman" w:hAnsi="Times New Roman" w:cs="Times New Roman"/>
          <w:kern w:val="2"/>
          <w:sz w:val="32"/>
          <w:szCs w:val="32"/>
        </w:rPr>
        <w:br w:type="textWrapping"/>
      </w:r>
      <w:r>
        <w:rPr>
          <w:rFonts w:hint="default" w:ascii="Times New Roman" w:hAnsi="Times New Roman" w:cs="Times New Roman"/>
          <w:kern w:val="2"/>
          <w:sz w:val="32"/>
          <w:szCs w:val="32"/>
        </w:rPr>
        <w:t>　　2026年</w:t>
      </w:r>
      <w:r>
        <w:rPr>
          <w:rFonts w:hint="default" w:ascii="Times New Roman" w:hAnsi="Times New Roman" w:cs="Times New Roman"/>
          <w:kern w:val="2"/>
          <w:sz w:val="32"/>
          <w:szCs w:val="32"/>
          <w:lang w:eastAsia="zh-CN"/>
        </w:rPr>
        <w:t>单位</w:t>
      </w:r>
      <w:r>
        <w:rPr>
          <w:rFonts w:hint="default" w:ascii="Times New Roman" w:hAnsi="Times New Roman" w:cs="Times New Roman"/>
          <w:kern w:val="2"/>
          <w:sz w:val="32"/>
          <w:szCs w:val="32"/>
        </w:rPr>
        <w:t>通用项目和专用项目均按要求实行绩效目标管理，涉及一般公共预算当年拨款</w:t>
      </w:r>
      <w:r>
        <w:rPr>
          <w:rFonts w:hint="default" w:ascii="Times New Roman" w:hAnsi="Times New Roman" w:cs="Times New Roman"/>
          <w:kern w:val="2"/>
          <w:sz w:val="32"/>
          <w:szCs w:val="32"/>
          <w:lang w:val="en-US" w:eastAsia="zh-CN"/>
        </w:rPr>
        <w:t>278.34</w:t>
      </w:r>
      <w:r>
        <w:rPr>
          <w:rFonts w:hint="default" w:ascii="Times New Roman" w:hAnsi="Times New Roman" w:cs="Times New Roman"/>
          <w:kern w:val="2"/>
          <w:sz w:val="32"/>
          <w:szCs w:val="32"/>
        </w:rPr>
        <w:t>万元。</w:t>
      </w:r>
    </w:p>
    <w:p w14:paraId="42764CE5">
      <w:pPr>
        <w:pStyle w:val="11"/>
        <w:spacing w:before="0" w:line="360" w:lineRule="auto"/>
        <w:ind w:firstLine="640" w:firstLineChars="200"/>
        <w:rPr>
          <w:rFonts w:hint="default" w:ascii="Times New Roman" w:hAnsi="Times New Roman" w:cs="Times New Roman"/>
          <w:kern w:val="2"/>
          <w:sz w:val="32"/>
          <w:szCs w:val="32"/>
        </w:rPr>
      </w:pPr>
      <w:r>
        <w:rPr>
          <w:rFonts w:hint="default" w:ascii="Times New Roman" w:hAnsi="Times New Roman" w:eastAsia="黑体" w:cs="Times New Roman"/>
          <w:sz w:val="32"/>
          <w:szCs w:val="32"/>
        </w:rPr>
        <w:t xml:space="preserve">十、名称解释 </w:t>
      </w:r>
      <w:r>
        <w:rPr>
          <w:rFonts w:hint="default" w:ascii="Times New Roman" w:hAnsi="Times New Roman" w:cs="Times New Roman"/>
          <w:sz w:val="32"/>
          <w:szCs w:val="32"/>
        </w:rPr>
        <w:br w:type="textWrapping"/>
      </w:r>
      <w:r>
        <w:rPr>
          <w:rFonts w:hint="default" w:ascii="Times New Roman" w:hAnsi="Times New Roman" w:eastAsia="宋体" w:cs="Times New Roman"/>
          <w:sz w:val="16"/>
        </w:rPr>
        <w:t xml:space="preserve">　　   </w:t>
      </w:r>
      <w:r>
        <w:rPr>
          <w:rFonts w:hint="default" w:ascii="Times New Roman" w:hAnsi="Times New Roman" w:eastAsia="楷体" w:cs="Times New Roman"/>
          <w:kern w:val="2"/>
          <w:sz w:val="32"/>
          <w:szCs w:val="32"/>
        </w:rPr>
        <w:t>（一）财政拨款收入</w:t>
      </w:r>
      <w:r>
        <w:rPr>
          <w:rFonts w:hint="default" w:ascii="Times New Roman" w:hAnsi="Times New Roman" w:cs="Times New Roman"/>
          <w:kern w:val="2"/>
          <w:sz w:val="32"/>
          <w:szCs w:val="32"/>
        </w:rPr>
        <w:t>：指由财政拨款形成的部门收入。按现行管理制度，部门预算中反映的财政拨款仅包括一般公共预算拨款和政府性基金预算拨款。</w:t>
      </w:r>
      <w:r>
        <w:rPr>
          <w:rFonts w:hint="default" w:ascii="Times New Roman" w:hAnsi="Times New Roman" w:cs="Times New Roman"/>
          <w:kern w:val="2"/>
          <w:sz w:val="32"/>
          <w:szCs w:val="32"/>
        </w:rPr>
        <w:br w:type="textWrapping"/>
      </w:r>
      <w:r>
        <w:rPr>
          <w:rFonts w:hint="default" w:ascii="Times New Roman" w:hAnsi="Times New Roman" w:cs="Times New Roman"/>
          <w:kern w:val="2"/>
          <w:sz w:val="32"/>
          <w:szCs w:val="32"/>
        </w:rPr>
        <w:t>　　</w:t>
      </w:r>
      <w:r>
        <w:rPr>
          <w:rFonts w:hint="default" w:ascii="Times New Roman" w:hAnsi="Times New Roman" w:eastAsia="楷体" w:cs="Times New Roman"/>
          <w:kern w:val="2"/>
          <w:sz w:val="32"/>
          <w:szCs w:val="32"/>
        </w:rPr>
        <w:t>（二）事业收入</w:t>
      </w:r>
      <w:r>
        <w:rPr>
          <w:rFonts w:hint="default" w:ascii="Times New Roman" w:hAnsi="Times New Roman" w:cs="Times New Roman"/>
          <w:kern w:val="2"/>
          <w:sz w:val="32"/>
          <w:szCs w:val="32"/>
        </w:rPr>
        <w:t>：指所属事业单位开展专业业务活动及辅助活动所取得的收入。</w:t>
      </w:r>
      <w:r>
        <w:rPr>
          <w:rFonts w:hint="default" w:ascii="Times New Roman" w:hAnsi="Times New Roman" w:cs="Times New Roman"/>
          <w:kern w:val="2"/>
          <w:sz w:val="32"/>
          <w:szCs w:val="32"/>
        </w:rPr>
        <w:br w:type="textWrapping"/>
      </w:r>
      <w:r>
        <w:rPr>
          <w:rFonts w:hint="default" w:ascii="Times New Roman" w:hAnsi="Times New Roman" w:cs="Times New Roman"/>
          <w:kern w:val="2"/>
          <w:sz w:val="32"/>
          <w:szCs w:val="32"/>
        </w:rPr>
        <w:t>　　</w:t>
      </w:r>
      <w:r>
        <w:rPr>
          <w:rFonts w:hint="default" w:ascii="Times New Roman" w:hAnsi="Times New Roman" w:eastAsia="楷体" w:cs="Times New Roman"/>
          <w:kern w:val="2"/>
          <w:sz w:val="32"/>
          <w:szCs w:val="32"/>
        </w:rPr>
        <w:t>（三）事业单位经营收入</w:t>
      </w:r>
      <w:r>
        <w:rPr>
          <w:rFonts w:hint="default" w:ascii="Times New Roman" w:hAnsi="Times New Roman" w:cs="Times New Roman"/>
          <w:kern w:val="2"/>
          <w:sz w:val="32"/>
          <w:szCs w:val="32"/>
        </w:rPr>
        <w:t>：指所属事业单位在专业业务活动及其辅助活动之外开展非独立核算经营活动取得的收入。</w:t>
      </w:r>
      <w:r>
        <w:rPr>
          <w:rFonts w:hint="default" w:ascii="Times New Roman" w:hAnsi="Times New Roman" w:cs="Times New Roman"/>
          <w:kern w:val="2"/>
          <w:sz w:val="32"/>
          <w:szCs w:val="32"/>
        </w:rPr>
        <w:br w:type="textWrapping"/>
      </w:r>
      <w:r>
        <w:rPr>
          <w:rFonts w:hint="default" w:ascii="Times New Roman" w:hAnsi="Times New Roman" w:cs="Times New Roman"/>
          <w:kern w:val="2"/>
          <w:sz w:val="32"/>
          <w:szCs w:val="32"/>
        </w:rPr>
        <w:t>　</w:t>
      </w:r>
      <w:r>
        <w:rPr>
          <w:rFonts w:hint="default" w:ascii="Times New Roman" w:hAnsi="Times New Roman" w:eastAsia="楷体" w:cs="Times New Roman"/>
          <w:kern w:val="2"/>
          <w:sz w:val="32"/>
          <w:szCs w:val="32"/>
        </w:rPr>
        <w:t>　（四）其他收入</w:t>
      </w:r>
      <w:r>
        <w:rPr>
          <w:rFonts w:hint="default" w:ascii="Times New Roman" w:hAnsi="Times New Roman" w:cs="Times New Roman"/>
          <w:kern w:val="2"/>
          <w:sz w:val="32"/>
          <w:szCs w:val="32"/>
        </w:rPr>
        <w:t>：指除上述“财政拨款收入”、“事业收入”、“事业单位经营收入”等以外的收入，主要是所属行政事业单位按规定动用的售房收入、存款利息收入等。</w:t>
      </w:r>
      <w:r>
        <w:rPr>
          <w:rFonts w:hint="default" w:ascii="Times New Roman" w:hAnsi="Times New Roman" w:cs="Times New Roman"/>
          <w:kern w:val="2"/>
          <w:sz w:val="32"/>
          <w:szCs w:val="32"/>
        </w:rPr>
        <w:br w:type="textWrapping"/>
      </w:r>
      <w:r>
        <w:rPr>
          <w:rFonts w:hint="default" w:ascii="Times New Roman" w:hAnsi="Times New Roman" w:cs="Times New Roman"/>
          <w:kern w:val="2"/>
          <w:sz w:val="32"/>
          <w:szCs w:val="32"/>
        </w:rPr>
        <w:t>　</w:t>
      </w:r>
      <w:r>
        <w:rPr>
          <w:rFonts w:hint="default" w:ascii="Times New Roman" w:hAnsi="Times New Roman" w:eastAsia="楷体" w:cs="Times New Roman"/>
          <w:kern w:val="2"/>
          <w:sz w:val="32"/>
          <w:szCs w:val="32"/>
        </w:rPr>
        <w:t>　（五）用事业基金弥补收支差额</w:t>
      </w:r>
      <w:r>
        <w:rPr>
          <w:rFonts w:hint="default" w:ascii="Times New Roman" w:hAnsi="Times New Roman" w:cs="Times New Roman"/>
          <w:kern w:val="2"/>
          <w:sz w:val="32"/>
          <w:szCs w:val="32"/>
        </w:rPr>
        <w:t>：指所属事业单位在预计用当年的“财政拨款收入”、“事业收入”、“事业单位经营收入”、“其他收入”不足以安排当年支出的情况下，使用以前年度积累的事业基金弥补本年度收支缺口的资金。</w:t>
      </w:r>
      <w:r>
        <w:rPr>
          <w:rFonts w:hint="default" w:ascii="Times New Roman" w:hAnsi="Times New Roman" w:cs="Times New Roman"/>
          <w:kern w:val="2"/>
          <w:sz w:val="32"/>
          <w:szCs w:val="32"/>
        </w:rPr>
        <w:br w:type="textWrapping"/>
      </w:r>
      <w:r>
        <w:rPr>
          <w:rFonts w:hint="default" w:ascii="Times New Roman" w:hAnsi="Times New Roman" w:cs="Times New Roman"/>
          <w:kern w:val="2"/>
          <w:sz w:val="32"/>
          <w:szCs w:val="32"/>
        </w:rPr>
        <w:t>　</w:t>
      </w:r>
      <w:r>
        <w:rPr>
          <w:rFonts w:hint="default" w:ascii="Times New Roman" w:hAnsi="Times New Roman" w:eastAsia="楷体" w:cs="Times New Roman"/>
          <w:kern w:val="2"/>
          <w:sz w:val="32"/>
          <w:szCs w:val="32"/>
        </w:rPr>
        <w:t>　（六）上年结转</w:t>
      </w:r>
      <w:r>
        <w:rPr>
          <w:rFonts w:hint="default" w:ascii="Times New Roman" w:hAnsi="Times New Roman" w:cs="Times New Roman"/>
          <w:kern w:val="2"/>
          <w:sz w:val="32"/>
          <w:szCs w:val="32"/>
        </w:rPr>
        <w:t>：指所属行政事业单位以前年度尚未完成、结转至本年按原规定用途继续使用的资金和以前年度已完成项目剩余资金经批准用于新用途使用的资金。</w:t>
      </w:r>
    </w:p>
    <w:p w14:paraId="6AE34D5C">
      <w:pPr>
        <w:rPr>
          <w:rFonts w:hint="default" w:ascii="Times New Roman" w:hAnsi="Times New Roman" w:eastAsia="仿宋_GB2312" w:cs="Times New Roman"/>
          <w:sz w:val="32"/>
          <w:szCs w:val="32"/>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4D7BD">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59755A"/>
    <w:multiLevelType w:val="singleLevel"/>
    <w:tmpl w:val="0959755A"/>
    <w:lvl w:ilvl="0" w:tentative="0">
      <w:start w:val="2"/>
      <w:numFmt w:val="chineseCounting"/>
      <w:suff w:val="nothing"/>
      <w:lvlText w:val="（%1）"/>
      <w:lvlJc w:val="left"/>
      <w:rPr>
        <w:rFonts w:hint="eastAsia"/>
      </w:rPr>
    </w:lvl>
  </w:abstractNum>
  <w:abstractNum w:abstractNumId="1">
    <w:nsid w:val="47D03D20"/>
    <w:multiLevelType w:val="multilevel"/>
    <w:tmpl w:val="47D03D20"/>
    <w:lvl w:ilvl="0" w:tentative="0">
      <w:start w:val="2"/>
      <w:numFmt w:val="japaneseCounting"/>
      <w:lvlText w:val="%1、"/>
      <w:lvlJc w:val="left"/>
      <w:pPr>
        <w:tabs>
          <w:tab w:val="left" w:pos="0"/>
        </w:tabs>
        <w:ind w:left="1360" w:hanging="720"/>
      </w:pPr>
      <w:rPr>
        <w:rFonts w:hint="default"/>
      </w:rPr>
    </w:lvl>
    <w:lvl w:ilvl="1" w:tentative="0">
      <w:start w:val="1"/>
      <w:numFmt w:val="lowerLetter"/>
      <w:lvlText w:val="%2)"/>
      <w:lvlJc w:val="left"/>
      <w:pPr>
        <w:tabs>
          <w:tab w:val="left" w:pos="0"/>
        </w:tabs>
        <w:ind w:left="1480" w:hanging="420"/>
      </w:pPr>
    </w:lvl>
    <w:lvl w:ilvl="2" w:tentative="0">
      <w:start w:val="1"/>
      <w:numFmt w:val="lowerRoman"/>
      <w:lvlText w:val="%3."/>
      <w:lvlJc w:val="right"/>
      <w:pPr>
        <w:tabs>
          <w:tab w:val="left" w:pos="0"/>
        </w:tabs>
        <w:ind w:left="1900" w:hanging="420"/>
      </w:pPr>
    </w:lvl>
    <w:lvl w:ilvl="3" w:tentative="0">
      <w:start w:val="1"/>
      <w:numFmt w:val="decimal"/>
      <w:lvlText w:val="%4."/>
      <w:lvlJc w:val="left"/>
      <w:pPr>
        <w:tabs>
          <w:tab w:val="left" w:pos="0"/>
        </w:tabs>
        <w:ind w:left="2320" w:hanging="420"/>
      </w:pPr>
    </w:lvl>
    <w:lvl w:ilvl="4" w:tentative="0">
      <w:start w:val="1"/>
      <w:numFmt w:val="lowerLetter"/>
      <w:lvlText w:val="%5)"/>
      <w:lvlJc w:val="left"/>
      <w:pPr>
        <w:tabs>
          <w:tab w:val="left" w:pos="0"/>
        </w:tabs>
        <w:ind w:left="2740" w:hanging="420"/>
      </w:pPr>
    </w:lvl>
    <w:lvl w:ilvl="5" w:tentative="0">
      <w:start w:val="1"/>
      <w:numFmt w:val="lowerRoman"/>
      <w:lvlText w:val="%6."/>
      <w:lvlJc w:val="right"/>
      <w:pPr>
        <w:tabs>
          <w:tab w:val="left" w:pos="0"/>
        </w:tabs>
        <w:ind w:left="3160" w:hanging="420"/>
      </w:pPr>
    </w:lvl>
    <w:lvl w:ilvl="6" w:tentative="0">
      <w:start w:val="1"/>
      <w:numFmt w:val="decimal"/>
      <w:lvlText w:val="%7."/>
      <w:lvlJc w:val="left"/>
      <w:pPr>
        <w:tabs>
          <w:tab w:val="left" w:pos="0"/>
        </w:tabs>
        <w:ind w:left="3580" w:hanging="420"/>
      </w:pPr>
    </w:lvl>
    <w:lvl w:ilvl="7" w:tentative="0">
      <w:start w:val="1"/>
      <w:numFmt w:val="lowerLetter"/>
      <w:lvlText w:val="%8)"/>
      <w:lvlJc w:val="left"/>
      <w:pPr>
        <w:tabs>
          <w:tab w:val="left" w:pos="0"/>
        </w:tabs>
        <w:ind w:left="4000" w:hanging="420"/>
      </w:pPr>
    </w:lvl>
    <w:lvl w:ilvl="8" w:tentative="0">
      <w:start w:val="1"/>
      <w:numFmt w:val="lowerRoman"/>
      <w:lvlText w:val="%9."/>
      <w:lvlJc w:val="right"/>
      <w:pPr>
        <w:tabs>
          <w:tab w:val="left" w:pos="0"/>
        </w:tabs>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018830D4"/>
    <w:rsid w:val="1597787A"/>
    <w:rsid w:val="18C66D91"/>
    <w:rsid w:val="1D886D9F"/>
    <w:rsid w:val="20207DB3"/>
    <w:rsid w:val="290E5018"/>
    <w:rsid w:val="29C2463B"/>
    <w:rsid w:val="4CA572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keepNext/>
      <w:keepLines/>
      <w:widowControl w:val="0"/>
      <w:spacing w:before="340" w:after="330" w:line="578" w:lineRule="auto"/>
      <w:outlineLvl w:val="0"/>
    </w:pPr>
    <w:rPr>
      <w:b/>
      <w:bCs/>
      <w:kern w:val="44"/>
      <w:sz w:val="44"/>
    </w:rPr>
  </w:style>
  <w:style w:type="paragraph" w:styleId="4">
    <w:name w:val="heading 2"/>
    <w:basedOn w:val="1"/>
    <w:next w:val="1"/>
    <w:qFormat/>
    <w:uiPriority w:val="0"/>
    <w:pPr>
      <w:keepNext/>
      <w:keepLines/>
      <w:widowControl w:val="0"/>
      <w:spacing w:before="260" w:after="260" w:line="415" w:lineRule="auto"/>
      <w:outlineLvl w:val="1"/>
    </w:pPr>
    <w:rPr>
      <w:rFonts w:ascii="Arial" w:hAnsi="Arial" w:eastAsia="黑体"/>
      <w:b/>
      <w:sz w:val="32"/>
    </w:rPr>
  </w:style>
  <w:style w:type="paragraph" w:styleId="5">
    <w:name w:val="heading 3"/>
    <w:basedOn w:val="1"/>
    <w:next w:val="1"/>
    <w:qFormat/>
    <w:uiPriority w:val="0"/>
    <w:pPr>
      <w:keepNext/>
      <w:keepLines/>
      <w:widowControl w:val="0"/>
      <w:spacing w:before="260" w:after="260" w:line="415" w:lineRule="auto"/>
      <w:outlineLvl w:val="2"/>
    </w:pPr>
    <w:rPr>
      <w:b/>
      <w:sz w:val="32"/>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rFonts w:ascii="Calibri" w:hAnsi="Calibri"/>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List Paragraph"/>
    <w:basedOn w:val="1"/>
    <w:qFormat/>
    <w:uiPriority w:val="0"/>
    <w:pPr>
      <w:ind w:firstLine="200" w:firstLineChars="200"/>
    </w:pPr>
  </w:style>
  <w:style w:type="paragraph" w:customStyle="1" w:styleId="11">
    <w:name w:val="正文文本1"/>
    <w:basedOn w:val="1"/>
    <w:qFormat/>
    <w:uiPriority w:val="0"/>
    <w:pPr>
      <w:spacing w:before="93"/>
    </w:pPr>
    <w:rPr>
      <w:rFonts w:ascii="仿宋_GB2312" w:eastAsia="仿宋_GB2312"/>
      <w:kern w:val="0"/>
      <w:sz w:val="3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8</Pages>
  <Words>2702</Words>
  <Characters>3001</Characters>
  <Lines>124</Lines>
  <Paragraphs>51</Paragraphs>
  <TotalTime>97</TotalTime>
  <ScaleCrop>false</ScaleCrop>
  <LinksUpToDate>false</LinksUpToDate>
  <CharactersWithSpaces>3033</CharactersWithSpaces>
  <Application>WPS Office_12.1.0.24657_F1E327BC-269C-435d-A152-05C5408002CA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2022-12-30T09:44:00Z</dcterms:created>
  <dc:creator>疯丫头。。</dc:creator>
  <cp:lastModifiedBy>皮拉夫SAMA</cp:lastModifiedBy>
  <cp:lastPrinted>2018-01-30T09:39:00Z</cp:lastPrinted>
  <dcterms:modified xsi:type="dcterms:W3CDTF">2026-01-20T07:02:04Z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A4D26AF572C743AF9ECF5B84BC745EFA_13</vt:lpwstr>
  </property>
  <property fmtid="{D5CDD505-2E9C-101B-9397-08002B2CF9AE}" pid="4" name="KSOTemplateDocerSaveRecord">
    <vt:lpwstr>eyJoZGlkIjoiMWE5YzYzNjQyZTBkYzU1NWUwYTYzM2JmOWVlNjM5NjQiLCJ1c2VySWQiOiI0NDI3NDk0ODQifQ==</vt:lpwstr>
  </property>
</Properties>
</file>