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180C">
      <w:pPr>
        <w:rPr>
          <w:rFonts w:ascii="黑体" w:eastAsia="黑体"/>
          <w:sz w:val="32"/>
          <w:szCs w:val="32"/>
        </w:rPr>
      </w:pPr>
      <w:r>
        <w:rPr>
          <w:rFonts w:ascii="黑体" w:eastAsia="黑体"/>
          <w:sz w:val="32"/>
          <w:szCs w:val="32"/>
        </w:rPr>
        <w:t>附件</w:t>
      </w:r>
      <w:r>
        <w:rPr>
          <w:rFonts w:hint="eastAsia" w:ascii="黑体" w:eastAsia="黑体"/>
          <w:sz w:val="32"/>
          <w:szCs w:val="32"/>
        </w:rPr>
        <w:t>2</w:t>
      </w:r>
    </w:p>
    <w:p w14:paraId="3DF12D3F"/>
    <w:p w14:paraId="090E254C"/>
    <w:p w14:paraId="4CB4CF07"/>
    <w:p w14:paraId="35982E97">
      <w:pPr>
        <w:ind w:firstLine="1050" w:firstLineChars="500"/>
      </w:pPr>
    </w:p>
    <w:p w14:paraId="6CF9C9AA">
      <w:pPr>
        <w:ind w:firstLine="1050" w:firstLineChars="500"/>
      </w:pPr>
    </w:p>
    <w:p w14:paraId="5538663E">
      <w:pPr>
        <w:ind w:firstLine="1760" w:firstLineChars="400"/>
        <w:rPr>
          <w:rFonts w:ascii="黑体" w:eastAsia="黑体"/>
          <w:sz w:val="44"/>
          <w:szCs w:val="44"/>
        </w:rPr>
      </w:pPr>
    </w:p>
    <w:p w14:paraId="02BB6FD1">
      <w:pPr>
        <w:ind w:firstLine="1760" w:firstLineChars="400"/>
        <w:rPr>
          <w:rFonts w:ascii="黑体" w:eastAsia="黑体"/>
          <w:sz w:val="44"/>
          <w:szCs w:val="44"/>
        </w:rPr>
      </w:pPr>
    </w:p>
    <w:p w14:paraId="62053DEC">
      <w:pPr>
        <w:keepNext w:val="0"/>
        <w:keepLines w:val="0"/>
        <w:pageBreakBefore w:val="0"/>
        <w:kinsoku/>
        <w:wordWrap/>
        <w:overflowPunct/>
        <w:topLinePunct w:val="0"/>
        <w:bidi w:val="0"/>
        <w:spacing w:line="560" w:lineRule="exact"/>
        <w:jc w:val="center"/>
        <w:rPr>
          <w:rFonts w:hint="eastAsia" w:ascii="黑体" w:eastAsia="黑体"/>
          <w:sz w:val="44"/>
          <w:szCs w:val="44"/>
          <w:lang w:val="en-US" w:eastAsia="zh-CN"/>
        </w:rPr>
      </w:pPr>
      <w:r>
        <w:rPr>
          <w:rFonts w:hint="eastAsia" w:ascii="黑体" w:eastAsia="黑体"/>
          <w:sz w:val="44"/>
          <w:szCs w:val="44"/>
          <w:lang w:val="en-US" w:eastAsia="zh-CN"/>
        </w:rPr>
        <w:t>阿坝州文化广播电视和旅游局</w:t>
      </w:r>
    </w:p>
    <w:p w14:paraId="740CAF2E">
      <w:pPr>
        <w:jc w:val="center"/>
        <w:rPr>
          <w:rFonts w:ascii="黑体" w:eastAsia="黑体"/>
          <w:sz w:val="44"/>
          <w:szCs w:val="44"/>
        </w:rPr>
      </w:pPr>
      <w:r>
        <w:rPr>
          <w:rFonts w:ascii="黑体" w:eastAsia="黑体"/>
          <w:sz w:val="44"/>
          <w:szCs w:val="44"/>
        </w:rPr>
        <w:t>2026</w:t>
      </w:r>
      <w:r>
        <w:rPr>
          <w:rFonts w:hint="eastAsia" w:ascii="黑体" w:eastAsia="黑体"/>
          <w:sz w:val="44"/>
          <w:szCs w:val="44"/>
        </w:rPr>
        <w:t>年部门预算</w:t>
      </w:r>
    </w:p>
    <w:p w14:paraId="45276E93">
      <w:pPr>
        <w:ind w:firstLine="1760" w:firstLineChars="400"/>
        <w:rPr>
          <w:rFonts w:ascii="黑体" w:eastAsia="黑体"/>
          <w:sz w:val="44"/>
          <w:szCs w:val="44"/>
        </w:rPr>
      </w:pPr>
    </w:p>
    <w:p w14:paraId="0A5000EB">
      <w:pPr>
        <w:ind w:firstLine="1760" w:firstLineChars="400"/>
        <w:rPr>
          <w:rFonts w:ascii="黑体" w:eastAsia="黑体"/>
          <w:sz w:val="44"/>
          <w:szCs w:val="44"/>
        </w:rPr>
      </w:pPr>
    </w:p>
    <w:p w14:paraId="04C3133D">
      <w:pPr>
        <w:ind w:firstLine="1760" w:firstLineChars="400"/>
        <w:rPr>
          <w:rFonts w:ascii="黑体" w:eastAsia="黑体"/>
          <w:sz w:val="44"/>
          <w:szCs w:val="44"/>
        </w:rPr>
      </w:pPr>
    </w:p>
    <w:p w14:paraId="3B26D133">
      <w:pPr>
        <w:ind w:firstLine="1760" w:firstLineChars="400"/>
        <w:rPr>
          <w:rFonts w:ascii="黑体" w:eastAsia="黑体"/>
          <w:sz w:val="44"/>
          <w:szCs w:val="44"/>
        </w:rPr>
      </w:pPr>
    </w:p>
    <w:p w14:paraId="23B3957B">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保密审查情况：已经保密审核内容审定</w:t>
      </w:r>
    </w:p>
    <w:p w14:paraId="07749728">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p>
    <w:p w14:paraId="5292E951">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部门主要负责人审签情况：同意对外公开</w:t>
      </w:r>
    </w:p>
    <w:p w14:paraId="04DDAF79">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p>
    <w:p w14:paraId="218CCF78">
      <w:pPr>
        <w:keepNext w:val="0"/>
        <w:keepLines w:val="0"/>
        <w:pageBreakBefore w:val="0"/>
        <w:kinsoku/>
        <w:wordWrap/>
        <w:overflowPunct/>
        <w:topLinePunct w:val="0"/>
        <w:bidi w:val="0"/>
        <w:spacing w:beforeAutospacing="0" w:afterAutospacing="0" w:line="560" w:lineRule="exact"/>
        <w:ind w:firstLine="960" w:firstLineChars="300"/>
      </w:pPr>
      <w:r>
        <w:rPr>
          <w:rFonts w:hint="eastAsia" w:ascii="仿宋_GB2312" w:hAnsi="仿宋_GB2312" w:eastAsia="仿宋_GB2312" w:cs="仿宋_GB2312"/>
          <w:b w:val="0"/>
          <w:bCs w:val="0"/>
          <w:color w:val="000000"/>
          <w:sz w:val="32"/>
          <w:szCs w:val="32"/>
          <w:lang w:val="en-US" w:eastAsia="zh-CN"/>
        </w:rPr>
        <w:t>报送时间：2026年1月</w:t>
      </w:r>
    </w:p>
    <w:p w14:paraId="0B339EA5">
      <w:pPr>
        <w:ind w:firstLine="1760" w:firstLineChars="400"/>
        <w:rPr>
          <w:rFonts w:ascii="黑体" w:eastAsia="黑体"/>
          <w:sz w:val="44"/>
          <w:szCs w:val="44"/>
        </w:rPr>
      </w:pPr>
      <w:bookmarkStart w:id="0" w:name="_GoBack"/>
      <w:bookmarkEnd w:id="0"/>
    </w:p>
    <w:p w14:paraId="05C6B5B1">
      <w:pPr>
        <w:ind w:firstLine="1760" w:firstLineChars="400"/>
        <w:rPr>
          <w:rFonts w:ascii="黑体" w:eastAsia="黑体"/>
          <w:sz w:val="44"/>
          <w:szCs w:val="44"/>
        </w:rPr>
      </w:pPr>
    </w:p>
    <w:p w14:paraId="7966B424">
      <w:pPr>
        <w:ind w:firstLine="1760" w:firstLineChars="400"/>
        <w:rPr>
          <w:rFonts w:ascii="黑体" w:eastAsia="黑体"/>
          <w:sz w:val="44"/>
          <w:szCs w:val="44"/>
        </w:rPr>
      </w:pPr>
    </w:p>
    <w:p w14:paraId="6D4442AE">
      <w:pPr>
        <w:ind w:firstLine="1760" w:firstLineChars="400"/>
        <w:rPr>
          <w:rFonts w:ascii="黑体" w:eastAsia="黑体"/>
          <w:sz w:val="44"/>
          <w:szCs w:val="44"/>
        </w:rPr>
      </w:pPr>
    </w:p>
    <w:p w14:paraId="6FC9F953">
      <w:pPr>
        <w:ind w:firstLine="1760" w:firstLineChars="400"/>
        <w:rPr>
          <w:rFonts w:ascii="黑体" w:eastAsia="黑体"/>
          <w:sz w:val="44"/>
          <w:szCs w:val="44"/>
        </w:rPr>
      </w:pPr>
    </w:p>
    <w:p w14:paraId="5B080064">
      <w:pPr>
        <w:rPr>
          <w:rFonts w:ascii="黑体" w:eastAsia="黑体"/>
          <w:sz w:val="44"/>
          <w:szCs w:val="44"/>
        </w:rPr>
      </w:pPr>
      <w:r>
        <w:rPr>
          <w:rFonts w:ascii="黑体" w:eastAsia="黑体"/>
          <w:sz w:val="44"/>
          <w:szCs w:val="44"/>
        </w:rPr>
        <w:br w:type="page"/>
      </w:r>
    </w:p>
    <w:p w14:paraId="49DD7DE0">
      <w:pPr>
        <w:rPr>
          <w:rFonts w:ascii="黑体" w:eastAsia="黑体"/>
          <w:sz w:val="44"/>
          <w:szCs w:val="44"/>
        </w:rPr>
      </w:pPr>
    </w:p>
    <w:p w14:paraId="241A2A64">
      <w:pPr>
        <w:ind w:firstLine="3120" w:firstLineChars="600"/>
        <w:rPr>
          <w:rFonts w:ascii="黑体" w:eastAsia="黑体"/>
          <w:sz w:val="52"/>
          <w:szCs w:val="52"/>
        </w:rPr>
      </w:pPr>
      <w:r>
        <w:rPr>
          <w:rFonts w:hint="eastAsia" w:ascii="黑体" w:eastAsia="黑体"/>
          <w:sz w:val="52"/>
          <w:szCs w:val="52"/>
        </w:rPr>
        <w:t>目录</w:t>
      </w:r>
    </w:p>
    <w:p w14:paraId="1358F261">
      <w:pPr>
        <w:ind w:firstLine="3080" w:firstLineChars="700"/>
        <w:rPr>
          <w:rFonts w:ascii="黑体" w:eastAsia="黑体"/>
          <w:sz w:val="44"/>
          <w:szCs w:val="44"/>
        </w:rPr>
      </w:pPr>
    </w:p>
    <w:p w14:paraId="267F24C9">
      <w:pPr>
        <w:pStyle w:val="10"/>
        <w:ind w:firstLine="0" w:firstLineChars="0"/>
        <w:rPr>
          <w:rFonts w:ascii="黑体" w:eastAsia="黑体"/>
          <w:sz w:val="32"/>
          <w:szCs w:val="32"/>
        </w:rPr>
      </w:pPr>
      <w:r>
        <w:rPr>
          <w:rFonts w:hint="eastAsia" w:ascii="黑体" w:eastAsia="黑体"/>
          <w:sz w:val="32"/>
          <w:szCs w:val="32"/>
        </w:rPr>
        <w:t>一、基本职能及主要工作</w:t>
      </w:r>
    </w:p>
    <w:p w14:paraId="073BA7EC">
      <w:pPr>
        <w:rPr>
          <w:rFonts w:ascii="楷体" w:eastAsia="楷体"/>
          <w:sz w:val="32"/>
          <w:szCs w:val="32"/>
        </w:rPr>
      </w:pPr>
      <w:r>
        <w:rPr>
          <w:rFonts w:hint="eastAsia" w:ascii="楷体" w:eastAsia="楷体"/>
          <w:sz w:val="32"/>
          <w:szCs w:val="32"/>
        </w:rPr>
        <w:t>（一）部门职能简介</w:t>
      </w:r>
    </w:p>
    <w:p w14:paraId="3AF20755">
      <w:pPr>
        <w:rPr>
          <w:rFonts w:ascii="楷体" w:eastAsia="楷体"/>
          <w:sz w:val="32"/>
          <w:szCs w:val="32"/>
        </w:rPr>
      </w:pPr>
      <w:r>
        <w:rPr>
          <w:rFonts w:hint="eastAsia" w:ascii="楷体" w:eastAsia="楷体"/>
          <w:sz w:val="32"/>
          <w:szCs w:val="32"/>
        </w:rPr>
        <w:t>（二）</w:t>
      </w:r>
      <w:r>
        <w:rPr>
          <w:rFonts w:ascii="楷体" w:eastAsia="楷体"/>
          <w:sz w:val="32"/>
          <w:szCs w:val="32"/>
        </w:rPr>
        <w:t>2026</w:t>
      </w:r>
      <w:r>
        <w:rPr>
          <w:rFonts w:hint="eastAsia" w:ascii="楷体" w:eastAsia="楷体"/>
          <w:sz w:val="32"/>
          <w:szCs w:val="32"/>
        </w:rPr>
        <w:t>年重点工作</w:t>
      </w:r>
    </w:p>
    <w:p w14:paraId="1824C0C5">
      <w:pPr>
        <w:rPr>
          <w:rFonts w:ascii="黑体" w:eastAsia="黑体"/>
          <w:sz w:val="32"/>
          <w:szCs w:val="32"/>
        </w:rPr>
      </w:pPr>
      <w:r>
        <w:rPr>
          <w:rFonts w:hint="eastAsia" w:ascii="黑体" w:eastAsia="黑体"/>
          <w:sz w:val="32"/>
          <w:szCs w:val="32"/>
        </w:rPr>
        <w:t>二、部门预算单位构成</w:t>
      </w:r>
    </w:p>
    <w:p w14:paraId="2382C7CB">
      <w:pPr>
        <w:rPr>
          <w:rFonts w:ascii="黑体" w:eastAsia="黑体"/>
          <w:sz w:val="32"/>
          <w:szCs w:val="32"/>
        </w:rPr>
      </w:pPr>
      <w:r>
        <w:rPr>
          <w:rFonts w:hint="eastAsia" w:ascii="黑体" w:eastAsia="黑体"/>
          <w:sz w:val="32"/>
          <w:szCs w:val="32"/>
        </w:rPr>
        <w:t>三、收支预算情况说明</w:t>
      </w:r>
    </w:p>
    <w:p w14:paraId="03A13722">
      <w:pPr>
        <w:rPr>
          <w:rFonts w:ascii="楷体" w:eastAsia="楷体"/>
          <w:sz w:val="32"/>
          <w:szCs w:val="32"/>
        </w:rPr>
      </w:pPr>
      <w:r>
        <w:rPr>
          <w:rFonts w:hint="eastAsia" w:ascii="楷体" w:eastAsia="楷体"/>
          <w:sz w:val="32"/>
          <w:szCs w:val="32"/>
        </w:rPr>
        <w:t>（一）收入预算情况</w:t>
      </w:r>
    </w:p>
    <w:p w14:paraId="7A29D801">
      <w:pPr>
        <w:rPr>
          <w:rFonts w:ascii="楷体" w:eastAsia="楷体"/>
          <w:sz w:val="32"/>
          <w:szCs w:val="32"/>
        </w:rPr>
      </w:pPr>
      <w:r>
        <w:rPr>
          <w:rFonts w:hint="eastAsia" w:ascii="楷体" w:eastAsia="楷体"/>
          <w:sz w:val="32"/>
          <w:szCs w:val="32"/>
        </w:rPr>
        <w:t>（二）支出预算情况</w:t>
      </w:r>
    </w:p>
    <w:p w14:paraId="0AE0BC9C">
      <w:pPr>
        <w:rPr>
          <w:rFonts w:ascii="黑体" w:eastAsia="黑体"/>
          <w:sz w:val="32"/>
          <w:szCs w:val="32"/>
        </w:rPr>
      </w:pPr>
      <w:r>
        <w:rPr>
          <w:rFonts w:hint="eastAsia" w:ascii="黑体" w:eastAsia="黑体"/>
          <w:sz w:val="32"/>
          <w:szCs w:val="32"/>
        </w:rPr>
        <w:t>四、财政拨款收支预算情况说明</w:t>
      </w:r>
    </w:p>
    <w:p w14:paraId="2A5C2F54">
      <w:pPr>
        <w:rPr>
          <w:rFonts w:ascii="黑体" w:eastAsia="黑体"/>
          <w:sz w:val="32"/>
          <w:szCs w:val="32"/>
        </w:rPr>
      </w:pPr>
      <w:r>
        <w:rPr>
          <w:rFonts w:hint="eastAsia" w:ascii="黑体" w:eastAsia="黑体"/>
          <w:sz w:val="32"/>
          <w:szCs w:val="32"/>
        </w:rPr>
        <w:t>五、一般公共预算当年拨款情况说明</w:t>
      </w:r>
    </w:p>
    <w:p w14:paraId="3D104501">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2F2A461F">
      <w:pPr>
        <w:rPr>
          <w:rFonts w:ascii="黑体" w:eastAsia="黑体"/>
          <w:sz w:val="32"/>
          <w:szCs w:val="32"/>
        </w:rPr>
      </w:pPr>
    </w:p>
    <w:p w14:paraId="2B366EFB">
      <w:pPr>
        <w:widowControl/>
        <w:shd w:val="clear" w:color="auto" w:fill="FFFFFF"/>
        <w:spacing w:before="100" w:beforeAutospacing="1" w:after="100" w:afterAutospacing="1" w:line="290" w:lineRule="atLeast"/>
        <w:ind w:right="300"/>
        <w:jc w:val="left"/>
        <w:rPr>
          <w:rFonts w:ascii="??" w:hAnsi="??" w:cs="宋体"/>
          <w:kern w:val="0"/>
          <w:sz w:val="12"/>
          <w:szCs w:val="12"/>
        </w:rPr>
      </w:pPr>
    </w:p>
    <w:p w14:paraId="5C2862FA">
      <w:pPr>
        <w:pStyle w:val="10"/>
        <w:keepNext w:val="0"/>
        <w:keepLines w:val="0"/>
        <w:pageBreakBefore w:val="0"/>
        <w:kinsoku/>
        <w:wordWrap/>
        <w:overflowPunct/>
        <w:topLinePunct w:val="0"/>
        <w:bidi w:val="0"/>
        <w:spacing w:line="600" w:lineRule="exact"/>
        <w:textAlignment w:val="auto"/>
        <w:rPr>
          <w:rFonts w:ascii="黑体" w:eastAsia="黑体"/>
          <w:sz w:val="32"/>
          <w:szCs w:val="32"/>
        </w:rPr>
      </w:pPr>
      <w:r>
        <w:rPr>
          <w:rFonts w:hint="eastAsia" w:ascii="黑体" w:eastAsia="黑体"/>
          <w:sz w:val="32"/>
          <w:szCs w:val="32"/>
        </w:rPr>
        <w:t>一、基本职能及主要工作</w:t>
      </w:r>
    </w:p>
    <w:p w14:paraId="7363C87E">
      <w:pPr>
        <w:keepNext w:val="0"/>
        <w:keepLines w:val="0"/>
        <w:pageBreakBefore w:val="0"/>
        <w:kinsoku/>
        <w:wordWrap/>
        <w:overflowPunct/>
        <w:topLinePunct w:val="0"/>
        <w:bidi w:val="0"/>
        <w:spacing w:line="600" w:lineRule="exact"/>
        <w:ind w:firstLine="643" w:firstLineChars="200"/>
        <w:textAlignment w:val="auto"/>
        <w:rPr>
          <w:rFonts w:ascii="楷体" w:eastAsia="楷体"/>
          <w:b/>
          <w:bCs/>
          <w:sz w:val="32"/>
          <w:szCs w:val="32"/>
        </w:rPr>
      </w:pPr>
      <w:r>
        <w:rPr>
          <w:rFonts w:hint="eastAsia" w:ascii="楷体" w:eastAsia="楷体"/>
          <w:b/>
          <w:bCs/>
          <w:sz w:val="32"/>
          <w:szCs w:val="32"/>
        </w:rPr>
        <w:t>（一）</w:t>
      </w:r>
      <w:r>
        <w:rPr>
          <w:rFonts w:hint="eastAsia" w:ascii="楷体" w:eastAsia="楷体"/>
          <w:b/>
          <w:bCs/>
          <w:sz w:val="32"/>
          <w:szCs w:val="32"/>
          <w:lang w:val="en-US" w:eastAsia="zh-CN"/>
        </w:rPr>
        <w:t>单位</w:t>
      </w:r>
      <w:r>
        <w:rPr>
          <w:rFonts w:hint="eastAsia" w:ascii="楷体" w:eastAsia="楷体"/>
          <w:b/>
          <w:bCs/>
          <w:sz w:val="32"/>
          <w:szCs w:val="32"/>
        </w:rPr>
        <w:t>职能简介</w:t>
      </w:r>
    </w:p>
    <w:p w14:paraId="4CD785AD">
      <w:pPr>
        <w:pStyle w:val="5"/>
        <w:keepNext w:val="0"/>
        <w:keepLines w:val="0"/>
        <w:pageBreakBefore w:val="0"/>
        <w:kinsoku/>
        <w:wordWrap/>
        <w:overflowPunct/>
        <w:topLinePunct w:val="0"/>
        <w:bidi w:val="0"/>
        <w:adjustRightInd w:val="0"/>
        <w:snapToGrid w:val="0"/>
        <w:spacing w:before="0" w:beforeAutospacing="0" w:after="0" w:afterAutospacing="0" w:line="600" w:lineRule="exact"/>
        <w:ind w:left="0" w:firstLine="632" w:firstLineChars="200"/>
        <w:textAlignment w:val="auto"/>
        <w:rPr>
          <w:rFonts w:hint="default" w:ascii="Times New Roman" w:hAnsi="Times New Roman" w:eastAsia="仿宋_GB2312" w:cs="Times New Roman"/>
          <w:spacing w:val="-2"/>
          <w:kern w:val="2"/>
          <w:sz w:val="32"/>
          <w:szCs w:val="32"/>
        </w:rPr>
      </w:pPr>
      <w:r>
        <w:rPr>
          <w:rFonts w:hint="eastAsia" w:ascii="仿宋_GB2312" w:hAnsi="Times New Roman" w:cs="仿宋_GB2312"/>
          <w:spacing w:val="-2"/>
          <w:kern w:val="2"/>
          <w:sz w:val="32"/>
          <w:szCs w:val="32"/>
          <w:lang w:val="en-US" w:eastAsia="zh-CN"/>
        </w:rPr>
        <w:t>按照</w:t>
      </w:r>
      <w:r>
        <w:rPr>
          <w:rFonts w:hint="eastAsia" w:ascii="仿宋_GB2312" w:hAnsi="Times New Roman" w:eastAsia="仿宋_GB2312" w:cs="仿宋_GB2312"/>
          <w:spacing w:val="-2"/>
          <w:kern w:val="2"/>
          <w:sz w:val="32"/>
          <w:szCs w:val="32"/>
        </w:rPr>
        <w:t>《中共阿坝州委办公室阿坝州人民政府办公室关于印发</w:t>
      </w:r>
      <w:r>
        <w:rPr>
          <w:rFonts w:hint="eastAsia" w:ascii="仿宋_GB2312" w:hAnsi="Times New Roman" w:cs="仿宋_GB2312"/>
          <w:spacing w:val="-2"/>
          <w:kern w:val="2"/>
          <w:sz w:val="32"/>
          <w:szCs w:val="32"/>
          <w:lang w:val="en-US" w:eastAsia="zh-CN"/>
        </w:rPr>
        <w:t>&lt;</w:t>
      </w:r>
      <w:r>
        <w:rPr>
          <w:rFonts w:hint="eastAsia" w:ascii="仿宋_GB2312" w:hAnsi="Times New Roman" w:eastAsia="仿宋_GB2312" w:cs="仿宋_GB2312"/>
          <w:spacing w:val="-2"/>
          <w:kern w:val="2"/>
          <w:sz w:val="32"/>
          <w:szCs w:val="32"/>
        </w:rPr>
        <w:t>阿坝州文化广播电视体育和旅游局职能配置、内设机构和人员编制规定</w:t>
      </w:r>
      <w:r>
        <w:rPr>
          <w:rFonts w:hint="eastAsia" w:ascii="仿宋_GB2312" w:hAnsi="Times New Roman" w:cs="仿宋_GB2312"/>
          <w:spacing w:val="-2"/>
          <w:kern w:val="2"/>
          <w:sz w:val="32"/>
          <w:szCs w:val="32"/>
          <w:lang w:val="en-US" w:eastAsia="zh-CN"/>
        </w:rPr>
        <w:t>&gt;</w:t>
      </w:r>
      <w:r>
        <w:rPr>
          <w:rFonts w:hint="eastAsia" w:ascii="仿宋_GB2312" w:hAnsi="Times New Roman" w:eastAsia="仿宋_GB2312" w:cs="仿宋_GB2312"/>
          <w:spacing w:val="-2"/>
          <w:kern w:val="2"/>
          <w:sz w:val="32"/>
          <w:szCs w:val="32"/>
        </w:rPr>
        <w:t>的通知》（阿委办发〔2024〕38号）文件</w:t>
      </w:r>
      <w:r>
        <w:rPr>
          <w:rFonts w:hint="eastAsia" w:ascii="仿宋_GB2312" w:hAnsi="Times New Roman" w:cs="仿宋_GB2312"/>
          <w:spacing w:val="-2"/>
          <w:kern w:val="2"/>
          <w:sz w:val="32"/>
          <w:szCs w:val="32"/>
          <w:lang w:val="en-US" w:eastAsia="zh-CN"/>
        </w:rPr>
        <w:t>及《中共阿坝州委机构编制委员会关于设置阿坝州经济合作和外事局、州教育和体育局等有关事项的通知》（</w:t>
      </w:r>
      <w:r>
        <w:rPr>
          <w:rFonts w:hint="eastAsia" w:ascii="仿宋_GB2312" w:hAnsi="Times New Roman" w:eastAsia="仿宋_GB2312" w:cs="仿宋_GB2312"/>
          <w:spacing w:val="-2"/>
          <w:kern w:val="2"/>
          <w:sz w:val="32"/>
          <w:szCs w:val="32"/>
        </w:rPr>
        <w:t>阿</w:t>
      </w:r>
      <w:r>
        <w:rPr>
          <w:rFonts w:hint="eastAsia" w:ascii="仿宋_GB2312" w:hAnsi="Times New Roman" w:cs="仿宋_GB2312"/>
          <w:spacing w:val="-2"/>
          <w:kern w:val="2"/>
          <w:sz w:val="32"/>
          <w:szCs w:val="32"/>
          <w:lang w:val="en-US" w:eastAsia="zh-CN"/>
        </w:rPr>
        <w:t>编</w:t>
      </w:r>
      <w:r>
        <w:rPr>
          <w:rFonts w:hint="eastAsia" w:ascii="仿宋_GB2312" w:hAnsi="Times New Roman" w:eastAsia="仿宋_GB2312" w:cs="仿宋_GB2312"/>
          <w:spacing w:val="-2"/>
          <w:kern w:val="2"/>
          <w:sz w:val="32"/>
          <w:szCs w:val="32"/>
        </w:rPr>
        <w:t>发〔202</w:t>
      </w:r>
      <w:r>
        <w:rPr>
          <w:rFonts w:hint="eastAsia" w:ascii="仿宋_GB2312" w:hAnsi="Times New Roman" w:cs="仿宋_GB2312"/>
          <w:spacing w:val="-2"/>
          <w:kern w:val="2"/>
          <w:sz w:val="32"/>
          <w:szCs w:val="32"/>
          <w:lang w:val="en-US" w:eastAsia="zh-CN"/>
        </w:rPr>
        <w:t>5</w:t>
      </w:r>
      <w:r>
        <w:rPr>
          <w:rFonts w:hint="eastAsia" w:ascii="仿宋_GB2312" w:hAnsi="Times New Roman" w:eastAsia="仿宋_GB2312" w:cs="仿宋_GB2312"/>
          <w:spacing w:val="-2"/>
          <w:kern w:val="2"/>
          <w:sz w:val="32"/>
          <w:szCs w:val="32"/>
        </w:rPr>
        <w:t>〕</w:t>
      </w:r>
      <w:r>
        <w:rPr>
          <w:rFonts w:hint="eastAsia" w:ascii="仿宋_GB2312" w:hAnsi="Times New Roman" w:cs="仿宋_GB2312"/>
          <w:spacing w:val="-2"/>
          <w:kern w:val="2"/>
          <w:sz w:val="32"/>
          <w:szCs w:val="32"/>
          <w:lang w:val="en-US" w:eastAsia="zh-CN"/>
        </w:rPr>
        <w:t>10</w:t>
      </w:r>
      <w:r>
        <w:rPr>
          <w:rFonts w:hint="eastAsia" w:ascii="仿宋_GB2312" w:hAnsi="Times New Roman" w:eastAsia="仿宋_GB2312" w:cs="仿宋_GB2312"/>
          <w:spacing w:val="-2"/>
          <w:kern w:val="2"/>
          <w:sz w:val="32"/>
          <w:szCs w:val="32"/>
        </w:rPr>
        <w:t>号</w:t>
      </w:r>
      <w:r>
        <w:rPr>
          <w:rFonts w:hint="eastAsia" w:ascii="仿宋_GB2312" w:hAnsi="Times New Roman" w:cs="仿宋_GB2312"/>
          <w:spacing w:val="-2"/>
          <w:kern w:val="2"/>
          <w:sz w:val="32"/>
          <w:szCs w:val="32"/>
          <w:lang w:val="en-US" w:eastAsia="zh-CN"/>
        </w:rPr>
        <w:t>）文件</w:t>
      </w:r>
      <w:r>
        <w:rPr>
          <w:rFonts w:hint="eastAsia" w:ascii="仿宋_GB2312" w:hAnsi="Times New Roman" w:eastAsia="仿宋_GB2312" w:cs="仿宋_GB2312"/>
          <w:spacing w:val="-2"/>
          <w:kern w:val="2"/>
          <w:sz w:val="32"/>
          <w:szCs w:val="32"/>
        </w:rPr>
        <w:t>规定，州文广旅局负责贯彻落实党中央关于文化、广电和旅游工作的方针政策和省委、州委决策部署，把坚持 和加强党中央对文化、广电和旅游工作的集中统一领导落实到履行职责过程中。主要职责是：</w:t>
      </w:r>
    </w:p>
    <w:p w14:paraId="6B391F44">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1.拟订文化、广电和旅游政策措施，拟订全州网络视听节目服务管理的政策措施。起草文化、广电和旅游自治法规、规范性文件草案，负责本部门依法行政工作。</w:t>
      </w:r>
    </w:p>
    <w:p w14:paraId="2971B138">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2.加强广播电视阵地建设，把握正确的舆论导向和创作 导向。负责利用广播电视加强党和政府的声音传播力，抢占舆论 高地，强化舆论反制，巩固意识形态阵地。</w:t>
      </w:r>
    </w:p>
    <w:p w14:paraId="65C32F64">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3.推进文化、广电、旅游体制机制改革。组织推动全州文化、广电事业和旅游业发展，拟订发展规划并组织实施。推进文化、广电、和旅游产业融合发展，促进文化、广电和旅游与相关产业融合发展。</w:t>
      </w:r>
    </w:p>
    <w:p w14:paraId="066A3B70">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4.组织实施全州文化、广电和旅游资源的普查、保护与利用。管理全州性重大文化、广电和旅游活动，组织全州重点文化、广电和旅游设施建设。</w:t>
      </w:r>
    </w:p>
    <w:p w14:paraId="1265B145">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14:paraId="0A99DF39">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6.负责对全州各类广播电视机构进行业务指导和行业监 管，会同有关部门对网络视听节目服务机构进行管理。组织实施 广播电视节目评价工作，监督管理、审查广播电视和网络视听节 目的内容和质量，指导、监管广播电视广告播放。</w:t>
      </w:r>
    </w:p>
    <w:p w14:paraId="08B33F49">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7.负责指导推进电视剧行业发展和创作生产。推进广播电视与新媒体技术新业态融合发展、推进广电网与电信网、互联网三网融合。负责广播电视节目传输覆盖、检测和安全播出的监督管理，指导、推进应急广播体系建设。</w:t>
      </w:r>
    </w:p>
    <w:p w14:paraId="20FC5045">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8.弘扬优秀传统文化，推动阿坝本地特色文化传承发展。指导管理文艺事业，把握正确的创作导向，推动文化艺术创作生产，扶持体现社会主义核心价值观、具有导向性代表性示范性的文化艺术作品，推动各门类艺术、各艺术品种发展。</w:t>
      </w:r>
    </w:p>
    <w:p w14:paraId="265A6D83">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9.负责公共文化、广电事业发展，推进全州公共文化、广电服务体系建设和旅游公共服务建设，深入实施惠民工程，统筹推进文化、广电和旅游基本公共服务标准化、均等化。</w:t>
      </w:r>
    </w:p>
    <w:p w14:paraId="501E97CC">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10.负责文化、广电和旅游行业信息化、标准化建设，推进文化、广电和旅游科技创新。</w:t>
      </w:r>
    </w:p>
    <w:p w14:paraId="0E687116">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11.负责非物质文化遗产保护工作，推动非物质文化遗 产的传承、普及、弘扬和振兴。</w:t>
      </w:r>
    </w:p>
    <w:p w14:paraId="46800541">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12.管理和指导全州文物保护、利用和考古工作，组织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14:paraId="5BF04950">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13.推动全州文化、广电和旅游市场发展，对全州文化、广电和旅游市场依法进行行业监管，依法规范文化、广电和旅游市场。推进文化、广电和旅游行业信用体系建设。</w:t>
      </w:r>
    </w:p>
    <w:p w14:paraId="33D59CFD">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14.负责全州旅游景区管理机构、文旅企业的行业管理 和标准化建设。</w:t>
      </w:r>
    </w:p>
    <w:p w14:paraId="4B38861B">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15.统筹指导全州文化、广电、旅游市场综合行政执法，规范文化、广电、旅游行政执法，组织查处全州性、跨区域文化、文物、广电、旅游等违法行为，督查督办大案要案。</w:t>
      </w:r>
    </w:p>
    <w:p w14:paraId="390BD2DA">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16.负责文化、广电和旅游行业安全生产工作的综合协调与监督管理，制定职责范围内的安全生产年度监督检查计划并组织实施。依法履行行业职业健康监管职责，承担职责范 围内生态环境保护、公共机构节能减排、审批服务便民化等工作。</w:t>
      </w:r>
    </w:p>
    <w:p w14:paraId="3EB89100">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17.完成州委、州政府交办的其他任务。</w:t>
      </w:r>
    </w:p>
    <w:p w14:paraId="17653B82">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（二）2026年重点工作</w:t>
      </w:r>
    </w:p>
    <w:p w14:paraId="5E611049">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hint="eastAsia" w:ascii="Times New Roman" w:hAnsi="Times New Roman" w:eastAsia="方正仿宋_GBK" w:cs="Times New Roman"/>
          <w:b w:val="0"/>
          <w:bCs w:val="0"/>
          <w:sz w:val="32"/>
          <w:szCs w:val="32"/>
          <w:lang w:val="en-US" w:eastAsia="zh-CN"/>
        </w:rPr>
      </w:pPr>
      <w:r>
        <w:rPr>
          <w:rFonts w:hint="eastAsia" w:ascii="仿宋_GB2312" w:hAnsi="仿宋_GB2312" w:eastAsia="仿宋_GB2312" w:cs="仿宋_GB2312"/>
          <w:b w:val="0"/>
          <w:bCs w:val="0"/>
          <w:sz w:val="32"/>
          <w:szCs w:val="32"/>
          <w:lang w:val="en-US" w:eastAsia="zh-CN"/>
        </w:rPr>
        <w:t>2026年，我们将围绕“六大任务”，着力抓好“八大行动”。</w:t>
      </w:r>
      <w:r>
        <w:rPr>
          <w:rFonts w:hint="eastAsia" w:ascii="仿宋_GB2312" w:hAnsi="仿宋_GB2312" w:eastAsia="仿宋_GB2312" w:cs="仿宋_GB2312"/>
          <w:b/>
          <w:bCs/>
          <w:sz w:val="32"/>
          <w:szCs w:val="32"/>
          <w:lang w:val="en-US" w:eastAsia="zh-CN"/>
        </w:rPr>
        <w:t>一是规划引领行动。</w:t>
      </w:r>
      <w:r>
        <w:rPr>
          <w:rFonts w:hint="eastAsia" w:ascii="仿宋_GB2312" w:hAnsi="仿宋_GB2312" w:eastAsia="仿宋_GB2312" w:cs="仿宋_GB2312"/>
          <w:b w:val="0"/>
          <w:bCs w:val="0"/>
          <w:sz w:val="32"/>
          <w:szCs w:val="32"/>
          <w:lang w:val="en-US" w:eastAsia="zh-CN"/>
        </w:rPr>
        <w:t>持续修改完善《国际生态文化旅游目的地规划》，深入梳理行业项目纳入十五五及相关规划。</w:t>
      </w:r>
      <w:r>
        <w:rPr>
          <w:rFonts w:hint="eastAsia" w:ascii="仿宋_GB2312" w:hAnsi="仿宋_GB2312" w:eastAsia="仿宋_GB2312" w:cs="仿宋_GB2312"/>
          <w:b/>
          <w:bCs/>
          <w:sz w:val="32"/>
          <w:szCs w:val="32"/>
          <w:lang w:val="en-US" w:eastAsia="zh-CN"/>
        </w:rPr>
        <w:t>二是品牌推广行动。</w:t>
      </w:r>
      <w:r>
        <w:rPr>
          <w:rFonts w:hint="eastAsia" w:ascii="仿宋_GB2312" w:hAnsi="仿宋_GB2312" w:eastAsia="仿宋_GB2312" w:cs="仿宋_GB2312"/>
          <w:b w:val="0"/>
          <w:bCs w:val="0"/>
          <w:sz w:val="32"/>
          <w:szCs w:val="32"/>
          <w:lang w:val="en-US" w:eastAsia="zh-CN"/>
        </w:rPr>
        <w:t>持续实施“天下九寨沟·大美阿坝州”全国全球推广计划，赴港澳、瑞士、韩国等地开展文旅招商推介。</w:t>
      </w:r>
      <w:r>
        <w:rPr>
          <w:rFonts w:hint="eastAsia" w:ascii="仿宋_GB2312" w:hAnsi="仿宋_GB2312" w:eastAsia="仿宋_GB2312" w:cs="仿宋_GB2312"/>
          <w:b/>
          <w:bCs/>
          <w:sz w:val="32"/>
          <w:szCs w:val="32"/>
          <w:lang w:val="en-US" w:eastAsia="zh-CN"/>
        </w:rPr>
        <w:t>三是景区提质行动。</w:t>
      </w:r>
      <w:r>
        <w:rPr>
          <w:rFonts w:hint="eastAsia" w:ascii="仿宋_GB2312" w:hAnsi="仿宋_GB2312" w:eastAsia="仿宋_GB2312" w:cs="仿宋_GB2312"/>
          <w:b w:val="0"/>
          <w:bCs w:val="0"/>
          <w:sz w:val="32"/>
          <w:szCs w:val="32"/>
          <w:lang w:val="en-US" w:eastAsia="zh-CN"/>
        </w:rPr>
        <w:t>锚定“六最”推动九寨沟、黄龙、四姑娘山等核心景区管理水平更新提质。</w:t>
      </w:r>
      <w:r>
        <w:rPr>
          <w:rFonts w:hint="eastAsia" w:ascii="仿宋_GB2312" w:hAnsi="仿宋_GB2312" w:eastAsia="仿宋_GB2312" w:cs="仿宋_GB2312"/>
          <w:b/>
          <w:bCs/>
          <w:sz w:val="32"/>
          <w:szCs w:val="32"/>
          <w:lang w:val="en-US" w:eastAsia="zh-CN"/>
        </w:rPr>
        <w:t>四是基础提升行动。</w:t>
      </w:r>
      <w:r>
        <w:rPr>
          <w:rFonts w:hint="eastAsia" w:ascii="仿宋_GB2312" w:hAnsi="仿宋_GB2312" w:eastAsia="仿宋_GB2312" w:cs="仿宋_GB2312"/>
          <w:b w:val="0"/>
          <w:bCs w:val="0"/>
          <w:sz w:val="32"/>
          <w:szCs w:val="32"/>
          <w:lang w:val="en-US" w:eastAsia="zh-CN"/>
        </w:rPr>
        <w:t>重点推动黄河九曲第一湾提升改造、莲宝叶则创国家5A级景区补短建设等项目建设，努力推动金川县嘎达山景区开发、小金县高质量户外运动目的地等拟开工项目。</w:t>
      </w:r>
      <w:r>
        <w:rPr>
          <w:rFonts w:hint="eastAsia" w:ascii="仿宋_GB2312" w:hAnsi="仿宋_GB2312" w:eastAsia="仿宋_GB2312" w:cs="仿宋_GB2312"/>
          <w:b/>
          <w:bCs/>
          <w:sz w:val="32"/>
          <w:szCs w:val="32"/>
          <w:lang w:val="en-US" w:eastAsia="zh-CN"/>
        </w:rPr>
        <w:t>五是业态培育行动。</w:t>
      </w:r>
      <w:r>
        <w:rPr>
          <w:rFonts w:hint="eastAsia" w:ascii="仿宋_GB2312" w:hAnsi="仿宋_GB2312" w:eastAsia="仿宋_GB2312" w:cs="仿宋_GB2312"/>
          <w:b w:val="0"/>
          <w:bCs w:val="0"/>
          <w:sz w:val="32"/>
          <w:szCs w:val="32"/>
          <w:lang w:val="en-US" w:eastAsia="zh-CN"/>
        </w:rPr>
        <w:t>持续推动新业态培育，打造提升冰雪、红色、乡村等旅游新业态新场景，梯次推进5A、4A级景区、旅游度假区及特色街区创建。</w:t>
      </w:r>
      <w:r>
        <w:rPr>
          <w:rFonts w:hint="eastAsia" w:ascii="仿宋_GB2312" w:hAnsi="仿宋_GB2312" w:eastAsia="仿宋_GB2312" w:cs="仿宋_GB2312"/>
          <w:b/>
          <w:bCs/>
          <w:sz w:val="32"/>
          <w:szCs w:val="32"/>
          <w:lang w:val="en-US" w:eastAsia="zh-CN"/>
        </w:rPr>
        <w:t>六是文化铸魂行动。</w:t>
      </w:r>
      <w:r>
        <w:rPr>
          <w:rFonts w:hint="eastAsia" w:ascii="仿宋_GB2312" w:hAnsi="仿宋_GB2312" w:eastAsia="仿宋_GB2312" w:cs="仿宋_GB2312"/>
          <w:b w:val="0"/>
          <w:bCs w:val="0"/>
          <w:sz w:val="32"/>
          <w:szCs w:val="32"/>
          <w:lang w:val="en-US" w:eastAsia="zh-CN"/>
        </w:rPr>
        <w:t>持续推进《岷山导江》创编，做强“爱润阿坝”“村晚”等特色品牌。深入开展“戏曲进乡村”等文化惠民活动，推动营盘山创建国家考古遗址公园，藏羌碉楼与村寨申遗。</w:t>
      </w:r>
      <w:r>
        <w:rPr>
          <w:rFonts w:hint="eastAsia" w:ascii="仿宋_GB2312" w:hAnsi="仿宋_GB2312" w:eastAsia="仿宋_GB2312" w:cs="仿宋_GB2312"/>
          <w:b/>
          <w:bCs/>
          <w:sz w:val="32"/>
          <w:szCs w:val="32"/>
          <w:lang w:val="en-US" w:eastAsia="zh-CN"/>
        </w:rPr>
        <w:t>七是结构优化行动。</w:t>
      </w:r>
      <w:r>
        <w:rPr>
          <w:rFonts w:hint="eastAsia" w:ascii="仿宋_GB2312" w:hAnsi="仿宋_GB2312" w:eastAsia="仿宋_GB2312" w:cs="仿宋_GB2312"/>
          <w:b w:val="0"/>
          <w:bCs w:val="0"/>
          <w:sz w:val="32"/>
          <w:szCs w:val="32"/>
          <w:lang w:val="en-US" w:eastAsia="zh-CN"/>
        </w:rPr>
        <w:t>积极推动游客结构优化，调整优化免票政策。</w:t>
      </w:r>
      <w:r>
        <w:rPr>
          <w:rFonts w:hint="eastAsia" w:ascii="仿宋_GB2312" w:hAnsi="仿宋_GB2312" w:eastAsia="仿宋_GB2312" w:cs="仿宋_GB2312"/>
          <w:b/>
          <w:bCs/>
          <w:sz w:val="32"/>
          <w:szCs w:val="32"/>
          <w:lang w:val="en-US" w:eastAsia="zh-CN"/>
        </w:rPr>
        <w:t>八是全域净旅行动。</w:t>
      </w:r>
      <w:r>
        <w:rPr>
          <w:rFonts w:hint="eastAsia" w:ascii="仿宋_GB2312" w:hAnsi="仿宋_GB2312" w:eastAsia="仿宋_GB2312" w:cs="仿宋_GB2312"/>
          <w:b w:val="0"/>
          <w:bCs w:val="0"/>
          <w:sz w:val="32"/>
          <w:szCs w:val="32"/>
          <w:lang w:val="en-US" w:eastAsia="zh-CN"/>
        </w:rPr>
        <w:t xml:space="preserve">推进《旅游者权益保护条例》立法实施，开展文旅市场专项整治，源头严打不合理低价游，深入开展诚信经营、文明旅游宣传引导。  </w:t>
      </w:r>
      <w:r>
        <w:rPr>
          <w:rFonts w:hint="eastAsia" w:ascii="Times New Roman" w:hAnsi="Times New Roman" w:eastAsia="方正仿宋_GBK" w:cs="Times New Roman"/>
          <w:b w:val="0"/>
          <w:bCs w:val="0"/>
          <w:sz w:val="32"/>
          <w:szCs w:val="32"/>
          <w:lang w:val="en-US" w:eastAsia="zh-CN"/>
        </w:rPr>
        <w:t xml:space="preserve">  </w:t>
      </w:r>
    </w:p>
    <w:p w14:paraId="1EBD581D">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ascii="黑体" w:eastAsia="黑体"/>
          <w:sz w:val="32"/>
          <w:szCs w:val="32"/>
        </w:rPr>
      </w:pPr>
      <w:r>
        <w:rPr>
          <w:rFonts w:hint="eastAsia" w:ascii="黑体" w:eastAsia="黑体" w:cs="Times New Roman"/>
          <w:sz w:val="32"/>
          <w:szCs w:val="32"/>
          <w:lang w:val="en-US" w:eastAsia="zh-CN"/>
        </w:rPr>
        <w:t>二、单位</w:t>
      </w:r>
      <w:r>
        <w:rPr>
          <w:rFonts w:hint="eastAsia" w:ascii="黑体" w:eastAsia="黑体"/>
          <w:sz w:val="32"/>
          <w:szCs w:val="32"/>
        </w:rPr>
        <w:t>预算单位构成</w:t>
      </w:r>
    </w:p>
    <w:p w14:paraId="5B6C9497">
      <w:pPr>
        <w:pStyle w:val="12"/>
        <w:keepNext w:val="0"/>
        <w:keepLines w:val="0"/>
        <w:pageBreakBefore w:val="0"/>
        <w:widowControl/>
        <w:suppressLineNumbers w:val="0"/>
        <w:kinsoku/>
        <w:wordWrap/>
        <w:overflowPunct/>
        <w:topLinePunct w:val="0"/>
        <w:autoSpaceDE w:val="0"/>
        <w:autoSpaceDN/>
        <w:bidi w:val="0"/>
        <w:spacing w:before="0" w:beforeAutospacing="0" w:after="0" w:afterAutospacing="0" w:line="600" w:lineRule="exact"/>
        <w:ind w:left="0" w:firstLine="640" w:firstLineChars="200"/>
        <w:jc w:val="left"/>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shd w:val="clear" w:color="auto" w:fill="FFFFFF"/>
        </w:rPr>
        <w:t>本单位本年度纳入本套</w:t>
      </w:r>
      <w:r>
        <w:rPr>
          <w:rFonts w:hint="eastAsia" w:ascii="仿宋_GB2312" w:eastAsia="仿宋_GB2312" w:cs="仿宋_GB2312"/>
          <w:kern w:val="0"/>
          <w:sz w:val="32"/>
          <w:szCs w:val="32"/>
          <w:shd w:val="clear" w:color="auto" w:fill="FFFFFF"/>
          <w:lang w:eastAsia="zh-CN"/>
        </w:rPr>
        <w:t>预算</w:t>
      </w:r>
      <w:r>
        <w:rPr>
          <w:rFonts w:hint="eastAsia" w:ascii="仿宋_GB2312" w:hAnsi="宋体" w:eastAsia="仿宋_GB2312" w:cs="仿宋_GB2312"/>
          <w:kern w:val="0"/>
          <w:sz w:val="32"/>
          <w:szCs w:val="32"/>
          <w:shd w:val="clear" w:color="auto" w:fill="FFFFFF"/>
        </w:rPr>
        <w:t>编制范围的独立编制机构数共</w:t>
      </w:r>
      <w:r>
        <w:rPr>
          <w:rFonts w:hint="eastAsia" w:ascii="仿宋_GB2312" w:eastAsia="仿宋_GB2312" w:cs="仿宋_GB2312"/>
          <w:kern w:val="0"/>
          <w:sz w:val="32"/>
          <w:szCs w:val="32"/>
          <w:shd w:val="clear" w:color="auto" w:fill="FFFFFF"/>
          <w:lang w:val="en-US" w:eastAsia="zh-CN"/>
        </w:rPr>
        <w:t>1</w:t>
      </w:r>
      <w:r>
        <w:rPr>
          <w:rFonts w:hint="eastAsia" w:ascii="仿宋_GB2312" w:hAnsi="宋体" w:eastAsia="仿宋_GB2312" w:cs="仿宋_GB2312"/>
          <w:kern w:val="0"/>
          <w:sz w:val="32"/>
          <w:szCs w:val="32"/>
          <w:shd w:val="clear" w:color="auto" w:fill="FFFFFF"/>
        </w:rPr>
        <w:t>个，</w:t>
      </w:r>
      <w:r>
        <w:rPr>
          <w:rFonts w:hint="eastAsia" w:ascii="仿宋_GB2312" w:eastAsia="仿宋_GB2312" w:cs="仿宋_GB2312"/>
          <w:kern w:val="0"/>
          <w:sz w:val="32"/>
          <w:szCs w:val="32"/>
          <w:shd w:val="clear" w:color="auto" w:fill="FFFFFF"/>
          <w:lang w:eastAsia="zh-CN"/>
        </w:rPr>
        <w:t>为阿坝</w:t>
      </w:r>
      <w:r>
        <w:rPr>
          <w:rFonts w:hint="eastAsia" w:ascii="仿宋_GB2312" w:eastAsia="仿宋_GB2312" w:cs="仿宋_GB2312"/>
          <w:kern w:val="0"/>
          <w:sz w:val="32"/>
          <w:szCs w:val="32"/>
          <w:shd w:val="clear" w:color="auto" w:fill="FFFFFF"/>
          <w:lang w:val="en-US" w:eastAsia="zh-CN"/>
        </w:rPr>
        <w:t>州</w:t>
      </w:r>
      <w:r>
        <w:rPr>
          <w:rFonts w:hint="eastAsia" w:ascii="仿宋_GB2312" w:eastAsia="仿宋_GB2312" w:cs="仿宋_GB2312"/>
          <w:kern w:val="0"/>
          <w:sz w:val="32"/>
          <w:szCs w:val="32"/>
          <w:shd w:val="clear" w:color="auto" w:fill="FFFFFF"/>
          <w:lang w:eastAsia="zh-CN"/>
        </w:rPr>
        <w:t>文化</w:t>
      </w:r>
      <w:r>
        <w:rPr>
          <w:rFonts w:hint="eastAsia" w:ascii="仿宋_GB2312" w:eastAsia="仿宋_GB2312" w:cs="仿宋_GB2312"/>
          <w:kern w:val="0"/>
          <w:sz w:val="32"/>
          <w:szCs w:val="32"/>
          <w:shd w:val="clear" w:color="auto" w:fill="FFFFFF"/>
          <w:lang w:val="en-US" w:eastAsia="zh-CN"/>
        </w:rPr>
        <w:t>广播电视</w:t>
      </w:r>
      <w:r>
        <w:rPr>
          <w:rFonts w:hint="eastAsia" w:ascii="仿宋_GB2312" w:eastAsia="仿宋_GB2312" w:cs="仿宋_GB2312"/>
          <w:kern w:val="0"/>
          <w:sz w:val="32"/>
          <w:szCs w:val="32"/>
          <w:shd w:val="clear" w:color="auto" w:fill="FFFFFF"/>
          <w:lang w:eastAsia="zh-CN"/>
        </w:rPr>
        <w:t>体育和旅游局</w:t>
      </w:r>
      <w:r>
        <w:rPr>
          <w:rStyle w:val="13"/>
          <w:rFonts w:hint="eastAsia" w:ascii="仿宋_GB2312" w:hAnsi="Times New Roman" w:eastAsia="仿宋_GB2312" w:cs="仿宋_GB2312"/>
          <w:b/>
          <w:sz w:val="32"/>
          <w:szCs w:val="32"/>
          <w:shd w:val="clear" w:color="auto" w:fill="FFFFFF"/>
        </w:rPr>
        <w:t>。</w:t>
      </w:r>
    </w:p>
    <w:p w14:paraId="1321A496">
      <w:pPr>
        <w:pStyle w:val="10"/>
        <w:keepNext w:val="0"/>
        <w:keepLines w:val="0"/>
        <w:pageBreakBefore w:val="0"/>
        <w:kinsoku/>
        <w:wordWrap/>
        <w:overflowPunct/>
        <w:topLinePunct w:val="0"/>
        <w:bidi w:val="0"/>
        <w:spacing w:line="600" w:lineRule="exact"/>
        <w:ind w:left="720" w:firstLine="0" w:firstLineChars="0"/>
        <w:textAlignment w:val="auto"/>
        <w:rPr>
          <w:rFonts w:ascii="黑体" w:eastAsia="黑体"/>
          <w:sz w:val="32"/>
          <w:szCs w:val="32"/>
        </w:rPr>
      </w:pPr>
      <w:r>
        <w:rPr>
          <w:rFonts w:hint="eastAsia" w:ascii="黑体" w:eastAsia="黑体"/>
          <w:sz w:val="32"/>
          <w:szCs w:val="32"/>
        </w:rPr>
        <w:t>三、收支预算情况说明</w:t>
      </w:r>
    </w:p>
    <w:p w14:paraId="0A138324">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（一）收入预算情况</w:t>
      </w:r>
    </w:p>
    <w:p w14:paraId="7FA1D943">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2026年收入预算2126.4万元，其中：上年结转0万元，占0%；一般公共预算拨款收入2126.4万元，占100%；事业收入0万元，占0%；其他收入0万元，占0%。</w:t>
      </w:r>
    </w:p>
    <w:p w14:paraId="0D8158AB">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仿宋_GB2312"/>
          <w:color w:val="0000FF"/>
          <w:sz w:val="32"/>
          <w:szCs w:val="32"/>
        </w:rPr>
      </w:pPr>
      <w:r>
        <w:rPr>
          <w:rFonts w:hint="eastAsia" w:ascii="楷体" w:eastAsia="楷体" w:cs="Times New Roman"/>
          <w:b/>
          <w:bCs/>
          <w:sz w:val="32"/>
          <w:szCs w:val="32"/>
          <w:lang w:eastAsia="zh-CN"/>
        </w:rPr>
        <w:t>（</w:t>
      </w:r>
      <w:r>
        <w:rPr>
          <w:rFonts w:hint="eastAsia" w:ascii="楷体" w:eastAsia="楷体" w:cs="Times New Roman"/>
          <w:b/>
          <w:bCs/>
          <w:sz w:val="32"/>
          <w:szCs w:val="32"/>
          <w:lang w:val="en-US" w:eastAsia="zh-CN"/>
        </w:rPr>
        <w:t>二</w:t>
      </w:r>
      <w:r>
        <w:rPr>
          <w:rFonts w:hint="eastAsia" w:ascii="楷体" w:eastAsia="楷体" w:cs="Times New Roman"/>
          <w:b/>
          <w:bCs/>
          <w:sz w:val="32"/>
          <w:szCs w:val="32"/>
          <w:lang w:eastAsia="zh-CN"/>
        </w:rPr>
        <w:t>）</w:t>
      </w:r>
      <w:r>
        <w:rPr>
          <w:rFonts w:hint="eastAsia" w:ascii="楷体" w:eastAsia="楷体" w:cs="Times New Roman"/>
          <w:b/>
          <w:bCs/>
          <w:sz w:val="32"/>
          <w:szCs w:val="32"/>
        </w:rPr>
        <w:t>支出预算情况</w:t>
      </w:r>
    </w:p>
    <w:p w14:paraId="0D40D932">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2026年支出预算2126.4万元，其中：基本支出1896.4万元，占89.18%；项目支出230万元，占10.82%。</w:t>
      </w:r>
    </w:p>
    <w:p w14:paraId="00CE173C">
      <w:pPr>
        <w:keepNext w:val="0"/>
        <w:keepLines w:val="0"/>
        <w:pageBreakBefore w:val="0"/>
        <w:kinsoku/>
        <w:wordWrap/>
        <w:overflowPunct/>
        <w:topLinePunct w:val="0"/>
        <w:bidi w:val="0"/>
        <w:spacing w:line="600" w:lineRule="exact"/>
        <w:ind w:left="638" w:leftChars="304" w:firstLine="0" w:firstLineChars="0"/>
        <w:jc w:val="left"/>
        <w:textAlignment w:val="auto"/>
        <w:rPr>
          <w:rFonts w:hint="eastAsia" w:ascii="黑体" w:eastAsia="黑体"/>
          <w:sz w:val="32"/>
          <w:szCs w:val="32"/>
        </w:rPr>
      </w:pPr>
      <w:r>
        <w:rPr>
          <w:rFonts w:hint="eastAsia" w:ascii="黑体" w:eastAsia="黑体"/>
          <w:sz w:val="32"/>
          <w:szCs w:val="32"/>
        </w:rPr>
        <w:t>四、财政拨款收支预算情况说明</w:t>
      </w:r>
    </w:p>
    <w:p w14:paraId="10B1F7E3">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部门2026年财政拨款收支总预算2126.4万元,比2025年财政拨款收支总预算减少386.8万元，主要原因:2026年减少体育职能，人员经费及体育职能项目经费预算相应减少。</w:t>
      </w:r>
    </w:p>
    <w:p w14:paraId="1596A00A">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收入包括：一般公共预算拨款收入2126.4万元。</w:t>
      </w:r>
    </w:p>
    <w:p w14:paraId="08DA2790">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支出包括：文化旅游体育与传媒支出1699.74万元，社会保障和就业支出227.3万元，卫生健康支出88.37万元，住房保障支出110.99万元。</w:t>
      </w:r>
    </w:p>
    <w:p w14:paraId="472E34EB">
      <w:pPr>
        <w:keepNext w:val="0"/>
        <w:keepLines w:val="0"/>
        <w:pageBreakBefore w:val="0"/>
        <w:kinsoku/>
        <w:wordWrap/>
        <w:overflowPunct/>
        <w:topLinePunct w:val="0"/>
        <w:bidi w:val="0"/>
        <w:spacing w:line="600" w:lineRule="exact"/>
        <w:ind w:firstLine="640" w:firstLineChars="200"/>
        <w:textAlignment w:val="auto"/>
        <w:rPr>
          <w:rFonts w:ascii="黑体" w:eastAsia="黑体"/>
          <w:sz w:val="32"/>
          <w:szCs w:val="32"/>
        </w:rPr>
      </w:pPr>
      <w:r>
        <w:rPr>
          <w:rFonts w:hint="eastAsia" w:ascii="黑体" w:eastAsia="黑体"/>
          <w:sz w:val="32"/>
          <w:szCs w:val="32"/>
        </w:rPr>
        <w:t>五、一般公共预算当年拨款情况说明</w:t>
      </w:r>
    </w:p>
    <w:p w14:paraId="5577B8E8">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（一）一般公共预算当年拨款规模变化情况</w:t>
      </w:r>
    </w:p>
    <w:p w14:paraId="7FDBAA65">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部门2026年一般公共预算当年拨款2126.4万元，比2025年预算数减少386.8万元，主要原因:2026年减少体育职能，人员经费及体育职能项目经费预算相应减少。</w:t>
      </w:r>
    </w:p>
    <w:p w14:paraId="0456ABD2">
      <w:pPr>
        <w:pStyle w:val="11"/>
        <w:keepNext w:val="0"/>
        <w:keepLines w:val="0"/>
        <w:pageBreakBefore w:val="0"/>
        <w:numPr>
          <w:ilvl w:val="0"/>
          <w:numId w:val="0"/>
        </w:numPr>
        <w:kinsoku/>
        <w:wordWrap/>
        <w:overflowPunct/>
        <w:topLinePunct w:val="0"/>
        <w:bidi w:val="0"/>
        <w:spacing w:before="0" w:line="600" w:lineRule="exact"/>
        <w:ind w:firstLine="643" w:firstLineChars="200"/>
        <w:jc w:val="left"/>
        <w:textAlignment w:val="auto"/>
        <w:rPr>
          <w:rFonts w:cs="仿宋_GB2312"/>
          <w:kern w:val="2"/>
          <w:sz w:val="32"/>
          <w:szCs w:val="32"/>
        </w:rPr>
      </w:pPr>
      <w:r>
        <w:rPr>
          <w:rFonts w:hint="eastAsia" w:ascii="楷体" w:hAnsi="Calibri" w:eastAsia="楷体" w:cs="Times New Roman"/>
          <w:b/>
          <w:bCs/>
          <w:kern w:val="2"/>
          <w:sz w:val="32"/>
          <w:szCs w:val="32"/>
          <w:lang w:val="en-US" w:eastAsia="zh-CN" w:bidi="ar-SA"/>
        </w:rPr>
        <w:t>（二）一般公共预算当年拨款结构情况</w:t>
      </w:r>
      <w:r>
        <w:rPr>
          <w:rFonts w:hint="eastAsia" w:ascii="楷体" w:hAnsi="Calibri" w:eastAsia="楷体" w:cs="Times New Roman"/>
          <w:b/>
          <w:bCs/>
          <w:kern w:val="2"/>
          <w:sz w:val="32"/>
          <w:szCs w:val="32"/>
          <w:lang w:val="en-US" w:eastAsia="zh-CN" w:bidi="ar-SA"/>
        </w:rPr>
        <w:br w:type="textWrapping"/>
      </w:r>
      <w:r>
        <w:rPr>
          <w:rFonts w:hint="eastAsia" w:cs="宋体"/>
          <w:sz w:val="32"/>
          <w:szCs w:val="32"/>
          <w:lang w:val="en-US" w:eastAsia="zh-CN"/>
        </w:rPr>
        <w:t xml:space="preserve">    </w:t>
      </w:r>
      <w:r>
        <w:rPr>
          <w:rFonts w:hint="eastAsia" w:ascii="仿宋_GB2312" w:hAnsi="宋体" w:eastAsia="仿宋_GB2312" w:cs="仿宋_GB2312"/>
          <w:kern w:val="0"/>
          <w:sz w:val="32"/>
          <w:szCs w:val="32"/>
          <w:shd w:val="clear" w:color="auto" w:fill="FFFFFF"/>
          <w:lang w:val="en-US" w:eastAsia="zh-CN" w:bidi="ar"/>
        </w:rPr>
        <w:t>文化旅游体育与传媒支出</w:t>
      </w:r>
      <w:r>
        <w:rPr>
          <w:rFonts w:hint="eastAsia" w:ascii="仿宋_GB2312" w:hAnsi="Times New Roman" w:eastAsia="仿宋_GB2312" w:cs="仿宋_GB2312"/>
          <w:spacing w:val="-2"/>
          <w:kern w:val="2"/>
          <w:sz w:val="32"/>
          <w:szCs w:val="32"/>
          <w:lang w:val="en-US" w:eastAsia="zh-CN" w:bidi="ar"/>
        </w:rPr>
        <w:t>2126.4</w:t>
      </w:r>
      <w:r>
        <w:rPr>
          <w:rFonts w:hint="eastAsia" w:ascii="仿宋_GB2312" w:hAnsi="宋体" w:eastAsia="仿宋_GB2312" w:cs="仿宋_GB2312"/>
          <w:kern w:val="0"/>
          <w:sz w:val="32"/>
          <w:szCs w:val="32"/>
          <w:shd w:val="clear" w:color="auto" w:fill="FFFFFF"/>
          <w:lang w:val="en-US" w:eastAsia="zh-CN" w:bidi="ar"/>
        </w:rPr>
        <w:t>万元，</w:t>
      </w:r>
      <w:r>
        <w:rPr>
          <w:rFonts w:hint="eastAsia" w:hAnsi="宋体" w:cs="仿宋_GB2312"/>
          <w:kern w:val="0"/>
          <w:sz w:val="32"/>
          <w:szCs w:val="32"/>
          <w:shd w:val="clear" w:color="auto" w:fill="FFFFFF"/>
          <w:lang w:val="en-US" w:eastAsia="zh-CN" w:bidi="ar"/>
        </w:rPr>
        <w:t>占79.94%；</w:t>
      </w:r>
      <w:r>
        <w:rPr>
          <w:rFonts w:hint="eastAsia" w:ascii="仿宋_GB2312" w:hAnsi="宋体" w:eastAsia="仿宋_GB2312" w:cs="仿宋_GB2312"/>
          <w:kern w:val="0"/>
          <w:sz w:val="32"/>
          <w:szCs w:val="32"/>
          <w:shd w:val="clear" w:color="auto" w:fill="FFFFFF"/>
          <w:lang w:val="en-US" w:eastAsia="zh-CN" w:bidi="ar"/>
        </w:rPr>
        <w:t>社会保障和就业支出</w:t>
      </w:r>
      <w:r>
        <w:rPr>
          <w:rFonts w:hint="eastAsia" w:hAnsi="宋体" w:cs="仿宋_GB2312"/>
          <w:kern w:val="0"/>
          <w:sz w:val="32"/>
          <w:szCs w:val="32"/>
          <w:shd w:val="clear" w:color="auto" w:fill="FFFFFF"/>
          <w:lang w:val="en-US" w:eastAsia="zh-CN" w:bidi="ar"/>
        </w:rPr>
        <w:t>227.3万元，占10.69%；</w:t>
      </w:r>
      <w:r>
        <w:rPr>
          <w:rFonts w:hint="eastAsia" w:ascii="仿宋_GB2312" w:hAnsi="宋体" w:eastAsia="仿宋_GB2312" w:cs="仿宋_GB2312"/>
          <w:kern w:val="0"/>
          <w:sz w:val="32"/>
          <w:szCs w:val="32"/>
          <w:shd w:val="clear" w:color="auto" w:fill="FFFFFF"/>
          <w:lang w:val="en-US" w:eastAsia="zh-CN" w:bidi="ar"/>
        </w:rPr>
        <w:t>卫生健康支出</w:t>
      </w:r>
      <w:r>
        <w:rPr>
          <w:rFonts w:hint="eastAsia" w:hAnsi="宋体" w:cs="仿宋_GB2312"/>
          <w:kern w:val="0"/>
          <w:sz w:val="32"/>
          <w:szCs w:val="32"/>
          <w:shd w:val="clear" w:color="auto" w:fill="FFFFFF"/>
          <w:lang w:val="en-US" w:eastAsia="zh-CN" w:bidi="ar"/>
        </w:rPr>
        <w:t>88.37</w:t>
      </w:r>
      <w:r>
        <w:rPr>
          <w:rFonts w:hint="eastAsia" w:ascii="仿宋_GB2312" w:hAnsi="宋体" w:eastAsia="仿宋_GB2312" w:cs="仿宋_GB2312"/>
          <w:kern w:val="0"/>
          <w:sz w:val="32"/>
          <w:szCs w:val="32"/>
          <w:shd w:val="clear" w:color="auto" w:fill="FFFFFF"/>
          <w:lang w:val="en-US" w:eastAsia="zh-CN" w:bidi="ar"/>
        </w:rPr>
        <w:t>万元，</w:t>
      </w:r>
      <w:r>
        <w:rPr>
          <w:rFonts w:hint="eastAsia" w:hAnsi="宋体" w:cs="仿宋_GB2312"/>
          <w:kern w:val="0"/>
          <w:sz w:val="32"/>
          <w:szCs w:val="32"/>
          <w:shd w:val="clear" w:color="auto" w:fill="FFFFFF"/>
          <w:lang w:val="en-US" w:eastAsia="zh-CN" w:bidi="ar"/>
        </w:rPr>
        <w:t>占4.16%；</w:t>
      </w:r>
      <w:r>
        <w:rPr>
          <w:rFonts w:hint="eastAsia" w:ascii="仿宋_GB2312" w:hAnsi="宋体" w:eastAsia="仿宋_GB2312" w:cs="仿宋_GB2312"/>
          <w:kern w:val="0"/>
          <w:sz w:val="32"/>
          <w:szCs w:val="32"/>
          <w:shd w:val="clear" w:color="auto" w:fill="FFFFFF"/>
          <w:lang w:val="en-US" w:eastAsia="zh-CN" w:bidi="ar"/>
        </w:rPr>
        <w:t>住房保障支出</w:t>
      </w:r>
      <w:r>
        <w:rPr>
          <w:rFonts w:hint="eastAsia" w:hAnsi="宋体" w:cs="仿宋_GB2312"/>
          <w:kern w:val="0"/>
          <w:sz w:val="32"/>
          <w:szCs w:val="32"/>
          <w:shd w:val="clear" w:color="auto" w:fill="FFFFFF"/>
          <w:lang w:val="en-US" w:eastAsia="zh-CN" w:bidi="ar"/>
        </w:rPr>
        <w:t>110.99</w:t>
      </w:r>
      <w:r>
        <w:rPr>
          <w:rFonts w:hint="eastAsia" w:ascii="仿宋_GB2312" w:hAnsi="宋体" w:eastAsia="仿宋_GB2312" w:cs="仿宋_GB2312"/>
          <w:kern w:val="0"/>
          <w:sz w:val="32"/>
          <w:szCs w:val="32"/>
          <w:shd w:val="clear" w:color="auto" w:fill="FFFFFF"/>
          <w:lang w:val="en-US" w:eastAsia="zh-CN" w:bidi="ar"/>
        </w:rPr>
        <w:t>万元</w:t>
      </w:r>
      <w:r>
        <w:rPr>
          <w:rFonts w:hint="eastAsia" w:hAnsi="宋体" w:cs="仿宋_GB2312"/>
          <w:kern w:val="0"/>
          <w:sz w:val="32"/>
          <w:szCs w:val="32"/>
          <w:shd w:val="clear" w:color="auto" w:fill="FFFFFF"/>
          <w:lang w:val="en-US" w:eastAsia="zh-CN" w:bidi="ar"/>
        </w:rPr>
        <w:t>，占5.21%</w:t>
      </w:r>
      <w:r>
        <w:rPr>
          <w:rFonts w:hint="eastAsia" w:ascii="仿宋_GB2312" w:hAnsi="宋体" w:eastAsia="仿宋_GB2312" w:cs="仿宋_GB2312"/>
          <w:kern w:val="0"/>
          <w:sz w:val="32"/>
          <w:szCs w:val="32"/>
          <w:shd w:val="clear" w:color="auto" w:fill="FFFFFF"/>
          <w:lang w:val="en-US" w:eastAsia="zh-CN" w:bidi="ar"/>
        </w:rPr>
        <w:t>。</w:t>
      </w:r>
    </w:p>
    <w:p w14:paraId="56F69599">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（三）一般公共预算当年拨款具体使用情况</w:t>
      </w:r>
    </w:p>
    <w:p w14:paraId="4ED7C45A">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rPr>
        <w:t>1</w:t>
      </w:r>
      <w:r>
        <w:rPr>
          <w:rFonts w:hint="eastAsia" w:cs="仿宋_GB2312"/>
          <w:kern w:val="2"/>
          <w:sz w:val="32"/>
          <w:szCs w:val="32"/>
          <w:lang w:val="en-US" w:eastAsia="zh-CN"/>
        </w:rPr>
        <w:t>.</w:t>
      </w:r>
      <w:r>
        <w:rPr>
          <w:rFonts w:hint="eastAsia" w:cs="仿宋_GB2312"/>
          <w:kern w:val="2"/>
          <w:sz w:val="32"/>
          <w:szCs w:val="32"/>
        </w:rPr>
        <w:t>文化旅游体育与传媒支出（类）文化和旅游（款）行政运行（项目）</w:t>
      </w:r>
      <w:r>
        <w:rPr>
          <w:rFonts w:hint="eastAsia" w:cs="仿宋_GB2312"/>
          <w:kern w:val="2"/>
          <w:sz w:val="32"/>
          <w:szCs w:val="32"/>
          <w:lang w:val="en-US" w:eastAsia="zh-CN"/>
        </w:rPr>
        <w:t>2026年</w:t>
      </w:r>
      <w:r>
        <w:rPr>
          <w:rFonts w:hint="eastAsia" w:cs="仿宋_GB2312"/>
          <w:kern w:val="2"/>
          <w:sz w:val="32"/>
          <w:szCs w:val="32"/>
        </w:rPr>
        <w:t>预算数为</w:t>
      </w:r>
      <w:r>
        <w:rPr>
          <w:rFonts w:hint="eastAsia" w:cs="仿宋_GB2312"/>
          <w:kern w:val="2"/>
          <w:sz w:val="32"/>
          <w:szCs w:val="32"/>
          <w:lang w:val="en-US" w:eastAsia="zh-CN"/>
        </w:rPr>
        <w:t>1477.74</w:t>
      </w:r>
      <w:r>
        <w:rPr>
          <w:rFonts w:hint="eastAsia" w:cs="仿宋_GB2312"/>
          <w:kern w:val="2"/>
          <w:sz w:val="32"/>
          <w:szCs w:val="32"/>
        </w:rPr>
        <w:t>万元，主要用于</w:t>
      </w:r>
      <w:r>
        <w:rPr>
          <w:rFonts w:hint="eastAsia" w:cs="仿宋_GB2312"/>
          <w:kern w:val="2"/>
          <w:sz w:val="32"/>
          <w:szCs w:val="32"/>
          <w:lang w:eastAsia="zh-CN"/>
        </w:rPr>
        <w:t>：</w:t>
      </w:r>
      <w:r>
        <w:rPr>
          <w:rFonts w:hint="eastAsia" w:cs="仿宋_GB2312"/>
          <w:kern w:val="2"/>
          <w:sz w:val="32"/>
          <w:szCs w:val="32"/>
          <w:lang w:val="en-US" w:eastAsia="zh-CN"/>
        </w:rPr>
        <w:t>干部职工人员工资福利、日常公用经费及退休干部职工管理费用等基本支出。</w:t>
      </w:r>
    </w:p>
    <w:p w14:paraId="207ED937">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2.</w:t>
      </w:r>
      <w:r>
        <w:rPr>
          <w:rFonts w:hint="eastAsia" w:cs="仿宋_GB2312"/>
          <w:kern w:val="2"/>
          <w:sz w:val="32"/>
          <w:szCs w:val="32"/>
          <w:highlight w:val="none"/>
        </w:rPr>
        <w:t>文化旅游体育与传媒支出（类）文化和旅游（款） 群众文化（项目）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4</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阿坝州羌族文化老年协会开展活动。</w:t>
      </w:r>
    </w:p>
    <w:p w14:paraId="0C79DF93">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3.</w:t>
      </w:r>
      <w:r>
        <w:rPr>
          <w:rFonts w:hint="eastAsia" w:cs="仿宋_GB2312"/>
          <w:kern w:val="2"/>
          <w:sz w:val="32"/>
          <w:szCs w:val="32"/>
          <w:highlight w:val="none"/>
        </w:rPr>
        <w:t>文化旅游体育与传媒支出（类）文化和旅游（款） 文化创作与保护（项目）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30</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局机关阿坝州非遗文化生态保护实验区建设和保护工作开展。</w:t>
      </w:r>
    </w:p>
    <w:p w14:paraId="31527C0C">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cs="仿宋_GB2312"/>
          <w:kern w:val="2"/>
          <w:sz w:val="32"/>
          <w:szCs w:val="32"/>
          <w:highlight w:val="none"/>
          <w:lang w:val="en-US" w:eastAsia="zh-CN"/>
        </w:rPr>
      </w:pPr>
      <w:r>
        <w:rPr>
          <w:rFonts w:hint="eastAsia" w:cs="仿宋_GB2312"/>
          <w:kern w:val="2"/>
          <w:sz w:val="32"/>
          <w:szCs w:val="32"/>
          <w:highlight w:val="none"/>
          <w:lang w:val="en-US" w:eastAsia="zh-CN"/>
        </w:rPr>
        <w:t>4.</w:t>
      </w:r>
      <w:r>
        <w:rPr>
          <w:rFonts w:hint="eastAsia" w:cs="仿宋_GB2312"/>
          <w:kern w:val="2"/>
          <w:sz w:val="32"/>
          <w:szCs w:val="32"/>
          <w:highlight w:val="none"/>
        </w:rPr>
        <w:t>文化旅游体育与传媒支出（类）文化和旅游（款）文化和旅游市场管理（项目）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78</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局机关</w:t>
      </w:r>
      <w:r>
        <w:rPr>
          <w:rFonts w:hint="eastAsia" w:cs="仿宋_GB2312"/>
          <w:kern w:val="2"/>
          <w:sz w:val="32"/>
          <w:szCs w:val="32"/>
          <w:highlight w:val="none"/>
          <w:lang w:eastAsia="zh-CN"/>
        </w:rPr>
        <w:t>文化广播电视旅游市场综合治理、阿坝州旅游诚信购物先行赔付受理中心日常运行</w:t>
      </w:r>
      <w:r>
        <w:rPr>
          <w:rFonts w:hint="eastAsia" w:cs="仿宋_GB2312"/>
          <w:kern w:val="2"/>
          <w:sz w:val="32"/>
          <w:szCs w:val="32"/>
          <w:highlight w:val="none"/>
          <w:lang w:val="en-US" w:eastAsia="zh-CN"/>
        </w:rPr>
        <w:t>等</w:t>
      </w:r>
      <w:r>
        <w:rPr>
          <w:rFonts w:hint="eastAsia" w:cs="仿宋_GB2312"/>
          <w:kern w:val="2"/>
          <w:sz w:val="32"/>
          <w:szCs w:val="32"/>
          <w:highlight w:val="none"/>
          <w:lang w:eastAsia="zh-CN"/>
        </w:rPr>
        <w:t>。</w:t>
      </w:r>
    </w:p>
    <w:p w14:paraId="39580906">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5.</w:t>
      </w:r>
      <w:r>
        <w:rPr>
          <w:rFonts w:hint="eastAsia" w:cs="仿宋_GB2312"/>
          <w:kern w:val="2"/>
          <w:sz w:val="32"/>
          <w:szCs w:val="32"/>
          <w:highlight w:val="none"/>
        </w:rPr>
        <w:t>文化旅游体育与传媒支出（类）文化和旅游（款） 文化和旅游管理事务（项目）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80</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局机关</w:t>
      </w:r>
      <w:r>
        <w:rPr>
          <w:rFonts w:hint="eastAsia" w:cs="仿宋_GB2312"/>
          <w:kern w:val="2"/>
          <w:sz w:val="32"/>
          <w:szCs w:val="32"/>
          <w:highlight w:val="none"/>
          <w:lang w:eastAsia="zh-CN"/>
        </w:rPr>
        <w:t>文化广播电视和旅游事业发展及宣传营销、</w:t>
      </w:r>
      <w:r>
        <w:rPr>
          <w:rFonts w:hint="eastAsia" w:cs="仿宋_GB2312"/>
          <w:kern w:val="2"/>
          <w:sz w:val="32"/>
          <w:szCs w:val="32"/>
          <w:highlight w:val="none"/>
          <w:lang w:val="en-US" w:eastAsia="zh-CN"/>
        </w:rPr>
        <w:t>依法律顾问与普法宣传工作</w:t>
      </w:r>
      <w:r>
        <w:rPr>
          <w:rFonts w:hint="eastAsia" w:cs="仿宋_GB2312"/>
          <w:kern w:val="2"/>
          <w:sz w:val="32"/>
          <w:szCs w:val="32"/>
          <w:highlight w:val="none"/>
          <w:lang w:eastAsia="zh-CN"/>
        </w:rPr>
        <w:t>开展，</w:t>
      </w:r>
      <w:r>
        <w:rPr>
          <w:rFonts w:hint="eastAsia" w:cs="仿宋_GB2312"/>
          <w:kern w:val="2"/>
          <w:sz w:val="32"/>
          <w:szCs w:val="32"/>
          <w:highlight w:val="none"/>
          <w:lang w:val="en-US" w:eastAsia="zh-CN"/>
        </w:rPr>
        <w:t>《阿坝州“十五五”国际生态文化旅游目的地建设规划》编制</w:t>
      </w:r>
      <w:r>
        <w:rPr>
          <w:rFonts w:hint="eastAsia" w:cs="仿宋_GB2312"/>
          <w:kern w:val="2"/>
          <w:sz w:val="32"/>
          <w:szCs w:val="32"/>
          <w:highlight w:val="none"/>
          <w:lang w:eastAsia="zh-CN"/>
        </w:rPr>
        <w:t>。</w:t>
      </w:r>
    </w:p>
    <w:p w14:paraId="36304D2C">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6.</w:t>
      </w:r>
      <w:r>
        <w:rPr>
          <w:rFonts w:hint="eastAsia" w:cs="仿宋_GB2312"/>
          <w:kern w:val="2"/>
          <w:sz w:val="32"/>
          <w:szCs w:val="32"/>
          <w:highlight w:val="none"/>
        </w:rPr>
        <w:t>文化旅游体育与传媒支出（类）</w:t>
      </w:r>
      <w:r>
        <w:rPr>
          <w:rFonts w:hint="eastAsia" w:cs="仿宋_GB2312"/>
          <w:kern w:val="2"/>
          <w:sz w:val="32"/>
          <w:szCs w:val="32"/>
          <w:highlight w:val="none"/>
          <w:lang w:val="en-US" w:eastAsia="zh-CN"/>
        </w:rPr>
        <w:t>文物</w:t>
      </w:r>
      <w:r>
        <w:rPr>
          <w:rFonts w:hint="eastAsia" w:cs="仿宋_GB2312"/>
          <w:kern w:val="2"/>
          <w:sz w:val="32"/>
          <w:szCs w:val="32"/>
          <w:highlight w:val="none"/>
        </w:rPr>
        <w:t>（款）文物保护（项目）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10</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局机关全国文物第四次普查、文物保护监督检查工作开展等</w:t>
      </w:r>
      <w:r>
        <w:rPr>
          <w:rFonts w:hint="eastAsia" w:cs="仿宋_GB2312"/>
          <w:kern w:val="2"/>
          <w:sz w:val="32"/>
          <w:szCs w:val="32"/>
          <w:highlight w:val="none"/>
          <w:lang w:eastAsia="zh-CN"/>
        </w:rPr>
        <w:t>。</w:t>
      </w:r>
    </w:p>
    <w:p w14:paraId="479305BB">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7.</w:t>
      </w:r>
      <w:r>
        <w:rPr>
          <w:rFonts w:hint="eastAsia" w:cs="仿宋_GB2312"/>
          <w:kern w:val="2"/>
          <w:sz w:val="32"/>
          <w:szCs w:val="32"/>
          <w:highlight w:val="none"/>
        </w:rPr>
        <w:t>文化旅游体育与传媒支出（类）</w:t>
      </w:r>
      <w:r>
        <w:rPr>
          <w:rFonts w:hint="eastAsia" w:cs="仿宋_GB2312"/>
          <w:kern w:val="2"/>
          <w:sz w:val="32"/>
          <w:szCs w:val="32"/>
          <w:highlight w:val="none"/>
          <w:lang w:val="en-US" w:eastAsia="zh-CN"/>
        </w:rPr>
        <w:t>广播电视</w:t>
      </w:r>
      <w:r>
        <w:rPr>
          <w:rFonts w:hint="eastAsia" w:cs="仿宋_GB2312"/>
          <w:kern w:val="2"/>
          <w:sz w:val="32"/>
          <w:szCs w:val="32"/>
          <w:highlight w:val="none"/>
        </w:rPr>
        <w:t>（款）</w:t>
      </w:r>
      <w:r>
        <w:rPr>
          <w:rFonts w:hint="eastAsia" w:cs="仿宋_GB2312"/>
          <w:kern w:val="2"/>
          <w:sz w:val="32"/>
          <w:szCs w:val="32"/>
          <w:highlight w:val="none"/>
          <w:lang w:val="en-US" w:eastAsia="zh-CN"/>
        </w:rPr>
        <w:t> 监测监管</w:t>
      </w:r>
      <w:r>
        <w:rPr>
          <w:rFonts w:hint="eastAsia" w:cs="仿宋_GB2312"/>
          <w:kern w:val="2"/>
          <w:sz w:val="32"/>
          <w:szCs w:val="32"/>
          <w:highlight w:val="none"/>
        </w:rPr>
        <w:t>（项目）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20</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局机关</w:t>
      </w:r>
      <w:r>
        <w:rPr>
          <w:rFonts w:hint="eastAsia" w:cs="仿宋_GB2312"/>
          <w:kern w:val="2"/>
          <w:sz w:val="32"/>
          <w:szCs w:val="32"/>
          <w:highlight w:val="none"/>
          <w:lang w:eastAsia="zh-CN"/>
        </w:rPr>
        <w:t>州广播电视项目建设、  阿坝州优秀广播电视节目评选</w:t>
      </w:r>
      <w:r>
        <w:rPr>
          <w:rFonts w:hint="eastAsia" w:cs="仿宋_GB2312"/>
          <w:kern w:val="2"/>
          <w:sz w:val="32"/>
          <w:szCs w:val="32"/>
          <w:highlight w:val="none"/>
          <w:lang w:val="en-US" w:eastAsia="zh-CN"/>
        </w:rPr>
        <w:t>等</w:t>
      </w:r>
      <w:r>
        <w:rPr>
          <w:rFonts w:hint="eastAsia" w:cs="仿宋_GB2312"/>
          <w:kern w:val="2"/>
          <w:sz w:val="32"/>
          <w:szCs w:val="32"/>
          <w:highlight w:val="none"/>
          <w:lang w:eastAsia="zh-CN"/>
        </w:rPr>
        <w:t>。</w:t>
      </w:r>
    </w:p>
    <w:p w14:paraId="7198808F">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rPr>
      </w:pPr>
      <w:r>
        <w:rPr>
          <w:rFonts w:hint="eastAsia" w:cs="仿宋_GB2312"/>
          <w:kern w:val="2"/>
          <w:sz w:val="32"/>
          <w:szCs w:val="32"/>
          <w:highlight w:val="none"/>
          <w:lang w:val="en-US" w:eastAsia="zh-CN"/>
        </w:rPr>
        <w:t>8</w:t>
      </w:r>
      <w:r>
        <w:rPr>
          <w:rFonts w:hint="eastAsia" w:cs="仿宋_GB2312"/>
          <w:kern w:val="2"/>
          <w:sz w:val="32"/>
          <w:szCs w:val="32"/>
          <w:highlight w:val="none"/>
        </w:rPr>
        <w:t>．社会保障和就业支出（类）行政事业单位离退休（款）机关事业单位基本养老保险缴费支出（项目）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151.54</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职工基本养老保险单位部分缴款。</w:t>
      </w:r>
    </w:p>
    <w:p w14:paraId="3EE71232">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cs="仿宋_GB2312"/>
          <w:kern w:val="2"/>
          <w:sz w:val="32"/>
          <w:szCs w:val="32"/>
          <w:highlight w:val="none"/>
          <w:lang w:val="en-US" w:eastAsia="zh-CN"/>
        </w:rPr>
      </w:pPr>
      <w:r>
        <w:rPr>
          <w:rFonts w:hint="eastAsia" w:cs="仿宋_GB2312"/>
          <w:kern w:val="2"/>
          <w:sz w:val="32"/>
          <w:szCs w:val="32"/>
          <w:highlight w:val="none"/>
          <w:lang w:val="en-US" w:eastAsia="zh-CN"/>
        </w:rPr>
        <w:t>9</w:t>
      </w:r>
      <w:r>
        <w:rPr>
          <w:rFonts w:hint="eastAsia" w:cs="仿宋_GB2312"/>
          <w:kern w:val="2"/>
          <w:sz w:val="32"/>
          <w:szCs w:val="32"/>
          <w:highlight w:val="none"/>
        </w:rPr>
        <w:t>．社会保障和就业支出（类）行政事业单位离退休（款）机关事业单位职业年金缴费支出</w:t>
      </w:r>
      <w:r>
        <w:rPr>
          <w:rFonts w:hint="eastAsia" w:cs="仿宋_GB2312"/>
          <w:kern w:val="2"/>
          <w:sz w:val="32"/>
          <w:szCs w:val="32"/>
          <w:highlight w:val="none"/>
          <w:lang w:eastAsia="zh-CN"/>
        </w:rPr>
        <w:t>（</w:t>
      </w:r>
      <w:r>
        <w:rPr>
          <w:rFonts w:hint="eastAsia" w:cs="仿宋_GB2312"/>
          <w:kern w:val="2"/>
          <w:sz w:val="32"/>
          <w:szCs w:val="32"/>
          <w:highlight w:val="none"/>
        </w:rPr>
        <w:t>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75.77</w:t>
      </w:r>
      <w:r>
        <w:rPr>
          <w:rFonts w:hint="eastAsia" w:cs="仿宋_GB2312"/>
          <w:kern w:val="2"/>
          <w:sz w:val="32"/>
          <w:szCs w:val="32"/>
          <w:highlight w:val="none"/>
        </w:rPr>
        <w:t>万元，主要用</w:t>
      </w:r>
      <w:r>
        <w:rPr>
          <w:rFonts w:hint="eastAsia" w:cs="仿宋_GB2312"/>
          <w:kern w:val="2"/>
          <w:sz w:val="32"/>
          <w:szCs w:val="32"/>
          <w:highlight w:val="none"/>
          <w:lang w:val="en-US" w:eastAsia="zh-CN"/>
        </w:rPr>
        <w:t>于：职工职业年金单位部分缴款。</w:t>
      </w:r>
    </w:p>
    <w:p w14:paraId="1EDFA759">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lang w:val="en-US" w:eastAsia="zh-CN"/>
        </w:rPr>
      </w:pPr>
      <w:r>
        <w:rPr>
          <w:rFonts w:hint="eastAsia" w:cs="仿宋_GB2312"/>
          <w:kern w:val="2"/>
          <w:sz w:val="32"/>
          <w:szCs w:val="32"/>
          <w:lang w:val="en-US" w:eastAsia="zh-CN"/>
        </w:rPr>
        <w:t>10.卫生健康支出（类）行政事业单位医疗（款）行政单位医疗（项目）2026年预算数66.3万元，主要用于：局机关职工医疗保险单位应交款项。</w:t>
      </w:r>
    </w:p>
    <w:p w14:paraId="05820D97">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cs="仿宋_GB2312"/>
          <w:kern w:val="2"/>
          <w:sz w:val="32"/>
          <w:szCs w:val="32"/>
          <w:lang w:val="en-US" w:eastAsia="zh-CN"/>
        </w:rPr>
      </w:pPr>
      <w:r>
        <w:rPr>
          <w:rFonts w:hint="eastAsia" w:cs="仿宋_GB2312"/>
          <w:kern w:val="2"/>
          <w:sz w:val="32"/>
          <w:szCs w:val="32"/>
          <w:lang w:val="en-US" w:eastAsia="zh-CN"/>
        </w:rPr>
        <w:t>11.卫生健康支出（类）行政事业单位医疗（款）公务员医疗补助（项目）2026年预</w:t>
      </w:r>
      <w:r>
        <w:rPr>
          <w:rFonts w:hint="eastAsia" w:cs="仿宋_GB2312"/>
          <w:kern w:val="2"/>
          <w:sz w:val="32"/>
          <w:szCs w:val="32"/>
        </w:rPr>
        <w:t>算数为</w:t>
      </w:r>
      <w:r>
        <w:rPr>
          <w:rFonts w:hint="eastAsia" w:cs="仿宋_GB2312"/>
          <w:kern w:val="2"/>
          <w:sz w:val="32"/>
          <w:szCs w:val="32"/>
          <w:lang w:val="en-US" w:eastAsia="zh-CN"/>
        </w:rPr>
        <w:t>22.07</w:t>
      </w:r>
      <w:r>
        <w:rPr>
          <w:rFonts w:hint="eastAsia" w:cs="仿宋_GB2312"/>
          <w:kern w:val="2"/>
          <w:sz w:val="32"/>
          <w:szCs w:val="32"/>
        </w:rPr>
        <w:t>万元，主要用于</w:t>
      </w:r>
      <w:r>
        <w:rPr>
          <w:rFonts w:hint="eastAsia" w:cs="仿宋_GB2312"/>
          <w:kern w:val="2"/>
          <w:sz w:val="32"/>
          <w:szCs w:val="32"/>
          <w:lang w:eastAsia="zh-CN"/>
        </w:rPr>
        <w:t>：</w:t>
      </w:r>
      <w:r>
        <w:rPr>
          <w:rFonts w:hint="eastAsia" w:cs="仿宋_GB2312"/>
          <w:kern w:val="2"/>
          <w:sz w:val="32"/>
          <w:szCs w:val="32"/>
          <w:lang w:val="en-US" w:eastAsia="zh-CN"/>
        </w:rPr>
        <w:t>职工医疗医疗补助缴费</w:t>
      </w:r>
      <w:r>
        <w:rPr>
          <w:rFonts w:hint="default" w:cs="仿宋_GB2312"/>
          <w:kern w:val="2"/>
          <w:sz w:val="32"/>
          <w:szCs w:val="32"/>
          <w:lang w:val="en-US" w:eastAsia="zh-CN"/>
        </w:rPr>
        <w:t>。</w:t>
      </w:r>
    </w:p>
    <w:p w14:paraId="21156401">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ascii="ˎ̥" w:hAnsi="ˎ̥" w:eastAsia="宋体" w:cs="宋体"/>
          <w:sz w:val="32"/>
          <w:szCs w:val="32"/>
          <w:lang w:val="en-US" w:eastAsia="zh-CN"/>
        </w:rPr>
      </w:pPr>
      <w:r>
        <w:rPr>
          <w:rFonts w:hint="eastAsia" w:cs="仿宋_GB2312"/>
          <w:kern w:val="2"/>
          <w:sz w:val="32"/>
          <w:szCs w:val="32"/>
          <w:lang w:val="en-US" w:eastAsia="zh-CN"/>
        </w:rPr>
        <w:t>12.</w:t>
      </w:r>
      <w:r>
        <w:rPr>
          <w:rFonts w:hint="eastAsia" w:cs="仿宋_GB2312"/>
          <w:kern w:val="2"/>
          <w:sz w:val="32"/>
          <w:szCs w:val="32"/>
        </w:rPr>
        <w:t>住房保障支出（类）住房改革支出（款）住房公积金</w:t>
      </w:r>
      <w:r>
        <w:rPr>
          <w:rFonts w:hint="eastAsia" w:cs="仿宋_GB2312"/>
          <w:kern w:val="2"/>
          <w:sz w:val="32"/>
          <w:szCs w:val="32"/>
          <w:lang w:eastAsia="zh-CN"/>
        </w:rPr>
        <w:t>（</w:t>
      </w:r>
      <w:r>
        <w:rPr>
          <w:rFonts w:hint="eastAsia" w:cs="仿宋_GB2312"/>
          <w:kern w:val="2"/>
          <w:sz w:val="32"/>
          <w:szCs w:val="32"/>
        </w:rPr>
        <w:t>项目）</w:t>
      </w:r>
      <w:r>
        <w:rPr>
          <w:rFonts w:hint="eastAsia" w:cs="仿宋_GB2312"/>
          <w:kern w:val="2"/>
          <w:sz w:val="32"/>
          <w:szCs w:val="32"/>
          <w:lang w:eastAsia="zh-CN"/>
        </w:rPr>
        <w:t>2026年</w:t>
      </w:r>
      <w:r>
        <w:rPr>
          <w:rFonts w:hint="eastAsia" w:cs="仿宋_GB2312"/>
          <w:kern w:val="2"/>
          <w:sz w:val="32"/>
          <w:szCs w:val="32"/>
        </w:rPr>
        <w:t>预算数为</w:t>
      </w:r>
      <w:r>
        <w:rPr>
          <w:rFonts w:hint="eastAsia" w:cs="仿宋_GB2312"/>
          <w:kern w:val="2"/>
          <w:sz w:val="32"/>
          <w:szCs w:val="32"/>
          <w:lang w:val="en-US" w:eastAsia="zh-CN"/>
        </w:rPr>
        <w:t>110.99</w:t>
      </w:r>
      <w:r>
        <w:rPr>
          <w:rFonts w:hint="eastAsia" w:cs="仿宋_GB2312"/>
          <w:kern w:val="2"/>
          <w:sz w:val="32"/>
          <w:szCs w:val="32"/>
        </w:rPr>
        <w:t>万元，主要用于</w:t>
      </w:r>
      <w:r>
        <w:rPr>
          <w:rFonts w:hint="eastAsia" w:cs="仿宋_GB2312"/>
          <w:kern w:val="2"/>
          <w:sz w:val="32"/>
          <w:szCs w:val="32"/>
          <w:lang w:eastAsia="zh-CN"/>
        </w:rPr>
        <w:t>：职工住房公积金单位交款部分。</w:t>
      </w:r>
    </w:p>
    <w:p w14:paraId="67E637EF">
      <w:pPr>
        <w:pStyle w:val="11"/>
        <w:keepNext w:val="0"/>
        <w:keepLines w:val="0"/>
        <w:pageBreakBefore w:val="0"/>
        <w:kinsoku/>
        <w:wordWrap/>
        <w:overflowPunct/>
        <w:topLinePunct w:val="0"/>
        <w:bidi w:val="0"/>
        <w:spacing w:before="0" w:line="600" w:lineRule="exact"/>
        <w:ind w:firstLine="660"/>
        <w:textAlignment w:val="auto"/>
        <w:rPr>
          <w:rFonts w:ascii="黑体" w:eastAsia="黑体"/>
          <w:sz w:val="32"/>
          <w:szCs w:val="32"/>
        </w:rPr>
      </w:pPr>
      <w:r>
        <w:rPr>
          <w:rFonts w:hint="eastAsia" w:ascii="黑体" w:eastAsia="黑体"/>
          <w:sz w:val="32"/>
          <w:szCs w:val="32"/>
        </w:rPr>
        <w:t>六、一般公共预算基本支出情况说明</w:t>
      </w:r>
    </w:p>
    <w:p w14:paraId="65559212">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一般公共预算基本支出1896.4万元，其中：人员经费1590.37万元，主要包括：基本工资、津贴补贴、奖金、其他社会保障缴费、绩效工资、机关事业单位基本养老保险缴费、职业年金缴费、其他工资福利支出、离休费、奖励金、住房公积金、其他对个人和家庭的补助支出。</w:t>
      </w:r>
    </w:p>
    <w:p w14:paraId="560E334C">
      <w:pPr>
        <w:pStyle w:val="11"/>
        <w:keepNext w:val="0"/>
        <w:keepLines w:val="0"/>
        <w:pageBreakBefore w:val="0"/>
        <w:kinsoku/>
        <w:wordWrap/>
        <w:overflowPunct/>
        <w:topLinePunct w:val="0"/>
        <w:bidi w:val="0"/>
        <w:spacing w:before="0" w:line="600" w:lineRule="exact"/>
        <w:ind w:firstLine="632" w:firstLineChars="200"/>
        <w:textAlignment w:val="auto"/>
        <w:rPr>
          <w:rFonts w:ascii="黑体" w:eastAsia="黑体"/>
          <w:sz w:val="32"/>
          <w:szCs w:val="32"/>
        </w:rPr>
      </w:pPr>
      <w:r>
        <w:rPr>
          <w:rFonts w:hint="eastAsia" w:ascii="仿宋_GB2312" w:hAnsi="Times New Roman" w:eastAsia="仿宋_GB2312" w:cs="仿宋_GB2312"/>
          <w:spacing w:val="-2"/>
          <w:kern w:val="2"/>
          <w:sz w:val="32"/>
          <w:szCs w:val="32"/>
          <w:lang w:val="en-US" w:eastAsia="zh-CN" w:bidi="ar"/>
        </w:rPr>
        <w:t>公用经费306.03万元，主要包括：办公费、印刷费、手续费、水费、电费、邮电费、差旅费、维修（护）费、租赁费、会议费、培训费、劳务费、工会经费、福利费、其他交通工具运行维护费、其他商品和服务支出。</w:t>
      </w:r>
      <w:r>
        <w:rPr>
          <w:rFonts w:hint="eastAsia" w:ascii="仿宋_GB2312" w:hAnsi="Times New Roman" w:eastAsia="仿宋_GB2312" w:cs="仿宋_GB2312"/>
          <w:spacing w:val="-2"/>
          <w:kern w:val="2"/>
          <w:sz w:val="32"/>
          <w:szCs w:val="32"/>
          <w:lang w:val="en-US" w:eastAsia="zh-CN" w:bidi="ar"/>
        </w:rPr>
        <w:br w:type="textWrapping"/>
      </w:r>
      <w:r>
        <w:rPr>
          <w:rFonts w:hint="eastAsia" w:ascii="黑体" w:eastAsia="黑体"/>
          <w:sz w:val="32"/>
          <w:szCs w:val="32"/>
        </w:rPr>
        <w:t xml:space="preserve">    七、“三公”经费财政拨款预算安排情况说明</w:t>
      </w:r>
    </w:p>
    <w:p w14:paraId="53FD7860">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2026年“三公”经费财政拨款预算数155.04万元，其中：因公出国（境）经费0万元，公务接待费5.44万元，公务用车购置及运行维护费149.6万元。</w:t>
      </w:r>
    </w:p>
    <w:p w14:paraId="16E69730">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1.2026年因公出国（境）经费0万元。</w:t>
      </w:r>
    </w:p>
    <w:p w14:paraId="1CE461AA">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 xml:space="preserve">2.2026年公务接待经费5.44万元。较2025年预算经费减少0.07万元，下降1.27%，主要原因是:因机构改革、人员调出等原因工资基数减少，公务接待费预算相应下降。  </w:t>
      </w:r>
    </w:p>
    <w:p w14:paraId="1F4C1894">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3.2026年公务用车购置及运行维护费149.6万元。其中公务用车购置费0万元，公务用车运行维护费149.6万元，与2025年预算经费持平。</w:t>
      </w:r>
    </w:p>
    <w:p w14:paraId="7B77005F">
      <w:pPr>
        <w:pStyle w:val="11"/>
        <w:keepNext w:val="0"/>
        <w:keepLines w:val="0"/>
        <w:pageBreakBefore w:val="0"/>
        <w:kinsoku/>
        <w:wordWrap/>
        <w:overflowPunct/>
        <w:topLinePunct w:val="0"/>
        <w:bidi w:val="0"/>
        <w:spacing w:before="0" w:line="600" w:lineRule="exact"/>
        <w:ind w:firstLine="640" w:firstLineChars="200"/>
        <w:textAlignment w:val="auto"/>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08E0228A">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部门2026年政府性基金预算拨款安排的支出0万元。较2025年预算经费增加/减少0万元，增长0%。</w:t>
      </w:r>
    </w:p>
    <w:p w14:paraId="787F875C">
      <w:pPr>
        <w:pStyle w:val="11"/>
        <w:keepNext w:val="0"/>
        <w:keepLines w:val="0"/>
        <w:pageBreakBefore w:val="0"/>
        <w:kinsoku/>
        <w:wordWrap/>
        <w:overflowPunct/>
        <w:topLinePunct w:val="0"/>
        <w:bidi w:val="0"/>
        <w:spacing w:before="0" w:line="600" w:lineRule="exact"/>
        <w:ind w:firstLine="640" w:firstLineChars="200"/>
        <w:textAlignment w:val="auto"/>
        <w:rPr>
          <w:rFonts w:ascii="黑体" w:eastAsia="黑体"/>
          <w:sz w:val="32"/>
          <w:szCs w:val="32"/>
        </w:rPr>
      </w:pPr>
      <w:r>
        <w:rPr>
          <w:rFonts w:hint="eastAsia" w:ascii="黑体" w:eastAsia="黑体"/>
          <w:sz w:val="32"/>
          <w:szCs w:val="32"/>
        </w:rPr>
        <w:t>九、其他重要事项的情况说明</w:t>
      </w:r>
    </w:p>
    <w:p w14:paraId="7F45A2C6">
      <w:pPr>
        <w:pStyle w:val="11"/>
        <w:keepNext w:val="0"/>
        <w:keepLines w:val="0"/>
        <w:pageBreakBefore w:val="0"/>
        <w:kinsoku/>
        <w:wordWrap/>
        <w:overflowPunct/>
        <w:topLinePunct w:val="0"/>
        <w:bidi w:val="0"/>
        <w:spacing w:before="0" w:line="600" w:lineRule="exact"/>
        <w:ind w:firstLine="643" w:firstLineChars="200"/>
        <w:textAlignment w:val="auto"/>
        <w:rPr>
          <w:rFonts w:cs="仿宋_GB2312"/>
          <w:color w:val="FF0000"/>
          <w:kern w:val="2"/>
          <w:sz w:val="32"/>
          <w:szCs w:val="32"/>
        </w:rPr>
      </w:pPr>
      <w:r>
        <w:rPr>
          <w:rFonts w:hint="eastAsia" w:ascii="楷体" w:hAnsi="Calibri" w:eastAsia="楷体" w:cs="Times New Roman"/>
          <w:b/>
          <w:bCs/>
          <w:kern w:val="2"/>
          <w:sz w:val="32"/>
          <w:szCs w:val="32"/>
          <w:lang w:val="en-US" w:eastAsia="zh-CN" w:bidi="ar-SA"/>
        </w:rPr>
        <w:t>（一）机关运行经费</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xml:space="preserve">　  </w:t>
      </w:r>
      <w:r>
        <w:rPr>
          <w:rFonts w:hint="eastAsia" w:ascii="仿宋_GB2312" w:hAnsi="Times New Roman" w:eastAsia="仿宋_GB2312" w:cs="仿宋_GB2312"/>
          <w:spacing w:val="-2"/>
          <w:kern w:val="2"/>
          <w:sz w:val="32"/>
          <w:szCs w:val="32"/>
          <w:lang w:val="en-US" w:eastAsia="zh-CN" w:bidi="ar"/>
        </w:rPr>
        <w:t>部门2026年机关运行经费财政拨款预算为306.03万元，比2025年预算减少22.11万元，减少6.74%。</w:t>
      </w:r>
      <w:r>
        <w:rPr>
          <w:rFonts w:hint="eastAsia" w:cs="仿宋_GB2312"/>
          <w:color w:val="000000"/>
          <w:kern w:val="2"/>
          <w:sz w:val="32"/>
          <w:szCs w:val="32"/>
        </w:rPr>
        <w:t xml:space="preserve"> </w:t>
      </w:r>
    </w:p>
    <w:p w14:paraId="67694562">
      <w:pPr>
        <w:pStyle w:val="11"/>
        <w:keepNext w:val="0"/>
        <w:keepLines w:val="0"/>
        <w:pageBreakBefore w:val="0"/>
        <w:kinsoku/>
        <w:wordWrap/>
        <w:overflowPunct/>
        <w:topLinePunct w:val="0"/>
        <w:bidi w:val="0"/>
        <w:spacing w:before="0" w:line="600" w:lineRule="exact"/>
        <w:ind w:firstLine="643"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楷体" w:hAnsi="Calibri" w:eastAsia="楷体" w:cs="Times New Roman"/>
          <w:b/>
          <w:bCs/>
          <w:kern w:val="2"/>
          <w:sz w:val="32"/>
          <w:szCs w:val="32"/>
          <w:lang w:val="en-US" w:eastAsia="zh-CN" w:bidi="ar-SA"/>
        </w:rPr>
        <w:t>（二）政府采购情况</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w:t>
      </w:r>
      <w:r>
        <w:rPr>
          <w:rFonts w:hint="eastAsia" w:cs="仿宋_GB2312"/>
          <w:color w:val="000000"/>
          <w:kern w:val="2"/>
          <w:sz w:val="32"/>
          <w:szCs w:val="32"/>
        </w:rPr>
        <w:t xml:space="preserve">　 </w:t>
      </w:r>
      <w:r>
        <w:rPr>
          <w:rFonts w:hint="eastAsia" w:ascii="仿宋_GB2312" w:hAnsi="Times New Roman" w:eastAsia="仿宋_GB2312" w:cs="仿宋_GB2312"/>
          <w:spacing w:val="-2"/>
          <w:kern w:val="2"/>
          <w:sz w:val="32"/>
          <w:szCs w:val="32"/>
          <w:lang w:val="en-US" w:eastAsia="zh-CN" w:bidi="ar"/>
        </w:rPr>
        <w:t>2026年部门（单位）安排政府采购预算</w:t>
      </w:r>
      <w:r>
        <w:rPr>
          <w:rFonts w:hint="eastAsia" w:hAnsi="Times New Roman" w:cs="仿宋_GB2312"/>
          <w:spacing w:val="-2"/>
          <w:kern w:val="2"/>
          <w:sz w:val="32"/>
          <w:szCs w:val="32"/>
          <w:lang w:val="en-US" w:eastAsia="zh-CN" w:bidi="ar"/>
        </w:rPr>
        <w:t>8</w:t>
      </w:r>
      <w:r>
        <w:rPr>
          <w:rFonts w:hint="eastAsia" w:ascii="仿宋_GB2312" w:hAnsi="Times New Roman" w:eastAsia="仿宋_GB2312" w:cs="仿宋_GB2312"/>
          <w:spacing w:val="-2"/>
          <w:kern w:val="2"/>
          <w:sz w:val="32"/>
          <w:szCs w:val="32"/>
          <w:lang w:val="en-US" w:eastAsia="zh-CN" w:bidi="ar"/>
        </w:rPr>
        <w:t>万元，主要用于局机关车辆大修。</w:t>
      </w:r>
    </w:p>
    <w:p w14:paraId="765B3344">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（三）国有资产占有使用情况</w:t>
      </w:r>
    </w:p>
    <w:p w14:paraId="5E501122">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截至2025年12月31日，我单位固定资产2.05亿元。</w:t>
      </w:r>
    </w:p>
    <w:p w14:paraId="6C880847">
      <w:pPr>
        <w:pStyle w:val="11"/>
        <w:keepNext w:val="0"/>
        <w:keepLines w:val="0"/>
        <w:pageBreakBefore w:val="0"/>
        <w:kinsoku/>
        <w:wordWrap/>
        <w:overflowPunct/>
        <w:topLinePunct w:val="0"/>
        <w:bidi w:val="0"/>
        <w:spacing w:before="0" w:line="600" w:lineRule="exact"/>
        <w:ind w:firstLine="643"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楷体" w:hAnsi="Calibri" w:eastAsia="楷体" w:cs="Times New Roman"/>
          <w:b/>
          <w:bCs/>
          <w:kern w:val="2"/>
          <w:sz w:val="32"/>
          <w:szCs w:val="32"/>
          <w:lang w:val="en-US" w:eastAsia="zh-CN" w:bidi="ar-SA"/>
        </w:rPr>
        <w:t>（四）绩效目标设置情况</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w:t>
      </w:r>
      <w:r>
        <w:rPr>
          <w:rFonts w:hint="eastAsia" w:ascii="仿宋_GB2312" w:hAnsi="Times New Roman" w:eastAsia="仿宋_GB2312" w:cs="仿宋_GB2312"/>
          <w:spacing w:val="-2"/>
          <w:kern w:val="2"/>
          <w:sz w:val="32"/>
          <w:szCs w:val="32"/>
          <w:lang w:val="en-US" w:eastAsia="zh-CN" w:bidi="ar"/>
        </w:rPr>
        <w:t>　2026年部门（单位）通用项目和专用项目均按要求实行绩效目标管理，涉及一般公共预算当年拨款</w:t>
      </w:r>
      <w:r>
        <w:rPr>
          <w:rFonts w:hint="eastAsia" w:hAnsi="Times New Roman" w:cs="仿宋_GB2312"/>
          <w:spacing w:val="-2"/>
          <w:kern w:val="2"/>
          <w:sz w:val="32"/>
          <w:szCs w:val="32"/>
          <w:lang w:val="en-US" w:eastAsia="zh-CN" w:bidi="ar"/>
        </w:rPr>
        <w:t>230</w:t>
      </w:r>
      <w:r>
        <w:rPr>
          <w:rFonts w:hint="eastAsia" w:ascii="仿宋_GB2312" w:hAnsi="Times New Roman" w:eastAsia="仿宋_GB2312" w:cs="仿宋_GB2312"/>
          <w:spacing w:val="-2"/>
          <w:kern w:val="2"/>
          <w:sz w:val="32"/>
          <w:szCs w:val="32"/>
          <w:lang w:val="en-US" w:eastAsia="zh-CN" w:bidi="ar"/>
        </w:rPr>
        <w:t>万元。</w:t>
      </w:r>
    </w:p>
    <w:p w14:paraId="48B25FC6">
      <w:pPr>
        <w:pStyle w:val="11"/>
        <w:keepNext w:val="0"/>
        <w:keepLines w:val="0"/>
        <w:pageBreakBefore w:val="0"/>
        <w:kinsoku/>
        <w:wordWrap/>
        <w:overflowPunct/>
        <w:topLinePunct w:val="0"/>
        <w:bidi w:val="0"/>
        <w:spacing w:before="0" w:line="600" w:lineRule="exact"/>
        <w:ind w:firstLine="640"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黑体" w:eastAsia="黑体"/>
          <w:sz w:val="32"/>
          <w:szCs w:val="32"/>
        </w:rPr>
        <w:t xml:space="preserve">十、名称解释 </w:t>
      </w:r>
      <w:r>
        <w:rPr>
          <w:rFonts w:hint="eastAsia" w:cs="仿宋_GB2312"/>
          <w:sz w:val="32"/>
          <w:szCs w:val="32"/>
        </w:rPr>
        <w:br w:type="textWrapping"/>
      </w:r>
      <w:r>
        <w:rPr>
          <w:rFonts w:hint="eastAsia" w:ascii="??" w:hAnsi="??" w:eastAsia="宋体" w:cs="宋体"/>
          <w:sz w:val="16"/>
        </w:rPr>
        <w:t xml:space="preserve">　　   </w:t>
      </w:r>
      <w:r>
        <w:rPr>
          <w:rFonts w:hint="eastAsia" w:ascii="楷体" w:hAnsi="Calibri" w:eastAsia="楷体" w:cs="Times New Roman"/>
          <w:b/>
          <w:bCs/>
          <w:kern w:val="2"/>
          <w:sz w:val="32"/>
          <w:szCs w:val="32"/>
          <w:lang w:val="en-US" w:eastAsia="zh-CN" w:bidi="ar-SA"/>
        </w:rPr>
        <w:t>（一）财政拨款收入：</w:t>
      </w:r>
      <w:r>
        <w:rPr>
          <w:rFonts w:hint="eastAsia" w:ascii="仿宋_GB2312" w:hAnsi="Times New Roman" w:eastAsia="仿宋_GB2312" w:cs="仿宋_GB2312"/>
          <w:spacing w:val="-2"/>
          <w:kern w:val="2"/>
          <w:sz w:val="32"/>
          <w:szCs w:val="32"/>
          <w:lang w:val="en-US" w:eastAsia="zh-CN" w:bidi="ar"/>
        </w:rPr>
        <w:t>指由财政拨款形成的部门收入。按现行管理制度，部门预算中反映的财政拨款仅包括一般公共预算拨款和政府性基金预算拨款。</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hAnsi="Calibri" w:eastAsia="楷体" w:cs="Times New Roman"/>
          <w:b/>
          <w:bCs/>
          <w:kern w:val="2"/>
          <w:sz w:val="32"/>
          <w:szCs w:val="32"/>
          <w:lang w:val="en-US" w:eastAsia="zh-CN" w:bidi="ar-SA"/>
        </w:rPr>
        <w:t>（二）事业收入：</w:t>
      </w:r>
      <w:r>
        <w:rPr>
          <w:rFonts w:hint="eastAsia" w:ascii="仿宋_GB2312" w:hAnsi="Times New Roman" w:eastAsia="仿宋_GB2312" w:cs="仿宋_GB2312"/>
          <w:spacing w:val="-2"/>
          <w:kern w:val="2"/>
          <w:sz w:val="32"/>
          <w:szCs w:val="32"/>
          <w:lang w:val="en-US" w:eastAsia="zh-CN" w:bidi="ar"/>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hAnsi="Calibri" w:eastAsia="楷体" w:cs="Times New Roman"/>
          <w:b/>
          <w:bCs/>
          <w:kern w:val="2"/>
          <w:sz w:val="32"/>
          <w:szCs w:val="32"/>
          <w:lang w:val="en-US" w:eastAsia="zh-CN" w:bidi="ar-SA"/>
        </w:rPr>
        <w:t>（三）事业单位经营收入：</w:t>
      </w:r>
      <w:r>
        <w:rPr>
          <w:rFonts w:hint="eastAsia" w:ascii="仿宋_GB2312" w:hAnsi="Times New Roman" w:eastAsia="仿宋_GB2312" w:cs="仿宋_GB2312"/>
          <w:spacing w:val="-2"/>
          <w:kern w:val="2"/>
          <w:sz w:val="32"/>
          <w:szCs w:val="32"/>
          <w:lang w:val="en-US" w:eastAsia="zh-CN" w:bidi="ar"/>
        </w:rPr>
        <w:t>指所属事业单位在专业业务活动及其辅助活动之外开展非独立核算经营活动取得的收入。</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（四）其他收入：</w:t>
      </w:r>
      <w:r>
        <w:rPr>
          <w:rFonts w:hint="eastAsia" w:ascii="仿宋_GB2312" w:hAnsi="Times New Roman" w:eastAsia="仿宋_GB2312" w:cs="仿宋_GB2312"/>
          <w:spacing w:val="-2"/>
          <w:kern w:val="2"/>
          <w:sz w:val="32"/>
          <w:szCs w:val="32"/>
          <w:lang w:val="en-US" w:eastAsia="zh-CN" w:bidi="ar"/>
        </w:rPr>
        <w:t>指除上述“财政拨款收入”、“事业收入”、“事业单位经营收入”等以外的收入，主要是所属行政事业单位按规定动用的售房收入、存款利息收入等。</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（五）用事业基金弥补收支差额：</w:t>
      </w:r>
      <w:r>
        <w:rPr>
          <w:rFonts w:hint="eastAsia" w:ascii="仿宋_GB2312" w:hAnsi="Times New Roman" w:eastAsia="仿宋_GB2312" w:cs="仿宋_GB2312"/>
          <w:spacing w:val="-2"/>
          <w:kern w:val="2"/>
          <w:sz w:val="32"/>
          <w:szCs w:val="32"/>
          <w:lang w:val="en-US" w:eastAsia="zh-CN" w:bidi="ar"/>
        </w:rPr>
        <w:t>指所属事业单位在预计用当年的“财政拨款收入”、“事业收入”、“事业单位经营收入”、“其他收入”不足以安排当年支出的情况下，使用以前年度积累的事业基金弥补本年度收支缺口的资金。</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（六）上年结转：</w:t>
      </w:r>
      <w:r>
        <w:rPr>
          <w:rFonts w:hint="eastAsia" w:ascii="仿宋_GB2312" w:hAnsi="Times New Roman" w:eastAsia="仿宋_GB2312" w:cs="仿宋_GB2312"/>
          <w:spacing w:val="-2"/>
          <w:kern w:val="2"/>
          <w:sz w:val="32"/>
          <w:szCs w:val="32"/>
          <w:lang w:val="en-US" w:eastAsia="zh-CN" w:bidi="ar"/>
        </w:rPr>
        <w:t>指所属行政事业单位以前年度尚未完成、结转至本年按原规定用途继续使用的资金和以前年度已完成项目剩余资金经批准用于新用途使用的资金。</w:t>
      </w:r>
    </w:p>
    <w:p w14:paraId="5A46B0A7">
      <w:pPr>
        <w:keepNext w:val="0"/>
        <w:keepLines w:val="0"/>
        <w:pageBreakBefore w:val="0"/>
        <w:kinsoku/>
        <w:wordWrap/>
        <w:overflowPunct/>
        <w:topLinePunct w:val="0"/>
        <w:bidi w:val="0"/>
        <w:spacing w:line="600" w:lineRule="exact"/>
        <w:textAlignment w:val="auto"/>
        <w:rPr>
          <w:rFonts w:asci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512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0486C6E"/>
    <w:rsid w:val="01A52705"/>
    <w:rsid w:val="02CD73A2"/>
    <w:rsid w:val="02D50DC8"/>
    <w:rsid w:val="038F541B"/>
    <w:rsid w:val="04A77B1E"/>
    <w:rsid w:val="04E83035"/>
    <w:rsid w:val="05AA2098"/>
    <w:rsid w:val="06071298"/>
    <w:rsid w:val="07D17DB0"/>
    <w:rsid w:val="0831084F"/>
    <w:rsid w:val="0B9C2483"/>
    <w:rsid w:val="0C547DB6"/>
    <w:rsid w:val="0D1424ED"/>
    <w:rsid w:val="0D4B23B2"/>
    <w:rsid w:val="0EA578A0"/>
    <w:rsid w:val="0F096081"/>
    <w:rsid w:val="111D5683"/>
    <w:rsid w:val="11290C5D"/>
    <w:rsid w:val="11B37565"/>
    <w:rsid w:val="11EB5F12"/>
    <w:rsid w:val="121A67F7"/>
    <w:rsid w:val="12A54313"/>
    <w:rsid w:val="13DF5603"/>
    <w:rsid w:val="160A26DF"/>
    <w:rsid w:val="160E47D0"/>
    <w:rsid w:val="174E5DF2"/>
    <w:rsid w:val="179559FB"/>
    <w:rsid w:val="185365BF"/>
    <w:rsid w:val="18B43502"/>
    <w:rsid w:val="1B697EA8"/>
    <w:rsid w:val="1E4C1AE7"/>
    <w:rsid w:val="1EA31A71"/>
    <w:rsid w:val="1EB61656"/>
    <w:rsid w:val="1F7F413E"/>
    <w:rsid w:val="212154AC"/>
    <w:rsid w:val="21A97250"/>
    <w:rsid w:val="21BA320B"/>
    <w:rsid w:val="24D46CDA"/>
    <w:rsid w:val="27D8263D"/>
    <w:rsid w:val="28C8445F"/>
    <w:rsid w:val="29A9551B"/>
    <w:rsid w:val="2A614B6C"/>
    <w:rsid w:val="2ADE440E"/>
    <w:rsid w:val="2C8903AA"/>
    <w:rsid w:val="2DB42000"/>
    <w:rsid w:val="2EBD433B"/>
    <w:rsid w:val="307373A7"/>
    <w:rsid w:val="308C0468"/>
    <w:rsid w:val="31E1612B"/>
    <w:rsid w:val="325847CC"/>
    <w:rsid w:val="32612A25"/>
    <w:rsid w:val="32E93950"/>
    <w:rsid w:val="33835B53"/>
    <w:rsid w:val="34F871C7"/>
    <w:rsid w:val="351A4295"/>
    <w:rsid w:val="35357321"/>
    <w:rsid w:val="3538296D"/>
    <w:rsid w:val="37070849"/>
    <w:rsid w:val="37395C82"/>
    <w:rsid w:val="37C624B2"/>
    <w:rsid w:val="37CC65EB"/>
    <w:rsid w:val="38F4304F"/>
    <w:rsid w:val="392E47B3"/>
    <w:rsid w:val="3A26548A"/>
    <w:rsid w:val="3AD2116E"/>
    <w:rsid w:val="3E546A69"/>
    <w:rsid w:val="3F152D9E"/>
    <w:rsid w:val="3F780536"/>
    <w:rsid w:val="407F76A2"/>
    <w:rsid w:val="40CB28E7"/>
    <w:rsid w:val="424010B3"/>
    <w:rsid w:val="433C7ACC"/>
    <w:rsid w:val="43BC29BB"/>
    <w:rsid w:val="44CD1324"/>
    <w:rsid w:val="456A0921"/>
    <w:rsid w:val="46B300A5"/>
    <w:rsid w:val="46CE1383"/>
    <w:rsid w:val="47AF2F63"/>
    <w:rsid w:val="47DB5B06"/>
    <w:rsid w:val="48147269"/>
    <w:rsid w:val="482F7BFF"/>
    <w:rsid w:val="490C7F41"/>
    <w:rsid w:val="492A611D"/>
    <w:rsid w:val="49C83E68"/>
    <w:rsid w:val="4A0B1FA6"/>
    <w:rsid w:val="4A25750C"/>
    <w:rsid w:val="4A7162AD"/>
    <w:rsid w:val="4A743FEF"/>
    <w:rsid w:val="4AD945B9"/>
    <w:rsid w:val="4B9C69E1"/>
    <w:rsid w:val="4BA60DDF"/>
    <w:rsid w:val="4BB723E6"/>
    <w:rsid w:val="4C3A6B73"/>
    <w:rsid w:val="4C93105A"/>
    <w:rsid w:val="4F9547EC"/>
    <w:rsid w:val="4F9A4A0A"/>
    <w:rsid w:val="50100316"/>
    <w:rsid w:val="50450E16"/>
    <w:rsid w:val="50BB64D4"/>
    <w:rsid w:val="50D86525"/>
    <w:rsid w:val="51491D32"/>
    <w:rsid w:val="51B02D7C"/>
    <w:rsid w:val="537D5CC3"/>
    <w:rsid w:val="53A11CDD"/>
    <w:rsid w:val="53AC1CE4"/>
    <w:rsid w:val="554A09EE"/>
    <w:rsid w:val="55A35789"/>
    <w:rsid w:val="56B45E9F"/>
    <w:rsid w:val="58D77F83"/>
    <w:rsid w:val="59B12B6A"/>
    <w:rsid w:val="5A1455BF"/>
    <w:rsid w:val="5A4621BD"/>
    <w:rsid w:val="5ACD03CB"/>
    <w:rsid w:val="5C425CFC"/>
    <w:rsid w:val="5CAB60E3"/>
    <w:rsid w:val="5CD074CF"/>
    <w:rsid w:val="5CFA65D6"/>
    <w:rsid w:val="5D0B433F"/>
    <w:rsid w:val="5EE72B8A"/>
    <w:rsid w:val="5FBA1E19"/>
    <w:rsid w:val="60431238"/>
    <w:rsid w:val="6138591F"/>
    <w:rsid w:val="63807109"/>
    <w:rsid w:val="639B075C"/>
    <w:rsid w:val="643207A1"/>
    <w:rsid w:val="649E018F"/>
    <w:rsid w:val="68594AF9"/>
    <w:rsid w:val="691E364C"/>
    <w:rsid w:val="693009AA"/>
    <w:rsid w:val="6B3C600C"/>
    <w:rsid w:val="6BAC4F3F"/>
    <w:rsid w:val="6C4C0E97"/>
    <w:rsid w:val="6DA346A0"/>
    <w:rsid w:val="6DBE71AC"/>
    <w:rsid w:val="6E587601"/>
    <w:rsid w:val="6F046E40"/>
    <w:rsid w:val="6FAA3E8C"/>
    <w:rsid w:val="70FC4273"/>
    <w:rsid w:val="71CD5C10"/>
    <w:rsid w:val="71F47A9F"/>
    <w:rsid w:val="72C40DC1"/>
    <w:rsid w:val="73786EA0"/>
    <w:rsid w:val="73C3376E"/>
    <w:rsid w:val="77ED700C"/>
    <w:rsid w:val="79744285"/>
    <w:rsid w:val="7B242D44"/>
    <w:rsid w:val="7B4E3B40"/>
    <w:rsid w:val="7E576F8D"/>
    <w:rsid w:val="7F4A08A0"/>
    <w:rsid w:val="7F6A0F42"/>
    <w:rsid w:val="7FC71E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keepNext w:val="0"/>
      <w:keepLines w:val="0"/>
      <w:widowControl w:val="0"/>
      <w:suppressLineNumbers w:val="0"/>
      <w:autoSpaceDE w:val="0"/>
      <w:autoSpaceDN w:val="0"/>
      <w:adjustRightInd w:val="0"/>
      <w:snapToGrid w:val="0"/>
      <w:spacing w:before="0" w:beforeAutospacing="0" w:after="0" w:afterAutospacing="0" w:line="588" w:lineRule="atLeast"/>
      <w:ind w:left="0" w:right="0"/>
      <w:jc w:val="both"/>
    </w:pPr>
    <w:rPr>
      <w:rFonts w:hint="eastAsia" w:ascii="宋体" w:hAnsi="宋体" w:eastAsia="仿宋_GB2312" w:cs="Times New Roman"/>
      <w:spacing w:val="-2"/>
      <w:kern w:val="2"/>
      <w:sz w:val="32"/>
      <w:szCs w:val="32"/>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0"/>
    <w:pPr>
      <w:ind w:firstLine="200" w:firstLineChars="200"/>
    </w:pPr>
  </w:style>
  <w:style w:type="paragraph" w:customStyle="1" w:styleId="11">
    <w:name w:val="正文文本1"/>
    <w:basedOn w:val="1"/>
    <w:qFormat/>
    <w:uiPriority w:val="0"/>
    <w:pPr>
      <w:spacing w:before="93"/>
    </w:pPr>
    <w:rPr>
      <w:rFonts w:ascii="仿宋_GB2312" w:eastAsia="仿宋_GB2312"/>
      <w:kern w:val="0"/>
      <w:sz w:val="30"/>
      <w:szCs w:val="20"/>
    </w:rPr>
  </w:style>
  <w:style w:type="paragraph" w:customStyle="1" w:styleId="12">
    <w:name w:val="普通(网站) Char"/>
    <w:basedOn w:val="1"/>
    <w:autoRedefine/>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13">
    <w:name w:val="15"/>
    <w:basedOn w:val="9"/>
    <w:autoRedefine/>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12</Pages>
  <Words>4863</Words>
  <Characters>5252</Characters>
  <Lines>124</Lines>
  <Paragraphs>51</Paragraphs>
  <TotalTime>0</TotalTime>
  <ScaleCrop>false</ScaleCrop>
  <LinksUpToDate>false</LinksUpToDate>
  <CharactersWithSpaces>5357</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2022-12-30T09:44:00Z</dcterms:created>
  <dc:creator>疯丫头。。</dc:creator>
  <cp:lastModifiedBy>向日葵的微笑</cp:lastModifiedBy>
  <cp:lastPrinted>2018-01-30T09:39:00Z</cp:lastPrinted>
  <dcterms:modified xsi:type="dcterms:W3CDTF">2026-01-19T08:46:01Z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eyJoZGlkIjoiNWRkNjg2Y2VhZWY2ZjRlMmY3M2EyZTEwMTk0ODU3NTIiLCJ1c2VySWQiOiIyNjg1NTQzNjIifQ==</vt:lpwstr>
  </property>
  <property fmtid="{D5CDD505-2E9C-101B-9397-08002B2CF9AE}" pid="4" name="ICV">
    <vt:lpwstr>244B350B7B784D5DA2E5CAEC1EE26EC2_12</vt:lpwstr>
  </property>
</Properties>
</file>