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theme/themeOverride1.xml" ContentType="application/vnd.openxmlformats-officedocument.themeOverride+xml"/>
  <Override PartName="/word/theme/themeOverride2.xml" ContentType="application/vnd.openxmlformats-officedocument.themeOverride+xml"/>
  <Override PartName="/word/theme/themeOverride3.xml" ContentType="application/vnd.openxmlformats-officedocument.themeOverride+xml"/>
  <Override PartName="/word/theme/themeOverride4.xml" ContentType="application/vnd.openxmlformats-officedocument.themeOverrid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439689">
      <w:pPr>
        <w:pStyle w:val="6"/>
        <w:pageBreakBefore w:val="0"/>
        <w:kinsoku/>
        <w:wordWrap/>
        <w:overflowPunct/>
        <w:topLinePunct w:val="0"/>
        <w:bidi w:val="0"/>
        <w:spacing w:line="560" w:lineRule="atLeast"/>
        <w:rPr>
          <w:rFonts w:hint="eastAsia" w:ascii="Times New Roman" w:hAnsi="Times New Roman" w:eastAsia="方正小标宋简体" w:cs="Times New Roman"/>
          <w:color w:val="auto"/>
          <w:kern w:val="2"/>
          <w:sz w:val="72"/>
          <w:szCs w:val="72"/>
          <w:highlight w:val="none"/>
          <w:lang w:val="en-US" w:eastAsia="zh-CN" w:bidi="ar-SA"/>
        </w:rPr>
      </w:pPr>
      <w:bookmarkStart w:id="0" w:name="_Toc15306267"/>
      <w:bookmarkStart w:id="1" w:name="_Toc15396475"/>
      <w:bookmarkStart w:id="2" w:name="_Toc15396597"/>
      <w:bookmarkStart w:id="3" w:name="_Toc15377193"/>
      <w:bookmarkStart w:id="4" w:name="_Toc15377425"/>
      <w:bookmarkStart w:id="5" w:name="_Toc15378441"/>
    </w:p>
    <w:p w14:paraId="30F1EED1">
      <w:pPr>
        <w:pStyle w:val="6"/>
        <w:pageBreakBefore w:val="0"/>
        <w:kinsoku/>
        <w:wordWrap/>
        <w:overflowPunct/>
        <w:topLinePunct w:val="0"/>
        <w:bidi w:val="0"/>
        <w:spacing w:line="560" w:lineRule="atLeast"/>
        <w:rPr>
          <w:rFonts w:hint="eastAsia" w:ascii="Times New Roman" w:hAnsi="Times New Roman" w:eastAsia="方正小标宋简体" w:cs="Times New Roman"/>
          <w:color w:val="auto"/>
          <w:kern w:val="2"/>
          <w:sz w:val="72"/>
          <w:szCs w:val="72"/>
          <w:highlight w:val="none"/>
          <w:lang w:val="en-US" w:eastAsia="zh-CN" w:bidi="ar-SA"/>
        </w:rPr>
      </w:pPr>
    </w:p>
    <w:p w14:paraId="6E71B645">
      <w:pPr>
        <w:pStyle w:val="6"/>
        <w:pageBreakBefore w:val="0"/>
        <w:kinsoku/>
        <w:wordWrap/>
        <w:overflowPunct/>
        <w:topLinePunct w:val="0"/>
        <w:bidi w:val="0"/>
        <w:spacing w:line="560" w:lineRule="atLeast"/>
        <w:rPr>
          <w:rFonts w:hint="eastAsia" w:ascii="Times New Roman" w:hAnsi="Times New Roman" w:eastAsia="方正小标宋简体" w:cs="Times New Roman"/>
          <w:color w:val="auto"/>
          <w:kern w:val="2"/>
          <w:sz w:val="72"/>
          <w:szCs w:val="72"/>
          <w:highlight w:val="none"/>
          <w:lang w:val="en-US" w:eastAsia="zh-CN" w:bidi="ar-SA"/>
        </w:rPr>
      </w:pPr>
    </w:p>
    <w:p w14:paraId="70E85226">
      <w:pPr>
        <w:pStyle w:val="6"/>
        <w:pageBreakBefore w:val="0"/>
        <w:kinsoku/>
        <w:wordWrap/>
        <w:overflowPunct/>
        <w:topLinePunct w:val="0"/>
        <w:bidi w:val="0"/>
        <w:spacing w:line="560" w:lineRule="atLeast"/>
        <w:rPr>
          <w:rFonts w:hint="eastAsia" w:ascii="Times New Roman" w:hAnsi="Times New Roman" w:eastAsia="方正小标宋简体" w:cs="Times New Roman"/>
          <w:color w:val="auto"/>
          <w:kern w:val="2"/>
          <w:sz w:val="72"/>
          <w:szCs w:val="72"/>
          <w:highlight w:val="none"/>
          <w:lang w:val="en-US" w:eastAsia="zh-CN" w:bidi="ar-SA"/>
        </w:rPr>
      </w:pPr>
    </w:p>
    <w:p w14:paraId="1610CEA5">
      <w:pPr>
        <w:pageBreakBefore w:val="0"/>
        <w:kinsoku/>
        <w:wordWrap/>
        <w:overflowPunct/>
        <w:topLinePunct w:val="0"/>
        <w:bidi w:val="0"/>
        <w:adjustRightInd w:val="0"/>
        <w:snapToGrid w:val="0"/>
        <w:spacing w:line="560" w:lineRule="atLeast"/>
        <w:jc w:val="center"/>
        <w:outlineLvl w:val="0"/>
        <w:rPr>
          <w:rFonts w:hint="eastAsia" w:asciiTheme="majorEastAsia" w:hAnsiTheme="majorEastAsia" w:eastAsiaTheme="majorEastAsia" w:cstheme="majorEastAsia"/>
          <w:b/>
          <w:bCs/>
          <w:sz w:val="44"/>
          <w:szCs w:val="44"/>
        </w:rPr>
      </w:pPr>
      <w:r>
        <w:rPr>
          <w:rFonts w:hint="eastAsia" w:asciiTheme="majorEastAsia" w:hAnsiTheme="majorEastAsia" w:eastAsiaTheme="majorEastAsia" w:cstheme="majorEastAsia"/>
          <w:b/>
          <w:bCs/>
          <w:sz w:val="44"/>
          <w:szCs w:val="44"/>
        </w:rPr>
        <w:t>202</w:t>
      </w:r>
      <w:r>
        <w:rPr>
          <w:rFonts w:hint="eastAsia" w:asciiTheme="majorEastAsia" w:hAnsiTheme="majorEastAsia" w:eastAsiaTheme="majorEastAsia" w:cstheme="majorEastAsia"/>
          <w:b/>
          <w:bCs/>
          <w:sz w:val="44"/>
          <w:szCs w:val="44"/>
          <w:lang w:val="en-US" w:eastAsia="zh-CN"/>
        </w:rPr>
        <w:t>5</w:t>
      </w:r>
      <w:r>
        <w:rPr>
          <w:rFonts w:hint="eastAsia" w:asciiTheme="majorEastAsia" w:hAnsiTheme="majorEastAsia" w:eastAsiaTheme="majorEastAsia" w:cstheme="majorEastAsia"/>
          <w:b/>
          <w:bCs/>
          <w:sz w:val="44"/>
          <w:szCs w:val="44"/>
        </w:rPr>
        <w:t>年度阿坝</w:t>
      </w:r>
      <w:r>
        <w:rPr>
          <w:rFonts w:hint="eastAsia" w:asciiTheme="majorEastAsia" w:hAnsiTheme="majorEastAsia" w:eastAsiaTheme="majorEastAsia" w:cstheme="majorEastAsia"/>
          <w:b/>
          <w:bCs/>
          <w:sz w:val="44"/>
          <w:szCs w:val="44"/>
          <w:lang w:eastAsia="zh-CN"/>
        </w:rPr>
        <w:t>藏族羌族自治</w:t>
      </w:r>
      <w:r>
        <w:rPr>
          <w:rFonts w:hint="eastAsia" w:asciiTheme="majorEastAsia" w:hAnsiTheme="majorEastAsia" w:eastAsiaTheme="majorEastAsia" w:cstheme="majorEastAsia"/>
          <w:b/>
          <w:bCs/>
          <w:sz w:val="44"/>
          <w:szCs w:val="44"/>
        </w:rPr>
        <w:t>州民族歌舞团</w:t>
      </w:r>
    </w:p>
    <w:p w14:paraId="44A443FD">
      <w:pPr>
        <w:pageBreakBefore w:val="0"/>
        <w:kinsoku/>
        <w:wordWrap/>
        <w:overflowPunct/>
        <w:topLinePunct w:val="0"/>
        <w:bidi w:val="0"/>
        <w:adjustRightInd w:val="0"/>
        <w:snapToGrid w:val="0"/>
        <w:spacing w:line="560" w:lineRule="atLeast"/>
        <w:jc w:val="center"/>
        <w:outlineLvl w:val="0"/>
        <w:rPr>
          <w:rFonts w:hint="eastAsia" w:asciiTheme="majorEastAsia" w:hAnsiTheme="majorEastAsia" w:eastAsiaTheme="majorEastAsia" w:cstheme="majorEastAsia"/>
          <w:b/>
          <w:bCs/>
          <w:sz w:val="44"/>
          <w:szCs w:val="44"/>
          <w:lang w:val="en-US" w:eastAsia="zh-CN"/>
        </w:rPr>
      </w:pPr>
      <w:r>
        <w:rPr>
          <w:rFonts w:hint="eastAsia" w:asciiTheme="majorEastAsia" w:hAnsiTheme="majorEastAsia" w:eastAsiaTheme="majorEastAsia" w:cstheme="majorEastAsia"/>
          <w:b/>
          <w:bCs/>
          <w:sz w:val="44"/>
          <w:szCs w:val="44"/>
        </w:rPr>
        <w:t>决算</w:t>
      </w:r>
      <w:r>
        <w:rPr>
          <w:rFonts w:hint="eastAsia" w:asciiTheme="majorEastAsia" w:hAnsiTheme="majorEastAsia" w:eastAsiaTheme="majorEastAsia" w:cstheme="majorEastAsia"/>
          <w:b/>
          <w:bCs/>
          <w:sz w:val="44"/>
          <w:szCs w:val="44"/>
          <w:lang w:eastAsia="zh-CN"/>
        </w:rPr>
        <w:t>公开说明</w:t>
      </w:r>
    </w:p>
    <w:p w14:paraId="0A791FCE">
      <w:pPr>
        <w:pageBreakBefore w:val="0"/>
        <w:kinsoku/>
        <w:wordWrap/>
        <w:overflowPunct/>
        <w:topLinePunct w:val="0"/>
        <w:bidi w:val="0"/>
        <w:spacing w:line="560" w:lineRule="atLeast"/>
        <w:jc w:val="center"/>
        <w:outlineLvl w:val="0"/>
        <w:rPr>
          <w:rFonts w:ascii="Times New Roman" w:hAnsi="Times New Roman" w:eastAsia="方正小标宋简体"/>
          <w:color w:val="auto"/>
          <w:sz w:val="72"/>
          <w:szCs w:val="72"/>
          <w:highlight w:val="none"/>
        </w:rPr>
      </w:pPr>
    </w:p>
    <w:p w14:paraId="6E59BD9D">
      <w:pPr>
        <w:pStyle w:val="9"/>
        <w:pageBreakBefore w:val="0"/>
        <w:kinsoku/>
        <w:wordWrap/>
        <w:overflowPunct/>
        <w:topLinePunct w:val="0"/>
        <w:bidi w:val="0"/>
        <w:spacing w:line="560" w:lineRule="atLeast"/>
        <w:rPr>
          <w:rFonts w:ascii="Times New Roman" w:hAnsi="Times New Roman" w:eastAsia="方正小标宋简体"/>
          <w:color w:val="auto"/>
          <w:sz w:val="72"/>
          <w:szCs w:val="72"/>
          <w:highlight w:val="none"/>
        </w:rPr>
      </w:pPr>
    </w:p>
    <w:p w14:paraId="2489A27D">
      <w:pPr>
        <w:pStyle w:val="10"/>
        <w:pageBreakBefore w:val="0"/>
        <w:widowControl w:val="0"/>
        <w:numPr>
          <w:ilvl w:val="0"/>
          <w:numId w:val="0"/>
        </w:numPr>
        <w:kinsoku/>
        <w:wordWrap/>
        <w:overflowPunct/>
        <w:topLinePunct w:val="0"/>
        <w:bidi w:val="0"/>
        <w:spacing w:line="560" w:lineRule="atLeast"/>
        <w:jc w:val="both"/>
        <w:rPr>
          <w:rFonts w:ascii="Times New Roman" w:hAnsi="Times New Roman" w:eastAsia="方正小标宋简体"/>
          <w:color w:val="auto"/>
          <w:sz w:val="72"/>
          <w:szCs w:val="72"/>
          <w:highlight w:val="none"/>
        </w:rPr>
      </w:pPr>
    </w:p>
    <w:p w14:paraId="6C6680AE">
      <w:pPr>
        <w:pStyle w:val="10"/>
        <w:pageBreakBefore w:val="0"/>
        <w:widowControl w:val="0"/>
        <w:numPr>
          <w:ilvl w:val="0"/>
          <w:numId w:val="0"/>
        </w:numPr>
        <w:kinsoku/>
        <w:wordWrap/>
        <w:overflowPunct/>
        <w:topLinePunct w:val="0"/>
        <w:bidi w:val="0"/>
        <w:spacing w:line="560" w:lineRule="atLeast"/>
        <w:jc w:val="both"/>
        <w:rPr>
          <w:rFonts w:ascii="Times New Roman" w:hAnsi="Times New Roman" w:eastAsia="方正小标宋简体"/>
          <w:color w:val="auto"/>
          <w:sz w:val="72"/>
          <w:szCs w:val="72"/>
          <w:highlight w:val="none"/>
        </w:rPr>
      </w:pPr>
    </w:p>
    <w:p w14:paraId="2C9468F5">
      <w:pPr>
        <w:pStyle w:val="10"/>
        <w:pageBreakBefore w:val="0"/>
        <w:widowControl w:val="0"/>
        <w:numPr>
          <w:ilvl w:val="0"/>
          <w:numId w:val="0"/>
        </w:numPr>
        <w:kinsoku/>
        <w:wordWrap/>
        <w:overflowPunct/>
        <w:topLinePunct w:val="0"/>
        <w:bidi w:val="0"/>
        <w:spacing w:line="560" w:lineRule="atLeast"/>
        <w:jc w:val="both"/>
        <w:rPr>
          <w:rFonts w:ascii="Times New Roman" w:hAnsi="Times New Roman" w:eastAsia="方正小标宋简体"/>
          <w:color w:val="auto"/>
          <w:sz w:val="72"/>
          <w:szCs w:val="72"/>
          <w:highlight w:val="none"/>
        </w:rPr>
      </w:pPr>
    </w:p>
    <w:p w14:paraId="06CDE2C6">
      <w:pPr>
        <w:pStyle w:val="10"/>
        <w:pageBreakBefore w:val="0"/>
        <w:widowControl w:val="0"/>
        <w:numPr>
          <w:ilvl w:val="0"/>
          <w:numId w:val="0"/>
        </w:numPr>
        <w:kinsoku/>
        <w:wordWrap/>
        <w:overflowPunct/>
        <w:topLinePunct w:val="0"/>
        <w:bidi w:val="0"/>
        <w:spacing w:line="560" w:lineRule="atLeast"/>
        <w:jc w:val="both"/>
        <w:rPr>
          <w:rFonts w:ascii="Times New Roman" w:hAnsi="Times New Roman" w:eastAsia="方正小标宋简体"/>
          <w:color w:val="auto"/>
          <w:sz w:val="72"/>
          <w:szCs w:val="72"/>
          <w:highlight w:val="none"/>
        </w:rPr>
      </w:pPr>
    </w:p>
    <w:p w14:paraId="42197674">
      <w:pPr>
        <w:pStyle w:val="10"/>
        <w:pageBreakBefore w:val="0"/>
        <w:widowControl w:val="0"/>
        <w:numPr>
          <w:ilvl w:val="0"/>
          <w:numId w:val="0"/>
        </w:numPr>
        <w:kinsoku/>
        <w:wordWrap/>
        <w:overflowPunct/>
        <w:topLinePunct w:val="0"/>
        <w:bidi w:val="0"/>
        <w:spacing w:line="560" w:lineRule="atLeast"/>
        <w:jc w:val="both"/>
        <w:rPr>
          <w:rFonts w:ascii="Times New Roman" w:hAnsi="Times New Roman" w:eastAsia="方正小标宋简体"/>
          <w:color w:val="auto"/>
          <w:sz w:val="72"/>
          <w:szCs w:val="72"/>
          <w:highlight w:val="none"/>
        </w:rPr>
      </w:pPr>
    </w:p>
    <w:p w14:paraId="0D48BFD8">
      <w:pPr>
        <w:pStyle w:val="10"/>
        <w:pageBreakBefore w:val="0"/>
        <w:widowControl w:val="0"/>
        <w:numPr>
          <w:ilvl w:val="0"/>
          <w:numId w:val="0"/>
        </w:numPr>
        <w:kinsoku/>
        <w:wordWrap/>
        <w:overflowPunct/>
        <w:topLinePunct w:val="0"/>
        <w:bidi w:val="0"/>
        <w:spacing w:line="560" w:lineRule="atLeast"/>
        <w:jc w:val="both"/>
        <w:rPr>
          <w:rFonts w:ascii="Times New Roman" w:hAnsi="Times New Roman" w:eastAsia="方正小标宋简体"/>
          <w:color w:val="auto"/>
          <w:sz w:val="72"/>
          <w:szCs w:val="72"/>
          <w:highlight w:val="none"/>
        </w:rPr>
      </w:pPr>
    </w:p>
    <w:p w14:paraId="4B97378E">
      <w:pPr>
        <w:pStyle w:val="2"/>
        <w:pageBreakBefore w:val="0"/>
        <w:kinsoku/>
        <w:wordWrap/>
        <w:overflowPunct/>
        <w:topLinePunct w:val="0"/>
        <w:bidi w:val="0"/>
        <w:spacing w:line="560" w:lineRule="atLeast"/>
        <w:rPr>
          <w:rFonts w:ascii="Times New Roman" w:hAnsi="Times New Roman"/>
        </w:rPr>
        <w:sectPr>
          <w:footerReference r:id="rId5" w:type="first"/>
          <w:headerReference r:id="rId3" w:type="default"/>
          <w:footerReference r:id="rId4" w:type="default"/>
          <w:pgSz w:w="11906" w:h="16838"/>
          <w:pgMar w:top="1440" w:right="1800" w:bottom="1440" w:left="1800" w:header="851" w:footer="992" w:gutter="0"/>
          <w:pgNumType w:fmt="decimal" w:start="1"/>
          <w:cols w:space="425" w:num="1"/>
          <w:docGrid w:type="lines" w:linePitch="312" w:charSpace="0"/>
        </w:sectPr>
      </w:pPr>
    </w:p>
    <w:bookmarkEnd w:id="0"/>
    <w:bookmarkEnd w:id="1"/>
    <w:bookmarkEnd w:id="2"/>
    <w:bookmarkEnd w:id="3"/>
    <w:bookmarkEnd w:id="4"/>
    <w:bookmarkEnd w:id="5"/>
    <w:p w14:paraId="587CC41E">
      <w:pPr>
        <w:pageBreakBefore w:val="0"/>
        <w:widowControl/>
        <w:kinsoku/>
        <w:wordWrap/>
        <w:overflowPunct/>
        <w:topLinePunct w:val="0"/>
        <w:bidi w:val="0"/>
        <w:spacing w:line="560" w:lineRule="atLeast"/>
        <w:jc w:val="center"/>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14:paraId="521130BB">
      <w:pPr>
        <w:pageBreakBefore w:val="0"/>
        <w:widowControl/>
        <w:kinsoku/>
        <w:wordWrap/>
        <w:overflowPunct/>
        <w:topLinePunct w:val="0"/>
        <w:bidi w:val="0"/>
        <w:spacing w:line="560" w:lineRule="atLeast"/>
        <w:jc w:val="center"/>
        <w:rPr>
          <w:rFonts w:ascii="Times New Roman" w:hAnsi="Times New Roman" w:eastAsia="黑体" w:cstheme="minorBidi"/>
          <w:color w:val="auto"/>
          <w:sz w:val="28"/>
          <w:szCs w:val="28"/>
          <w:highlight w:val="none"/>
        </w:rPr>
      </w:pPr>
    </w:p>
    <w:p w14:paraId="6B2802C3">
      <w:pPr>
        <w:pStyle w:val="14"/>
        <w:pageBreakBefore w:val="0"/>
        <w:kinsoku/>
        <w:wordWrap/>
        <w:overflowPunct/>
        <w:topLinePunct w:val="0"/>
        <w:bidi w:val="0"/>
        <w:spacing w:line="560" w:lineRule="atLeast"/>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9月18</w:t>
      </w:r>
      <w:r>
        <w:rPr>
          <w:rFonts w:hint="eastAsia" w:ascii="Times New Roman" w:hAnsi="Times New Roman" w:eastAsia="仿宋_GB2312" w:cs="仿宋_GB2312"/>
          <w:color w:val="auto"/>
          <w:sz w:val="32"/>
          <w:szCs w:val="32"/>
          <w:highlight w:val="none"/>
        </w:rPr>
        <w:t>日</w:t>
      </w:r>
    </w:p>
    <w:p w14:paraId="1AC5699D">
      <w:pPr>
        <w:pageBreakBefore w:val="0"/>
        <w:kinsoku/>
        <w:wordWrap/>
        <w:overflowPunct/>
        <w:topLinePunct w:val="0"/>
        <w:bidi w:val="0"/>
        <w:spacing w:line="560" w:lineRule="atLeast"/>
        <w:rPr>
          <w:rFonts w:ascii="Times New Roman" w:hAnsi="Times New Roman"/>
          <w:color w:val="auto"/>
          <w:highlight w:val="none"/>
        </w:rPr>
      </w:pPr>
    </w:p>
    <w:p w14:paraId="453BD32A">
      <w:pPr>
        <w:pStyle w:val="14"/>
        <w:keepNext w:val="0"/>
        <w:keepLines w:val="0"/>
        <w:pageBreakBefore w:val="0"/>
        <w:kinsoku/>
        <w:wordWrap/>
        <w:overflowPunct/>
        <w:topLinePunct w:val="0"/>
        <w:autoSpaceDE/>
        <w:autoSpaceDN/>
        <w:bidi w:val="0"/>
        <w:adjustRightInd w:val="0"/>
        <w:snapToGrid w:val="0"/>
        <w:spacing w:before="0" w:line="560" w:lineRule="atLeas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第一部分 部门概况</w:t>
      </w:r>
    </w:p>
    <w:p w14:paraId="0C8C2889">
      <w:pPr>
        <w:pStyle w:val="17"/>
        <w:keepNext w:val="0"/>
        <w:keepLines w:val="0"/>
        <w:pageBreakBefore w:val="0"/>
        <w:widowControl w:val="0"/>
        <w:kinsoku/>
        <w:wordWrap/>
        <w:overflowPunct/>
        <w:topLinePunct w:val="0"/>
        <w:autoSpaceDE/>
        <w:autoSpaceDN/>
        <w:bidi w:val="0"/>
        <w:adjustRightInd w:val="0"/>
        <w:snapToGrid w:val="0"/>
        <w:spacing w:line="560" w:lineRule="atLeast"/>
        <w:ind w:left="0" w:leftChars="0" w:firstLine="640" w:firstLineChars="200"/>
        <w:jc w:val="left"/>
        <w:textAlignment w:val="auto"/>
        <w:rPr>
          <w:rFonts w:hint="eastAsia" w:ascii="Times New Roman" w:hAnsi="Times New Roman" w:eastAsia="宋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一、</w:t>
      </w:r>
      <w:r>
        <w:rPr>
          <w:rFonts w:hint="eastAsia" w:ascii="Times New Roman" w:hAnsi="Times New Roman" w:eastAsia="仿宋_GB2312" w:cs="仿宋_GB2312"/>
          <w:color w:val="auto"/>
          <w:sz w:val="32"/>
          <w:szCs w:val="32"/>
          <w:highlight w:val="none"/>
          <w:lang w:eastAsia="zh-CN"/>
        </w:rPr>
        <w:t>部门职责</w:t>
      </w:r>
      <w:r>
        <w:rPr>
          <w:sz w:val="24"/>
        </w:rPr>
        <w:tab/>
      </w:r>
      <w:r>
        <w:rPr>
          <w:rFonts w:hint="eastAsia"/>
          <w:sz w:val="24"/>
          <w:lang w:val="en-US" w:eastAsia="zh-CN"/>
        </w:rPr>
        <w:t>4</w:t>
      </w:r>
    </w:p>
    <w:p w14:paraId="6A7C8C6D">
      <w:pPr>
        <w:pStyle w:val="17"/>
        <w:keepNext w:val="0"/>
        <w:keepLines w:val="0"/>
        <w:pageBreakBefore w:val="0"/>
        <w:widowControl w:val="0"/>
        <w:kinsoku/>
        <w:wordWrap/>
        <w:overflowPunct/>
        <w:topLinePunct w:val="0"/>
        <w:autoSpaceDE/>
        <w:autoSpaceDN/>
        <w:bidi w:val="0"/>
        <w:adjustRightInd w:val="0"/>
        <w:snapToGrid w:val="0"/>
        <w:spacing w:line="560" w:lineRule="atLeas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二、机构设置</w:t>
      </w:r>
      <w:r>
        <w:rPr>
          <w:sz w:val="24"/>
        </w:rPr>
        <w:tab/>
      </w:r>
      <w:r>
        <w:rPr>
          <w:rFonts w:hint="eastAsia"/>
          <w:sz w:val="24"/>
          <w:lang w:val="en-US" w:eastAsia="zh-CN"/>
        </w:rPr>
        <w:t>4</w:t>
      </w:r>
    </w:p>
    <w:p w14:paraId="0A68628A">
      <w:pPr>
        <w:pStyle w:val="14"/>
        <w:keepNext w:val="0"/>
        <w:keepLines w:val="0"/>
        <w:pageBreakBefore w:val="0"/>
        <w:kinsoku/>
        <w:wordWrap/>
        <w:overflowPunct/>
        <w:topLinePunct w:val="0"/>
        <w:autoSpaceDE/>
        <w:autoSpaceDN/>
        <w:bidi w:val="0"/>
        <w:adjustRightInd w:val="0"/>
        <w:snapToGrid w:val="0"/>
        <w:spacing w:before="0" w:line="560" w:lineRule="atLeas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第二部分</w:t>
      </w:r>
      <w:r>
        <w:rPr>
          <w:rFonts w:hint="eastAsia" w:ascii="Times New Roman" w:hAnsi="Times New Roman" w:eastAsia="黑体" w:cs="黑体"/>
          <w:color w:val="auto"/>
          <w:sz w:val="32"/>
          <w:szCs w:val="32"/>
          <w:highlight w:val="none"/>
          <w:lang w:val="en-US" w:eastAsia="zh-CN"/>
        </w:rPr>
        <w:t xml:space="preserve"> 2025年度</w:t>
      </w:r>
      <w:r>
        <w:rPr>
          <w:rFonts w:hint="eastAsia" w:ascii="Times New Roman" w:hAnsi="Times New Roman" w:eastAsia="黑体" w:cs="黑体"/>
          <w:color w:val="auto"/>
          <w:sz w:val="32"/>
          <w:szCs w:val="32"/>
          <w:highlight w:val="none"/>
        </w:rPr>
        <w:t>部门决算情况说明</w:t>
      </w:r>
    </w:p>
    <w:p w14:paraId="6D810752">
      <w:pPr>
        <w:pStyle w:val="17"/>
        <w:keepNext w:val="0"/>
        <w:keepLines w:val="0"/>
        <w:pageBreakBefore w:val="0"/>
        <w:widowControl w:val="0"/>
        <w:kinsoku/>
        <w:wordWrap/>
        <w:overflowPunct/>
        <w:topLinePunct w:val="0"/>
        <w:autoSpaceDE/>
        <w:autoSpaceDN/>
        <w:bidi w:val="0"/>
        <w:adjustRightInd w:val="0"/>
        <w:snapToGrid w:val="0"/>
        <w:spacing w:line="560" w:lineRule="atLeast"/>
        <w:ind w:left="0" w:leftChars="0" w:firstLine="640" w:firstLineChars="200"/>
        <w:jc w:val="left"/>
        <w:textAlignment w:val="auto"/>
        <w:rPr>
          <w:rFonts w:hint="eastAsia" w:ascii="Times New Roman" w:hAnsi="Times New Roman" w:eastAsia="宋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一、收入支出决算总体情况说明</w:t>
      </w:r>
      <w:r>
        <w:rPr>
          <w:sz w:val="24"/>
        </w:rPr>
        <w:tab/>
      </w:r>
      <w:r>
        <w:rPr>
          <w:rFonts w:hint="eastAsia"/>
          <w:sz w:val="24"/>
          <w:lang w:val="en-US" w:eastAsia="zh-CN"/>
        </w:rPr>
        <w:t>5</w:t>
      </w:r>
    </w:p>
    <w:p w14:paraId="2223ECCA">
      <w:pPr>
        <w:pStyle w:val="17"/>
        <w:keepNext w:val="0"/>
        <w:keepLines w:val="0"/>
        <w:pageBreakBefore w:val="0"/>
        <w:widowControl w:val="0"/>
        <w:kinsoku/>
        <w:wordWrap/>
        <w:overflowPunct/>
        <w:topLinePunct w:val="0"/>
        <w:autoSpaceDE/>
        <w:autoSpaceDN/>
        <w:bidi w:val="0"/>
        <w:adjustRightInd w:val="0"/>
        <w:snapToGrid w:val="0"/>
        <w:spacing w:line="560" w:lineRule="atLeast"/>
        <w:ind w:left="0" w:leftChars="0" w:firstLine="640" w:firstLineChars="200"/>
        <w:jc w:val="left"/>
        <w:textAlignment w:val="auto"/>
        <w:rPr>
          <w:rFonts w:hint="eastAsia" w:ascii="Times New Roman" w:hAnsi="Times New Roman" w:eastAsia="宋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二、收入决算情况说明</w:t>
      </w:r>
      <w:r>
        <w:rPr>
          <w:sz w:val="24"/>
        </w:rPr>
        <w:tab/>
      </w:r>
      <w:r>
        <w:rPr>
          <w:rFonts w:hint="eastAsia"/>
          <w:sz w:val="24"/>
          <w:lang w:val="en-US" w:eastAsia="zh-CN"/>
        </w:rPr>
        <w:t>6</w:t>
      </w:r>
    </w:p>
    <w:p w14:paraId="02F71217">
      <w:pPr>
        <w:pStyle w:val="17"/>
        <w:keepNext w:val="0"/>
        <w:keepLines w:val="0"/>
        <w:pageBreakBefore w:val="0"/>
        <w:widowControl w:val="0"/>
        <w:kinsoku/>
        <w:wordWrap/>
        <w:overflowPunct/>
        <w:topLinePunct w:val="0"/>
        <w:autoSpaceDE/>
        <w:autoSpaceDN/>
        <w:bidi w:val="0"/>
        <w:adjustRightInd w:val="0"/>
        <w:snapToGrid w:val="0"/>
        <w:spacing w:line="560" w:lineRule="atLeas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三、支出决算情况说明</w:t>
      </w:r>
      <w:r>
        <w:rPr>
          <w:sz w:val="24"/>
        </w:rPr>
        <w:tab/>
      </w:r>
      <w:r>
        <w:rPr>
          <w:rFonts w:hint="eastAsia"/>
          <w:sz w:val="24"/>
          <w:lang w:val="en-US" w:eastAsia="zh-CN"/>
        </w:rPr>
        <w:t>6</w:t>
      </w:r>
    </w:p>
    <w:p w14:paraId="3BA2473C">
      <w:pPr>
        <w:pStyle w:val="17"/>
        <w:keepNext w:val="0"/>
        <w:keepLines w:val="0"/>
        <w:pageBreakBefore w:val="0"/>
        <w:widowControl w:val="0"/>
        <w:kinsoku/>
        <w:wordWrap/>
        <w:overflowPunct/>
        <w:topLinePunct w:val="0"/>
        <w:autoSpaceDE/>
        <w:autoSpaceDN/>
        <w:bidi w:val="0"/>
        <w:adjustRightInd w:val="0"/>
        <w:snapToGrid w:val="0"/>
        <w:spacing w:line="560" w:lineRule="atLeas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四、财政拨款收入支出决算总体情况说明</w:t>
      </w:r>
      <w:r>
        <w:rPr>
          <w:sz w:val="24"/>
        </w:rPr>
        <w:tab/>
      </w:r>
      <w:r>
        <w:rPr>
          <w:rFonts w:hint="eastAsia"/>
          <w:sz w:val="24"/>
          <w:lang w:val="en-US" w:eastAsia="zh-CN"/>
        </w:rPr>
        <w:t>7</w:t>
      </w:r>
    </w:p>
    <w:p w14:paraId="7B56599C">
      <w:pPr>
        <w:pStyle w:val="17"/>
        <w:keepNext w:val="0"/>
        <w:keepLines w:val="0"/>
        <w:pageBreakBefore w:val="0"/>
        <w:widowControl w:val="0"/>
        <w:kinsoku/>
        <w:wordWrap/>
        <w:overflowPunct/>
        <w:topLinePunct w:val="0"/>
        <w:autoSpaceDE/>
        <w:autoSpaceDN/>
        <w:bidi w:val="0"/>
        <w:adjustRightInd w:val="0"/>
        <w:snapToGrid w:val="0"/>
        <w:spacing w:line="560" w:lineRule="atLeast"/>
        <w:ind w:left="0" w:leftChars="0" w:firstLine="640" w:firstLineChars="200"/>
        <w:jc w:val="left"/>
        <w:textAlignment w:val="auto"/>
        <w:rPr>
          <w:rFonts w:hint="eastAsia" w:ascii="Times New Roman" w:hAnsi="Times New Roman" w:eastAsia="宋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五、一般公共预算财政拨款支出决算情况说明</w:t>
      </w:r>
      <w:r>
        <w:rPr>
          <w:sz w:val="24"/>
        </w:rPr>
        <w:tab/>
      </w:r>
      <w:r>
        <w:rPr>
          <w:rFonts w:hint="eastAsia"/>
          <w:sz w:val="24"/>
          <w:lang w:val="en-US" w:eastAsia="zh-CN"/>
        </w:rPr>
        <w:t>8</w:t>
      </w:r>
    </w:p>
    <w:p w14:paraId="26945C19">
      <w:pPr>
        <w:pStyle w:val="17"/>
        <w:keepNext w:val="0"/>
        <w:keepLines w:val="0"/>
        <w:pageBreakBefore w:val="0"/>
        <w:widowControl w:val="0"/>
        <w:kinsoku/>
        <w:wordWrap/>
        <w:overflowPunct/>
        <w:topLinePunct w:val="0"/>
        <w:autoSpaceDE/>
        <w:autoSpaceDN/>
        <w:bidi w:val="0"/>
        <w:adjustRightInd w:val="0"/>
        <w:snapToGrid w:val="0"/>
        <w:spacing w:line="560" w:lineRule="atLeast"/>
        <w:ind w:left="0" w:leftChars="0" w:firstLine="640" w:firstLineChars="200"/>
        <w:jc w:val="left"/>
        <w:textAlignment w:val="auto"/>
        <w:rPr>
          <w:rFonts w:hint="default" w:ascii="Times New Roman" w:hAnsi="Times New Roman" w:eastAsia="宋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六、一般公共预算财政拨款基本支出决算情况说明</w:t>
      </w:r>
      <w:r>
        <w:rPr>
          <w:sz w:val="24"/>
        </w:rPr>
        <w:tab/>
      </w:r>
      <w:r>
        <w:rPr>
          <w:rFonts w:hint="eastAsia"/>
          <w:sz w:val="24"/>
          <w:lang w:val="en-US" w:eastAsia="zh-CN"/>
        </w:rPr>
        <w:t>11</w:t>
      </w:r>
    </w:p>
    <w:p w14:paraId="59B1D38D">
      <w:pPr>
        <w:pStyle w:val="17"/>
        <w:keepNext w:val="0"/>
        <w:keepLines w:val="0"/>
        <w:pageBreakBefore w:val="0"/>
        <w:widowControl w:val="0"/>
        <w:kinsoku/>
        <w:wordWrap/>
        <w:overflowPunct/>
        <w:topLinePunct w:val="0"/>
        <w:autoSpaceDE/>
        <w:autoSpaceDN/>
        <w:bidi w:val="0"/>
        <w:adjustRightInd w:val="0"/>
        <w:snapToGrid w:val="0"/>
        <w:spacing w:line="560" w:lineRule="atLeas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七、财政拨款</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三公”经费支出决算情况说明</w:t>
      </w:r>
      <w:r>
        <w:rPr>
          <w:sz w:val="24"/>
        </w:rPr>
        <w:tab/>
      </w:r>
      <w:r>
        <w:rPr>
          <w:rFonts w:hint="eastAsia"/>
          <w:sz w:val="24"/>
          <w:lang w:val="en-US" w:eastAsia="zh-CN"/>
        </w:rPr>
        <w:t>11</w:t>
      </w:r>
    </w:p>
    <w:p w14:paraId="48C60FBD">
      <w:pPr>
        <w:pStyle w:val="17"/>
        <w:keepNext w:val="0"/>
        <w:keepLines w:val="0"/>
        <w:pageBreakBefore w:val="0"/>
        <w:widowControl w:val="0"/>
        <w:kinsoku/>
        <w:wordWrap/>
        <w:overflowPunct/>
        <w:topLinePunct w:val="0"/>
        <w:autoSpaceDE/>
        <w:autoSpaceDN/>
        <w:bidi w:val="0"/>
        <w:adjustRightInd w:val="0"/>
        <w:snapToGrid w:val="0"/>
        <w:spacing w:line="560" w:lineRule="atLeas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八、政府性基金预算支出决算情况说明</w:t>
      </w:r>
      <w:r>
        <w:rPr>
          <w:sz w:val="24"/>
        </w:rPr>
        <w:tab/>
      </w:r>
      <w:r>
        <w:rPr>
          <w:rFonts w:hint="eastAsia"/>
          <w:sz w:val="24"/>
          <w:lang w:val="en-US" w:eastAsia="zh-CN"/>
        </w:rPr>
        <w:t>13</w:t>
      </w:r>
    </w:p>
    <w:p w14:paraId="5260F7A6">
      <w:pPr>
        <w:pStyle w:val="17"/>
        <w:keepNext w:val="0"/>
        <w:keepLines w:val="0"/>
        <w:pageBreakBefore w:val="0"/>
        <w:widowControl w:val="0"/>
        <w:kinsoku/>
        <w:wordWrap/>
        <w:overflowPunct/>
        <w:topLinePunct w:val="0"/>
        <w:autoSpaceDE/>
        <w:autoSpaceDN/>
        <w:bidi w:val="0"/>
        <w:adjustRightInd w:val="0"/>
        <w:snapToGrid w:val="0"/>
        <w:spacing w:line="560" w:lineRule="atLeas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九、</w:t>
      </w:r>
      <w:r>
        <w:rPr>
          <w:rFonts w:hint="eastAsia" w:ascii="Times New Roman" w:hAnsi="Times New Roman" w:eastAsia="仿宋_GB2312" w:cs="仿宋_GB2312"/>
          <w:color w:val="auto"/>
          <w:sz w:val="32"/>
          <w:szCs w:val="32"/>
          <w:highlight w:val="none"/>
          <w:lang w:eastAsia="zh-CN"/>
        </w:rPr>
        <w:t>国</w:t>
      </w:r>
      <w:r>
        <w:rPr>
          <w:rFonts w:hint="eastAsia" w:ascii="Times New Roman" w:hAnsi="Times New Roman" w:eastAsia="仿宋_GB2312" w:cs="仿宋_GB2312"/>
          <w:color w:val="auto"/>
          <w:sz w:val="32"/>
          <w:szCs w:val="32"/>
          <w:highlight w:val="none"/>
        </w:rPr>
        <w:t>有资本经营预算支出决算情况说明</w:t>
      </w:r>
      <w:r>
        <w:rPr>
          <w:sz w:val="24"/>
        </w:rPr>
        <w:tab/>
      </w:r>
      <w:r>
        <w:rPr>
          <w:rFonts w:hint="eastAsia"/>
          <w:sz w:val="24"/>
          <w:lang w:val="en-US" w:eastAsia="zh-CN"/>
        </w:rPr>
        <w:t>13</w:t>
      </w:r>
    </w:p>
    <w:p w14:paraId="0FE52EFD">
      <w:pPr>
        <w:pStyle w:val="17"/>
        <w:keepNext w:val="0"/>
        <w:keepLines w:val="0"/>
        <w:pageBreakBefore w:val="0"/>
        <w:widowControl w:val="0"/>
        <w:kinsoku/>
        <w:wordWrap/>
        <w:overflowPunct/>
        <w:topLinePunct w:val="0"/>
        <w:autoSpaceDE/>
        <w:autoSpaceDN/>
        <w:bidi w:val="0"/>
        <w:adjustRightInd w:val="0"/>
        <w:snapToGrid w:val="0"/>
        <w:spacing w:line="560" w:lineRule="atLeas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lang w:eastAsia="zh-CN"/>
        </w:rPr>
        <w:t>十</w:t>
      </w:r>
      <w:r>
        <w:rPr>
          <w:rFonts w:hint="eastAsia" w:ascii="Times New Roman" w:hAnsi="Times New Roman" w:eastAsia="仿宋_GB2312" w:cs="仿宋_GB2312"/>
          <w:color w:val="auto"/>
          <w:sz w:val="32"/>
          <w:szCs w:val="32"/>
          <w:highlight w:val="none"/>
        </w:rPr>
        <w:t>、其他重要事项的情况说明</w:t>
      </w:r>
      <w:r>
        <w:rPr>
          <w:sz w:val="24"/>
        </w:rPr>
        <w:tab/>
      </w:r>
      <w:r>
        <w:rPr>
          <w:rFonts w:hint="eastAsia"/>
          <w:sz w:val="24"/>
          <w:lang w:val="en-US" w:eastAsia="zh-CN"/>
        </w:rPr>
        <w:t>14</w:t>
      </w:r>
    </w:p>
    <w:p w14:paraId="27142552">
      <w:pPr>
        <w:pStyle w:val="14"/>
        <w:keepNext w:val="0"/>
        <w:keepLines w:val="0"/>
        <w:pageBreakBefore w:val="0"/>
        <w:kinsoku/>
        <w:wordWrap/>
        <w:overflowPunct/>
        <w:topLinePunct w:val="0"/>
        <w:autoSpaceDE/>
        <w:autoSpaceDN/>
        <w:bidi w:val="0"/>
        <w:adjustRightInd w:val="0"/>
        <w:snapToGrid w:val="0"/>
        <w:spacing w:before="0" w:line="560" w:lineRule="atLeast"/>
        <w:jc w:val="left"/>
        <w:textAlignment w:val="auto"/>
        <w:rPr>
          <w:rFonts w:hint="default" w:ascii="Times New Roman" w:hAnsi="Times New Roman" w:eastAsia="黑体" w:cs="黑体"/>
          <w:color w:val="auto"/>
          <w:sz w:val="32"/>
          <w:szCs w:val="32"/>
          <w:highlight w:val="none"/>
          <w:lang w:val="en-US"/>
        </w:rPr>
      </w:pPr>
      <w:r>
        <w:rPr>
          <w:rFonts w:hint="eastAsia" w:ascii="Times New Roman" w:hAnsi="Times New Roman" w:eastAsia="黑体" w:cs="黑体"/>
          <w:color w:val="auto"/>
          <w:sz w:val="32"/>
          <w:szCs w:val="32"/>
          <w:highlight w:val="none"/>
        </w:rPr>
        <w:t>第三部分 名词解释</w:t>
      </w:r>
      <w:r>
        <w:rPr>
          <w:sz w:val="24"/>
        </w:rPr>
        <w:tab/>
      </w:r>
      <w:r>
        <w:rPr>
          <w:rFonts w:hint="eastAsia"/>
          <w:sz w:val="24"/>
          <w:lang w:val="en-US" w:eastAsia="zh-CN"/>
        </w:rPr>
        <w:t>16</w:t>
      </w:r>
    </w:p>
    <w:p w14:paraId="590B9B59">
      <w:pPr>
        <w:pStyle w:val="14"/>
        <w:keepNext w:val="0"/>
        <w:keepLines w:val="0"/>
        <w:pageBreakBefore w:val="0"/>
        <w:kinsoku/>
        <w:wordWrap/>
        <w:overflowPunct/>
        <w:topLinePunct w:val="0"/>
        <w:autoSpaceDE/>
        <w:autoSpaceDN/>
        <w:bidi w:val="0"/>
        <w:adjustRightInd w:val="0"/>
        <w:snapToGrid w:val="0"/>
        <w:spacing w:before="0" w:line="560" w:lineRule="atLeast"/>
        <w:jc w:val="left"/>
        <w:textAlignment w:val="auto"/>
        <w:rPr>
          <w:rFonts w:hint="default" w:ascii="Times New Roman" w:hAnsi="Times New Roman" w:eastAsia="黑体" w:cs="黑体"/>
          <w:color w:val="auto"/>
          <w:sz w:val="32"/>
          <w:szCs w:val="32"/>
          <w:highlight w:val="none"/>
          <w:lang w:val="en-US"/>
        </w:rPr>
      </w:pPr>
      <w:r>
        <w:rPr>
          <w:rFonts w:hint="eastAsia" w:ascii="Times New Roman" w:hAnsi="Times New Roman" w:eastAsia="黑体" w:cs="黑体"/>
          <w:color w:val="auto"/>
          <w:sz w:val="32"/>
          <w:szCs w:val="32"/>
          <w:highlight w:val="none"/>
        </w:rPr>
        <w:t>第四部分 附件</w:t>
      </w:r>
      <w:r>
        <w:rPr>
          <w:sz w:val="24"/>
        </w:rPr>
        <w:tab/>
      </w:r>
      <w:r>
        <w:rPr>
          <w:rFonts w:hint="eastAsia"/>
          <w:sz w:val="24"/>
          <w:lang w:val="en-US" w:eastAsia="zh-CN"/>
        </w:rPr>
        <w:t>29</w:t>
      </w:r>
    </w:p>
    <w:p w14:paraId="24469D8A">
      <w:pPr>
        <w:pStyle w:val="14"/>
        <w:keepNext w:val="0"/>
        <w:keepLines w:val="0"/>
        <w:pageBreakBefore w:val="0"/>
        <w:kinsoku/>
        <w:wordWrap/>
        <w:overflowPunct/>
        <w:topLinePunct w:val="0"/>
        <w:autoSpaceDE/>
        <w:autoSpaceDN/>
        <w:bidi w:val="0"/>
        <w:adjustRightInd w:val="0"/>
        <w:snapToGrid w:val="0"/>
        <w:spacing w:before="0" w:line="560" w:lineRule="atLeast"/>
        <w:jc w:val="left"/>
        <w:textAlignment w:val="auto"/>
        <w:rPr>
          <w:rFonts w:hint="default" w:ascii="Times New Roman" w:hAnsi="Times New Roman" w:eastAsia="仿宋" w:cs="黑体"/>
          <w:color w:val="auto"/>
          <w:sz w:val="32"/>
          <w:szCs w:val="32"/>
          <w:highlight w:val="none"/>
          <w:lang w:val="en-US" w:eastAsia="zh-CN"/>
        </w:rPr>
      </w:pPr>
      <w:r>
        <w:rPr>
          <w:rFonts w:hint="eastAsia" w:ascii="Times New Roman" w:hAnsi="Times New Roman" w:eastAsia="黑体" w:cs="黑体"/>
          <w:color w:val="auto"/>
          <w:sz w:val="32"/>
          <w:szCs w:val="32"/>
          <w:highlight w:val="none"/>
        </w:rPr>
        <w:t>第五部分 附表</w:t>
      </w:r>
      <w:r>
        <w:rPr>
          <w:sz w:val="24"/>
        </w:rPr>
        <w:tab/>
      </w:r>
      <w:r>
        <w:rPr>
          <w:rFonts w:hint="eastAsia"/>
          <w:sz w:val="24"/>
          <w:lang w:val="en-US" w:eastAsia="zh-CN"/>
        </w:rPr>
        <w:t>50</w:t>
      </w:r>
    </w:p>
    <w:p w14:paraId="5B949247">
      <w:pPr>
        <w:pStyle w:val="17"/>
        <w:keepNext w:val="0"/>
        <w:keepLines w:val="0"/>
        <w:pageBreakBefore w:val="0"/>
        <w:widowControl w:val="0"/>
        <w:kinsoku/>
        <w:wordWrap/>
        <w:overflowPunct/>
        <w:topLinePunct w:val="0"/>
        <w:autoSpaceDE/>
        <w:autoSpaceDN/>
        <w:bidi w:val="0"/>
        <w:adjustRightInd w:val="0"/>
        <w:snapToGrid w:val="0"/>
        <w:spacing w:line="560" w:lineRule="atLeast"/>
        <w:ind w:left="0" w:leftChars="0" w:firstLine="640" w:firstLineChars="200"/>
        <w:jc w:val="left"/>
        <w:textAlignment w:val="auto"/>
        <w:rPr>
          <w:rFonts w:hint="default" w:ascii="Times New Roman" w:hAnsi="Times New Roman" w:eastAsia="宋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一、收入支出决算总表</w:t>
      </w:r>
      <w:r>
        <w:rPr>
          <w:sz w:val="24"/>
        </w:rPr>
        <w:tab/>
      </w:r>
      <w:r>
        <w:rPr>
          <w:rFonts w:hint="eastAsia"/>
          <w:sz w:val="24"/>
          <w:lang w:val="en-US" w:eastAsia="zh-CN"/>
        </w:rPr>
        <w:t>51</w:t>
      </w:r>
    </w:p>
    <w:p w14:paraId="72B496A6">
      <w:pPr>
        <w:pStyle w:val="17"/>
        <w:keepNext w:val="0"/>
        <w:keepLines w:val="0"/>
        <w:pageBreakBefore w:val="0"/>
        <w:widowControl w:val="0"/>
        <w:kinsoku/>
        <w:wordWrap/>
        <w:overflowPunct/>
        <w:topLinePunct w:val="0"/>
        <w:autoSpaceDE/>
        <w:autoSpaceDN/>
        <w:bidi w:val="0"/>
        <w:adjustRightInd w:val="0"/>
        <w:snapToGrid w:val="0"/>
        <w:spacing w:line="560" w:lineRule="atLeast"/>
        <w:ind w:left="0" w:leftChars="0" w:firstLine="640" w:firstLineChars="200"/>
        <w:jc w:val="left"/>
        <w:textAlignment w:val="auto"/>
        <w:rPr>
          <w:rFonts w:hint="default" w:ascii="Times New Roman" w:hAnsi="Times New Roman" w:eastAsia="宋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二、收入决算表</w:t>
      </w:r>
      <w:r>
        <w:rPr>
          <w:sz w:val="24"/>
        </w:rPr>
        <w:tab/>
      </w:r>
      <w:r>
        <w:rPr>
          <w:rFonts w:hint="eastAsia"/>
          <w:sz w:val="24"/>
          <w:lang w:val="en-US" w:eastAsia="zh-CN"/>
        </w:rPr>
        <w:t>52</w:t>
      </w:r>
    </w:p>
    <w:p w14:paraId="553FFB6E">
      <w:pPr>
        <w:pStyle w:val="17"/>
        <w:keepNext w:val="0"/>
        <w:keepLines w:val="0"/>
        <w:pageBreakBefore w:val="0"/>
        <w:widowControl w:val="0"/>
        <w:kinsoku/>
        <w:wordWrap/>
        <w:overflowPunct/>
        <w:topLinePunct w:val="0"/>
        <w:autoSpaceDE/>
        <w:autoSpaceDN/>
        <w:bidi w:val="0"/>
        <w:adjustRightInd w:val="0"/>
        <w:snapToGrid w:val="0"/>
        <w:spacing w:line="560" w:lineRule="atLeast"/>
        <w:ind w:left="0" w:leftChars="0" w:firstLine="640" w:firstLineChars="200"/>
        <w:jc w:val="left"/>
        <w:textAlignment w:val="auto"/>
        <w:rPr>
          <w:rFonts w:hint="default" w:ascii="Times New Roman" w:hAnsi="Times New Roman" w:eastAsia="宋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三、支出决算表</w:t>
      </w:r>
      <w:r>
        <w:rPr>
          <w:sz w:val="24"/>
        </w:rPr>
        <w:tab/>
      </w:r>
      <w:r>
        <w:rPr>
          <w:rFonts w:hint="eastAsia"/>
          <w:sz w:val="24"/>
          <w:lang w:val="en-US" w:eastAsia="zh-CN"/>
        </w:rPr>
        <w:t>53</w:t>
      </w:r>
    </w:p>
    <w:p w14:paraId="0D86716F">
      <w:pPr>
        <w:pageBreakBefore w:val="0"/>
        <w:widowControl/>
        <w:kinsoku/>
        <w:wordWrap/>
        <w:overflowPunct/>
        <w:topLinePunct w:val="0"/>
        <w:bidi w:val="0"/>
        <w:spacing w:line="560" w:lineRule="atLeast"/>
        <w:jc w:val="center"/>
        <w:rPr>
          <w:rFonts w:hint="eastAsia" w:ascii="Times New Roman" w:hAnsi="Times New Roman" w:eastAsia="黑体"/>
          <w:color w:val="auto"/>
          <w:sz w:val="48"/>
          <w:szCs w:val="48"/>
          <w:highlight w:val="none"/>
        </w:rPr>
        <w:sectPr>
          <w:footerReference r:id="rId7" w:type="first"/>
          <w:footerReference r:id="rId6" w:type="default"/>
          <w:pgSz w:w="11906" w:h="16838"/>
          <w:pgMar w:top="1440" w:right="1800" w:bottom="1440" w:left="1800" w:header="851" w:footer="992" w:gutter="0"/>
          <w:pgNumType w:fmt="decimal"/>
          <w:cols w:space="425" w:num="1"/>
          <w:titlePg/>
          <w:docGrid w:type="lines" w:linePitch="312" w:charSpace="0"/>
        </w:sectPr>
      </w:pPr>
    </w:p>
    <w:p w14:paraId="04BD4BBF">
      <w:pPr>
        <w:pStyle w:val="17"/>
        <w:keepNext w:val="0"/>
        <w:keepLines w:val="0"/>
        <w:pageBreakBefore w:val="0"/>
        <w:widowControl w:val="0"/>
        <w:kinsoku/>
        <w:wordWrap/>
        <w:overflowPunct/>
        <w:topLinePunct w:val="0"/>
        <w:autoSpaceDE/>
        <w:autoSpaceDN/>
        <w:bidi w:val="0"/>
        <w:adjustRightInd w:val="0"/>
        <w:snapToGrid w:val="0"/>
        <w:spacing w:line="560" w:lineRule="atLeast"/>
        <w:ind w:left="0" w:leftChars="0" w:firstLine="640" w:firstLineChars="200"/>
        <w:jc w:val="left"/>
        <w:textAlignment w:val="auto"/>
        <w:rPr>
          <w:rFonts w:hint="eastAsia" w:ascii="Times New Roman" w:hAnsi="Times New Roman" w:eastAsia="仿宋_GB2312" w:cs="仿宋_GB2312"/>
          <w:color w:val="auto"/>
          <w:sz w:val="32"/>
          <w:szCs w:val="32"/>
          <w:highlight w:val="none"/>
        </w:rPr>
      </w:pPr>
    </w:p>
    <w:p w14:paraId="3B0FCE3A">
      <w:pPr>
        <w:pStyle w:val="17"/>
        <w:keepNext w:val="0"/>
        <w:keepLines w:val="0"/>
        <w:pageBreakBefore w:val="0"/>
        <w:widowControl w:val="0"/>
        <w:kinsoku/>
        <w:wordWrap/>
        <w:overflowPunct/>
        <w:topLinePunct w:val="0"/>
        <w:autoSpaceDE/>
        <w:autoSpaceDN/>
        <w:bidi w:val="0"/>
        <w:adjustRightInd w:val="0"/>
        <w:snapToGrid w:val="0"/>
        <w:spacing w:line="560" w:lineRule="atLeast"/>
        <w:ind w:left="0" w:leftChars="0" w:firstLine="640" w:firstLineChars="200"/>
        <w:jc w:val="left"/>
        <w:textAlignment w:val="auto"/>
        <w:rPr>
          <w:rFonts w:hint="default" w:ascii="Times New Roman" w:hAnsi="Times New Roman" w:eastAsia="宋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四、财政拨款收入支出决算总表</w:t>
      </w:r>
      <w:r>
        <w:rPr>
          <w:sz w:val="24"/>
        </w:rPr>
        <w:tab/>
      </w:r>
      <w:r>
        <w:rPr>
          <w:rFonts w:hint="eastAsia"/>
          <w:sz w:val="24"/>
          <w:lang w:val="en-US" w:eastAsia="zh-CN"/>
        </w:rPr>
        <w:t>54</w:t>
      </w:r>
    </w:p>
    <w:p w14:paraId="12A53D58">
      <w:pPr>
        <w:pStyle w:val="17"/>
        <w:keepNext w:val="0"/>
        <w:keepLines w:val="0"/>
        <w:pageBreakBefore w:val="0"/>
        <w:widowControl w:val="0"/>
        <w:kinsoku/>
        <w:wordWrap/>
        <w:overflowPunct/>
        <w:topLinePunct w:val="0"/>
        <w:autoSpaceDE/>
        <w:autoSpaceDN/>
        <w:bidi w:val="0"/>
        <w:adjustRightInd w:val="0"/>
        <w:snapToGrid w:val="0"/>
        <w:spacing w:line="560" w:lineRule="atLeast"/>
        <w:ind w:left="0" w:leftChars="0" w:firstLine="640" w:firstLineChars="200"/>
        <w:jc w:val="left"/>
        <w:textAlignment w:val="auto"/>
        <w:rPr>
          <w:rFonts w:hint="default" w:ascii="Times New Roman" w:hAnsi="Times New Roman" w:eastAsia="宋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五、财政拨款支出决算明细表</w:t>
      </w:r>
      <w:r>
        <w:rPr>
          <w:sz w:val="24"/>
        </w:rPr>
        <w:tab/>
      </w:r>
      <w:r>
        <w:rPr>
          <w:rFonts w:hint="eastAsia"/>
          <w:sz w:val="24"/>
          <w:lang w:val="en-US" w:eastAsia="zh-CN"/>
        </w:rPr>
        <w:t>55</w:t>
      </w:r>
    </w:p>
    <w:p w14:paraId="29F718F9">
      <w:pPr>
        <w:pStyle w:val="17"/>
        <w:keepNext w:val="0"/>
        <w:keepLines w:val="0"/>
        <w:pageBreakBefore w:val="0"/>
        <w:widowControl w:val="0"/>
        <w:kinsoku/>
        <w:wordWrap/>
        <w:overflowPunct/>
        <w:topLinePunct w:val="0"/>
        <w:autoSpaceDE/>
        <w:autoSpaceDN/>
        <w:bidi w:val="0"/>
        <w:adjustRightInd w:val="0"/>
        <w:snapToGrid w:val="0"/>
        <w:spacing w:line="560" w:lineRule="atLeast"/>
        <w:ind w:left="0" w:leftChars="0" w:firstLine="640" w:firstLineChars="200"/>
        <w:jc w:val="left"/>
        <w:textAlignment w:val="auto"/>
        <w:rPr>
          <w:rFonts w:hint="default" w:ascii="Times New Roman" w:hAnsi="Times New Roman" w:eastAsia="宋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六、一般公共预算财政拨款支出决算表</w:t>
      </w:r>
      <w:r>
        <w:rPr>
          <w:sz w:val="24"/>
        </w:rPr>
        <w:tab/>
      </w:r>
      <w:r>
        <w:rPr>
          <w:rFonts w:hint="eastAsia"/>
          <w:sz w:val="24"/>
          <w:lang w:val="en-US" w:eastAsia="zh-CN"/>
        </w:rPr>
        <w:t>56</w:t>
      </w:r>
    </w:p>
    <w:p w14:paraId="394F21A1">
      <w:pPr>
        <w:pStyle w:val="17"/>
        <w:keepNext w:val="0"/>
        <w:keepLines w:val="0"/>
        <w:pageBreakBefore w:val="0"/>
        <w:widowControl w:val="0"/>
        <w:kinsoku/>
        <w:wordWrap/>
        <w:overflowPunct/>
        <w:topLinePunct w:val="0"/>
        <w:autoSpaceDE/>
        <w:autoSpaceDN/>
        <w:bidi w:val="0"/>
        <w:adjustRightInd w:val="0"/>
        <w:snapToGrid w:val="0"/>
        <w:spacing w:line="560" w:lineRule="atLeast"/>
        <w:ind w:left="0" w:leftChars="0" w:firstLine="640" w:firstLineChars="200"/>
        <w:jc w:val="left"/>
        <w:textAlignment w:val="auto"/>
        <w:rPr>
          <w:rFonts w:hint="default" w:ascii="Times New Roman" w:hAnsi="Times New Roman" w:eastAsia="宋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七、一般公共预算财政拨款支出决算明细表</w:t>
      </w:r>
      <w:r>
        <w:rPr>
          <w:sz w:val="24"/>
        </w:rPr>
        <w:tab/>
      </w:r>
      <w:r>
        <w:rPr>
          <w:rFonts w:hint="eastAsia"/>
          <w:sz w:val="24"/>
          <w:lang w:val="en-US" w:eastAsia="zh-CN"/>
        </w:rPr>
        <w:t>57</w:t>
      </w:r>
    </w:p>
    <w:p w14:paraId="1A3B2AC9">
      <w:pPr>
        <w:pStyle w:val="17"/>
        <w:keepNext w:val="0"/>
        <w:keepLines w:val="0"/>
        <w:pageBreakBefore w:val="0"/>
        <w:widowControl w:val="0"/>
        <w:kinsoku/>
        <w:wordWrap/>
        <w:overflowPunct/>
        <w:topLinePunct w:val="0"/>
        <w:autoSpaceDE/>
        <w:autoSpaceDN/>
        <w:bidi w:val="0"/>
        <w:adjustRightInd w:val="0"/>
        <w:snapToGrid w:val="0"/>
        <w:spacing w:line="560" w:lineRule="atLeast"/>
        <w:ind w:left="0" w:leftChars="0" w:firstLine="640" w:firstLineChars="200"/>
        <w:jc w:val="left"/>
        <w:textAlignment w:val="auto"/>
        <w:rPr>
          <w:rFonts w:hint="default" w:ascii="Times New Roman" w:hAnsi="Times New Roman" w:eastAsia="宋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八、一般公共预算财政拨款基本支出决算</w:t>
      </w:r>
      <w:r>
        <w:rPr>
          <w:rFonts w:hint="eastAsia" w:ascii="Times New Roman" w:hAnsi="Times New Roman" w:eastAsia="仿宋_GB2312" w:cs="仿宋_GB2312"/>
          <w:color w:val="auto"/>
          <w:sz w:val="32"/>
          <w:szCs w:val="32"/>
          <w:highlight w:val="none"/>
          <w:lang w:eastAsia="zh-CN"/>
        </w:rPr>
        <w:t>明细</w:t>
      </w:r>
      <w:r>
        <w:rPr>
          <w:rFonts w:hint="eastAsia" w:ascii="Times New Roman" w:hAnsi="Times New Roman" w:eastAsia="仿宋_GB2312" w:cs="仿宋_GB2312"/>
          <w:color w:val="auto"/>
          <w:sz w:val="32"/>
          <w:szCs w:val="32"/>
          <w:highlight w:val="none"/>
        </w:rPr>
        <w:t>表</w:t>
      </w:r>
      <w:r>
        <w:rPr>
          <w:sz w:val="24"/>
        </w:rPr>
        <w:tab/>
      </w:r>
      <w:r>
        <w:rPr>
          <w:rFonts w:hint="eastAsia"/>
          <w:sz w:val="24"/>
          <w:lang w:val="en-US" w:eastAsia="zh-CN"/>
        </w:rPr>
        <w:t>58</w:t>
      </w:r>
    </w:p>
    <w:p w14:paraId="666C4BCE">
      <w:pPr>
        <w:pStyle w:val="17"/>
        <w:keepNext w:val="0"/>
        <w:keepLines w:val="0"/>
        <w:pageBreakBefore w:val="0"/>
        <w:widowControl w:val="0"/>
        <w:kinsoku/>
        <w:wordWrap/>
        <w:overflowPunct/>
        <w:topLinePunct w:val="0"/>
        <w:autoSpaceDE/>
        <w:autoSpaceDN/>
        <w:bidi w:val="0"/>
        <w:adjustRightInd w:val="0"/>
        <w:snapToGrid w:val="0"/>
        <w:spacing w:line="560" w:lineRule="atLeast"/>
        <w:ind w:left="0" w:leftChars="0" w:firstLine="640" w:firstLineChars="200"/>
        <w:jc w:val="left"/>
        <w:textAlignment w:val="auto"/>
        <w:rPr>
          <w:rFonts w:hint="default" w:ascii="Times New Roman" w:hAnsi="Times New Roman" w:eastAsia="宋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九、一般公共预算财政拨款项目支出决算表</w:t>
      </w:r>
      <w:r>
        <w:rPr>
          <w:sz w:val="24"/>
        </w:rPr>
        <w:tab/>
      </w:r>
      <w:r>
        <w:rPr>
          <w:rFonts w:hint="eastAsia"/>
          <w:sz w:val="24"/>
          <w:lang w:val="en-US" w:eastAsia="zh-CN"/>
        </w:rPr>
        <w:t>59</w:t>
      </w:r>
    </w:p>
    <w:p w14:paraId="436D1C96">
      <w:pPr>
        <w:pStyle w:val="17"/>
        <w:keepNext w:val="0"/>
        <w:keepLines w:val="0"/>
        <w:pageBreakBefore w:val="0"/>
        <w:widowControl w:val="0"/>
        <w:kinsoku/>
        <w:wordWrap/>
        <w:overflowPunct/>
        <w:topLinePunct w:val="0"/>
        <w:autoSpaceDE/>
        <w:autoSpaceDN/>
        <w:bidi w:val="0"/>
        <w:adjustRightInd w:val="0"/>
        <w:snapToGrid w:val="0"/>
        <w:spacing w:line="560" w:lineRule="atLeast"/>
        <w:ind w:left="0" w:leftChars="0" w:firstLine="640" w:firstLineChars="200"/>
        <w:jc w:val="left"/>
        <w:textAlignment w:val="auto"/>
        <w:rPr>
          <w:rFonts w:hint="default" w:ascii="Times New Roman" w:hAnsi="Times New Roman" w:eastAsia="宋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十、政府性基金预算财政拨款收入支出决算表</w:t>
      </w:r>
      <w:r>
        <w:rPr>
          <w:sz w:val="24"/>
        </w:rPr>
        <w:tab/>
      </w:r>
      <w:r>
        <w:rPr>
          <w:rFonts w:hint="eastAsia"/>
          <w:sz w:val="24"/>
          <w:lang w:val="en-US" w:eastAsia="zh-CN"/>
        </w:rPr>
        <w:t>60</w:t>
      </w:r>
    </w:p>
    <w:p w14:paraId="620024AB">
      <w:pPr>
        <w:pStyle w:val="17"/>
        <w:keepNext w:val="0"/>
        <w:keepLines w:val="0"/>
        <w:pageBreakBefore w:val="0"/>
        <w:widowControl w:val="0"/>
        <w:kinsoku/>
        <w:wordWrap/>
        <w:overflowPunct/>
        <w:topLinePunct w:val="0"/>
        <w:autoSpaceDE/>
        <w:autoSpaceDN/>
        <w:bidi w:val="0"/>
        <w:adjustRightInd w:val="0"/>
        <w:snapToGrid w:val="0"/>
        <w:spacing w:line="560" w:lineRule="atLeast"/>
        <w:ind w:left="0" w:leftChars="0" w:firstLine="640" w:firstLineChars="200"/>
        <w:jc w:val="left"/>
        <w:textAlignment w:val="auto"/>
        <w:rPr>
          <w:rFonts w:hint="default" w:ascii="Times New Roman" w:hAnsi="Times New Roman" w:eastAsia="宋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十一、国有资本经营预算财政拨款收入支出决算表</w:t>
      </w:r>
      <w:r>
        <w:rPr>
          <w:sz w:val="24"/>
        </w:rPr>
        <w:tab/>
      </w:r>
      <w:r>
        <w:rPr>
          <w:rFonts w:hint="eastAsia"/>
          <w:sz w:val="24"/>
          <w:lang w:val="en-US" w:eastAsia="zh-CN"/>
        </w:rPr>
        <w:t>61</w:t>
      </w:r>
    </w:p>
    <w:p w14:paraId="2441A262">
      <w:pPr>
        <w:pStyle w:val="17"/>
        <w:keepNext w:val="0"/>
        <w:keepLines w:val="0"/>
        <w:pageBreakBefore w:val="0"/>
        <w:widowControl w:val="0"/>
        <w:kinsoku/>
        <w:wordWrap/>
        <w:overflowPunct/>
        <w:topLinePunct w:val="0"/>
        <w:autoSpaceDE/>
        <w:autoSpaceDN/>
        <w:bidi w:val="0"/>
        <w:adjustRightInd w:val="0"/>
        <w:snapToGrid w:val="0"/>
        <w:spacing w:line="560" w:lineRule="atLeast"/>
        <w:ind w:left="0" w:leftChars="0" w:firstLine="640" w:firstLineChars="200"/>
        <w:jc w:val="left"/>
        <w:textAlignment w:val="auto"/>
        <w:rPr>
          <w:rFonts w:hint="default" w:ascii="Times New Roman" w:hAnsi="Times New Roman" w:eastAsia="宋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十二、</w:t>
      </w:r>
      <w:r>
        <w:rPr>
          <w:rFonts w:hint="eastAsia" w:ascii="Times New Roman" w:hAnsi="Times New Roman" w:eastAsia="仿宋_GB2312" w:cs="仿宋_GB2312"/>
          <w:color w:val="auto"/>
          <w:sz w:val="32"/>
          <w:szCs w:val="32"/>
          <w:highlight w:val="none"/>
          <w:lang w:val="en-US" w:eastAsia="zh-CN"/>
        </w:rPr>
        <w:t>国有资本经营预算财政拨款支出决算表</w:t>
      </w:r>
      <w:r>
        <w:rPr>
          <w:sz w:val="24"/>
        </w:rPr>
        <w:tab/>
      </w:r>
      <w:r>
        <w:rPr>
          <w:rFonts w:hint="eastAsia"/>
          <w:sz w:val="24"/>
          <w:lang w:val="en-US" w:eastAsia="zh-CN"/>
        </w:rPr>
        <w:t>62</w:t>
      </w:r>
    </w:p>
    <w:p w14:paraId="7073B6F6">
      <w:pPr>
        <w:pStyle w:val="17"/>
        <w:keepNext w:val="0"/>
        <w:keepLines w:val="0"/>
        <w:pageBreakBefore w:val="0"/>
        <w:widowControl w:val="0"/>
        <w:kinsoku/>
        <w:wordWrap/>
        <w:overflowPunct/>
        <w:topLinePunct w:val="0"/>
        <w:autoSpaceDE/>
        <w:autoSpaceDN/>
        <w:bidi w:val="0"/>
        <w:adjustRightInd w:val="0"/>
        <w:snapToGrid w:val="0"/>
        <w:spacing w:line="560" w:lineRule="atLeast"/>
        <w:ind w:left="0" w:leftChars="0" w:firstLine="640" w:firstLineChars="200"/>
        <w:jc w:val="left"/>
        <w:textAlignment w:val="auto"/>
        <w:rPr>
          <w:rFonts w:hint="default" w:ascii="Times New Roman" w:hAnsi="Times New Roman" w:eastAsia="宋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十三、财政拨款“三公”经费支出决算表</w:t>
      </w:r>
      <w:r>
        <w:rPr>
          <w:sz w:val="24"/>
        </w:rPr>
        <w:tab/>
      </w:r>
      <w:r>
        <w:rPr>
          <w:rFonts w:hint="eastAsia"/>
          <w:sz w:val="24"/>
          <w:lang w:val="en-US" w:eastAsia="zh-CN"/>
        </w:rPr>
        <w:t>63</w:t>
      </w:r>
    </w:p>
    <w:p w14:paraId="4C37DBA0">
      <w:pPr>
        <w:keepNext w:val="0"/>
        <w:keepLines w:val="0"/>
        <w:pageBreakBefore w:val="0"/>
        <w:widowControl/>
        <w:kinsoku/>
        <w:wordWrap/>
        <w:overflowPunct/>
        <w:topLinePunct w:val="0"/>
        <w:autoSpaceDE/>
        <w:autoSpaceDN/>
        <w:bidi w:val="0"/>
        <w:spacing w:line="560" w:lineRule="atLeast"/>
        <w:jc w:val="left"/>
        <w:textAlignment w:val="auto"/>
        <w:rPr>
          <w:rFonts w:hint="eastAsia" w:ascii="Times New Roman" w:hAnsi="Times New Roman" w:eastAsia="仿宋_GB2312" w:cs="仿宋_GB2312"/>
          <w:bCs/>
          <w:color w:val="auto"/>
          <w:kern w:val="44"/>
          <w:sz w:val="32"/>
          <w:szCs w:val="32"/>
          <w:highlight w:val="none"/>
        </w:rPr>
      </w:pPr>
      <w:bookmarkStart w:id="6" w:name="_Toc15377196"/>
      <w:bookmarkStart w:id="7" w:name="_Toc15396599"/>
      <w:r>
        <w:rPr>
          <w:rFonts w:hint="eastAsia" w:ascii="Times New Roman" w:hAnsi="Times New Roman" w:eastAsia="仿宋_GB2312" w:cs="仿宋_GB2312"/>
          <w:b/>
          <w:color w:val="auto"/>
          <w:sz w:val="32"/>
          <w:szCs w:val="32"/>
          <w:highlight w:val="none"/>
        </w:rPr>
        <w:br w:type="page"/>
      </w:r>
    </w:p>
    <w:p w14:paraId="00CBD749">
      <w:pPr>
        <w:pStyle w:val="3"/>
        <w:pageBreakBefore w:val="0"/>
        <w:kinsoku/>
        <w:wordWrap/>
        <w:overflowPunct/>
        <w:topLinePunct w:val="0"/>
        <w:bidi w:val="0"/>
        <w:spacing w:line="560" w:lineRule="atLeast"/>
        <w:jc w:val="center"/>
        <w:rPr>
          <w:rFonts w:hint="default" w:ascii="Times New Roman" w:hAnsi="Times New Roman" w:eastAsia="方正小标宋简体"/>
          <w:color w:val="auto"/>
          <w:sz w:val="32"/>
          <w:szCs w:val="32"/>
          <w:highlight w:val="none"/>
          <w:lang w:val="en-US" w:eastAsia="zh-CN"/>
        </w:rPr>
      </w:pPr>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31"/>
          <w:rFonts w:hint="eastAsia" w:ascii="Times New Roman" w:hAnsi="Times New Roman" w:eastAsia="方正小标宋简体" w:cs="方正小标宋简体"/>
          <w:b w:val="0"/>
          <w:bCs w:val="0"/>
          <w:color w:val="auto"/>
          <w:highlight w:val="none"/>
        </w:rPr>
        <w:t>部门概况</w:t>
      </w:r>
      <w:bookmarkEnd w:id="6"/>
      <w:bookmarkEnd w:id="7"/>
      <w:r>
        <w:rPr>
          <w:rStyle w:val="31"/>
          <w:rFonts w:hint="eastAsia" w:eastAsia="方正小标宋简体" w:cs="方正小标宋简体"/>
          <w:b w:val="0"/>
          <w:bCs w:val="0"/>
          <w:color w:val="auto"/>
          <w:highlight w:val="none"/>
          <w:lang w:val="en-US" w:eastAsia="zh-CN"/>
        </w:rPr>
        <w:t xml:space="preserve">  </w:t>
      </w:r>
    </w:p>
    <w:p w14:paraId="42E00032">
      <w:pPr>
        <w:pStyle w:val="4"/>
        <w:pageBreakBefore w:val="0"/>
        <w:numPr>
          <w:ilvl w:val="0"/>
          <w:numId w:val="2"/>
        </w:numPr>
        <w:kinsoku/>
        <w:wordWrap/>
        <w:overflowPunct/>
        <w:topLinePunct w:val="0"/>
        <w:bidi w:val="0"/>
        <w:spacing w:line="560" w:lineRule="atLeast"/>
        <w:rPr>
          <w:rFonts w:hint="eastAsia" w:ascii="仿宋" w:hAnsi="仿宋" w:eastAsia="仿宋" w:cs="仿宋"/>
          <w:color w:val="000000"/>
          <w:sz w:val="32"/>
          <w:szCs w:val="32"/>
        </w:rPr>
      </w:pPr>
      <w:r>
        <w:rPr>
          <w:rFonts w:hint="eastAsia" w:ascii="Times New Roman" w:hAnsi="Times New Roman" w:eastAsia="黑体"/>
          <w:b w:val="0"/>
          <w:color w:val="auto"/>
          <w:highlight w:val="none"/>
          <w:lang w:eastAsia="zh-CN"/>
        </w:rPr>
        <w:t>部门职责</w:t>
      </w:r>
    </w:p>
    <w:p w14:paraId="166AC0E1">
      <w:pPr>
        <w:pStyle w:val="38"/>
        <w:keepNext w:val="0"/>
        <w:keepLines w:val="0"/>
        <w:pageBreakBefore w:val="0"/>
        <w:widowControl w:val="0"/>
        <w:kinsoku/>
        <w:wordWrap/>
        <w:overflowPunct/>
        <w:topLinePunct w:val="0"/>
        <w:autoSpaceDE w:val="0"/>
        <w:bidi w:val="0"/>
        <w:spacing w:before="0" w:beforeAutospacing="0" w:after="0" w:afterAutospacing="0" w:line="560" w:lineRule="atLeast"/>
        <w:ind w:firstLine="640" w:firstLineChars="200"/>
        <w:jc w:val="left"/>
        <w:textAlignment w:val="auto"/>
        <w:rPr>
          <w:rFonts w:hint="eastAsia" w:ascii="仿宋" w:hAnsi="仿宋" w:eastAsia="仿宋" w:cs="仿宋"/>
          <w:color w:val="000000"/>
          <w:sz w:val="32"/>
          <w:szCs w:val="32"/>
        </w:rPr>
      </w:pPr>
      <w:r>
        <w:rPr>
          <w:rFonts w:hint="eastAsia" w:ascii="仿宋" w:hAnsi="仿宋" w:eastAsia="仿宋" w:cs="仿宋"/>
          <w:color w:val="000000"/>
          <w:sz w:val="32"/>
          <w:szCs w:val="32"/>
        </w:rPr>
        <w:t>舞台艺术创作：挖掘整理藏羌民族民间文化，创作排演民族歌舞、音乐剧、舞台剧等优秀文艺剧目（如《牦牛革命》《辫子魂》《云上的呼唤》）</w:t>
      </w:r>
      <w:r>
        <w:rPr>
          <w:rFonts w:hint="eastAsia" w:ascii="仿宋" w:hAnsi="仿宋" w:eastAsia="仿宋" w:cs="仿宋"/>
          <w:color w:val="000000"/>
          <w:sz w:val="32"/>
          <w:szCs w:val="32"/>
          <w:lang w:eastAsia="zh-CN"/>
        </w:rPr>
        <w:t>；</w:t>
      </w:r>
      <w:r>
        <w:rPr>
          <w:rFonts w:hint="eastAsia" w:ascii="仿宋" w:hAnsi="仿宋" w:eastAsia="仿宋" w:cs="仿宋"/>
          <w:color w:val="000000"/>
          <w:sz w:val="32"/>
          <w:szCs w:val="32"/>
        </w:rPr>
        <w:t>惠民公益演出：承担送文化下乡、基层惠民演出，丰富牧区、</w:t>
      </w:r>
      <w:r>
        <w:rPr>
          <w:rFonts w:hint="eastAsia" w:ascii="仿宋" w:hAnsi="仿宋" w:eastAsia="仿宋" w:cs="仿宋"/>
          <w:color w:val="000000"/>
          <w:sz w:val="32"/>
          <w:szCs w:val="32"/>
          <w:lang w:eastAsia="zh-CN"/>
        </w:rPr>
        <w:t>农区</w:t>
      </w:r>
      <w:r>
        <w:rPr>
          <w:rFonts w:hint="eastAsia" w:ascii="仿宋" w:hAnsi="仿宋" w:eastAsia="仿宋" w:cs="仿宋"/>
          <w:color w:val="000000"/>
          <w:sz w:val="32"/>
          <w:szCs w:val="32"/>
        </w:rPr>
        <w:t>群众精神文化生活</w:t>
      </w:r>
      <w:r>
        <w:rPr>
          <w:rFonts w:hint="eastAsia" w:ascii="仿宋" w:hAnsi="仿宋" w:eastAsia="仿宋" w:cs="仿宋"/>
          <w:color w:val="000000"/>
          <w:sz w:val="32"/>
          <w:szCs w:val="32"/>
          <w:lang w:eastAsia="zh-CN"/>
        </w:rPr>
        <w:t>；</w:t>
      </w:r>
      <w:r>
        <w:rPr>
          <w:rFonts w:hint="eastAsia" w:ascii="仿宋" w:hAnsi="仿宋" w:eastAsia="仿宋" w:cs="仿宋"/>
          <w:color w:val="000000"/>
          <w:sz w:val="32"/>
          <w:szCs w:val="32"/>
        </w:rPr>
        <w:t xml:space="preserve"> 重大活动保障：完成州内重大节庆、党委政府重要会议、活动文艺演出；参加全国、全省专业文艺赛事展演</w:t>
      </w:r>
      <w:r>
        <w:rPr>
          <w:rFonts w:hint="eastAsia" w:ascii="仿宋" w:hAnsi="仿宋" w:eastAsia="仿宋" w:cs="仿宋"/>
          <w:color w:val="000000"/>
          <w:sz w:val="32"/>
          <w:szCs w:val="32"/>
          <w:lang w:eastAsia="zh-CN"/>
        </w:rPr>
        <w:t>；</w:t>
      </w:r>
      <w:r>
        <w:rPr>
          <w:rFonts w:hint="eastAsia" w:ascii="仿宋" w:hAnsi="仿宋" w:eastAsia="仿宋" w:cs="仿宋"/>
          <w:color w:val="000000"/>
          <w:sz w:val="32"/>
          <w:szCs w:val="32"/>
        </w:rPr>
        <w:t>对外文化交流：开展对外巡演、文化交流展演，宣传展示阿坝藏羌民族文化与地方形象</w:t>
      </w:r>
      <w:r>
        <w:rPr>
          <w:rFonts w:hint="eastAsia" w:ascii="仿宋" w:hAnsi="仿宋" w:eastAsia="仿宋" w:cs="仿宋"/>
          <w:color w:val="000000"/>
          <w:sz w:val="32"/>
          <w:szCs w:val="32"/>
          <w:lang w:eastAsia="zh-CN"/>
        </w:rPr>
        <w:t>；</w:t>
      </w:r>
      <w:r>
        <w:rPr>
          <w:rFonts w:hint="eastAsia" w:ascii="仿宋" w:hAnsi="仿宋" w:eastAsia="仿宋" w:cs="仿宋"/>
          <w:color w:val="000000"/>
          <w:sz w:val="32"/>
          <w:szCs w:val="32"/>
        </w:rPr>
        <w:t>人才培养与艺术推广：开展艺术普及、业务培训，培养本土舞蹈、声乐、编导、舞</w:t>
      </w:r>
      <w:r>
        <w:rPr>
          <w:rFonts w:hint="eastAsia" w:ascii="仿宋" w:hAnsi="仿宋" w:eastAsia="仿宋" w:cs="仿宋"/>
          <w:color w:val="000000"/>
          <w:sz w:val="32"/>
          <w:szCs w:val="32"/>
          <w:lang w:val="en-US" w:eastAsia="zh-CN"/>
        </w:rPr>
        <w:t xml:space="preserve"> </w:t>
      </w:r>
      <w:r>
        <w:rPr>
          <w:rFonts w:hint="eastAsia" w:ascii="仿宋" w:hAnsi="仿宋" w:eastAsia="仿宋" w:cs="仿宋"/>
          <w:color w:val="000000"/>
          <w:sz w:val="32"/>
          <w:szCs w:val="32"/>
        </w:rPr>
        <w:t>美等文艺专业人才</w:t>
      </w:r>
      <w:r>
        <w:rPr>
          <w:rFonts w:hint="eastAsia" w:ascii="仿宋" w:hAnsi="仿宋" w:eastAsia="仿宋" w:cs="仿宋"/>
          <w:color w:val="000000"/>
          <w:sz w:val="32"/>
          <w:szCs w:val="32"/>
          <w:lang w:eastAsia="zh-CN"/>
        </w:rPr>
        <w:t>；</w:t>
      </w:r>
      <w:r>
        <w:rPr>
          <w:rFonts w:hint="eastAsia" w:ascii="仿宋" w:hAnsi="仿宋" w:eastAsia="仿宋" w:cs="仿宋"/>
          <w:color w:val="000000"/>
          <w:sz w:val="32"/>
          <w:szCs w:val="32"/>
        </w:rPr>
        <w:t>民族文化保护传承：收集抢救民族民间文艺素材，传承非遗歌舞艺术，促进各民族交往交流交融。</w:t>
      </w:r>
    </w:p>
    <w:p w14:paraId="0F65E100">
      <w:pPr>
        <w:pageBreakBefore w:val="0"/>
        <w:numPr>
          <w:ilvl w:val="0"/>
          <w:numId w:val="0"/>
        </w:numPr>
        <w:kinsoku/>
        <w:wordWrap/>
        <w:overflowPunct/>
        <w:topLinePunct w:val="0"/>
        <w:bidi w:val="0"/>
        <w:spacing w:line="560" w:lineRule="atLeast"/>
        <w:rPr>
          <w:rFonts w:hint="default"/>
          <w:lang w:val="en-US" w:eastAsia="zh-CN"/>
        </w:rPr>
      </w:pPr>
    </w:p>
    <w:p w14:paraId="74A5CECB">
      <w:pPr>
        <w:pStyle w:val="4"/>
        <w:pageBreakBefore w:val="0"/>
        <w:kinsoku/>
        <w:wordWrap/>
        <w:overflowPunct/>
        <w:topLinePunct w:val="0"/>
        <w:bidi w:val="0"/>
        <w:spacing w:line="560" w:lineRule="atLeast"/>
        <w:rPr>
          <w:rStyle w:val="32"/>
          <w:rFonts w:ascii="Times New Roman" w:hAnsi="Times New Roman"/>
          <w:b w:val="0"/>
          <w:bCs w:val="0"/>
          <w:color w:val="auto"/>
          <w:highlight w:val="none"/>
        </w:rPr>
      </w:pPr>
      <w:bookmarkStart w:id="8" w:name="_Toc15396601"/>
      <w:bookmarkStart w:id="9" w:name="_Toc15377200"/>
      <w:r>
        <w:rPr>
          <w:rFonts w:hint="eastAsia" w:ascii="Times New Roman" w:hAnsi="Times New Roman" w:eastAsia="黑体"/>
          <w:b w:val="0"/>
          <w:color w:val="auto"/>
          <w:highlight w:val="none"/>
        </w:rPr>
        <w:t>二、机</w:t>
      </w:r>
      <w:r>
        <w:rPr>
          <w:rStyle w:val="32"/>
          <w:rFonts w:hint="eastAsia" w:ascii="Times New Roman" w:hAnsi="Times New Roman" w:eastAsia="黑体"/>
          <w:b w:val="0"/>
          <w:bCs w:val="0"/>
          <w:color w:val="auto"/>
          <w:highlight w:val="none"/>
        </w:rPr>
        <w:t>构设置</w:t>
      </w:r>
      <w:bookmarkEnd w:id="8"/>
      <w:bookmarkEnd w:id="9"/>
    </w:p>
    <w:p w14:paraId="5B8F759A">
      <w:pPr>
        <w:pageBreakBefore w:val="0"/>
        <w:kinsoku/>
        <w:wordWrap/>
        <w:overflowPunct/>
        <w:topLinePunct w:val="0"/>
        <w:bidi w:val="0"/>
        <w:spacing w:line="560" w:lineRule="atLeast"/>
        <w:ind w:firstLine="640" w:firstLineChars="200"/>
        <w:rPr>
          <w:rFonts w:hint="eastAsia" w:ascii="仿宋" w:eastAsia="仿宋"/>
          <w:sz w:val="32"/>
          <w:szCs w:val="32"/>
          <w:lang w:eastAsia="zh-CN"/>
        </w:rPr>
      </w:pPr>
      <w:r>
        <w:rPr>
          <w:rFonts w:hint="eastAsia" w:ascii="仿宋" w:eastAsia="仿宋"/>
          <w:sz w:val="32"/>
          <w:szCs w:val="32"/>
        </w:rPr>
        <w:t>我单位为州文化</w:t>
      </w:r>
      <w:r>
        <w:rPr>
          <w:rFonts w:hint="eastAsia" w:ascii="仿宋" w:eastAsia="仿宋"/>
          <w:sz w:val="32"/>
          <w:szCs w:val="32"/>
          <w:lang w:eastAsia="zh-CN"/>
        </w:rPr>
        <w:t>广播电视</w:t>
      </w:r>
      <w:r>
        <w:rPr>
          <w:rFonts w:hint="eastAsia" w:ascii="仿宋" w:eastAsia="仿宋"/>
          <w:sz w:val="32"/>
          <w:szCs w:val="32"/>
        </w:rPr>
        <w:t>和旅游局</w:t>
      </w:r>
      <w:r>
        <w:rPr>
          <w:rFonts w:hint="eastAsia" w:ascii="仿宋" w:eastAsia="仿宋"/>
          <w:sz w:val="32"/>
          <w:szCs w:val="32"/>
          <w:lang w:eastAsia="zh-CN"/>
        </w:rPr>
        <w:t>直</w:t>
      </w:r>
      <w:r>
        <w:rPr>
          <w:rFonts w:hint="eastAsia" w:ascii="仿宋" w:eastAsia="仿宋"/>
          <w:sz w:val="32"/>
          <w:szCs w:val="32"/>
        </w:rPr>
        <w:t>属正科级公益二类事业单位，设团长1名（正科级），副团长3名（副科级），单位内部运行部门9个，分别为行政办公室、舞蹈队、声乐队、器乐队、舞美工作室、创作研究室、业务办公室、非遗研习室、剧场管理办公室。核定事业编制为95个</w:t>
      </w:r>
      <w:r>
        <w:rPr>
          <w:rFonts w:ascii="仿宋" w:eastAsia="仿宋"/>
          <w:sz w:val="32"/>
          <w:szCs w:val="32"/>
        </w:rPr>
        <w:t>，</w:t>
      </w:r>
      <w:r>
        <w:rPr>
          <w:rFonts w:hint="eastAsia" w:ascii="仿宋" w:eastAsia="仿宋"/>
          <w:sz w:val="32"/>
          <w:szCs w:val="32"/>
        </w:rPr>
        <w:t>岗位设置比例为：专业技术编制占94.74%，管理编制占2.1</w:t>
      </w:r>
      <w:r>
        <w:rPr>
          <w:rFonts w:ascii="仿宋" w:eastAsia="仿宋"/>
          <w:sz w:val="32"/>
          <w:szCs w:val="32"/>
        </w:rPr>
        <w:t>0</w:t>
      </w:r>
      <w:r>
        <w:rPr>
          <w:rFonts w:hint="eastAsia" w:ascii="仿宋" w:eastAsia="仿宋"/>
          <w:sz w:val="32"/>
          <w:szCs w:val="32"/>
        </w:rPr>
        <w:t>%、工勤编制占3.16%</w:t>
      </w:r>
      <w:bookmarkStart w:id="10" w:name="_Toc15377204"/>
      <w:bookmarkStart w:id="11" w:name="_Toc15396602"/>
      <w:r>
        <w:rPr>
          <w:rFonts w:hint="eastAsia" w:ascii="仿宋" w:eastAsia="仿宋"/>
          <w:sz w:val="32"/>
          <w:szCs w:val="32"/>
          <w:lang w:eastAsia="zh-CN"/>
        </w:rPr>
        <w:t>。</w:t>
      </w:r>
    </w:p>
    <w:p w14:paraId="7B844C4D">
      <w:pPr>
        <w:pStyle w:val="2"/>
        <w:rPr>
          <w:rFonts w:hint="eastAsia"/>
          <w:lang w:eastAsia="zh-CN"/>
        </w:rPr>
      </w:pPr>
    </w:p>
    <w:p w14:paraId="60536CE4">
      <w:pPr>
        <w:pStyle w:val="3"/>
        <w:pageBreakBefore w:val="0"/>
        <w:kinsoku/>
        <w:wordWrap/>
        <w:overflowPunct/>
        <w:topLinePunct w:val="0"/>
        <w:bidi w:val="0"/>
        <w:spacing w:line="560" w:lineRule="atLeast"/>
        <w:jc w:val="center"/>
        <w:rPr>
          <w:rFonts w:ascii="Times New Roman" w:hAnsi="Times New Roman"/>
          <w:color w:val="auto"/>
          <w:highlight w:val="none"/>
        </w:rPr>
      </w:pPr>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ascii="Times New Roman" w:hAnsi="Times New Roman" w:eastAsia="方正小标宋简体" w:cs="方正小标宋简体"/>
          <w:b w:val="0"/>
          <w:color w:val="auto"/>
          <w:highlight w:val="none"/>
          <w:lang w:val="en-US" w:eastAsia="zh-CN"/>
        </w:rPr>
        <w:t>2025年度</w:t>
      </w:r>
      <w:r>
        <w:rPr>
          <w:rFonts w:hint="eastAsia" w:ascii="Times New Roman" w:hAnsi="Times New Roman" w:eastAsia="方正小标宋简体" w:cs="方正小标宋简体"/>
          <w:b w:val="0"/>
          <w:color w:val="auto"/>
          <w:highlight w:val="none"/>
        </w:rPr>
        <w:t>部门决算情况说明</w:t>
      </w:r>
      <w:bookmarkEnd w:id="10"/>
      <w:bookmarkEnd w:id="11"/>
    </w:p>
    <w:p w14:paraId="032582EB">
      <w:pPr>
        <w:pStyle w:val="30"/>
        <w:keepNext w:val="0"/>
        <w:keepLines w:val="0"/>
        <w:pageBreakBefore w:val="0"/>
        <w:widowControl w:val="0"/>
        <w:numPr>
          <w:ilvl w:val="0"/>
          <w:numId w:val="0"/>
        </w:numPr>
        <w:kinsoku/>
        <w:wordWrap/>
        <w:overflowPunct/>
        <w:topLinePunct w:val="0"/>
        <w:autoSpaceDE/>
        <w:autoSpaceDN/>
        <w:bidi w:val="0"/>
        <w:adjustRightInd/>
        <w:snapToGrid/>
        <w:spacing w:line="560" w:lineRule="atLeast"/>
        <w:ind w:firstLine="640" w:firstLineChars="200"/>
        <w:textAlignment w:val="auto"/>
        <w:outlineLvl w:val="1"/>
        <w:rPr>
          <w:rStyle w:val="32"/>
          <w:rFonts w:hint="eastAsia" w:ascii="Times New Roman" w:hAnsi="Times New Roman" w:eastAsia="黑体"/>
          <w:b w:val="0"/>
          <w:color w:val="auto"/>
          <w:highlight w:val="none"/>
        </w:rPr>
      </w:pPr>
      <w:bookmarkStart w:id="12" w:name="_Toc15396603"/>
      <w:bookmarkStart w:id="13" w:name="_Toc15377205"/>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32"/>
          <w:rFonts w:hint="eastAsia" w:ascii="Times New Roman" w:hAnsi="Times New Roman" w:eastAsia="黑体"/>
          <w:b w:val="0"/>
          <w:color w:val="auto"/>
          <w:highlight w:val="none"/>
        </w:rPr>
        <w:t>入支出决算总体情况说明</w:t>
      </w:r>
      <w:bookmarkEnd w:id="12"/>
      <w:bookmarkEnd w:id="13"/>
    </w:p>
    <w:p w14:paraId="286B29A3">
      <w:pPr>
        <w:pageBreakBefore w:val="0"/>
        <w:kinsoku/>
        <w:wordWrap/>
        <w:overflowPunct/>
        <w:topLinePunct w:val="0"/>
        <w:bidi w:val="0"/>
        <w:spacing w:line="560" w:lineRule="atLeast"/>
        <w:ind w:firstLine="640"/>
        <w:rPr>
          <w:rFonts w:hint="eastAsia" w:eastAsia="仿宋_GB2312" w:cs="仿宋_GB2312"/>
          <w:sz w:val="32"/>
          <w:szCs w:val="32"/>
          <w:lang w:val="en-US"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收入</w:t>
      </w:r>
      <w:r>
        <w:rPr>
          <w:rFonts w:hint="default" w:eastAsia="仿宋_GB2312" w:cs="仿宋_GB2312"/>
          <w:color w:val="auto"/>
          <w:sz w:val="32"/>
          <w:szCs w:val="32"/>
          <w:highlight w:val="none"/>
          <w:lang w:eastAsia="zh-CN"/>
        </w:rPr>
        <w:t>总计2891.74万元</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eastAsia="仿宋_GB2312" w:cs="仿宋_GB2312"/>
          <w:color w:val="auto"/>
          <w:sz w:val="32"/>
          <w:szCs w:val="32"/>
          <w:highlight w:val="none"/>
          <w:lang w:val="en-US" w:eastAsia="zh-CN"/>
        </w:rPr>
        <w:t>2891.74</w:t>
      </w:r>
      <w:r>
        <w:rPr>
          <w:rFonts w:hint="eastAsia" w:ascii="Times New Roman" w:hAnsi="Times New Roman" w:eastAsia="仿宋_GB2312" w:cs="仿宋_GB2312"/>
          <w:color w:val="auto"/>
          <w:sz w:val="32"/>
          <w:szCs w:val="32"/>
          <w:highlight w:val="none"/>
        </w:rPr>
        <w:t>万元。与</w:t>
      </w:r>
      <w:r>
        <w:rPr>
          <w:rFonts w:hint="eastAsia" w:eastAsia="仿宋_GB2312" w:cs="仿宋_GB2312"/>
          <w:color w:val="auto"/>
          <w:sz w:val="32"/>
          <w:szCs w:val="32"/>
          <w:highlight w:val="none"/>
          <w:lang w:eastAsia="zh-CN"/>
        </w:rPr>
        <w:t>上</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减少</w:t>
      </w:r>
      <w:r>
        <w:rPr>
          <w:rFonts w:hint="default" w:eastAsia="仿宋_GB2312" w:cs="仿宋_GB2312"/>
          <w:color w:val="auto"/>
          <w:sz w:val="32"/>
          <w:szCs w:val="32"/>
          <w:highlight w:val="none"/>
        </w:rPr>
        <w:t>369.59</w:t>
      </w:r>
      <w:r>
        <w:rPr>
          <w:rFonts w:hint="eastAsia" w:ascii="Times New Roman" w:hAnsi="Times New Roman" w:eastAsia="仿宋_GB2312" w:cs="仿宋_GB2312"/>
          <w:color w:val="auto"/>
          <w:sz w:val="32"/>
          <w:szCs w:val="32"/>
          <w:highlight w:val="none"/>
        </w:rPr>
        <w:t>万元、</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减少</w:t>
      </w:r>
      <w:r>
        <w:rPr>
          <w:rFonts w:hint="default" w:eastAsia="仿宋_GB2312" w:cs="仿宋_GB2312"/>
          <w:color w:val="auto"/>
          <w:sz w:val="32"/>
          <w:szCs w:val="32"/>
          <w:highlight w:val="none"/>
        </w:rPr>
        <w:t>369.59</w:t>
      </w:r>
      <w:r>
        <w:rPr>
          <w:rFonts w:hint="eastAsia" w:ascii="Times New Roman" w:hAnsi="Times New Roman" w:eastAsia="仿宋_GB2312" w:cs="仿宋_GB2312"/>
          <w:color w:val="auto"/>
          <w:sz w:val="32"/>
          <w:szCs w:val="32"/>
          <w:highlight w:val="none"/>
        </w:rPr>
        <w:t>万元，下降</w:t>
      </w:r>
      <w:r>
        <w:rPr>
          <w:rFonts w:hint="default" w:eastAsia="仿宋_GB2312" w:cs="仿宋_GB2312"/>
          <w:color w:val="auto"/>
          <w:sz w:val="32"/>
          <w:szCs w:val="32"/>
          <w:highlight w:val="none"/>
        </w:rPr>
        <w:t>11</w:t>
      </w:r>
      <w:r>
        <w:rPr>
          <w:rFonts w:hint="eastAsia" w:ascii="Times New Roman" w:hAnsi="Times New Roman" w:eastAsia="仿宋_GB2312" w:cs="仿宋_GB2312"/>
          <w:color w:val="auto"/>
          <w:sz w:val="32"/>
          <w:szCs w:val="32"/>
          <w:highlight w:val="none"/>
        </w:rPr>
        <w:t>%。是</w:t>
      </w:r>
      <w:r>
        <w:rPr>
          <w:rFonts w:hint="eastAsia" w:eastAsia="仿宋_GB2312" w:cs="仿宋_GB2312"/>
          <w:sz w:val="32"/>
          <w:szCs w:val="32"/>
        </w:rPr>
        <w:t>主要变动原因</w:t>
      </w:r>
      <w:r>
        <w:rPr>
          <w:rFonts w:hint="eastAsia" w:eastAsia="仿宋_GB2312" w:cs="仿宋_GB2312"/>
          <w:sz w:val="32"/>
          <w:szCs w:val="32"/>
          <w:lang w:eastAsia="zh-CN"/>
        </w:rPr>
        <w:t>为</w:t>
      </w:r>
      <w:r>
        <w:rPr>
          <w:rFonts w:hint="eastAsia" w:eastAsia="仿宋_GB2312" w:cs="仿宋_GB2312"/>
          <w:sz w:val="32"/>
          <w:szCs w:val="32"/>
          <w:lang w:val="en-US" w:eastAsia="zh-CN"/>
        </w:rPr>
        <w:t>2025年项目收入与支出较2024年项目收入与支出有所减少。</w:t>
      </w:r>
    </w:p>
    <w:p w14:paraId="56B06389">
      <w:pPr>
        <w:pStyle w:val="9"/>
        <w:pageBreakBefore w:val="0"/>
        <w:kinsoku/>
        <w:wordWrap/>
        <w:overflowPunct/>
        <w:topLinePunct w:val="0"/>
        <w:bidi w:val="0"/>
        <w:spacing w:line="560" w:lineRule="atLeast"/>
        <w:rPr>
          <w:rFonts w:hint="eastAsia" w:eastAsia="仿宋_GB2312" w:cs="仿宋_GB2312"/>
          <w:sz w:val="32"/>
          <w:szCs w:val="32"/>
          <w:lang w:val="en-US" w:eastAsia="zh-CN"/>
        </w:rPr>
      </w:pPr>
      <w:r>
        <w:rPr>
          <w:rFonts w:hint="eastAsia" w:eastAsia="仿宋_GB2312" w:cs="仿宋_GB2312"/>
          <w:sz w:val="32"/>
          <w:szCs w:val="32"/>
        </w:rPr>
        <w:drawing>
          <wp:anchor distT="0" distB="0" distL="114300" distR="114300" simplePos="0" relativeHeight="251659264" behindDoc="1" locked="0" layoutInCell="1" allowOverlap="1">
            <wp:simplePos x="0" y="0"/>
            <wp:positionH relativeFrom="column">
              <wp:posOffset>544830</wp:posOffset>
            </wp:positionH>
            <wp:positionV relativeFrom="paragraph">
              <wp:posOffset>365760</wp:posOffset>
            </wp:positionV>
            <wp:extent cx="5008245" cy="2780030"/>
            <wp:effectExtent l="4445" t="4445" r="16510" b="19685"/>
            <wp:wrapTight wrapText="bothSides">
              <wp:wrapPolygon>
                <wp:start x="-19" y="-35"/>
                <wp:lineTo x="-19" y="21516"/>
                <wp:lineTo x="21540" y="21516"/>
                <wp:lineTo x="21540" y="-35"/>
                <wp:lineTo x="-19" y="-35"/>
              </wp:wrapPolygon>
            </wp:wrapTight>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p>
    <w:p w14:paraId="346B54BD">
      <w:pPr>
        <w:pStyle w:val="10"/>
        <w:pageBreakBefore w:val="0"/>
        <w:widowControl w:val="0"/>
        <w:numPr>
          <w:ilvl w:val="0"/>
          <w:numId w:val="0"/>
        </w:numPr>
        <w:kinsoku/>
        <w:wordWrap/>
        <w:overflowPunct/>
        <w:topLinePunct w:val="0"/>
        <w:bidi w:val="0"/>
        <w:spacing w:line="560" w:lineRule="atLeast"/>
        <w:jc w:val="both"/>
        <w:rPr>
          <w:rFonts w:hint="eastAsia" w:eastAsia="仿宋_GB2312" w:cs="仿宋_GB2312"/>
          <w:sz w:val="32"/>
          <w:szCs w:val="32"/>
          <w:lang w:val="en-US" w:eastAsia="zh-CN"/>
        </w:rPr>
      </w:pPr>
    </w:p>
    <w:p w14:paraId="6EFDAF52">
      <w:pPr>
        <w:pStyle w:val="10"/>
        <w:pageBreakBefore w:val="0"/>
        <w:widowControl w:val="0"/>
        <w:numPr>
          <w:ilvl w:val="0"/>
          <w:numId w:val="0"/>
        </w:numPr>
        <w:kinsoku/>
        <w:wordWrap/>
        <w:overflowPunct/>
        <w:topLinePunct w:val="0"/>
        <w:bidi w:val="0"/>
        <w:spacing w:line="560" w:lineRule="atLeast"/>
        <w:jc w:val="both"/>
        <w:rPr>
          <w:rFonts w:hint="eastAsia" w:eastAsia="仿宋_GB2312" w:cs="仿宋_GB2312"/>
          <w:sz w:val="32"/>
          <w:szCs w:val="32"/>
          <w:lang w:val="en-US" w:eastAsia="zh-CN"/>
        </w:rPr>
      </w:pPr>
    </w:p>
    <w:p w14:paraId="660A3662">
      <w:pPr>
        <w:pStyle w:val="10"/>
        <w:pageBreakBefore w:val="0"/>
        <w:widowControl w:val="0"/>
        <w:numPr>
          <w:ilvl w:val="0"/>
          <w:numId w:val="0"/>
        </w:numPr>
        <w:kinsoku/>
        <w:wordWrap/>
        <w:overflowPunct/>
        <w:topLinePunct w:val="0"/>
        <w:bidi w:val="0"/>
        <w:spacing w:line="560" w:lineRule="atLeast"/>
        <w:jc w:val="both"/>
        <w:rPr>
          <w:rFonts w:hint="eastAsia" w:eastAsia="仿宋_GB2312" w:cs="仿宋_GB2312"/>
          <w:sz w:val="32"/>
          <w:szCs w:val="32"/>
          <w:lang w:val="en-US" w:eastAsia="zh-CN"/>
        </w:rPr>
      </w:pPr>
    </w:p>
    <w:p w14:paraId="58E251D4">
      <w:pPr>
        <w:pStyle w:val="10"/>
        <w:pageBreakBefore w:val="0"/>
        <w:widowControl w:val="0"/>
        <w:numPr>
          <w:ilvl w:val="0"/>
          <w:numId w:val="0"/>
        </w:numPr>
        <w:kinsoku/>
        <w:wordWrap/>
        <w:overflowPunct/>
        <w:topLinePunct w:val="0"/>
        <w:bidi w:val="0"/>
        <w:spacing w:line="560" w:lineRule="atLeast"/>
        <w:jc w:val="both"/>
        <w:rPr>
          <w:rFonts w:hint="eastAsia" w:eastAsia="仿宋_GB2312" w:cs="仿宋_GB2312"/>
          <w:sz w:val="32"/>
          <w:szCs w:val="32"/>
          <w:lang w:val="en-US" w:eastAsia="zh-CN"/>
        </w:rPr>
      </w:pPr>
    </w:p>
    <w:p w14:paraId="08F59053">
      <w:pPr>
        <w:pStyle w:val="10"/>
        <w:pageBreakBefore w:val="0"/>
        <w:widowControl w:val="0"/>
        <w:numPr>
          <w:ilvl w:val="0"/>
          <w:numId w:val="0"/>
        </w:numPr>
        <w:kinsoku/>
        <w:wordWrap/>
        <w:overflowPunct/>
        <w:topLinePunct w:val="0"/>
        <w:bidi w:val="0"/>
        <w:spacing w:line="560" w:lineRule="atLeast"/>
        <w:jc w:val="both"/>
        <w:rPr>
          <w:rFonts w:hint="eastAsia" w:eastAsia="仿宋_GB2312" w:cs="仿宋_GB2312"/>
          <w:sz w:val="32"/>
          <w:szCs w:val="32"/>
          <w:lang w:val="en-US" w:eastAsia="zh-CN"/>
        </w:rPr>
      </w:pPr>
    </w:p>
    <w:p w14:paraId="74F9E5E2">
      <w:pPr>
        <w:pStyle w:val="10"/>
        <w:pageBreakBefore w:val="0"/>
        <w:widowControl w:val="0"/>
        <w:numPr>
          <w:ilvl w:val="0"/>
          <w:numId w:val="0"/>
        </w:numPr>
        <w:kinsoku/>
        <w:wordWrap/>
        <w:overflowPunct/>
        <w:topLinePunct w:val="0"/>
        <w:bidi w:val="0"/>
        <w:spacing w:line="560" w:lineRule="atLeast"/>
        <w:jc w:val="both"/>
        <w:rPr>
          <w:rFonts w:hint="eastAsia" w:eastAsia="仿宋_GB2312" w:cs="仿宋_GB2312"/>
          <w:sz w:val="32"/>
          <w:szCs w:val="32"/>
          <w:lang w:val="en-US" w:eastAsia="zh-CN"/>
        </w:rPr>
      </w:pPr>
    </w:p>
    <w:p w14:paraId="4FD8B55E">
      <w:pPr>
        <w:pStyle w:val="10"/>
        <w:pageBreakBefore w:val="0"/>
        <w:widowControl w:val="0"/>
        <w:numPr>
          <w:ilvl w:val="0"/>
          <w:numId w:val="0"/>
        </w:numPr>
        <w:kinsoku/>
        <w:wordWrap/>
        <w:overflowPunct/>
        <w:topLinePunct w:val="0"/>
        <w:bidi w:val="0"/>
        <w:spacing w:line="560" w:lineRule="atLeast"/>
        <w:jc w:val="both"/>
        <w:rPr>
          <w:rFonts w:hint="eastAsia" w:eastAsia="仿宋_GB2312" w:cs="仿宋_GB2312"/>
          <w:sz w:val="32"/>
          <w:szCs w:val="32"/>
          <w:lang w:val="en-US" w:eastAsia="zh-CN"/>
        </w:rPr>
      </w:pPr>
    </w:p>
    <w:p w14:paraId="05AF010D">
      <w:pPr>
        <w:pStyle w:val="30"/>
        <w:keepNext w:val="0"/>
        <w:keepLines w:val="0"/>
        <w:pageBreakBefore w:val="0"/>
        <w:widowControl w:val="0"/>
        <w:numPr>
          <w:ilvl w:val="0"/>
          <w:numId w:val="0"/>
        </w:numPr>
        <w:kinsoku/>
        <w:wordWrap/>
        <w:overflowPunct/>
        <w:topLinePunct w:val="0"/>
        <w:autoSpaceDE/>
        <w:autoSpaceDN/>
        <w:bidi w:val="0"/>
        <w:adjustRightInd/>
        <w:snapToGrid/>
        <w:spacing w:line="560" w:lineRule="atLeast"/>
        <w:ind w:firstLine="960" w:firstLineChars="300"/>
        <w:textAlignment w:val="auto"/>
        <w:outlineLvl w:val="1"/>
        <w:rPr>
          <w:rFonts w:hint="eastAsia" w:ascii="Times New Roman" w:hAnsi="Times New Roman" w:eastAsia="仿宋_GB2312" w:cs="仿宋_GB2312"/>
          <w:color w:val="auto"/>
          <w:sz w:val="32"/>
          <w:szCs w:val="32"/>
          <w:highlight w:val="none"/>
        </w:rPr>
      </w:pPr>
    </w:p>
    <w:p w14:paraId="67759932">
      <w:pPr>
        <w:pStyle w:val="30"/>
        <w:keepNext w:val="0"/>
        <w:keepLines w:val="0"/>
        <w:pageBreakBefore w:val="0"/>
        <w:widowControl w:val="0"/>
        <w:numPr>
          <w:ilvl w:val="0"/>
          <w:numId w:val="0"/>
        </w:numPr>
        <w:kinsoku/>
        <w:wordWrap/>
        <w:overflowPunct/>
        <w:topLinePunct w:val="0"/>
        <w:autoSpaceDE/>
        <w:autoSpaceDN/>
        <w:bidi w:val="0"/>
        <w:adjustRightInd/>
        <w:snapToGrid/>
        <w:spacing w:line="560" w:lineRule="atLeast"/>
        <w:ind w:firstLine="960" w:firstLineChars="300"/>
        <w:textAlignment w:val="auto"/>
        <w:outlineLvl w:val="1"/>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（图1：</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决算总计变动情况图）（柱状图）</w:t>
      </w:r>
    </w:p>
    <w:p w14:paraId="0347A7BC">
      <w:pPr>
        <w:keepNext w:val="0"/>
        <w:keepLines w:val="0"/>
        <w:pageBreakBefore w:val="0"/>
        <w:widowControl w:val="0"/>
        <w:kinsoku/>
        <w:wordWrap/>
        <w:overflowPunct/>
        <w:topLinePunct w:val="0"/>
        <w:autoSpaceDE/>
        <w:autoSpaceDN/>
        <w:bidi w:val="0"/>
        <w:adjustRightInd/>
        <w:snapToGrid/>
        <w:spacing w:line="560" w:lineRule="atLeast"/>
        <w:ind w:firstLine="640" w:firstLineChars="200"/>
        <w:textAlignment w:val="auto"/>
        <w:rPr>
          <w:rFonts w:hint="eastAsia" w:ascii="Times New Roman" w:hAnsi="Times New Roman" w:eastAsia="仿宋_GB2312" w:cs="仿宋_GB2312"/>
          <w:color w:val="auto"/>
          <w:sz w:val="32"/>
          <w:szCs w:val="32"/>
          <w:highlight w:val="none"/>
        </w:rPr>
      </w:pPr>
    </w:p>
    <w:p w14:paraId="2913116E">
      <w:pPr>
        <w:pStyle w:val="30"/>
        <w:keepNext w:val="0"/>
        <w:keepLines w:val="0"/>
        <w:pageBreakBefore w:val="0"/>
        <w:widowControl w:val="0"/>
        <w:numPr>
          <w:ilvl w:val="0"/>
          <w:numId w:val="0"/>
        </w:numPr>
        <w:kinsoku/>
        <w:wordWrap/>
        <w:overflowPunct/>
        <w:topLinePunct w:val="0"/>
        <w:autoSpaceDE/>
        <w:autoSpaceDN/>
        <w:bidi w:val="0"/>
        <w:adjustRightInd/>
        <w:snapToGrid/>
        <w:spacing w:line="560" w:lineRule="atLeast"/>
        <w:ind w:firstLine="640" w:firstLineChars="200"/>
        <w:textAlignment w:val="auto"/>
        <w:outlineLvl w:val="1"/>
        <w:rPr>
          <w:rFonts w:hint="eastAsia" w:ascii="Times New Roman" w:hAnsi="Times New Roman" w:eastAsia="黑体"/>
          <w:color w:val="auto"/>
          <w:sz w:val="32"/>
          <w:szCs w:val="32"/>
          <w:highlight w:val="none"/>
          <w:lang w:eastAsia="zh-CN"/>
        </w:rPr>
      </w:pPr>
      <w:bookmarkStart w:id="14" w:name="_Toc15377206"/>
      <w:bookmarkStart w:id="15" w:name="_Toc15396604"/>
      <w:r>
        <w:rPr>
          <w:rFonts w:hint="eastAsia" w:ascii="Times New Roman" w:hAnsi="Times New Roman" w:eastAsia="黑体"/>
          <w:color w:val="auto"/>
          <w:sz w:val="32"/>
          <w:szCs w:val="32"/>
          <w:highlight w:val="none"/>
          <w:lang w:eastAsia="zh-CN"/>
        </w:rPr>
        <w:t>二、收入决算情况说明</w:t>
      </w:r>
      <w:bookmarkEnd w:id="14"/>
      <w:bookmarkEnd w:id="15"/>
    </w:p>
    <w:p w14:paraId="79BDC146">
      <w:pPr>
        <w:pStyle w:val="30"/>
        <w:keepNext w:val="0"/>
        <w:keepLines w:val="0"/>
        <w:pageBreakBefore w:val="0"/>
        <w:widowControl w:val="0"/>
        <w:numPr>
          <w:ilvl w:val="0"/>
          <w:numId w:val="0"/>
        </w:numPr>
        <w:kinsoku/>
        <w:wordWrap/>
        <w:overflowPunct/>
        <w:topLinePunct w:val="0"/>
        <w:autoSpaceDE/>
        <w:autoSpaceDN/>
        <w:bidi w:val="0"/>
        <w:adjustRightInd/>
        <w:snapToGrid/>
        <w:spacing w:line="560" w:lineRule="atLeas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本年收入合计2842.29万元，其中：一般公共预算财政拨款收入2799.6万元，占</w:t>
      </w:r>
      <w:r>
        <w:rPr>
          <w:rFonts w:hint="eastAsia" w:eastAsia="仿宋_GB2312" w:cs="仿宋_GB2312"/>
          <w:color w:val="auto"/>
          <w:sz w:val="32"/>
          <w:szCs w:val="32"/>
          <w:highlight w:val="none"/>
          <w:lang w:val="en-US" w:eastAsia="zh-CN"/>
        </w:rPr>
        <w:t>98.5</w:t>
      </w:r>
      <w:r>
        <w:rPr>
          <w:rFonts w:hint="eastAsia" w:ascii="Times New Roman" w:hAnsi="Times New Roman" w:eastAsia="仿宋_GB2312" w:cs="仿宋_GB2312"/>
          <w:color w:val="auto"/>
          <w:sz w:val="32"/>
          <w:szCs w:val="32"/>
          <w:highlight w:val="none"/>
          <w:lang w:eastAsia="zh-CN"/>
        </w:rPr>
        <w:t>%；</w:t>
      </w:r>
      <w:r>
        <w:rPr>
          <w:rFonts w:hint="eastAsia" w:eastAsia="仿宋_GB2312" w:cs="仿宋_GB2312"/>
          <w:color w:val="auto"/>
          <w:kern w:val="2"/>
          <w:sz w:val="32"/>
          <w:szCs w:val="32"/>
          <w:highlight w:val="none"/>
          <w:lang w:val="en-US" w:eastAsia="zh-CN" w:bidi="ar-SA"/>
        </w:rPr>
        <w:t>本单位</w:t>
      </w:r>
      <w:r>
        <w:rPr>
          <w:rFonts w:hint="eastAsia" w:eastAsia="仿宋_GB2312" w:cs="仿宋_GB2312"/>
          <w:color w:val="auto"/>
          <w:sz w:val="32"/>
          <w:szCs w:val="32"/>
          <w:highlight w:val="none"/>
          <w:lang w:val="en-US" w:eastAsia="zh-CN"/>
        </w:rPr>
        <w:t>2025年度无</w:t>
      </w:r>
      <w:r>
        <w:rPr>
          <w:rFonts w:hint="eastAsia" w:ascii="Times New Roman" w:hAnsi="Times New Roman" w:eastAsia="仿宋_GB2312" w:cs="仿宋_GB2312"/>
          <w:color w:val="auto"/>
          <w:sz w:val="32"/>
          <w:szCs w:val="32"/>
          <w:highlight w:val="none"/>
          <w:lang w:eastAsia="zh-CN"/>
        </w:rPr>
        <w:t>政府性基金预算财政拨款收入；</w:t>
      </w:r>
      <w:r>
        <w:rPr>
          <w:rFonts w:hint="eastAsia" w:eastAsia="仿宋_GB2312" w:cs="仿宋_GB2312"/>
          <w:color w:val="auto"/>
          <w:kern w:val="2"/>
          <w:sz w:val="32"/>
          <w:szCs w:val="32"/>
          <w:highlight w:val="none"/>
          <w:lang w:val="en-US" w:eastAsia="zh-CN" w:bidi="ar-SA"/>
        </w:rPr>
        <w:t>本单位</w:t>
      </w:r>
      <w:r>
        <w:rPr>
          <w:rFonts w:hint="eastAsia" w:eastAsia="仿宋_GB2312" w:cs="仿宋_GB2312"/>
          <w:color w:val="auto"/>
          <w:sz w:val="32"/>
          <w:szCs w:val="32"/>
          <w:highlight w:val="none"/>
          <w:lang w:val="en-US" w:eastAsia="zh-CN"/>
        </w:rPr>
        <w:t>2025年度无</w:t>
      </w:r>
      <w:r>
        <w:rPr>
          <w:rFonts w:hint="eastAsia" w:ascii="Times New Roman" w:hAnsi="Times New Roman" w:eastAsia="仿宋_GB2312" w:cs="仿宋_GB2312"/>
          <w:color w:val="auto"/>
          <w:sz w:val="32"/>
          <w:szCs w:val="32"/>
          <w:highlight w:val="none"/>
          <w:lang w:eastAsia="zh-CN"/>
        </w:rPr>
        <w:t>国有资本经营预算财政拨款收入；</w:t>
      </w:r>
      <w:r>
        <w:rPr>
          <w:rFonts w:hint="eastAsia" w:eastAsia="仿宋_GB2312" w:cs="仿宋_GB2312"/>
          <w:color w:val="auto"/>
          <w:kern w:val="2"/>
          <w:sz w:val="32"/>
          <w:szCs w:val="32"/>
          <w:highlight w:val="none"/>
          <w:lang w:val="en-US" w:eastAsia="zh-CN" w:bidi="ar-SA"/>
        </w:rPr>
        <w:t>本单位</w:t>
      </w:r>
      <w:r>
        <w:rPr>
          <w:rFonts w:hint="eastAsia" w:eastAsia="仿宋_GB2312" w:cs="仿宋_GB2312"/>
          <w:color w:val="auto"/>
          <w:sz w:val="32"/>
          <w:szCs w:val="32"/>
          <w:highlight w:val="none"/>
          <w:lang w:val="en-US" w:eastAsia="zh-CN"/>
        </w:rPr>
        <w:t>2025年度无</w:t>
      </w:r>
      <w:r>
        <w:rPr>
          <w:rFonts w:hint="eastAsia" w:ascii="Times New Roman" w:hAnsi="Times New Roman" w:eastAsia="仿宋_GB2312" w:cs="仿宋_GB2312"/>
          <w:color w:val="auto"/>
          <w:sz w:val="32"/>
          <w:szCs w:val="32"/>
          <w:highlight w:val="none"/>
          <w:lang w:eastAsia="zh-CN"/>
        </w:rPr>
        <w:t>上级补助收入；</w:t>
      </w:r>
      <w:r>
        <w:rPr>
          <w:rFonts w:hint="eastAsia" w:eastAsia="仿宋_GB2312" w:cs="仿宋_GB2312"/>
          <w:color w:val="auto"/>
          <w:kern w:val="2"/>
          <w:sz w:val="32"/>
          <w:szCs w:val="32"/>
          <w:highlight w:val="none"/>
          <w:lang w:val="en-US" w:eastAsia="zh-CN" w:bidi="ar-SA"/>
        </w:rPr>
        <w:t>本单位</w:t>
      </w:r>
      <w:r>
        <w:rPr>
          <w:rFonts w:hint="eastAsia" w:eastAsia="仿宋_GB2312" w:cs="仿宋_GB2312"/>
          <w:color w:val="auto"/>
          <w:sz w:val="32"/>
          <w:szCs w:val="32"/>
          <w:highlight w:val="none"/>
          <w:lang w:val="en-US" w:eastAsia="zh-CN"/>
        </w:rPr>
        <w:t>2025年度无</w:t>
      </w:r>
      <w:r>
        <w:rPr>
          <w:rFonts w:hint="eastAsia" w:ascii="Times New Roman" w:hAnsi="Times New Roman" w:eastAsia="仿宋_GB2312" w:cs="仿宋_GB2312"/>
          <w:color w:val="auto"/>
          <w:sz w:val="32"/>
          <w:szCs w:val="32"/>
          <w:highlight w:val="none"/>
          <w:lang w:eastAsia="zh-CN"/>
        </w:rPr>
        <w:t>事业收入；</w:t>
      </w:r>
      <w:r>
        <w:rPr>
          <w:rFonts w:hint="eastAsia" w:eastAsia="仿宋_GB2312" w:cs="仿宋_GB2312"/>
          <w:color w:val="auto"/>
          <w:kern w:val="2"/>
          <w:sz w:val="32"/>
          <w:szCs w:val="32"/>
          <w:highlight w:val="none"/>
          <w:lang w:val="en-US" w:eastAsia="zh-CN" w:bidi="ar-SA"/>
        </w:rPr>
        <w:t>本单位</w:t>
      </w:r>
      <w:r>
        <w:rPr>
          <w:rFonts w:hint="eastAsia" w:eastAsia="仿宋_GB2312" w:cs="仿宋_GB2312"/>
          <w:color w:val="auto"/>
          <w:sz w:val="32"/>
          <w:szCs w:val="32"/>
          <w:highlight w:val="none"/>
          <w:lang w:val="en-US" w:eastAsia="zh-CN"/>
        </w:rPr>
        <w:t>2025年度无</w:t>
      </w:r>
      <w:r>
        <w:rPr>
          <w:rFonts w:hint="eastAsia" w:ascii="Times New Roman" w:hAnsi="Times New Roman" w:eastAsia="仿宋_GB2312" w:cs="仿宋_GB2312"/>
          <w:color w:val="auto"/>
          <w:sz w:val="32"/>
          <w:szCs w:val="32"/>
          <w:highlight w:val="none"/>
          <w:lang w:eastAsia="zh-CN"/>
        </w:rPr>
        <w:t>经营收入；</w:t>
      </w:r>
      <w:r>
        <w:rPr>
          <w:rFonts w:hint="eastAsia" w:eastAsia="仿宋_GB2312" w:cs="仿宋_GB2312"/>
          <w:color w:val="auto"/>
          <w:kern w:val="2"/>
          <w:sz w:val="32"/>
          <w:szCs w:val="32"/>
          <w:highlight w:val="none"/>
          <w:lang w:val="en-US" w:eastAsia="zh-CN" w:bidi="ar-SA"/>
        </w:rPr>
        <w:t>本单位</w:t>
      </w:r>
      <w:r>
        <w:rPr>
          <w:rFonts w:hint="eastAsia" w:eastAsia="仿宋_GB2312" w:cs="仿宋_GB2312"/>
          <w:color w:val="auto"/>
          <w:sz w:val="32"/>
          <w:szCs w:val="32"/>
          <w:highlight w:val="none"/>
          <w:lang w:val="en-US" w:eastAsia="zh-CN"/>
        </w:rPr>
        <w:t>2025年度无</w:t>
      </w:r>
      <w:r>
        <w:rPr>
          <w:rFonts w:hint="eastAsia" w:ascii="Times New Roman" w:hAnsi="Times New Roman" w:eastAsia="仿宋_GB2312" w:cs="仿宋_GB2312"/>
          <w:color w:val="auto"/>
          <w:sz w:val="32"/>
          <w:szCs w:val="32"/>
          <w:highlight w:val="none"/>
          <w:lang w:eastAsia="zh-CN"/>
        </w:rPr>
        <w:t>附属单位上缴收入；其他收入</w:t>
      </w:r>
      <w:r>
        <w:rPr>
          <w:rFonts w:hint="eastAsia" w:eastAsia="仿宋_GB2312" w:cs="仿宋_GB2312"/>
          <w:color w:val="auto"/>
          <w:sz w:val="32"/>
          <w:szCs w:val="32"/>
          <w:highlight w:val="none"/>
          <w:lang w:val="en-US" w:eastAsia="zh-CN"/>
        </w:rPr>
        <w:t>42.69</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1.5</w:t>
      </w:r>
      <w:r>
        <w:rPr>
          <w:rFonts w:hint="eastAsia" w:ascii="Times New Roman" w:hAnsi="Times New Roman" w:eastAsia="仿宋_GB2312" w:cs="仿宋_GB2312"/>
          <w:color w:val="auto"/>
          <w:sz w:val="32"/>
          <w:szCs w:val="32"/>
          <w:highlight w:val="none"/>
          <w:lang w:eastAsia="zh-CN"/>
        </w:rPr>
        <w:t>%。</w:t>
      </w:r>
    </w:p>
    <w:p w14:paraId="2C195F23">
      <w:pPr>
        <w:pStyle w:val="30"/>
        <w:keepNext w:val="0"/>
        <w:keepLines w:val="0"/>
        <w:pageBreakBefore w:val="0"/>
        <w:widowControl w:val="0"/>
        <w:numPr>
          <w:ilvl w:val="0"/>
          <w:numId w:val="0"/>
        </w:numPr>
        <w:kinsoku/>
        <w:wordWrap/>
        <w:overflowPunct/>
        <w:topLinePunct w:val="0"/>
        <w:autoSpaceDE/>
        <w:autoSpaceDN/>
        <w:bidi w:val="0"/>
        <w:adjustRightInd/>
        <w:snapToGrid/>
        <w:spacing w:line="560" w:lineRule="atLeas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14:paraId="2B22FFED">
      <w:pPr>
        <w:pStyle w:val="30"/>
        <w:keepNext w:val="0"/>
        <w:keepLines w:val="0"/>
        <w:pageBreakBefore w:val="0"/>
        <w:widowControl w:val="0"/>
        <w:numPr>
          <w:ilvl w:val="0"/>
          <w:numId w:val="0"/>
        </w:numPr>
        <w:kinsoku/>
        <w:wordWrap/>
        <w:overflowPunct/>
        <w:topLinePunct w:val="0"/>
        <w:autoSpaceDE/>
        <w:autoSpaceDN/>
        <w:bidi w:val="0"/>
        <w:adjustRightInd/>
        <w:snapToGrid/>
        <w:spacing w:line="560" w:lineRule="atLeas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eastAsia="仿宋_GB2312" w:cs="仿宋_GB2312"/>
          <w:sz w:val="32"/>
          <w:szCs w:val="32"/>
          <w:lang w:eastAsia="zh-CN"/>
        </w:rPr>
        <w:drawing>
          <wp:inline distT="0" distB="0" distL="114300" distR="114300">
            <wp:extent cx="5078095" cy="2810510"/>
            <wp:effectExtent l="4445" t="4445" r="7620" b="19685"/>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21724843">
      <w:pPr>
        <w:pStyle w:val="30"/>
        <w:keepNext w:val="0"/>
        <w:keepLines w:val="0"/>
        <w:pageBreakBefore w:val="0"/>
        <w:widowControl w:val="0"/>
        <w:numPr>
          <w:ilvl w:val="0"/>
          <w:numId w:val="0"/>
        </w:numPr>
        <w:kinsoku/>
        <w:wordWrap/>
        <w:overflowPunct/>
        <w:topLinePunct w:val="0"/>
        <w:autoSpaceDE/>
        <w:autoSpaceDN/>
        <w:bidi w:val="0"/>
        <w:adjustRightInd/>
        <w:snapToGrid/>
        <w:spacing w:line="560" w:lineRule="atLeast"/>
        <w:ind w:firstLine="960" w:firstLineChars="300"/>
        <w:jc w:val="center"/>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（图2：收入决算结构图）（饼状图）</w:t>
      </w:r>
    </w:p>
    <w:p w14:paraId="24C31F59">
      <w:pPr>
        <w:pStyle w:val="2"/>
        <w:rPr>
          <w:rFonts w:hint="eastAsia"/>
          <w:lang w:eastAsia="zh-CN"/>
        </w:rPr>
      </w:pPr>
    </w:p>
    <w:p w14:paraId="6BFFDF13">
      <w:pPr>
        <w:pStyle w:val="30"/>
        <w:keepNext w:val="0"/>
        <w:keepLines w:val="0"/>
        <w:pageBreakBefore w:val="0"/>
        <w:widowControl w:val="0"/>
        <w:numPr>
          <w:ilvl w:val="0"/>
          <w:numId w:val="0"/>
        </w:numPr>
        <w:kinsoku/>
        <w:wordWrap/>
        <w:overflowPunct/>
        <w:topLinePunct w:val="0"/>
        <w:autoSpaceDE/>
        <w:autoSpaceDN/>
        <w:bidi w:val="0"/>
        <w:adjustRightInd/>
        <w:snapToGrid/>
        <w:spacing w:line="560" w:lineRule="atLeast"/>
        <w:ind w:firstLine="640" w:firstLineChars="200"/>
        <w:textAlignment w:val="auto"/>
        <w:outlineLvl w:val="1"/>
        <w:rPr>
          <w:rStyle w:val="32"/>
          <w:rFonts w:hint="eastAsia" w:ascii="Times New Roman" w:hAnsi="Times New Roman" w:eastAsia="黑体"/>
          <w:b w:val="0"/>
          <w:color w:val="auto"/>
          <w:highlight w:val="none"/>
        </w:rPr>
      </w:pPr>
      <w:bookmarkStart w:id="16" w:name="_Toc15396605"/>
      <w:bookmarkStart w:id="17" w:name="_Toc15377207"/>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32"/>
          <w:rFonts w:hint="eastAsia" w:ascii="Times New Roman" w:hAnsi="Times New Roman" w:eastAsia="黑体"/>
          <w:b w:val="0"/>
          <w:color w:val="auto"/>
          <w:highlight w:val="none"/>
        </w:rPr>
        <w:t>出决算情况说明</w:t>
      </w:r>
      <w:bookmarkEnd w:id="16"/>
      <w:bookmarkEnd w:id="17"/>
    </w:p>
    <w:p w14:paraId="43A468E4">
      <w:pPr>
        <w:pStyle w:val="30"/>
        <w:keepNext w:val="0"/>
        <w:keepLines w:val="0"/>
        <w:pageBreakBefore w:val="0"/>
        <w:widowControl w:val="0"/>
        <w:numPr>
          <w:ilvl w:val="0"/>
          <w:numId w:val="0"/>
        </w:numPr>
        <w:kinsoku/>
        <w:wordWrap/>
        <w:overflowPunct/>
        <w:topLinePunct w:val="0"/>
        <w:autoSpaceDE/>
        <w:autoSpaceDN/>
        <w:bidi w:val="0"/>
        <w:adjustRightInd/>
        <w:snapToGrid/>
        <w:spacing w:line="560" w:lineRule="atLeast"/>
        <w:ind w:firstLine="640" w:firstLineChars="200"/>
        <w:textAlignment w:val="auto"/>
        <w:outlineLvl w:val="1"/>
        <w:rPr>
          <w:rFonts w:hint="eastAsia"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本年支出合计2829.4万元，其中：基本支出2527.12万元，占</w:t>
      </w:r>
      <w:r>
        <w:rPr>
          <w:rFonts w:hint="eastAsia" w:eastAsia="仿宋_GB2312" w:cs="仿宋_GB2312"/>
          <w:color w:val="auto"/>
          <w:sz w:val="32"/>
          <w:szCs w:val="32"/>
          <w:highlight w:val="none"/>
          <w:lang w:val="en-US" w:eastAsia="zh-CN"/>
        </w:rPr>
        <w:t>89.3</w:t>
      </w:r>
      <w:r>
        <w:rPr>
          <w:rFonts w:hint="eastAsia" w:ascii="Times New Roman" w:hAnsi="Times New Roman" w:eastAsia="仿宋_GB2312" w:cs="仿宋_GB2312"/>
          <w:color w:val="auto"/>
          <w:sz w:val="32"/>
          <w:szCs w:val="32"/>
          <w:highlight w:val="none"/>
          <w:lang w:eastAsia="zh-CN"/>
        </w:rPr>
        <w:t>%；项目支出302.28万元，占</w:t>
      </w:r>
      <w:r>
        <w:rPr>
          <w:rFonts w:hint="eastAsia" w:eastAsia="仿宋_GB2312" w:cs="仿宋_GB2312"/>
          <w:color w:val="auto"/>
          <w:sz w:val="32"/>
          <w:szCs w:val="32"/>
          <w:highlight w:val="none"/>
          <w:lang w:val="en-US" w:eastAsia="zh-CN"/>
        </w:rPr>
        <w:t>10.7</w:t>
      </w:r>
      <w:r>
        <w:rPr>
          <w:rFonts w:hint="eastAsia" w:ascii="Times New Roman" w:hAnsi="Times New Roman" w:eastAsia="仿宋_GB2312" w:cs="仿宋_GB2312"/>
          <w:color w:val="auto"/>
          <w:sz w:val="32"/>
          <w:szCs w:val="32"/>
          <w:highlight w:val="none"/>
          <w:lang w:eastAsia="zh-CN"/>
        </w:rPr>
        <w:t>%；</w:t>
      </w:r>
      <w:r>
        <w:rPr>
          <w:rFonts w:hint="eastAsia" w:eastAsia="仿宋_GB2312" w:cs="仿宋_GB2312"/>
          <w:color w:val="auto"/>
          <w:kern w:val="2"/>
          <w:sz w:val="32"/>
          <w:szCs w:val="32"/>
          <w:highlight w:val="none"/>
          <w:lang w:val="en-US" w:eastAsia="zh-CN" w:bidi="ar-SA"/>
        </w:rPr>
        <w:t>本单位</w:t>
      </w:r>
      <w:r>
        <w:rPr>
          <w:rFonts w:hint="eastAsia" w:eastAsia="仿宋_GB2312" w:cs="仿宋_GB2312"/>
          <w:color w:val="auto"/>
          <w:sz w:val="32"/>
          <w:szCs w:val="32"/>
          <w:highlight w:val="none"/>
          <w:lang w:val="en-US" w:eastAsia="zh-CN"/>
        </w:rPr>
        <w:t>2025年度无</w:t>
      </w:r>
      <w:r>
        <w:rPr>
          <w:rFonts w:hint="eastAsia" w:ascii="Times New Roman" w:hAnsi="Times New Roman" w:eastAsia="仿宋_GB2312" w:cs="仿宋_GB2312"/>
          <w:color w:val="auto"/>
          <w:sz w:val="32"/>
          <w:szCs w:val="32"/>
          <w:highlight w:val="none"/>
          <w:lang w:eastAsia="zh-CN"/>
        </w:rPr>
        <w:t>上缴上级支出；</w:t>
      </w:r>
      <w:r>
        <w:rPr>
          <w:rFonts w:hint="eastAsia" w:eastAsia="仿宋_GB2312" w:cs="仿宋_GB2312"/>
          <w:color w:val="auto"/>
          <w:kern w:val="2"/>
          <w:sz w:val="32"/>
          <w:szCs w:val="32"/>
          <w:highlight w:val="none"/>
          <w:lang w:val="en-US" w:eastAsia="zh-CN" w:bidi="ar-SA"/>
        </w:rPr>
        <w:t>本单位</w:t>
      </w:r>
      <w:r>
        <w:rPr>
          <w:rFonts w:hint="eastAsia" w:eastAsia="仿宋_GB2312" w:cs="仿宋_GB2312"/>
          <w:color w:val="auto"/>
          <w:sz w:val="32"/>
          <w:szCs w:val="32"/>
          <w:highlight w:val="none"/>
          <w:lang w:val="en-US" w:eastAsia="zh-CN"/>
        </w:rPr>
        <w:t>2025年度无</w:t>
      </w:r>
      <w:r>
        <w:rPr>
          <w:rFonts w:hint="eastAsia" w:ascii="Times New Roman" w:hAnsi="Times New Roman" w:eastAsia="仿宋_GB2312" w:cs="仿宋_GB2312"/>
          <w:color w:val="auto"/>
          <w:sz w:val="32"/>
          <w:szCs w:val="32"/>
          <w:highlight w:val="none"/>
          <w:lang w:eastAsia="zh-CN"/>
        </w:rPr>
        <w:t>经营支出；</w:t>
      </w:r>
      <w:r>
        <w:rPr>
          <w:rFonts w:hint="eastAsia" w:eastAsia="仿宋_GB2312" w:cs="仿宋_GB2312"/>
          <w:color w:val="auto"/>
          <w:kern w:val="2"/>
          <w:sz w:val="32"/>
          <w:szCs w:val="32"/>
          <w:highlight w:val="none"/>
          <w:lang w:val="en-US" w:eastAsia="zh-CN" w:bidi="ar-SA"/>
        </w:rPr>
        <w:t>本单位</w:t>
      </w:r>
      <w:r>
        <w:rPr>
          <w:rFonts w:hint="eastAsia" w:eastAsia="仿宋_GB2312" w:cs="仿宋_GB2312"/>
          <w:color w:val="auto"/>
          <w:sz w:val="32"/>
          <w:szCs w:val="32"/>
          <w:highlight w:val="none"/>
          <w:lang w:val="en-US" w:eastAsia="zh-CN"/>
        </w:rPr>
        <w:t>2025年度无</w:t>
      </w:r>
      <w:r>
        <w:rPr>
          <w:rFonts w:hint="eastAsia" w:ascii="Times New Roman" w:hAnsi="Times New Roman" w:eastAsia="仿宋_GB2312" w:cs="仿宋_GB2312"/>
          <w:color w:val="auto"/>
          <w:sz w:val="32"/>
          <w:szCs w:val="32"/>
          <w:highlight w:val="none"/>
          <w:lang w:eastAsia="zh-CN"/>
        </w:rPr>
        <w:t>对附属单位补助支出</w:t>
      </w:r>
      <w:r>
        <w:rPr>
          <w:rFonts w:hint="eastAsia" w:eastAsia="仿宋_GB2312" w:cs="仿宋_GB2312"/>
          <w:color w:val="auto"/>
          <w:sz w:val="32"/>
          <w:szCs w:val="32"/>
          <w:highlight w:val="none"/>
          <w:lang w:eastAsia="zh-CN"/>
        </w:rPr>
        <w:t>。</w:t>
      </w:r>
    </w:p>
    <w:p w14:paraId="1F9CFF58">
      <w:pPr>
        <w:pStyle w:val="30"/>
        <w:keepNext w:val="0"/>
        <w:keepLines w:val="0"/>
        <w:pageBreakBefore w:val="0"/>
        <w:widowControl w:val="0"/>
        <w:numPr>
          <w:ilvl w:val="0"/>
          <w:numId w:val="0"/>
        </w:numPr>
        <w:kinsoku/>
        <w:wordWrap/>
        <w:overflowPunct/>
        <w:topLinePunct w:val="0"/>
        <w:autoSpaceDE/>
        <w:autoSpaceDN/>
        <w:bidi w:val="0"/>
        <w:adjustRightInd/>
        <w:snapToGrid/>
        <w:spacing w:line="560" w:lineRule="atLeast"/>
        <w:ind w:firstLine="640" w:firstLineChars="200"/>
        <w:textAlignment w:val="auto"/>
        <w:outlineLvl w:val="1"/>
        <w:rPr>
          <w:rFonts w:hint="eastAsia" w:eastAsia="仿宋_GB2312" w:cs="仿宋_GB2312"/>
          <w:color w:val="auto"/>
          <w:sz w:val="32"/>
          <w:szCs w:val="32"/>
          <w:highlight w:val="none"/>
          <w:lang w:eastAsia="zh-CN"/>
        </w:rPr>
      </w:pPr>
    </w:p>
    <w:p w14:paraId="59AFD29D">
      <w:pPr>
        <w:pStyle w:val="30"/>
        <w:keepNext w:val="0"/>
        <w:keepLines w:val="0"/>
        <w:pageBreakBefore w:val="0"/>
        <w:widowControl w:val="0"/>
        <w:numPr>
          <w:ilvl w:val="0"/>
          <w:numId w:val="0"/>
        </w:numPr>
        <w:kinsoku/>
        <w:wordWrap/>
        <w:overflowPunct/>
        <w:topLinePunct w:val="0"/>
        <w:autoSpaceDE/>
        <w:autoSpaceDN/>
        <w:bidi w:val="0"/>
        <w:adjustRightInd/>
        <w:snapToGrid/>
        <w:spacing w:line="560" w:lineRule="atLeast"/>
        <w:ind w:firstLine="640" w:firstLineChars="200"/>
        <w:textAlignment w:val="auto"/>
        <w:outlineLvl w:val="1"/>
        <w:rPr>
          <w:rFonts w:hint="eastAsia" w:eastAsia="仿宋_GB2312" w:cs="仿宋_GB2312"/>
          <w:color w:val="auto"/>
          <w:sz w:val="32"/>
          <w:szCs w:val="32"/>
          <w:highlight w:val="none"/>
          <w:lang w:eastAsia="zh-CN"/>
        </w:rPr>
      </w:pPr>
    </w:p>
    <w:p w14:paraId="6E9552A2">
      <w:pPr>
        <w:pStyle w:val="30"/>
        <w:keepNext w:val="0"/>
        <w:keepLines w:val="0"/>
        <w:pageBreakBefore w:val="0"/>
        <w:widowControl w:val="0"/>
        <w:numPr>
          <w:ilvl w:val="0"/>
          <w:numId w:val="0"/>
        </w:numPr>
        <w:kinsoku/>
        <w:wordWrap/>
        <w:overflowPunct/>
        <w:topLinePunct w:val="0"/>
        <w:autoSpaceDE/>
        <w:autoSpaceDN/>
        <w:bidi w:val="0"/>
        <w:adjustRightInd/>
        <w:snapToGrid/>
        <w:spacing w:line="560" w:lineRule="atLeast"/>
        <w:ind w:firstLine="640" w:firstLineChars="200"/>
        <w:textAlignment w:val="auto"/>
        <w:outlineLvl w:val="1"/>
        <w:rPr>
          <w:rFonts w:hint="eastAsia"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drawing>
          <wp:inline distT="0" distB="0" distL="114300" distR="114300">
            <wp:extent cx="4910455" cy="3244850"/>
            <wp:effectExtent l="4445" t="4445" r="7620" b="12065"/>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41C36999">
      <w:pPr>
        <w:pStyle w:val="30"/>
        <w:keepNext w:val="0"/>
        <w:keepLines w:val="0"/>
        <w:pageBreakBefore w:val="0"/>
        <w:widowControl w:val="0"/>
        <w:numPr>
          <w:ilvl w:val="0"/>
          <w:numId w:val="0"/>
        </w:numPr>
        <w:kinsoku/>
        <w:wordWrap/>
        <w:overflowPunct/>
        <w:topLinePunct w:val="0"/>
        <w:autoSpaceDE/>
        <w:autoSpaceDN/>
        <w:bidi w:val="0"/>
        <w:adjustRightInd/>
        <w:snapToGrid/>
        <w:spacing w:line="560" w:lineRule="atLeast"/>
        <w:ind w:firstLine="2240" w:firstLineChars="700"/>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（图3：支出决算结构图）（饼状图）</w:t>
      </w:r>
    </w:p>
    <w:p w14:paraId="67655085">
      <w:pPr>
        <w:pageBreakBefore w:val="0"/>
        <w:kinsoku/>
        <w:wordWrap/>
        <w:overflowPunct/>
        <w:topLinePunct w:val="0"/>
        <w:bidi w:val="0"/>
        <w:spacing w:line="560" w:lineRule="atLeast"/>
        <w:ind w:firstLine="800" w:firstLineChars="250"/>
        <w:rPr>
          <w:rFonts w:hint="eastAsia" w:ascii="Times New Roman" w:hAnsi="Times New Roman" w:eastAsia="仿宋_GB2312" w:cs="仿宋_GB2312"/>
          <w:color w:val="auto"/>
          <w:sz w:val="32"/>
          <w:szCs w:val="32"/>
          <w:highlight w:val="none"/>
          <w:lang w:eastAsia="zh-CN"/>
        </w:rPr>
      </w:pPr>
    </w:p>
    <w:p w14:paraId="466ACD89">
      <w:pPr>
        <w:pageBreakBefore w:val="0"/>
        <w:kinsoku/>
        <w:wordWrap/>
        <w:overflowPunct/>
        <w:topLinePunct w:val="0"/>
        <w:bidi w:val="0"/>
        <w:spacing w:line="560" w:lineRule="atLeast"/>
        <w:ind w:firstLine="640" w:firstLineChars="200"/>
        <w:outlineLvl w:val="1"/>
        <w:rPr>
          <w:rStyle w:val="32"/>
          <w:rFonts w:ascii="Times New Roman" w:hAnsi="Times New Roman" w:eastAsia="黑体"/>
          <w:b w:val="0"/>
          <w:color w:val="auto"/>
          <w:highlight w:val="none"/>
        </w:rPr>
      </w:pPr>
      <w:bookmarkStart w:id="18" w:name="_Toc15377208"/>
      <w:bookmarkStart w:id="19" w:name="_Toc15396606"/>
      <w:r>
        <w:rPr>
          <w:rFonts w:hint="eastAsia" w:ascii="Times New Roman" w:hAnsi="Times New Roman" w:eastAsia="黑体"/>
          <w:color w:val="auto"/>
          <w:sz w:val="32"/>
          <w:szCs w:val="32"/>
          <w:highlight w:val="none"/>
        </w:rPr>
        <w:t>四、财</w:t>
      </w:r>
      <w:r>
        <w:rPr>
          <w:rStyle w:val="32"/>
          <w:rFonts w:hint="eastAsia" w:ascii="Times New Roman" w:hAnsi="Times New Roman" w:eastAsia="黑体"/>
          <w:b w:val="0"/>
          <w:color w:val="auto"/>
          <w:highlight w:val="none"/>
        </w:rPr>
        <w:t>政拨款收入支出决算总体情况说明</w:t>
      </w:r>
      <w:bookmarkEnd w:id="18"/>
      <w:bookmarkEnd w:id="19"/>
    </w:p>
    <w:p w14:paraId="5FC51CDD">
      <w:pPr>
        <w:pageBreakBefore w:val="0"/>
        <w:kinsoku/>
        <w:wordWrap/>
        <w:overflowPunct/>
        <w:topLinePunct w:val="0"/>
        <w:bidi w:val="0"/>
        <w:spacing w:line="560" w:lineRule="atLeast"/>
        <w:ind w:firstLine="640"/>
        <w:rPr>
          <w:rFonts w:hint="eastAsia" w:eastAsia="仿宋_GB2312" w:cs="仿宋_GB2312"/>
          <w:sz w:val="32"/>
          <w:szCs w:val="32"/>
          <w:lang w:val="en-US" w:eastAsia="zh-CN"/>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财政拨款收入支出总计均为2799.6万元。与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年度相比，财政拨款收入、支出总计各减少</w:t>
      </w:r>
      <w:r>
        <w:rPr>
          <w:rFonts w:hint="eastAsia" w:eastAsia="仿宋_GB2312" w:cs="仿宋_GB2312"/>
          <w:color w:val="auto"/>
          <w:kern w:val="2"/>
          <w:sz w:val="32"/>
          <w:szCs w:val="32"/>
          <w:highlight w:val="none"/>
          <w:lang w:val="en-US" w:eastAsia="zh-CN" w:bidi="ar-SA"/>
        </w:rPr>
        <w:t>278.73</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9</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sz w:val="32"/>
          <w:szCs w:val="32"/>
          <w:lang w:val="en-US" w:eastAsia="zh-CN"/>
        </w:rPr>
        <w:t>2025年项目收入与支出较2024年项目收入与支出有所减少。</w:t>
      </w:r>
    </w:p>
    <w:p w14:paraId="7A83637C">
      <w:pPr>
        <w:pageBreakBefore w:val="0"/>
        <w:kinsoku/>
        <w:wordWrap/>
        <w:overflowPunct/>
        <w:topLinePunct w:val="0"/>
        <w:bidi w:val="0"/>
        <w:spacing w:line="560" w:lineRule="atLeast"/>
        <w:ind w:firstLine="640"/>
        <w:rPr>
          <w:rFonts w:hint="eastAsia" w:eastAsia="仿宋_GB2312" w:cs="仿宋_GB2312"/>
          <w:sz w:val="32"/>
          <w:szCs w:val="32"/>
          <w:lang w:val="en-US" w:eastAsia="zh-CN"/>
        </w:rPr>
      </w:pPr>
      <w:r>
        <w:rPr>
          <w:rFonts w:hint="eastAsia" w:eastAsia="仿宋_GB2312" w:cs="仿宋_GB2312"/>
          <w:sz w:val="32"/>
          <w:szCs w:val="32"/>
          <w:lang w:val="en-US" w:eastAsia="zh-CN"/>
        </w:rPr>
        <w:t xml:space="preserve">    </w:t>
      </w:r>
    </w:p>
    <w:p w14:paraId="68A02A33">
      <w:pPr>
        <w:pStyle w:val="9"/>
        <w:pageBreakBefore w:val="0"/>
        <w:kinsoku/>
        <w:wordWrap/>
        <w:overflowPunct/>
        <w:topLinePunct w:val="0"/>
        <w:bidi w:val="0"/>
        <w:spacing w:line="560" w:lineRule="atLeast"/>
        <w:rPr>
          <w:rFonts w:hint="eastAsia" w:eastAsia="仿宋_GB2312" w:cs="仿宋_GB2312"/>
          <w:sz w:val="32"/>
          <w:szCs w:val="32"/>
          <w:lang w:val="en-US" w:eastAsia="zh-CN"/>
        </w:rPr>
      </w:pPr>
    </w:p>
    <w:p w14:paraId="320753E7">
      <w:pPr>
        <w:pStyle w:val="10"/>
        <w:pageBreakBefore w:val="0"/>
        <w:widowControl w:val="0"/>
        <w:numPr>
          <w:ilvl w:val="0"/>
          <w:numId w:val="0"/>
        </w:numPr>
        <w:kinsoku/>
        <w:wordWrap/>
        <w:overflowPunct/>
        <w:topLinePunct w:val="0"/>
        <w:bidi w:val="0"/>
        <w:spacing w:line="560" w:lineRule="atLeast"/>
        <w:jc w:val="both"/>
        <w:rPr>
          <w:rFonts w:hint="eastAsia" w:eastAsia="仿宋_GB2312" w:cs="仿宋_GB2312"/>
          <w:sz w:val="32"/>
          <w:szCs w:val="32"/>
          <w:lang w:val="en-US" w:eastAsia="zh-CN"/>
        </w:rPr>
      </w:pPr>
    </w:p>
    <w:p w14:paraId="11F58330">
      <w:pPr>
        <w:pStyle w:val="10"/>
        <w:pageBreakBefore w:val="0"/>
        <w:widowControl w:val="0"/>
        <w:numPr>
          <w:ilvl w:val="0"/>
          <w:numId w:val="0"/>
        </w:numPr>
        <w:kinsoku/>
        <w:wordWrap/>
        <w:overflowPunct/>
        <w:topLinePunct w:val="0"/>
        <w:bidi w:val="0"/>
        <w:spacing w:line="560" w:lineRule="atLeast"/>
        <w:jc w:val="both"/>
        <w:rPr>
          <w:rFonts w:hint="eastAsia" w:eastAsia="仿宋_GB2312" w:cs="仿宋_GB2312"/>
          <w:sz w:val="32"/>
          <w:szCs w:val="32"/>
          <w:lang w:val="en-US" w:eastAsia="zh-CN"/>
        </w:rPr>
      </w:pPr>
    </w:p>
    <w:p w14:paraId="1261D532">
      <w:pPr>
        <w:pStyle w:val="10"/>
        <w:pageBreakBefore w:val="0"/>
        <w:widowControl w:val="0"/>
        <w:numPr>
          <w:ilvl w:val="0"/>
          <w:numId w:val="0"/>
        </w:numPr>
        <w:kinsoku/>
        <w:wordWrap/>
        <w:overflowPunct/>
        <w:topLinePunct w:val="0"/>
        <w:bidi w:val="0"/>
        <w:spacing w:line="560" w:lineRule="atLeast"/>
        <w:jc w:val="both"/>
        <w:rPr>
          <w:rFonts w:hint="eastAsia" w:eastAsia="仿宋_GB2312" w:cs="仿宋_GB2312"/>
          <w:sz w:val="32"/>
          <w:szCs w:val="32"/>
          <w:lang w:val="en-US" w:eastAsia="zh-CN"/>
        </w:rPr>
      </w:pPr>
      <w:r>
        <w:rPr>
          <w:rFonts w:hint="default" w:eastAsia="仿宋_GB2312" w:cs="仿宋_GB2312"/>
          <w:sz w:val="32"/>
          <w:szCs w:val="32"/>
          <w:lang w:val="en-US" w:eastAsia="zh-CN"/>
        </w:rPr>
        <w:drawing>
          <wp:inline distT="0" distB="0" distL="114300" distR="114300">
            <wp:extent cx="5937885" cy="2015490"/>
            <wp:effectExtent l="4445" t="4445" r="16510" b="6985"/>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30C96D2A">
      <w:pPr>
        <w:pageBreakBefore w:val="0"/>
        <w:kinsoku/>
        <w:wordWrap/>
        <w:overflowPunct/>
        <w:topLinePunct w:val="0"/>
        <w:bidi w:val="0"/>
        <w:spacing w:line="560" w:lineRule="atLeas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（图4：财政拨款收、支决算总计变动情况）（柱状图）</w:t>
      </w:r>
    </w:p>
    <w:p w14:paraId="331DE02C">
      <w:pPr>
        <w:pageBreakBefore w:val="0"/>
        <w:kinsoku/>
        <w:wordWrap/>
        <w:overflowPunct/>
        <w:topLinePunct w:val="0"/>
        <w:bidi w:val="0"/>
        <w:spacing w:line="560" w:lineRule="atLeast"/>
        <w:ind w:firstLine="640" w:firstLineChars="200"/>
        <w:outlineLvl w:val="1"/>
        <w:rPr>
          <w:rFonts w:hint="eastAsia" w:ascii="Times New Roman" w:hAnsi="Times New Roman" w:eastAsia="黑体"/>
          <w:color w:val="auto"/>
          <w:sz w:val="32"/>
          <w:szCs w:val="32"/>
          <w:highlight w:val="none"/>
        </w:rPr>
      </w:pPr>
      <w:bookmarkStart w:id="20" w:name="_Toc15377209"/>
      <w:bookmarkStart w:id="21" w:name="_Toc15396607"/>
    </w:p>
    <w:p w14:paraId="6083FCA9">
      <w:pPr>
        <w:pageBreakBefore w:val="0"/>
        <w:kinsoku/>
        <w:wordWrap/>
        <w:overflowPunct/>
        <w:topLinePunct w:val="0"/>
        <w:bidi w:val="0"/>
        <w:spacing w:line="560" w:lineRule="atLeast"/>
        <w:ind w:firstLine="640" w:firstLineChars="200"/>
        <w:outlineLvl w:val="1"/>
        <w:rPr>
          <w:rStyle w:val="32"/>
          <w:rFonts w:ascii="Times New Roman" w:hAnsi="Times New Roman" w:eastAsia="黑体"/>
          <w:b w:val="0"/>
          <w:color w:val="auto"/>
          <w:highlight w:val="none"/>
        </w:rPr>
      </w:pPr>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32"/>
          <w:rFonts w:hint="eastAsia" w:ascii="Times New Roman" w:hAnsi="Times New Roman" w:eastAsia="黑体"/>
          <w:b w:val="0"/>
          <w:color w:val="auto"/>
          <w:highlight w:val="none"/>
        </w:rPr>
        <w:t>般公共预算财政拨款支出决算情况说明</w:t>
      </w:r>
      <w:bookmarkEnd w:id="20"/>
      <w:bookmarkEnd w:id="21"/>
    </w:p>
    <w:p w14:paraId="256148C1">
      <w:pPr>
        <w:pageBreakBefore w:val="0"/>
        <w:kinsoku/>
        <w:wordWrap/>
        <w:overflowPunct/>
        <w:topLinePunct w:val="0"/>
        <w:bidi w:val="0"/>
        <w:spacing w:line="560" w:lineRule="atLeast"/>
        <w:ind w:firstLine="643" w:firstLineChars="200"/>
        <w:outlineLvl w:val="2"/>
        <w:rPr>
          <w:rFonts w:hint="eastAsia" w:ascii="Times New Roman" w:hAnsi="Times New Roman" w:eastAsia="楷体_GB2312" w:cs="楷体_GB2312"/>
          <w:b/>
          <w:color w:val="auto"/>
          <w:sz w:val="32"/>
          <w:szCs w:val="32"/>
          <w:highlight w:val="none"/>
        </w:rPr>
      </w:pPr>
      <w:bookmarkStart w:id="22"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22"/>
    </w:p>
    <w:p w14:paraId="3915BABB">
      <w:pPr>
        <w:pageBreakBefore w:val="0"/>
        <w:kinsoku/>
        <w:wordWrap/>
        <w:overflowPunct/>
        <w:topLinePunct w:val="0"/>
        <w:bidi w:val="0"/>
        <w:spacing w:line="560" w:lineRule="atLeast"/>
        <w:ind w:firstLine="640"/>
        <w:rPr>
          <w:rFonts w:hint="eastAsia" w:eastAsia="仿宋_GB2312" w:cs="仿宋_GB2312"/>
          <w:sz w:val="32"/>
          <w:szCs w:val="32"/>
          <w:lang w:val="en-US" w:eastAsia="zh-CN"/>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eastAsia="仿宋_GB2312" w:cs="仿宋_GB2312"/>
          <w:color w:val="auto"/>
          <w:kern w:val="2"/>
          <w:sz w:val="32"/>
          <w:szCs w:val="32"/>
          <w:highlight w:val="none"/>
          <w:lang w:val="en-US" w:eastAsia="zh-CN" w:bidi="ar-SA"/>
        </w:rPr>
        <w:t>2799.6</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eastAsia="仿宋_GB2312" w:cs="仿宋_GB2312"/>
          <w:color w:val="auto"/>
          <w:kern w:val="2"/>
          <w:sz w:val="32"/>
          <w:szCs w:val="32"/>
          <w:highlight w:val="none"/>
          <w:lang w:val="en-US" w:eastAsia="zh-CN" w:bidi="ar-SA"/>
        </w:rPr>
        <w:t>98.9</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年度相比，一般公共预算财政拨款支出减少</w:t>
      </w:r>
      <w:r>
        <w:rPr>
          <w:rFonts w:hint="eastAsia" w:eastAsia="仿宋_GB2312" w:cs="仿宋_GB2312"/>
          <w:color w:val="auto"/>
          <w:kern w:val="2"/>
          <w:sz w:val="32"/>
          <w:szCs w:val="32"/>
          <w:highlight w:val="none"/>
          <w:lang w:val="en-US" w:eastAsia="zh-CN" w:bidi="ar-SA"/>
        </w:rPr>
        <w:t>278.73</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9</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sz w:val="32"/>
          <w:szCs w:val="32"/>
          <w:lang w:val="en-US" w:eastAsia="zh-CN"/>
        </w:rPr>
        <w:t>2025年</w:t>
      </w:r>
      <w:r>
        <w:rPr>
          <w:rFonts w:hint="eastAsia" w:ascii="Times New Roman" w:hAnsi="Times New Roman" w:eastAsia="仿宋_GB2312" w:cs="仿宋_GB2312"/>
          <w:color w:val="auto"/>
          <w:kern w:val="2"/>
          <w:sz w:val="32"/>
          <w:szCs w:val="32"/>
          <w:highlight w:val="none"/>
          <w:lang w:val="en-US" w:eastAsia="zh-CN" w:bidi="ar-SA"/>
        </w:rPr>
        <w:t>一般公共预算财政拨款</w:t>
      </w:r>
      <w:r>
        <w:rPr>
          <w:rFonts w:hint="eastAsia" w:eastAsia="仿宋_GB2312" w:cs="仿宋_GB2312"/>
          <w:sz w:val="32"/>
          <w:szCs w:val="32"/>
          <w:lang w:val="en-US" w:eastAsia="zh-CN"/>
        </w:rPr>
        <w:t>项目</w:t>
      </w:r>
      <w:r>
        <w:rPr>
          <w:rFonts w:hint="eastAsia" w:ascii="Times New Roman" w:hAnsi="Times New Roman" w:eastAsia="仿宋_GB2312" w:cs="仿宋_GB2312"/>
          <w:color w:val="auto"/>
          <w:kern w:val="2"/>
          <w:sz w:val="32"/>
          <w:szCs w:val="32"/>
          <w:highlight w:val="none"/>
          <w:lang w:val="en-US" w:eastAsia="zh-CN" w:bidi="ar-SA"/>
        </w:rPr>
        <w:t>支出</w:t>
      </w:r>
      <w:r>
        <w:rPr>
          <w:rFonts w:hint="eastAsia" w:eastAsia="仿宋_GB2312" w:cs="仿宋_GB2312"/>
          <w:sz w:val="32"/>
          <w:szCs w:val="32"/>
          <w:lang w:val="en-US" w:eastAsia="zh-CN"/>
        </w:rPr>
        <w:t>较2024年项目</w:t>
      </w:r>
      <w:r>
        <w:rPr>
          <w:rFonts w:hint="eastAsia" w:ascii="Times New Roman" w:hAnsi="Times New Roman" w:eastAsia="仿宋_GB2312" w:cs="仿宋_GB2312"/>
          <w:color w:val="auto"/>
          <w:kern w:val="2"/>
          <w:sz w:val="32"/>
          <w:szCs w:val="32"/>
          <w:highlight w:val="none"/>
          <w:lang w:val="en-US" w:eastAsia="zh-CN" w:bidi="ar-SA"/>
        </w:rPr>
        <w:t>一般公共预算财政拨款</w:t>
      </w:r>
      <w:r>
        <w:rPr>
          <w:rFonts w:hint="eastAsia" w:eastAsia="仿宋_GB2312" w:cs="仿宋_GB2312"/>
          <w:sz w:val="32"/>
          <w:szCs w:val="32"/>
          <w:lang w:val="en-US" w:eastAsia="zh-CN"/>
        </w:rPr>
        <w:t>项目</w:t>
      </w:r>
      <w:r>
        <w:rPr>
          <w:rFonts w:hint="eastAsia" w:ascii="Times New Roman" w:hAnsi="Times New Roman" w:eastAsia="仿宋_GB2312" w:cs="仿宋_GB2312"/>
          <w:color w:val="auto"/>
          <w:kern w:val="2"/>
          <w:sz w:val="32"/>
          <w:szCs w:val="32"/>
          <w:highlight w:val="none"/>
          <w:lang w:val="en-US" w:eastAsia="zh-CN" w:bidi="ar-SA"/>
        </w:rPr>
        <w:t>支出</w:t>
      </w:r>
      <w:r>
        <w:rPr>
          <w:rFonts w:hint="eastAsia" w:eastAsia="仿宋_GB2312" w:cs="仿宋_GB2312"/>
          <w:sz w:val="32"/>
          <w:szCs w:val="32"/>
          <w:lang w:val="en-US" w:eastAsia="zh-CN"/>
        </w:rPr>
        <w:t>支出有所减少。</w:t>
      </w:r>
    </w:p>
    <w:p w14:paraId="21794653">
      <w:pPr>
        <w:pageBreakBefore w:val="0"/>
        <w:kinsoku/>
        <w:wordWrap/>
        <w:overflowPunct/>
        <w:topLinePunct w:val="0"/>
        <w:bidi w:val="0"/>
        <w:spacing w:line="560" w:lineRule="atLeast"/>
        <w:ind w:firstLine="640"/>
        <w:rPr>
          <w:rFonts w:hint="eastAsia" w:eastAsia="仿宋_GB2312" w:cs="仿宋_GB2312"/>
          <w:sz w:val="32"/>
          <w:szCs w:val="32"/>
          <w:lang w:val="en-US" w:eastAsia="zh-CN"/>
        </w:rPr>
      </w:pPr>
      <w:r>
        <w:rPr>
          <w:rFonts w:hint="eastAsia" w:eastAsia="仿宋_GB2312" w:cs="仿宋_GB2312"/>
          <w:sz w:val="32"/>
          <w:szCs w:val="32"/>
          <w:lang w:eastAsia="zh-CN"/>
        </w:rPr>
        <w:drawing>
          <wp:anchor distT="0" distB="0" distL="114300" distR="114300" simplePos="0" relativeHeight="251662336" behindDoc="1" locked="0" layoutInCell="1" allowOverlap="1">
            <wp:simplePos x="0" y="0"/>
            <wp:positionH relativeFrom="column">
              <wp:posOffset>254635</wp:posOffset>
            </wp:positionH>
            <wp:positionV relativeFrom="paragraph">
              <wp:posOffset>201295</wp:posOffset>
            </wp:positionV>
            <wp:extent cx="5361305" cy="2030095"/>
            <wp:effectExtent l="4445" t="4445" r="13970" b="7620"/>
            <wp:wrapNone/>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anchor>
        </w:drawing>
      </w:r>
      <w:r>
        <w:rPr>
          <w:rFonts w:hint="eastAsia" w:eastAsia="仿宋_GB2312" w:cs="仿宋_GB2312"/>
          <w:sz w:val="32"/>
          <w:szCs w:val="32"/>
          <w:lang w:val="en-US" w:eastAsia="zh-CN"/>
        </w:rPr>
        <w:t xml:space="preserve">    </w:t>
      </w:r>
    </w:p>
    <w:p w14:paraId="55B00FCB">
      <w:pPr>
        <w:pStyle w:val="9"/>
        <w:pageBreakBefore w:val="0"/>
        <w:kinsoku/>
        <w:wordWrap/>
        <w:overflowPunct/>
        <w:topLinePunct w:val="0"/>
        <w:bidi w:val="0"/>
        <w:spacing w:line="560" w:lineRule="atLeast"/>
        <w:rPr>
          <w:rFonts w:hint="eastAsia" w:eastAsia="仿宋_GB2312" w:cs="仿宋_GB2312"/>
          <w:sz w:val="32"/>
          <w:szCs w:val="32"/>
          <w:lang w:val="en-US" w:eastAsia="zh-CN"/>
        </w:rPr>
      </w:pPr>
    </w:p>
    <w:p w14:paraId="3CBAB381">
      <w:pPr>
        <w:pStyle w:val="10"/>
        <w:pageBreakBefore w:val="0"/>
        <w:widowControl w:val="0"/>
        <w:numPr>
          <w:ilvl w:val="0"/>
          <w:numId w:val="0"/>
        </w:numPr>
        <w:kinsoku/>
        <w:wordWrap/>
        <w:overflowPunct/>
        <w:topLinePunct w:val="0"/>
        <w:bidi w:val="0"/>
        <w:spacing w:line="560" w:lineRule="atLeast"/>
        <w:jc w:val="both"/>
        <w:rPr>
          <w:rFonts w:hint="eastAsia" w:eastAsia="仿宋_GB2312" w:cs="仿宋_GB2312"/>
          <w:sz w:val="32"/>
          <w:szCs w:val="32"/>
          <w:lang w:val="en-US" w:eastAsia="zh-CN"/>
        </w:rPr>
      </w:pPr>
    </w:p>
    <w:p w14:paraId="4BFCF05D">
      <w:pPr>
        <w:pStyle w:val="10"/>
        <w:pageBreakBefore w:val="0"/>
        <w:widowControl w:val="0"/>
        <w:numPr>
          <w:ilvl w:val="0"/>
          <w:numId w:val="0"/>
        </w:numPr>
        <w:kinsoku/>
        <w:wordWrap/>
        <w:overflowPunct/>
        <w:topLinePunct w:val="0"/>
        <w:bidi w:val="0"/>
        <w:spacing w:line="560" w:lineRule="atLeast"/>
        <w:jc w:val="both"/>
        <w:rPr>
          <w:rFonts w:hint="eastAsia" w:eastAsia="仿宋_GB2312" w:cs="仿宋_GB2312"/>
          <w:sz w:val="32"/>
          <w:szCs w:val="32"/>
          <w:lang w:val="en-US" w:eastAsia="zh-CN"/>
        </w:rPr>
      </w:pPr>
    </w:p>
    <w:p w14:paraId="765EB1A0">
      <w:pPr>
        <w:pageBreakBefore w:val="0"/>
        <w:kinsoku/>
        <w:wordWrap/>
        <w:overflowPunct/>
        <w:topLinePunct w:val="0"/>
        <w:bidi w:val="0"/>
        <w:spacing w:line="560" w:lineRule="atLeast"/>
        <w:rPr>
          <w:rFonts w:hint="eastAsia" w:ascii="Times New Roman" w:hAnsi="Times New Roman" w:eastAsia="仿宋_GB2312" w:cs="仿宋_GB2312"/>
          <w:color w:val="auto"/>
          <w:kern w:val="2"/>
          <w:sz w:val="32"/>
          <w:szCs w:val="32"/>
          <w:highlight w:val="none"/>
          <w:lang w:val="en-US" w:eastAsia="zh-CN" w:bidi="ar-SA"/>
        </w:rPr>
      </w:pPr>
    </w:p>
    <w:p w14:paraId="4378865A">
      <w:pPr>
        <w:pageBreakBefore w:val="0"/>
        <w:kinsoku/>
        <w:wordWrap/>
        <w:overflowPunct/>
        <w:topLinePunct w:val="0"/>
        <w:bidi w:val="0"/>
        <w:spacing w:line="560" w:lineRule="atLeast"/>
        <w:ind w:firstLine="320" w:firstLineChars="100"/>
        <w:rPr>
          <w:rFonts w:hint="eastAsia" w:ascii="Times New Roman" w:hAnsi="Times New Roman" w:eastAsia="仿宋_GB2312" w:cs="仿宋_GB2312"/>
          <w:color w:val="auto"/>
          <w:kern w:val="2"/>
          <w:sz w:val="32"/>
          <w:szCs w:val="32"/>
          <w:highlight w:val="none"/>
          <w:lang w:val="en-US" w:eastAsia="zh-CN" w:bidi="ar-SA"/>
        </w:rPr>
      </w:pPr>
    </w:p>
    <w:p w14:paraId="5CAEAAD3">
      <w:pPr>
        <w:pageBreakBefore w:val="0"/>
        <w:kinsoku/>
        <w:wordWrap/>
        <w:overflowPunct/>
        <w:topLinePunct w:val="0"/>
        <w:bidi w:val="0"/>
        <w:spacing w:line="560" w:lineRule="atLeast"/>
        <w:ind w:firstLine="320" w:firstLineChars="1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（图5：一般公共预算财政拨款支出决算变动情况）（柱状图）</w:t>
      </w:r>
    </w:p>
    <w:p w14:paraId="6337C572">
      <w:pPr>
        <w:pageBreakBefore w:val="0"/>
        <w:kinsoku/>
        <w:wordWrap/>
        <w:overflowPunct/>
        <w:topLinePunct w:val="0"/>
        <w:bidi w:val="0"/>
        <w:spacing w:line="560" w:lineRule="atLeast"/>
        <w:ind w:firstLine="643" w:firstLineChars="200"/>
        <w:outlineLvl w:val="2"/>
        <w:rPr>
          <w:rFonts w:hint="eastAsia" w:ascii="Times New Roman" w:hAnsi="Times New Roman" w:eastAsia="楷体_GB2312" w:cs="楷体_GB2312"/>
          <w:b/>
          <w:color w:val="auto"/>
          <w:sz w:val="32"/>
          <w:szCs w:val="32"/>
          <w:highlight w:val="none"/>
        </w:rPr>
      </w:pPr>
      <w:bookmarkStart w:id="23"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23"/>
    </w:p>
    <w:p w14:paraId="57259C59">
      <w:pPr>
        <w:pageBreakBefore w:val="0"/>
        <w:kinsoku/>
        <w:wordWrap/>
        <w:overflowPunct/>
        <w:topLinePunct w:val="0"/>
        <w:bidi w:val="0"/>
        <w:spacing w:line="560" w:lineRule="atLeas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eastAsia="仿宋_GB2312" w:cs="仿宋_GB2312"/>
          <w:color w:val="auto"/>
          <w:kern w:val="2"/>
          <w:sz w:val="32"/>
          <w:szCs w:val="32"/>
          <w:highlight w:val="none"/>
          <w:lang w:val="en-US" w:eastAsia="zh-CN" w:bidi="ar-SA"/>
        </w:rPr>
        <w:t>2799.6</w:t>
      </w:r>
      <w:r>
        <w:rPr>
          <w:rFonts w:hint="eastAsia" w:ascii="Times New Roman" w:hAnsi="Times New Roman" w:eastAsia="仿宋_GB2312" w:cs="仿宋_GB2312"/>
          <w:color w:val="auto"/>
          <w:kern w:val="2"/>
          <w:sz w:val="32"/>
          <w:szCs w:val="32"/>
          <w:highlight w:val="none"/>
          <w:lang w:val="en-US" w:eastAsia="zh-CN" w:bidi="ar-SA"/>
        </w:rPr>
        <w:t>万元，主要用于以下方面</w:t>
      </w:r>
      <w:r>
        <w:rPr>
          <w:rFonts w:hint="eastAsia" w:eastAsia="仿宋_GB2312" w:cs="仿宋_GB2312"/>
          <w:color w:val="auto"/>
          <w:kern w:val="2"/>
          <w:sz w:val="32"/>
          <w:szCs w:val="32"/>
          <w:highlight w:val="none"/>
          <w:lang w:val="en-US" w:eastAsia="zh-CN" w:bidi="ar-SA"/>
        </w:rPr>
        <w:t>：本单位2025年度无</w:t>
      </w:r>
      <w:r>
        <w:rPr>
          <w:rFonts w:hint="eastAsia" w:ascii="Times New Roman" w:hAnsi="Times New Roman" w:eastAsia="仿宋_GB2312" w:cs="仿宋_GB2312"/>
          <w:color w:val="auto"/>
          <w:kern w:val="2"/>
          <w:sz w:val="32"/>
          <w:szCs w:val="32"/>
          <w:highlight w:val="none"/>
          <w:lang w:val="en-US" w:eastAsia="zh-CN" w:bidi="ar-SA"/>
        </w:rPr>
        <w:t>一般公共服务支出；</w:t>
      </w:r>
      <w:r>
        <w:rPr>
          <w:rFonts w:hint="eastAsia" w:eastAsia="仿宋_GB2312" w:cs="仿宋_GB2312"/>
          <w:color w:val="auto"/>
          <w:kern w:val="2"/>
          <w:sz w:val="32"/>
          <w:szCs w:val="32"/>
          <w:highlight w:val="none"/>
          <w:lang w:val="en-US" w:eastAsia="zh-CN" w:bidi="ar-SA"/>
        </w:rPr>
        <w:t>本单位2025年度无</w:t>
      </w:r>
      <w:r>
        <w:rPr>
          <w:rFonts w:hint="eastAsia" w:ascii="Times New Roman" w:hAnsi="Times New Roman" w:eastAsia="仿宋_GB2312" w:cs="仿宋_GB2312"/>
          <w:color w:val="auto"/>
          <w:kern w:val="2"/>
          <w:sz w:val="32"/>
          <w:szCs w:val="32"/>
          <w:highlight w:val="none"/>
          <w:lang w:val="en-US" w:eastAsia="zh-CN" w:bidi="ar-SA"/>
        </w:rPr>
        <w:t>教育支出；</w:t>
      </w:r>
      <w:r>
        <w:rPr>
          <w:rFonts w:hint="eastAsia" w:eastAsia="仿宋_GB2312" w:cs="仿宋_GB2312"/>
          <w:color w:val="auto"/>
          <w:kern w:val="2"/>
          <w:sz w:val="32"/>
          <w:szCs w:val="32"/>
          <w:highlight w:val="none"/>
          <w:lang w:val="en-US" w:eastAsia="zh-CN" w:bidi="ar-SA"/>
        </w:rPr>
        <w:t>本单位2025年度无</w:t>
      </w:r>
      <w:r>
        <w:rPr>
          <w:rFonts w:hint="eastAsia" w:ascii="Times New Roman" w:hAnsi="Times New Roman" w:eastAsia="仿宋_GB2312" w:cs="仿宋_GB2312"/>
          <w:color w:val="auto"/>
          <w:kern w:val="2"/>
          <w:sz w:val="32"/>
          <w:szCs w:val="32"/>
          <w:highlight w:val="none"/>
          <w:lang w:val="en-US" w:eastAsia="zh-CN" w:bidi="ar-SA"/>
        </w:rPr>
        <w:t>科学技术支出；文化旅游体育与传媒支出2181.93万元，占</w:t>
      </w:r>
      <w:r>
        <w:rPr>
          <w:rFonts w:hint="eastAsia" w:eastAsia="仿宋_GB2312" w:cs="仿宋_GB2312"/>
          <w:color w:val="auto"/>
          <w:kern w:val="2"/>
          <w:sz w:val="32"/>
          <w:szCs w:val="32"/>
          <w:highlight w:val="none"/>
          <w:lang w:val="en-US" w:eastAsia="zh-CN" w:bidi="ar-SA"/>
        </w:rPr>
        <w:t>77.9</w:t>
      </w:r>
      <w:r>
        <w:rPr>
          <w:rFonts w:hint="eastAsia" w:ascii="Times New Roman" w:hAnsi="Times New Roman" w:eastAsia="仿宋_GB2312" w:cs="仿宋_GB2312"/>
          <w:color w:val="auto"/>
          <w:kern w:val="2"/>
          <w:sz w:val="32"/>
          <w:szCs w:val="32"/>
          <w:highlight w:val="none"/>
          <w:lang w:val="en-US" w:eastAsia="zh-CN" w:bidi="ar-SA"/>
        </w:rPr>
        <w:t>%；社会保障和就业支出328.67万元，占</w:t>
      </w:r>
      <w:r>
        <w:rPr>
          <w:rFonts w:hint="eastAsia" w:eastAsia="仿宋_GB2312" w:cs="仿宋_GB2312"/>
          <w:color w:val="auto"/>
          <w:kern w:val="2"/>
          <w:sz w:val="32"/>
          <w:szCs w:val="32"/>
          <w:highlight w:val="none"/>
          <w:lang w:val="en-US" w:eastAsia="zh-CN" w:bidi="ar-SA"/>
        </w:rPr>
        <w:t>11.7</w:t>
      </w:r>
      <w:r>
        <w:rPr>
          <w:rFonts w:hint="eastAsia" w:ascii="Times New Roman" w:hAnsi="Times New Roman" w:eastAsia="仿宋_GB2312" w:cs="仿宋_GB2312"/>
          <w:color w:val="auto"/>
          <w:kern w:val="2"/>
          <w:sz w:val="32"/>
          <w:szCs w:val="32"/>
          <w:highlight w:val="none"/>
          <w:lang w:val="en-US" w:eastAsia="zh-CN" w:bidi="ar-SA"/>
        </w:rPr>
        <w:t>%；卫生健康支出120.63万元，占</w:t>
      </w:r>
      <w:r>
        <w:rPr>
          <w:rFonts w:hint="eastAsia" w:eastAsia="仿宋_GB2312" w:cs="仿宋_GB2312"/>
          <w:color w:val="auto"/>
          <w:kern w:val="2"/>
          <w:sz w:val="32"/>
          <w:szCs w:val="32"/>
          <w:highlight w:val="none"/>
          <w:lang w:val="en-US" w:eastAsia="zh-CN" w:bidi="ar-SA"/>
        </w:rPr>
        <w:t>4.3</w:t>
      </w:r>
      <w:r>
        <w:rPr>
          <w:rFonts w:hint="eastAsia" w:ascii="Times New Roman" w:hAnsi="Times New Roman" w:eastAsia="仿宋_GB2312" w:cs="仿宋_GB2312"/>
          <w:color w:val="auto"/>
          <w:kern w:val="2"/>
          <w:sz w:val="32"/>
          <w:szCs w:val="32"/>
          <w:highlight w:val="none"/>
          <w:lang w:val="en-US" w:eastAsia="zh-CN" w:bidi="ar-SA"/>
        </w:rPr>
        <w:t>%；住房保障支出168.37万元，占</w:t>
      </w:r>
      <w:r>
        <w:rPr>
          <w:rFonts w:hint="eastAsia" w:eastAsia="仿宋_GB2312" w:cs="仿宋_GB2312"/>
          <w:color w:val="auto"/>
          <w:kern w:val="2"/>
          <w:sz w:val="32"/>
          <w:szCs w:val="32"/>
          <w:highlight w:val="none"/>
          <w:lang w:val="en-US" w:eastAsia="zh-CN" w:bidi="ar-SA"/>
        </w:rPr>
        <w:t>6</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r>
        <w:rPr>
          <w:rFonts w:hint="default"/>
          <w:lang w:val="en-US" w:eastAsia="zh-CN"/>
        </w:rPr>
        <w:drawing>
          <wp:anchor distT="0" distB="0" distL="114300" distR="114300" simplePos="0" relativeHeight="251663360" behindDoc="1" locked="0" layoutInCell="1" allowOverlap="1">
            <wp:simplePos x="0" y="0"/>
            <wp:positionH relativeFrom="column">
              <wp:posOffset>4445</wp:posOffset>
            </wp:positionH>
            <wp:positionV relativeFrom="paragraph">
              <wp:posOffset>226060</wp:posOffset>
            </wp:positionV>
            <wp:extent cx="5408295" cy="2814955"/>
            <wp:effectExtent l="4445" t="4445" r="12700" b="15240"/>
            <wp:wrapTight wrapText="bothSides">
              <wp:wrapPolygon>
                <wp:start x="-18" y="-34"/>
                <wp:lineTo x="-18" y="21483"/>
                <wp:lineTo x="21590" y="21483"/>
                <wp:lineTo x="21590" y="-34"/>
                <wp:lineTo x="-18" y="-34"/>
              </wp:wrapPolygon>
            </wp:wrapTight>
            <wp:docPr id="8"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anchor>
        </w:drawing>
      </w:r>
    </w:p>
    <w:p w14:paraId="76B44BF1">
      <w:pPr>
        <w:pageBreakBefore w:val="0"/>
        <w:kinsoku/>
        <w:wordWrap/>
        <w:overflowPunct/>
        <w:topLinePunct w:val="0"/>
        <w:bidi w:val="0"/>
        <w:spacing w:line="560" w:lineRule="atLeast"/>
        <w:ind w:firstLine="320" w:firstLineChars="100"/>
        <w:rPr>
          <w:rFonts w:hint="eastAsia" w:ascii="Times New Roman" w:hAnsi="Times New Roman" w:eastAsia="仿宋_GB2312" w:cs="仿宋_GB2312"/>
          <w:color w:val="auto"/>
          <w:kern w:val="2"/>
          <w:sz w:val="32"/>
          <w:szCs w:val="32"/>
          <w:highlight w:val="none"/>
          <w:lang w:val="en-US" w:eastAsia="zh-CN" w:bidi="ar-SA"/>
        </w:rPr>
      </w:pPr>
    </w:p>
    <w:p w14:paraId="1111D80E">
      <w:pPr>
        <w:pageBreakBefore w:val="0"/>
        <w:kinsoku/>
        <w:wordWrap/>
        <w:overflowPunct/>
        <w:topLinePunct w:val="0"/>
        <w:bidi w:val="0"/>
        <w:spacing w:line="560" w:lineRule="atLeast"/>
        <w:ind w:firstLine="320" w:firstLineChars="1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（图6：一般公共预算财政拨款支出决算结构）（饼状图）</w:t>
      </w:r>
    </w:p>
    <w:p w14:paraId="57F51E8D">
      <w:pPr>
        <w:pageBreakBefore w:val="0"/>
        <w:kinsoku/>
        <w:wordWrap/>
        <w:overflowPunct/>
        <w:topLinePunct w:val="0"/>
        <w:bidi w:val="0"/>
        <w:spacing w:line="560" w:lineRule="atLeast"/>
        <w:ind w:firstLine="640"/>
        <w:rPr>
          <w:rFonts w:hint="eastAsia" w:ascii="Times New Roman" w:hAnsi="Times New Roman" w:eastAsia="仿宋_GB2312" w:cs="仿宋_GB2312"/>
          <w:color w:val="auto"/>
          <w:kern w:val="2"/>
          <w:sz w:val="32"/>
          <w:szCs w:val="32"/>
          <w:highlight w:val="none"/>
          <w:lang w:val="en-US" w:eastAsia="zh-CN" w:bidi="ar-SA"/>
        </w:rPr>
      </w:pPr>
    </w:p>
    <w:p w14:paraId="2FEA1CFC">
      <w:pPr>
        <w:pageBreakBefore w:val="0"/>
        <w:kinsoku/>
        <w:wordWrap/>
        <w:overflowPunct/>
        <w:topLinePunct w:val="0"/>
        <w:bidi w:val="0"/>
        <w:spacing w:line="560" w:lineRule="atLeast"/>
        <w:ind w:firstLine="643" w:firstLineChars="200"/>
        <w:outlineLvl w:val="2"/>
        <w:rPr>
          <w:rFonts w:hint="eastAsia" w:ascii="Times New Roman" w:hAnsi="Times New Roman" w:eastAsia="楷体_GB2312" w:cs="楷体_GB2312"/>
          <w:b/>
          <w:color w:val="auto"/>
          <w:sz w:val="32"/>
          <w:szCs w:val="32"/>
          <w:highlight w:val="none"/>
        </w:rPr>
      </w:pPr>
      <w:bookmarkStart w:id="24"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24"/>
    </w:p>
    <w:p w14:paraId="678EF2E9">
      <w:pPr>
        <w:pageBreakBefore w:val="0"/>
        <w:kinsoku/>
        <w:wordWrap/>
        <w:overflowPunct/>
        <w:topLinePunct w:val="0"/>
        <w:bidi w:val="0"/>
        <w:spacing w:line="560" w:lineRule="atLeast"/>
        <w:ind w:firstLine="640"/>
        <w:rPr>
          <w:rFonts w:hint="eastAsia" w:ascii="Times New Roman" w:hAnsi="Times New Roman" w:eastAsia="仿宋_GB2312" w:cs="仿宋_GB2312"/>
          <w:color w:val="auto"/>
          <w:kern w:val="2"/>
          <w:sz w:val="32"/>
          <w:szCs w:val="32"/>
          <w:highlight w:val="none"/>
          <w:lang w:val="en-US" w:eastAsia="zh-CN" w:bidi="ar-SA"/>
        </w:rPr>
      </w:pPr>
      <w:bookmarkStart w:id="25" w:name="_Toc15377213"/>
      <w:bookmarkStart w:id="26" w:name="_Toc15378460"/>
      <w:bookmarkStart w:id="27" w:name="_Toc15377444"/>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一般公共预算支出决算数为</w:t>
      </w:r>
      <w:r>
        <w:rPr>
          <w:rFonts w:hint="eastAsia" w:eastAsia="仿宋_GB2312" w:cs="仿宋_GB2312"/>
          <w:color w:val="auto"/>
          <w:kern w:val="2"/>
          <w:sz w:val="32"/>
          <w:szCs w:val="32"/>
          <w:highlight w:val="none"/>
          <w:lang w:val="en-US" w:eastAsia="zh-CN" w:bidi="ar-SA"/>
        </w:rPr>
        <w:t>2799.6</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bookmarkEnd w:id="25"/>
      <w:bookmarkEnd w:id="26"/>
      <w:bookmarkEnd w:id="27"/>
    </w:p>
    <w:p w14:paraId="60F1117E">
      <w:pPr>
        <w:pageBreakBefore w:val="0"/>
        <w:numPr>
          <w:ilvl w:val="0"/>
          <w:numId w:val="3"/>
        </w:numPr>
        <w:kinsoku/>
        <w:wordWrap/>
        <w:overflowPunct/>
        <w:topLinePunct w:val="0"/>
        <w:bidi w:val="0"/>
        <w:spacing w:line="560" w:lineRule="atLeas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本单位2025年度无</w:t>
      </w:r>
      <w:r>
        <w:rPr>
          <w:rFonts w:hint="eastAsia" w:ascii="Times New Roman" w:hAnsi="Times New Roman" w:eastAsia="仿宋_GB2312" w:cs="仿宋_GB2312"/>
          <w:color w:val="auto"/>
          <w:kern w:val="2"/>
          <w:sz w:val="32"/>
          <w:szCs w:val="32"/>
          <w:highlight w:val="none"/>
          <w:lang w:val="en-US" w:eastAsia="zh-CN" w:bidi="ar-SA"/>
        </w:rPr>
        <w:t>一般公共服务（类）（款）（项）支出</w:t>
      </w:r>
      <w:r>
        <w:rPr>
          <w:rFonts w:hint="eastAsia" w:eastAsia="仿宋_GB2312" w:cs="仿宋_GB2312"/>
          <w:color w:val="auto"/>
          <w:kern w:val="2"/>
          <w:sz w:val="32"/>
          <w:szCs w:val="32"/>
          <w:highlight w:val="none"/>
          <w:lang w:val="en-US" w:eastAsia="zh-CN" w:bidi="ar-SA"/>
        </w:rPr>
        <w:t>。</w:t>
      </w:r>
    </w:p>
    <w:p w14:paraId="631AE6B8">
      <w:pPr>
        <w:pageBreakBefore w:val="0"/>
        <w:numPr>
          <w:ilvl w:val="0"/>
          <w:numId w:val="3"/>
        </w:numPr>
        <w:kinsoku/>
        <w:wordWrap/>
        <w:overflowPunct/>
        <w:topLinePunct w:val="0"/>
        <w:bidi w:val="0"/>
        <w:spacing w:line="560" w:lineRule="atLeas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本单位2025年度无</w:t>
      </w:r>
      <w:r>
        <w:rPr>
          <w:rFonts w:hint="eastAsia" w:ascii="Times New Roman" w:hAnsi="Times New Roman" w:eastAsia="仿宋_GB2312" w:cs="仿宋_GB2312"/>
          <w:color w:val="auto"/>
          <w:kern w:val="2"/>
          <w:sz w:val="32"/>
          <w:szCs w:val="32"/>
          <w:highlight w:val="none"/>
          <w:lang w:val="en-US" w:eastAsia="zh-CN" w:bidi="ar-SA"/>
        </w:rPr>
        <w:t>教育（类）（款）（项）支出</w:t>
      </w:r>
      <w:r>
        <w:rPr>
          <w:rFonts w:hint="eastAsia" w:eastAsia="仿宋_GB2312" w:cs="仿宋_GB2312"/>
          <w:color w:val="auto"/>
          <w:kern w:val="2"/>
          <w:sz w:val="32"/>
          <w:szCs w:val="32"/>
          <w:highlight w:val="none"/>
          <w:lang w:val="en-US" w:eastAsia="zh-CN" w:bidi="ar-SA"/>
        </w:rPr>
        <w:t>。</w:t>
      </w:r>
    </w:p>
    <w:p w14:paraId="14528663">
      <w:pPr>
        <w:pageBreakBefore w:val="0"/>
        <w:numPr>
          <w:ilvl w:val="0"/>
          <w:numId w:val="3"/>
        </w:numPr>
        <w:kinsoku/>
        <w:wordWrap/>
        <w:overflowPunct/>
        <w:topLinePunct w:val="0"/>
        <w:bidi w:val="0"/>
        <w:spacing w:line="560" w:lineRule="atLeast"/>
        <w:ind w:left="0" w:leftChars="0" w:firstLine="640" w:firstLineChars="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本单位2025年度无</w:t>
      </w:r>
      <w:r>
        <w:rPr>
          <w:rFonts w:hint="eastAsia" w:ascii="Times New Roman" w:hAnsi="Times New Roman" w:eastAsia="仿宋_GB2312" w:cs="仿宋_GB2312"/>
          <w:color w:val="auto"/>
          <w:kern w:val="2"/>
          <w:sz w:val="32"/>
          <w:szCs w:val="32"/>
          <w:highlight w:val="none"/>
          <w:lang w:val="en-US" w:eastAsia="zh-CN" w:bidi="ar-SA"/>
        </w:rPr>
        <w:t>科学技术（类）（款）（项）支出</w:t>
      </w:r>
      <w:r>
        <w:rPr>
          <w:rFonts w:hint="eastAsia" w:eastAsia="仿宋_GB2312" w:cs="仿宋_GB2312"/>
          <w:color w:val="auto"/>
          <w:kern w:val="2"/>
          <w:sz w:val="32"/>
          <w:szCs w:val="32"/>
          <w:highlight w:val="none"/>
          <w:lang w:val="en-US" w:eastAsia="zh-CN" w:bidi="ar-SA"/>
        </w:rPr>
        <w:t>。</w:t>
      </w:r>
    </w:p>
    <w:p w14:paraId="4F88F346">
      <w:pPr>
        <w:pageBreakBefore w:val="0"/>
        <w:numPr>
          <w:ilvl w:val="0"/>
          <w:numId w:val="0"/>
        </w:numPr>
        <w:kinsoku/>
        <w:wordWrap/>
        <w:overflowPunct/>
        <w:topLinePunct w:val="0"/>
        <w:bidi w:val="0"/>
        <w:spacing w:line="560" w:lineRule="atLeast"/>
        <w:ind w:firstLine="640" w:firstLineChars="200"/>
        <w:rPr>
          <w:rFonts w:hint="eastAsia"/>
          <w:lang w:val="en-US" w:eastAsia="zh-CN"/>
        </w:rPr>
      </w:pPr>
      <w:r>
        <w:rPr>
          <w:rFonts w:hint="eastAsia" w:ascii="仿宋GB312" w:hAnsi="仿宋GB312" w:eastAsia="仿宋GB312" w:cs="仿宋GB312"/>
          <w:b w:val="0"/>
          <w:bCs w:val="0"/>
          <w:sz w:val="32"/>
          <w:szCs w:val="32"/>
          <w:lang w:val="en-US" w:eastAsia="zh-CN"/>
        </w:rPr>
        <w:t xml:space="preserve">4. </w:t>
      </w:r>
      <w:r>
        <w:rPr>
          <w:rFonts w:hint="eastAsia" w:ascii="仿宋GB312" w:hAnsi="仿宋GB312" w:eastAsia="仿宋GB312" w:cs="仿宋GB312"/>
          <w:b w:val="0"/>
          <w:bCs w:val="0"/>
          <w:sz w:val="32"/>
          <w:szCs w:val="32"/>
        </w:rPr>
        <w:t>文化旅游体育与传媒</w:t>
      </w:r>
      <w:r>
        <w:rPr>
          <w:rFonts w:hint="eastAsia" w:ascii="仿宋GB312" w:hAnsi="仿宋GB312" w:eastAsia="仿宋GB312" w:cs="仿宋GB312"/>
          <w:b w:val="0"/>
          <w:bCs w:val="0"/>
          <w:sz w:val="32"/>
          <w:szCs w:val="32"/>
          <w:lang w:val="en-US" w:eastAsia="zh-CN"/>
        </w:rPr>
        <w:t>207</w:t>
      </w:r>
      <w:r>
        <w:rPr>
          <w:rFonts w:hint="eastAsia" w:ascii="仿宋GB312" w:hAnsi="仿宋GB312" w:eastAsia="仿宋GB312" w:cs="仿宋GB312"/>
          <w:b w:val="0"/>
          <w:bCs w:val="0"/>
          <w:sz w:val="32"/>
          <w:szCs w:val="32"/>
        </w:rPr>
        <w:t>（类）</w:t>
      </w:r>
      <w:r>
        <w:rPr>
          <w:rFonts w:hint="eastAsia" w:ascii="仿宋GB312" w:hAnsi="仿宋GB312" w:eastAsia="仿宋GB312" w:cs="仿宋GB312"/>
          <w:b w:val="0"/>
          <w:bCs w:val="0"/>
          <w:sz w:val="32"/>
          <w:szCs w:val="32"/>
          <w:lang w:eastAsia="zh-CN"/>
        </w:rPr>
        <w:t>支出决算数为</w:t>
      </w:r>
      <w:r>
        <w:rPr>
          <w:rFonts w:hint="eastAsia" w:ascii="仿宋GB312" w:hAnsi="仿宋GB312" w:eastAsia="仿宋GB312" w:cs="仿宋GB312"/>
          <w:b w:val="0"/>
          <w:bCs w:val="0"/>
          <w:sz w:val="32"/>
          <w:szCs w:val="32"/>
          <w:lang w:val="en-US" w:eastAsia="zh-CN"/>
        </w:rPr>
        <w:t>2181.93万元，其中207</w:t>
      </w:r>
      <w:r>
        <w:rPr>
          <w:rFonts w:hint="eastAsia" w:ascii="仿宋GB312" w:hAnsi="仿宋GB312" w:eastAsia="仿宋GB312" w:cs="仿宋GB312"/>
          <w:b w:val="0"/>
          <w:bCs w:val="0"/>
          <w:sz w:val="32"/>
          <w:szCs w:val="32"/>
        </w:rPr>
        <w:t>（</w:t>
      </w:r>
      <w:r>
        <w:rPr>
          <w:rFonts w:hint="eastAsia" w:ascii="仿宋GB312" w:hAnsi="仿宋GB312" w:eastAsia="仿宋GB312" w:cs="仿宋GB312"/>
          <w:b w:val="0"/>
          <w:bCs w:val="0"/>
          <w:sz w:val="32"/>
          <w:szCs w:val="32"/>
          <w:lang w:eastAsia="zh-CN"/>
        </w:rPr>
        <w:t>类</w:t>
      </w:r>
      <w:r>
        <w:rPr>
          <w:rFonts w:hint="eastAsia" w:ascii="仿宋GB312" w:hAnsi="仿宋GB312" w:eastAsia="仿宋GB312" w:cs="仿宋GB312"/>
          <w:b w:val="0"/>
          <w:bCs w:val="0"/>
          <w:sz w:val="32"/>
          <w:szCs w:val="32"/>
        </w:rPr>
        <w:t>）</w:t>
      </w:r>
      <w:r>
        <w:rPr>
          <w:rFonts w:hint="eastAsia" w:ascii="仿宋GB312" w:hAnsi="仿宋GB312" w:eastAsia="仿宋GB312" w:cs="仿宋GB312"/>
          <w:b w:val="0"/>
          <w:bCs w:val="0"/>
          <w:sz w:val="32"/>
          <w:szCs w:val="32"/>
          <w:lang w:val="en-US" w:eastAsia="zh-CN"/>
        </w:rPr>
        <w:t>01</w:t>
      </w:r>
      <w:r>
        <w:rPr>
          <w:rFonts w:hint="eastAsia" w:ascii="仿宋GB312" w:hAnsi="仿宋GB312" w:eastAsia="仿宋GB312" w:cs="仿宋GB312"/>
          <w:b w:val="0"/>
          <w:bCs w:val="0"/>
          <w:sz w:val="32"/>
          <w:szCs w:val="32"/>
        </w:rPr>
        <w:t>（款）</w:t>
      </w:r>
      <w:r>
        <w:rPr>
          <w:rFonts w:hint="eastAsia" w:ascii="仿宋GB312" w:hAnsi="仿宋GB312" w:eastAsia="仿宋GB312" w:cs="仿宋GB312"/>
          <w:b w:val="0"/>
          <w:bCs w:val="0"/>
          <w:sz w:val="32"/>
          <w:szCs w:val="32"/>
          <w:lang w:val="en-US" w:eastAsia="zh-CN"/>
        </w:rPr>
        <w:t>07</w:t>
      </w:r>
      <w:r>
        <w:rPr>
          <w:rFonts w:hint="eastAsia" w:ascii="仿宋GB312" w:hAnsi="仿宋GB312" w:eastAsia="仿宋GB312" w:cs="仿宋GB312"/>
          <w:b w:val="0"/>
          <w:bCs w:val="0"/>
          <w:sz w:val="32"/>
          <w:szCs w:val="32"/>
        </w:rPr>
        <w:t>（项）</w:t>
      </w:r>
      <w:r>
        <w:rPr>
          <w:rFonts w:hint="eastAsia" w:ascii="仿宋GB312" w:hAnsi="仿宋GB312" w:eastAsia="仿宋GB312" w:cs="仿宋GB312"/>
          <w:b w:val="0"/>
          <w:bCs w:val="0"/>
          <w:sz w:val="32"/>
          <w:szCs w:val="32"/>
          <w:lang w:eastAsia="zh-CN"/>
        </w:rPr>
        <w:t>艺术表演团体</w:t>
      </w:r>
      <w:r>
        <w:rPr>
          <w:rFonts w:hint="eastAsia" w:ascii="仿宋GB312" w:hAnsi="仿宋GB312" w:eastAsia="仿宋GB312" w:cs="仿宋GB312"/>
          <w:b w:val="0"/>
          <w:bCs w:val="0"/>
          <w:sz w:val="32"/>
          <w:szCs w:val="32"/>
        </w:rPr>
        <w:t>支出决算</w:t>
      </w:r>
      <w:r>
        <w:rPr>
          <w:rFonts w:hint="eastAsia" w:ascii="仿宋GB312" w:hAnsi="仿宋GB312" w:eastAsia="仿宋GB312" w:cs="仿宋GB312"/>
          <w:b w:val="0"/>
          <w:bCs w:val="0"/>
          <w:sz w:val="32"/>
          <w:szCs w:val="32"/>
          <w:lang w:eastAsia="zh-CN"/>
        </w:rPr>
        <w:t>数</w:t>
      </w:r>
      <w:r>
        <w:rPr>
          <w:rFonts w:hint="eastAsia" w:ascii="仿宋GB312" w:hAnsi="仿宋GB312" w:eastAsia="仿宋GB312" w:cs="仿宋GB312"/>
          <w:b w:val="0"/>
          <w:bCs w:val="0"/>
          <w:sz w:val="32"/>
          <w:szCs w:val="32"/>
        </w:rPr>
        <w:t>为</w:t>
      </w:r>
      <w:r>
        <w:rPr>
          <w:rFonts w:hint="eastAsia" w:ascii="仿宋GB312" w:hAnsi="仿宋GB312" w:eastAsia="仿宋GB312" w:cs="仿宋GB312"/>
          <w:b w:val="0"/>
          <w:bCs w:val="0"/>
          <w:sz w:val="32"/>
          <w:szCs w:val="32"/>
          <w:lang w:val="en-US" w:eastAsia="zh-CN"/>
        </w:rPr>
        <w:t>2181.93</w:t>
      </w:r>
      <w:r>
        <w:rPr>
          <w:rFonts w:hint="eastAsia" w:ascii="仿宋GB312" w:hAnsi="仿宋GB312" w:eastAsia="仿宋GB312" w:cs="仿宋GB312"/>
          <w:b w:val="0"/>
          <w:bCs w:val="0"/>
          <w:sz w:val="32"/>
          <w:szCs w:val="32"/>
        </w:rPr>
        <w:t>万元，完成预算</w:t>
      </w:r>
      <w:r>
        <w:rPr>
          <w:rFonts w:hint="eastAsia" w:ascii="仿宋GB312" w:hAnsi="仿宋GB312" w:eastAsia="仿宋GB312" w:cs="仿宋GB312"/>
          <w:b w:val="0"/>
          <w:bCs w:val="0"/>
          <w:sz w:val="32"/>
          <w:szCs w:val="32"/>
          <w:lang w:val="en-US" w:eastAsia="zh-CN"/>
        </w:rPr>
        <w:t>100</w:t>
      </w:r>
      <w:r>
        <w:rPr>
          <w:rFonts w:hint="eastAsia" w:ascii="仿宋GB312" w:hAnsi="仿宋GB312" w:eastAsia="仿宋GB312" w:cs="仿宋GB312"/>
          <w:b w:val="0"/>
          <w:bCs w:val="0"/>
          <w:sz w:val="32"/>
          <w:szCs w:val="32"/>
        </w:rPr>
        <w:t>%</w:t>
      </w:r>
      <w:r>
        <w:rPr>
          <w:rFonts w:hint="eastAsia" w:ascii="仿宋GB312" w:hAnsi="仿宋GB312" w:eastAsia="仿宋GB312" w:cs="仿宋GB312"/>
          <w:b w:val="0"/>
          <w:bCs w:val="0"/>
          <w:sz w:val="32"/>
          <w:szCs w:val="32"/>
          <w:lang w:eastAsia="zh-CN"/>
        </w:rPr>
        <w:t>。</w:t>
      </w:r>
    </w:p>
    <w:p w14:paraId="1A4057E5">
      <w:pPr>
        <w:pageBreakBefore w:val="0"/>
        <w:kinsoku/>
        <w:wordWrap/>
        <w:overflowPunct/>
        <w:topLinePunct w:val="0"/>
        <w:bidi w:val="0"/>
        <w:spacing w:line="560" w:lineRule="atLeast"/>
        <w:ind w:firstLine="640" w:firstLineChars="200"/>
        <w:rPr>
          <w:rFonts w:hint="eastAsia" w:ascii="仿宋_GB2312" w:eastAsia="仿宋_GB2312"/>
          <w:color w:val="000000"/>
          <w:sz w:val="32"/>
          <w:szCs w:val="32"/>
          <w:lang w:val="en-US" w:eastAsia="zh-CN"/>
        </w:rPr>
      </w:pPr>
      <w:r>
        <w:rPr>
          <w:rFonts w:hint="eastAsia" w:ascii="Times New Roman" w:hAnsi="Times New Roman" w:eastAsia="仿宋_GB2312" w:cs="仿宋_GB2312"/>
          <w:color w:val="auto"/>
          <w:kern w:val="2"/>
          <w:sz w:val="32"/>
          <w:szCs w:val="32"/>
          <w:highlight w:val="none"/>
          <w:lang w:val="en-US" w:eastAsia="zh-CN" w:bidi="ar-SA"/>
        </w:rPr>
        <w:t>5.</w:t>
      </w:r>
      <w:r>
        <w:rPr>
          <w:rFonts w:hint="eastAsia" w:eastAsia="仿宋_GB2312" w:cs="仿宋_GB2312"/>
          <w:color w:val="auto"/>
          <w:kern w:val="2"/>
          <w:sz w:val="32"/>
          <w:szCs w:val="32"/>
          <w:highlight w:val="none"/>
          <w:lang w:val="en-US" w:eastAsia="zh-CN" w:bidi="ar-SA"/>
        </w:rPr>
        <w:t xml:space="preserve"> </w:t>
      </w:r>
      <w:r>
        <w:rPr>
          <w:rFonts w:hint="eastAsia" w:eastAsia="仿宋_GB2312" w:cs="仿宋_GB2312"/>
          <w:b w:val="0"/>
          <w:bCs w:val="0"/>
          <w:sz w:val="32"/>
          <w:szCs w:val="32"/>
        </w:rPr>
        <w:t>社会保障和就业</w:t>
      </w:r>
      <w:r>
        <w:rPr>
          <w:rFonts w:hint="eastAsia" w:eastAsia="仿宋_GB2312" w:cs="仿宋_GB2312"/>
          <w:b w:val="0"/>
          <w:bCs w:val="0"/>
          <w:sz w:val="32"/>
          <w:szCs w:val="32"/>
          <w:lang w:val="en-US" w:eastAsia="zh-CN"/>
        </w:rPr>
        <w:t>208</w:t>
      </w:r>
      <w:r>
        <w:rPr>
          <w:rFonts w:hint="eastAsia" w:eastAsia="仿宋_GB2312" w:cs="仿宋_GB2312"/>
          <w:b w:val="0"/>
          <w:bCs w:val="0"/>
          <w:sz w:val="32"/>
          <w:szCs w:val="32"/>
        </w:rPr>
        <w:t>（类）</w:t>
      </w:r>
      <w:r>
        <w:rPr>
          <w:rFonts w:hint="default" w:eastAsia="仿宋_GB2312" w:cs="仿宋_GB2312"/>
          <w:b w:val="0"/>
          <w:bCs w:val="0"/>
          <w:sz w:val="32"/>
          <w:szCs w:val="32"/>
        </w:rPr>
        <w:t>支出</w:t>
      </w:r>
      <w:r>
        <w:rPr>
          <w:rFonts w:hint="eastAsia" w:ascii="仿宋GB312" w:hAnsi="仿宋GB312" w:eastAsia="仿宋GB312" w:cs="仿宋GB312"/>
          <w:b w:val="0"/>
          <w:bCs w:val="0"/>
          <w:sz w:val="32"/>
          <w:szCs w:val="32"/>
          <w:lang w:eastAsia="zh-CN"/>
        </w:rPr>
        <w:t>决算数为</w:t>
      </w:r>
      <w:r>
        <w:rPr>
          <w:rFonts w:hint="eastAsia" w:ascii="仿宋GB312" w:hAnsi="仿宋GB312" w:eastAsia="仿宋GB312" w:cs="仿宋GB312"/>
          <w:b w:val="0"/>
          <w:bCs w:val="0"/>
          <w:sz w:val="32"/>
          <w:szCs w:val="32"/>
          <w:lang w:val="en-US" w:eastAsia="zh-CN"/>
        </w:rPr>
        <w:t>328.67万元</w:t>
      </w:r>
      <w:r>
        <w:rPr>
          <w:rFonts w:hint="eastAsia" w:eastAsia="仿宋_GB2312" w:cs="仿宋_GB2312"/>
          <w:b w:val="0"/>
          <w:bCs w:val="0"/>
          <w:sz w:val="32"/>
          <w:szCs w:val="32"/>
          <w:lang w:eastAsia="zh-CN"/>
        </w:rPr>
        <w:t>，</w:t>
      </w:r>
      <w:r>
        <w:rPr>
          <w:rFonts w:hint="eastAsia" w:eastAsia="仿宋_GB2312" w:cs="仿宋_GB2312"/>
          <w:sz w:val="32"/>
          <w:szCs w:val="32"/>
          <w:lang w:eastAsia="zh-CN"/>
        </w:rPr>
        <w:t>其中</w:t>
      </w:r>
      <w:r>
        <w:rPr>
          <w:rFonts w:hint="eastAsia" w:ascii="仿宋_GB2312" w:eastAsia="仿宋_GB2312"/>
          <w:color w:val="000000"/>
          <w:sz w:val="32"/>
          <w:szCs w:val="32"/>
        </w:rPr>
        <w:t>208（类）05（款）05（项）机关事业单位基本养老保险缴费支出</w:t>
      </w:r>
      <w:r>
        <w:rPr>
          <w:rFonts w:hint="eastAsia" w:ascii="仿宋_GB2312" w:eastAsia="仿宋_GB2312"/>
          <w:color w:val="000000"/>
          <w:sz w:val="32"/>
          <w:szCs w:val="32"/>
          <w:lang w:val="en-US" w:eastAsia="zh-CN"/>
        </w:rPr>
        <w:t>206.45万元</w:t>
      </w:r>
      <w:r>
        <w:rPr>
          <w:rFonts w:hint="eastAsia" w:ascii="仿宋_GB2312" w:eastAsia="仿宋_GB2312"/>
          <w:color w:val="000000"/>
          <w:sz w:val="32"/>
          <w:szCs w:val="32"/>
        </w:rPr>
        <w:t>，</w:t>
      </w:r>
      <w:r>
        <w:rPr>
          <w:rFonts w:hint="eastAsia" w:ascii="仿宋_GB2312" w:eastAsia="仿宋_GB2312"/>
          <w:color w:val="000000"/>
          <w:sz w:val="32"/>
          <w:szCs w:val="32"/>
          <w:lang w:eastAsia="zh-CN"/>
        </w:rPr>
        <w:t>完成预算</w:t>
      </w:r>
      <w:r>
        <w:rPr>
          <w:rFonts w:hint="eastAsia" w:ascii="仿宋_GB2312" w:eastAsia="仿宋_GB2312"/>
          <w:color w:val="000000"/>
          <w:sz w:val="32"/>
          <w:szCs w:val="32"/>
          <w:lang w:val="en-US" w:eastAsia="zh-CN"/>
        </w:rPr>
        <w:t>100%；</w:t>
      </w:r>
      <w:r>
        <w:rPr>
          <w:rFonts w:hint="eastAsia" w:ascii="仿宋_GB2312" w:eastAsia="仿宋_GB2312"/>
          <w:color w:val="000000"/>
          <w:sz w:val="32"/>
          <w:szCs w:val="32"/>
        </w:rPr>
        <w:t>208（类）05（款）06（项）机关事业单位职业年金缴费支出</w:t>
      </w:r>
      <w:r>
        <w:rPr>
          <w:rFonts w:hint="eastAsia" w:ascii="仿宋_GB2312" w:eastAsia="仿宋_GB2312"/>
          <w:color w:val="000000"/>
          <w:sz w:val="32"/>
          <w:szCs w:val="32"/>
          <w:lang w:val="en-US" w:eastAsia="zh-CN"/>
        </w:rPr>
        <w:t>103.22万元</w:t>
      </w:r>
      <w:r>
        <w:rPr>
          <w:rFonts w:hint="eastAsia" w:ascii="仿宋_GB2312" w:eastAsia="仿宋_GB2312"/>
          <w:color w:val="000000"/>
          <w:sz w:val="32"/>
          <w:szCs w:val="32"/>
        </w:rPr>
        <w:t>，</w:t>
      </w:r>
      <w:r>
        <w:rPr>
          <w:rFonts w:hint="eastAsia" w:ascii="仿宋_GB2312" w:eastAsia="仿宋_GB2312"/>
          <w:color w:val="000000"/>
          <w:sz w:val="32"/>
          <w:szCs w:val="32"/>
          <w:lang w:eastAsia="zh-CN"/>
        </w:rPr>
        <w:t>完成预算</w:t>
      </w:r>
      <w:r>
        <w:rPr>
          <w:rFonts w:hint="eastAsia" w:ascii="仿宋_GB2312" w:eastAsia="仿宋_GB2312"/>
          <w:color w:val="000000"/>
          <w:sz w:val="32"/>
          <w:szCs w:val="32"/>
          <w:lang w:val="en-US" w:eastAsia="zh-CN"/>
        </w:rPr>
        <w:t>100%；</w:t>
      </w:r>
      <w:r>
        <w:rPr>
          <w:rFonts w:hint="eastAsia" w:ascii="仿宋_GB2312" w:eastAsia="仿宋_GB2312"/>
          <w:color w:val="000000"/>
          <w:sz w:val="32"/>
          <w:szCs w:val="32"/>
        </w:rPr>
        <w:t>208（类）05（款）</w:t>
      </w:r>
      <w:r>
        <w:rPr>
          <w:rFonts w:hint="eastAsia" w:ascii="仿宋_GB2312" w:eastAsia="仿宋_GB2312"/>
          <w:color w:val="000000"/>
          <w:sz w:val="32"/>
          <w:szCs w:val="32"/>
          <w:lang w:val="en-US" w:eastAsia="zh-CN"/>
        </w:rPr>
        <w:t>99</w:t>
      </w:r>
      <w:r>
        <w:rPr>
          <w:rFonts w:hint="eastAsia" w:ascii="仿宋_GB2312" w:eastAsia="仿宋_GB2312"/>
          <w:color w:val="000000"/>
          <w:sz w:val="32"/>
          <w:szCs w:val="32"/>
        </w:rPr>
        <w:t>（项）</w:t>
      </w:r>
      <w:r>
        <w:rPr>
          <w:rFonts w:hint="eastAsia" w:ascii="仿宋_GB2312" w:eastAsia="仿宋_GB2312"/>
          <w:color w:val="000000"/>
          <w:sz w:val="32"/>
          <w:szCs w:val="32"/>
          <w:lang w:val="en-US" w:eastAsia="zh-CN"/>
        </w:rPr>
        <w:t>其他行政事业单位养老支出18.99万元，</w:t>
      </w:r>
      <w:r>
        <w:rPr>
          <w:rFonts w:hint="eastAsia" w:ascii="仿宋_GB2312" w:eastAsia="仿宋_GB2312"/>
          <w:color w:val="000000"/>
          <w:sz w:val="32"/>
          <w:szCs w:val="32"/>
          <w:lang w:eastAsia="zh-CN"/>
        </w:rPr>
        <w:t>完成预算</w:t>
      </w:r>
      <w:r>
        <w:rPr>
          <w:rFonts w:hint="eastAsia" w:ascii="仿宋_GB2312" w:eastAsia="仿宋_GB2312"/>
          <w:color w:val="000000"/>
          <w:sz w:val="32"/>
          <w:szCs w:val="32"/>
          <w:lang w:val="en-US" w:eastAsia="zh-CN"/>
        </w:rPr>
        <w:t>100%。</w:t>
      </w:r>
    </w:p>
    <w:p w14:paraId="1CFD8C28">
      <w:pPr>
        <w:pageBreakBefore w:val="0"/>
        <w:kinsoku/>
        <w:wordWrap/>
        <w:overflowPunct/>
        <w:topLinePunct w:val="0"/>
        <w:bidi w:val="0"/>
        <w:spacing w:line="560" w:lineRule="atLeast"/>
        <w:ind w:firstLine="640"/>
        <w:rPr>
          <w:rStyle w:val="21"/>
          <w:rFonts w:hint="eastAsia" w:ascii="仿宋" w:hAnsi="仿宋" w:eastAsia="仿宋"/>
          <w:b w:val="0"/>
          <w:sz w:val="32"/>
          <w:szCs w:val="32"/>
          <w:lang w:eastAsia="zh-CN"/>
        </w:rPr>
      </w:pPr>
      <w:r>
        <w:rPr>
          <w:rFonts w:hint="eastAsia" w:ascii="Times New Roman" w:hAnsi="Times New Roman" w:eastAsia="仿宋_GB2312" w:cs="仿宋_GB2312"/>
          <w:color w:val="auto"/>
          <w:kern w:val="2"/>
          <w:sz w:val="32"/>
          <w:szCs w:val="32"/>
          <w:highlight w:val="none"/>
          <w:lang w:val="en-US" w:eastAsia="zh-CN" w:bidi="ar-SA"/>
        </w:rPr>
        <w:t>6.</w:t>
      </w:r>
      <w:r>
        <w:rPr>
          <w:rFonts w:hint="eastAsia" w:eastAsia="仿宋_GB2312" w:cs="仿宋_GB2312"/>
          <w:sz w:val="32"/>
          <w:szCs w:val="32"/>
        </w:rPr>
        <w:t>卫生健康</w:t>
      </w:r>
      <w:r>
        <w:rPr>
          <w:rFonts w:hint="default" w:eastAsia="仿宋_GB2312" w:cs="仿宋_GB2312"/>
          <w:sz w:val="32"/>
          <w:szCs w:val="32"/>
        </w:rPr>
        <w:t>210</w:t>
      </w:r>
      <w:r>
        <w:rPr>
          <w:rFonts w:hint="eastAsia" w:eastAsia="仿宋_GB2312" w:cs="仿宋_GB2312"/>
          <w:sz w:val="32"/>
          <w:szCs w:val="32"/>
        </w:rPr>
        <w:t>（类）</w:t>
      </w:r>
      <w:r>
        <w:rPr>
          <w:rFonts w:hint="default" w:eastAsia="仿宋_GB2312" w:cs="仿宋_GB2312"/>
          <w:sz w:val="32"/>
          <w:szCs w:val="32"/>
        </w:rPr>
        <w:t>支出决算数为12</w:t>
      </w:r>
      <w:r>
        <w:rPr>
          <w:rFonts w:hint="eastAsia" w:eastAsia="仿宋_GB2312" w:cs="仿宋_GB2312"/>
          <w:sz w:val="32"/>
          <w:szCs w:val="32"/>
          <w:lang w:val="en-US" w:eastAsia="zh-CN"/>
        </w:rPr>
        <w:t>0.63</w:t>
      </w:r>
      <w:r>
        <w:rPr>
          <w:rFonts w:hint="default" w:eastAsia="仿宋_GB2312" w:cs="仿宋_GB2312"/>
          <w:sz w:val="32"/>
          <w:szCs w:val="32"/>
        </w:rPr>
        <w:t>万元，其中</w:t>
      </w:r>
      <w:r>
        <w:rPr>
          <w:rStyle w:val="21"/>
          <w:rFonts w:hint="eastAsia" w:ascii="仿宋" w:hAnsi="仿宋" w:eastAsia="仿宋"/>
          <w:b w:val="0"/>
          <w:sz w:val="32"/>
          <w:szCs w:val="32"/>
        </w:rPr>
        <w:t>210（类）11（款）02（项）事业单位医疗支出决算数为</w:t>
      </w:r>
      <w:r>
        <w:rPr>
          <w:rStyle w:val="21"/>
          <w:rFonts w:hint="eastAsia" w:ascii="仿宋" w:hAnsi="仿宋" w:eastAsia="仿宋"/>
          <w:b w:val="0"/>
          <w:sz w:val="32"/>
          <w:szCs w:val="32"/>
          <w:lang w:val="en-US" w:eastAsia="zh-CN"/>
        </w:rPr>
        <w:t>120.63</w:t>
      </w:r>
      <w:r>
        <w:rPr>
          <w:rStyle w:val="21"/>
          <w:rFonts w:hint="eastAsia" w:ascii="仿宋" w:hAnsi="仿宋" w:eastAsia="仿宋"/>
          <w:b w:val="0"/>
          <w:sz w:val="32"/>
          <w:szCs w:val="32"/>
        </w:rPr>
        <w:t>万元，完成预算100</w:t>
      </w:r>
      <w:r>
        <w:rPr>
          <w:rStyle w:val="21"/>
          <w:rFonts w:ascii="仿宋" w:hAnsi="仿宋" w:eastAsia="仿宋"/>
          <w:b w:val="0"/>
          <w:sz w:val="32"/>
          <w:szCs w:val="32"/>
        </w:rPr>
        <w:t>%</w:t>
      </w:r>
      <w:r>
        <w:rPr>
          <w:rStyle w:val="21"/>
          <w:rFonts w:hint="eastAsia" w:ascii="仿宋" w:hAnsi="仿宋" w:eastAsia="仿宋"/>
          <w:b w:val="0"/>
          <w:sz w:val="32"/>
          <w:szCs w:val="32"/>
          <w:lang w:eastAsia="zh-CN"/>
        </w:rPr>
        <w:t>。</w:t>
      </w:r>
    </w:p>
    <w:p w14:paraId="180F01EE">
      <w:pPr>
        <w:pStyle w:val="9"/>
        <w:pageBreakBefore w:val="0"/>
        <w:kinsoku/>
        <w:wordWrap/>
        <w:overflowPunct/>
        <w:topLinePunct w:val="0"/>
        <w:bidi w:val="0"/>
        <w:spacing w:line="560" w:lineRule="atLeast"/>
        <w:rPr>
          <w:rFonts w:hint="eastAsia" w:eastAsia="仿宋"/>
          <w:lang w:val="en-US" w:eastAsia="zh-CN"/>
        </w:rPr>
      </w:pPr>
      <w:r>
        <w:rPr>
          <w:rStyle w:val="21"/>
          <w:rFonts w:hint="eastAsia" w:ascii="仿宋" w:hAnsi="仿宋" w:eastAsia="仿宋"/>
          <w:b w:val="0"/>
          <w:sz w:val="32"/>
          <w:szCs w:val="32"/>
          <w:lang w:val="en-US" w:eastAsia="zh-CN"/>
        </w:rPr>
        <w:t xml:space="preserve">    7.</w:t>
      </w:r>
      <w:r>
        <w:rPr>
          <w:rFonts w:hint="eastAsia" w:ascii="仿宋" w:hAnsi="仿宋" w:eastAsia="仿宋"/>
          <w:b w:val="0"/>
          <w:bCs w:val="0"/>
          <w:sz w:val="32"/>
          <w:szCs w:val="32"/>
          <w:lang w:eastAsia="zh-CN"/>
        </w:rPr>
        <w:t>住房保障支出</w:t>
      </w:r>
      <w:r>
        <w:rPr>
          <w:rFonts w:hint="eastAsia" w:ascii="仿宋" w:hAnsi="仿宋" w:eastAsia="仿宋"/>
          <w:b w:val="0"/>
          <w:bCs w:val="0"/>
          <w:sz w:val="32"/>
          <w:szCs w:val="32"/>
          <w:lang w:val="en-US" w:eastAsia="zh-CN"/>
        </w:rPr>
        <w:t>221</w:t>
      </w:r>
      <w:r>
        <w:rPr>
          <w:rStyle w:val="21"/>
          <w:rFonts w:hint="eastAsia" w:ascii="仿宋" w:hAnsi="仿宋" w:eastAsia="仿宋"/>
          <w:b w:val="0"/>
          <w:bCs w:val="0"/>
          <w:sz w:val="32"/>
          <w:szCs w:val="32"/>
        </w:rPr>
        <w:t>（类）支出决算数为</w:t>
      </w:r>
      <w:r>
        <w:rPr>
          <w:rStyle w:val="21"/>
          <w:rFonts w:hint="eastAsia" w:ascii="仿宋" w:hAnsi="仿宋" w:eastAsia="仿宋"/>
          <w:b w:val="0"/>
          <w:bCs w:val="0"/>
          <w:sz w:val="32"/>
          <w:szCs w:val="32"/>
          <w:lang w:val="en-US" w:eastAsia="zh-CN"/>
        </w:rPr>
        <w:t>168.37</w:t>
      </w:r>
      <w:r>
        <w:rPr>
          <w:rStyle w:val="21"/>
          <w:rFonts w:hint="eastAsia" w:ascii="仿宋" w:hAnsi="仿宋" w:eastAsia="仿宋"/>
          <w:b w:val="0"/>
          <w:bCs w:val="0"/>
          <w:sz w:val="32"/>
          <w:szCs w:val="32"/>
        </w:rPr>
        <w:t>万元</w:t>
      </w:r>
      <w:r>
        <w:rPr>
          <w:rStyle w:val="21"/>
          <w:rFonts w:hint="eastAsia" w:ascii="仿宋" w:hAnsi="仿宋" w:eastAsia="仿宋"/>
          <w:b w:val="0"/>
          <w:bCs w:val="0"/>
          <w:sz w:val="32"/>
          <w:szCs w:val="32"/>
          <w:lang w:eastAsia="zh-CN"/>
        </w:rPr>
        <w:t>，</w:t>
      </w:r>
      <w:r>
        <w:rPr>
          <w:rStyle w:val="21"/>
          <w:rFonts w:hint="eastAsia" w:ascii="仿宋" w:hAnsi="仿宋" w:eastAsia="仿宋"/>
          <w:b w:val="0"/>
          <w:bCs w:val="0"/>
          <w:sz w:val="32"/>
          <w:szCs w:val="32"/>
          <w:lang w:val="en-US" w:eastAsia="zh-CN"/>
        </w:rPr>
        <w:t>其中</w:t>
      </w:r>
      <w:r>
        <w:rPr>
          <w:rFonts w:hint="eastAsia" w:ascii="仿宋" w:hAnsi="仿宋" w:eastAsia="仿宋"/>
          <w:b w:val="0"/>
          <w:bCs w:val="0"/>
          <w:sz w:val="32"/>
          <w:szCs w:val="32"/>
        </w:rPr>
        <w:t>2</w:t>
      </w:r>
      <w:r>
        <w:rPr>
          <w:rFonts w:hint="eastAsia" w:ascii="仿宋" w:hAnsi="仿宋" w:eastAsia="仿宋"/>
          <w:b w:val="0"/>
          <w:bCs w:val="0"/>
          <w:sz w:val="32"/>
          <w:szCs w:val="32"/>
          <w:lang w:val="en-US" w:eastAsia="zh-CN"/>
        </w:rPr>
        <w:t>21</w:t>
      </w:r>
      <w:r>
        <w:rPr>
          <w:rStyle w:val="21"/>
          <w:rFonts w:hint="eastAsia" w:ascii="仿宋" w:hAnsi="仿宋" w:eastAsia="仿宋"/>
          <w:b w:val="0"/>
          <w:bCs w:val="0"/>
          <w:sz w:val="32"/>
          <w:szCs w:val="32"/>
        </w:rPr>
        <w:t>（类）0</w:t>
      </w:r>
      <w:r>
        <w:rPr>
          <w:rStyle w:val="21"/>
          <w:rFonts w:hint="eastAsia" w:ascii="仿宋" w:hAnsi="仿宋" w:eastAsia="仿宋"/>
          <w:b w:val="0"/>
          <w:bCs w:val="0"/>
          <w:sz w:val="32"/>
          <w:szCs w:val="32"/>
          <w:lang w:val="en-US" w:eastAsia="zh-CN"/>
        </w:rPr>
        <w:t>2</w:t>
      </w:r>
      <w:r>
        <w:rPr>
          <w:rStyle w:val="21"/>
          <w:rFonts w:hint="eastAsia" w:ascii="仿宋" w:hAnsi="仿宋" w:eastAsia="仿宋"/>
          <w:b w:val="0"/>
          <w:bCs w:val="0"/>
          <w:sz w:val="32"/>
          <w:szCs w:val="32"/>
        </w:rPr>
        <w:t>（款）0</w:t>
      </w:r>
      <w:r>
        <w:rPr>
          <w:rStyle w:val="21"/>
          <w:rFonts w:hint="eastAsia" w:ascii="仿宋" w:hAnsi="仿宋" w:eastAsia="仿宋"/>
          <w:b w:val="0"/>
          <w:bCs w:val="0"/>
          <w:sz w:val="32"/>
          <w:szCs w:val="32"/>
          <w:lang w:val="en-US" w:eastAsia="zh-CN"/>
        </w:rPr>
        <w:t>1</w:t>
      </w:r>
      <w:r>
        <w:rPr>
          <w:rStyle w:val="21"/>
          <w:rFonts w:hint="eastAsia" w:ascii="仿宋" w:hAnsi="仿宋" w:eastAsia="仿宋"/>
          <w:b w:val="0"/>
          <w:bCs w:val="0"/>
          <w:sz w:val="32"/>
          <w:szCs w:val="32"/>
        </w:rPr>
        <w:t>（项）</w:t>
      </w:r>
      <w:r>
        <w:rPr>
          <w:rStyle w:val="21"/>
          <w:rFonts w:hint="eastAsia" w:ascii="仿宋" w:hAnsi="仿宋" w:eastAsia="仿宋"/>
          <w:b w:val="0"/>
          <w:bCs w:val="0"/>
          <w:sz w:val="32"/>
          <w:szCs w:val="32"/>
          <w:lang w:eastAsia="zh-CN"/>
        </w:rPr>
        <w:t>住房公积金</w:t>
      </w:r>
      <w:r>
        <w:rPr>
          <w:rStyle w:val="21"/>
          <w:rFonts w:hint="eastAsia" w:ascii="仿宋" w:hAnsi="仿宋" w:eastAsia="仿宋"/>
          <w:b w:val="0"/>
          <w:bCs w:val="0"/>
          <w:sz w:val="32"/>
          <w:szCs w:val="32"/>
        </w:rPr>
        <w:t>支出决算数为</w:t>
      </w:r>
      <w:r>
        <w:rPr>
          <w:rStyle w:val="21"/>
          <w:rFonts w:hint="eastAsia" w:ascii="仿宋" w:hAnsi="仿宋" w:eastAsia="仿宋"/>
          <w:b w:val="0"/>
          <w:bCs w:val="0"/>
          <w:sz w:val="32"/>
          <w:szCs w:val="32"/>
          <w:lang w:val="en-US" w:eastAsia="zh-CN"/>
        </w:rPr>
        <w:t>168.37</w:t>
      </w:r>
      <w:r>
        <w:rPr>
          <w:rStyle w:val="21"/>
          <w:rFonts w:hint="eastAsia" w:ascii="仿宋" w:hAnsi="仿宋" w:eastAsia="仿宋"/>
          <w:b w:val="0"/>
          <w:bCs w:val="0"/>
          <w:sz w:val="32"/>
          <w:szCs w:val="32"/>
        </w:rPr>
        <w:t>万元</w:t>
      </w:r>
      <w:r>
        <w:rPr>
          <w:rStyle w:val="21"/>
          <w:rFonts w:hint="eastAsia" w:ascii="仿宋" w:hAnsi="仿宋" w:eastAsia="仿宋"/>
          <w:b w:val="0"/>
          <w:bCs w:val="0"/>
          <w:sz w:val="32"/>
          <w:szCs w:val="32"/>
          <w:lang w:eastAsia="zh-CN"/>
        </w:rPr>
        <w:t>，</w:t>
      </w:r>
      <w:r>
        <w:rPr>
          <w:rStyle w:val="21"/>
          <w:rFonts w:hint="eastAsia" w:ascii="仿宋" w:hAnsi="仿宋" w:eastAsia="仿宋"/>
          <w:b w:val="0"/>
          <w:bCs w:val="0"/>
          <w:sz w:val="32"/>
          <w:szCs w:val="32"/>
        </w:rPr>
        <w:t>完成预算100</w:t>
      </w:r>
      <w:r>
        <w:rPr>
          <w:rStyle w:val="21"/>
          <w:rFonts w:ascii="仿宋" w:hAnsi="仿宋" w:eastAsia="仿宋"/>
          <w:b w:val="0"/>
          <w:bCs w:val="0"/>
          <w:sz w:val="32"/>
          <w:szCs w:val="32"/>
        </w:rPr>
        <w:t>%</w:t>
      </w:r>
      <w:r>
        <w:rPr>
          <w:rStyle w:val="21"/>
          <w:rFonts w:hint="eastAsia" w:ascii="仿宋" w:hAnsi="仿宋" w:eastAsia="仿宋"/>
          <w:b w:val="0"/>
          <w:bCs w:val="0"/>
          <w:sz w:val="32"/>
          <w:szCs w:val="32"/>
          <w:lang w:eastAsia="zh-CN"/>
        </w:rPr>
        <w:t>。</w:t>
      </w:r>
    </w:p>
    <w:p w14:paraId="01C30F63">
      <w:pPr>
        <w:pageBreakBefore w:val="0"/>
        <w:kinsoku/>
        <w:wordWrap/>
        <w:overflowPunct/>
        <w:topLinePunct w:val="0"/>
        <w:bidi w:val="0"/>
        <w:spacing w:line="560" w:lineRule="atLeast"/>
        <w:ind w:firstLine="640" w:firstLineChars="200"/>
        <w:rPr>
          <w:rFonts w:hint="eastAsia" w:ascii="Times New Roman" w:hAnsi="Times New Roman" w:eastAsia="仿宋_GB2312" w:cs="仿宋_GB2312"/>
          <w:color w:val="auto"/>
          <w:kern w:val="2"/>
          <w:sz w:val="32"/>
          <w:szCs w:val="32"/>
          <w:highlight w:val="none"/>
          <w:lang w:val="en-US" w:eastAsia="zh-CN" w:bidi="ar-SA"/>
        </w:rPr>
      </w:pPr>
    </w:p>
    <w:p w14:paraId="5DF9FCB8">
      <w:pPr>
        <w:pageBreakBefore w:val="0"/>
        <w:kinsoku/>
        <w:wordWrap/>
        <w:overflowPunct/>
        <w:topLinePunct w:val="0"/>
        <w:bidi w:val="0"/>
        <w:spacing w:line="560" w:lineRule="atLeast"/>
        <w:ind w:firstLine="640"/>
        <w:rPr>
          <w:rFonts w:hint="eastAsia" w:ascii="Times New Roman" w:hAnsi="Times New Roman" w:eastAsia="仿宋_GB2312" w:cs="仿宋_GB2312"/>
          <w:b/>
          <w:bCs/>
          <w:color w:val="auto"/>
          <w:kern w:val="2"/>
          <w:sz w:val="32"/>
          <w:szCs w:val="32"/>
          <w:highlight w:val="none"/>
          <w:lang w:val="en-US" w:eastAsia="zh-CN" w:bidi="ar-SA"/>
        </w:rPr>
      </w:pPr>
    </w:p>
    <w:p w14:paraId="72DA43C4">
      <w:pPr>
        <w:pageBreakBefore w:val="0"/>
        <w:kinsoku/>
        <w:wordWrap/>
        <w:overflowPunct/>
        <w:topLinePunct w:val="0"/>
        <w:bidi w:val="0"/>
        <w:spacing w:line="560" w:lineRule="atLeast"/>
        <w:ind w:firstLine="640"/>
        <w:rPr>
          <w:rFonts w:hint="eastAsia" w:ascii="Times New Roman" w:hAnsi="Times New Roman" w:eastAsia="仿宋_GB2312" w:cs="仿宋_GB2312"/>
          <w:color w:val="auto"/>
          <w:kern w:val="2"/>
          <w:sz w:val="32"/>
          <w:szCs w:val="32"/>
          <w:highlight w:val="none"/>
          <w:lang w:val="en-US" w:eastAsia="zh-CN" w:bidi="ar-SA"/>
        </w:rPr>
      </w:pPr>
    </w:p>
    <w:p w14:paraId="35EF764D">
      <w:pPr>
        <w:pageBreakBefore w:val="0"/>
        <w:tabs>
          <w:tab w:val="right" w:pos="8306"/>
        </w:tabs>
        <w:kinsoku/>
        <w:wordWrap/>
        <w:overflowPunct/>
        <w:topLinePunct w:val="0"/>
        <w:bidi w:val="0"/>
        <w:spacing w:line="560" w:lineRule="atLeast"/>
        <w:ind w:firstLine="640"/>
        <w:outlineLvl w:val="1"/>
        <w:rPr>
          <w:rStyle w:val="32"/>
          <w:rFonts w:ascii="Times New Roman" w:hAnsi="Times New Roman"/>
          <w:color w:val="auto"/>
          <w:highlight w:val="none"/>
        </w:rPr>
      </w:pPr>
      <w:bookmarkStart w:id="28" w:name="_Toc15377214"/>
      <w:bookmarkStart w:id="29" w:name="_Toc15396608"/>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32"/>
          <w:rFonts w:hint="eastAsia" w:ascii="Times New Roman" w:hAnsi="Times New Roman" w:eastAsia="黑体"/>
          <w:b w:val="0"/>
          <w:color w:val="auto"/>
          <w:highlight w:val="none"/>
        </w:rPr>
        <w:t>般公共预算财政拨款基本支出决算情况说明</w:t>
      </w:r>
      <w:bookmarkEnd w:id="28"/>
      <w:bookmarkEnd w:id="29"/>
      <w:r>
        <w:rPr>
          <w:rStyle w:val="32"/>
          <w:rFonts w:ascii="Times New Roman" w:hAnsi="Times New Roman" w:eastAsia="黑体"/>
          <w:b w:val="0"/>
          <w:color w:val="auto"/>
          <w:highlight w:val="none"/>
        </w:rPr>
        <w:tab/>
      </w:r>
    </w:p>
    <w:p w14:paraId="4FCFA2BC">
      <w:pPr>
        <w:pageBreakBefore w:val="0"/>
        <w:kinsoku/>
        <w:wordWrap/>
        <w:overflowPunct/>
        <w:topLinePunct w:val="0"/>
        <w:bidi w:val="0"/>
        <w:spacing w:line="560" w:lineRule="atLeas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一般公共预算财政拨款基本支出</w:t>
      </w:r>
      <w:r>
        <w:rPr>
          <w:rFonts w:hint="eastAsia" w:eastAsia="仿宋_GB2312" w:cs="仿宋_GB2312"/>
          <w:color w:val="auto"/>
          <w:kern w:val="2"/>
          <w:sz w:val="32"/>
          <w:szCs w:val="32"/>
          <w:highlight w:val="none"/>
          <w:lang w:val="en-US" w:eastAsia="zh-CN" w:bidi="ar-SA"/>
        </w:rPr>
        <w:t>2527.12</w:t>
      </w:r>
      <w:r>
        <w:rPr>
          <w:rFonts w:hint="eastAsia" w:ascii="Times New Roman" w:hAnsi="Times New Roman" w:eastAsia="仿宋_GB2312" w:cs="仿宋_GB2312"/>
          <w:color w:val="auto"/>
          <w:kern w:val="2"/>
          <w:sz w:val="32"/>
          <w:szCs w:val="32"/>
          <w:highlight w:val="none"/>
          <w:lang w:val="en-US" w:eastAsia="zh-CN" w:bidi="ar-SA"/>
        </w:rPr>
        <w:t>万元，其中：</w:t>
      </w:r>
    </w:p>
    <w:p w14:paraId="0CCECCFD">
      <w:pPr>
        <w:pageBreakBefore w:val="0"/>
        <w:kinsoku/>
        <w:wordWrap/>
        <w:overflowPunct/>
        <w:topLinePunct w:val="0"/>
        <w:bidi w:val="0"/>
        <w:spacing w:line="560" w:lineRule="atLeas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eastAsia="仿宋_GB2312" w:cs="仿宋_GB2312"/>
          <w:color w:val="auto"/>
          <w:kern w:val="2"/>
          <w:sz w:val="32"/>
          <w:szCs w:val="32"/>
          <w:highlight w:val="none"/>
          <w:lang w:val="en-US" w:eastAsia="zh-CN" w:bidi="ar-SA"/>
        </w:rPr>
        <w:t>2312.19</w:t>
      </w:r>
      <w:r>
        <w:rPr>
          <w:rFonts w:hint="eastAsia" w:ascii="Times New Roman" w:hAnsi="Times New Roman" w:eastAsia="仿宋_GB2312" w:cs="仿宋_GB2312"/>
          <w:color w:val="auto"/>
          <w:kern w:val="2"/>
          <w:sz w:val="32"/>
          <w:szCs w:val="32"/>
          <w:highlight w:val="none"/>
          <w:lang w:val="en-US" w:eastAsia="zh-CN" w:bidi="ar-SA"/>
        </w:rPr>
        <w:t>万元，主要包括：基本工资470.7万元、津贴补贴198.28万元、奖金158.29万元、伙食补助费20.21万元、绩效工资678.23万元、机关事业单位基本养老保险缴费206.45万元、职业年金缴费103.22万元、职工基本医疗保险缴费98.64万元</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其他社会保障缴费37.23万元、其他工资福利支出38.62万元、住房公积金</w:t>
      </w:r>
      <w:r>
        <w:rPr>
          <w:rFonts w:hint="eastAsia" w:eastAsia="仿宋_GB2312" w:cs="仿宋_GB2312"/>
          <w:color w:val="auto"/>
          <w:kern w:val="2"/>
          <w:sz w:val="32"/>
          <w:szCs w:val="32"/>
          <w:highlight w:val="none"/>
          <w:lang w:val="en-US" w:eastAsia="zh-CN" w:bidi="ar-SA"/>
        </w:rPr>
        <w:t>168.37</w:t>
      </w:r>
      <w:r>
        <w:rPr>
          <w:rFonts w:hint="eastAsia" w:ascii="Times New Roman" w:hAnsi="Times New Roman" w:eastAsia="仿宋_GB2312" w:cs="仿宋_GB2312"/>
          <w:color w:val="auto"/>
          <w:kern w:val="2"/>
          <w:sz w:val="32"/>
          <w:szCs w:val="32"/>
          <w:highlight w:val="none"/>
          <w:lang w:val="en-US" w:eastAsia="zh-CN" w:bidi="ar-SA"/>
        </w:rPr>
        <w:t>万元、离休费24.79万元、生活补助109.08万元、奖励金</w:t>
      </w:r>
      <w:r>
        <w:rPr>
          <w:rFonts w:hint="eastAsia" w:eastAsia="仿宋_GB2312" w:cs="仿宋_GB2312"/>
          <w:color w:val="auto"/>
          <w:kern w:val="2"/>
          <w:sz w:val="32"/>
          <w:szCs w:val="32"/>
          <w:highlight w:val="none"/>
          <w:lang w:val="en-US" w:eastAsia="zh-CN" w:bidi="ar-SA"/>
        </w:rPr>
        <w:t>0.06</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　　</w:t>
      </w:r>
    </w:p>
    <w:p w14:paraId="2C26BF7B">
      <w:pPr>
        <w:pageBreakBefore w:val="0"/>
        <w:kinsoku/>
        <w:wordWrap/>
        <w:overflowPunct/>
        <w:topLinePunct w:val="0"/>
        <w:bidi w:val="0"/>
        <w:spacing w:line="560" w:lineRule="atLeas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公用经费</w:t>
      </w:r>
      <w:r>
        <w:rPr>
          <w:rFonts w:hint="eastAsia" w:eastAsia="仿宋_GB2312" w:cs="仿宋_GB2312"/>
          <w:color w:val="auto"/>
          <w:kern w:val="2"/>
          <w:sz w:val="32"/>
          <w:szCs w:val="32"/>
          <w:highlight w:val="none"/>
          <w:lang w:val="en-US" w:eastAsia="zh-CN" w:bidi="ar-SA"/>
        </w:rPr>
        <w:t>214.93</w:t>
      </w:r>
      <w:r>
        <w:rPr>
          <w:rFonts w:hint="eastAsia" w:ascii="Times New Roman" w:hAnsi="Times New Roman" w:eastAsia="仿宋_GB2312" w:cs="仿宋_GB2312"/>
          <w:color w:val="auto"/>
          <w:kern w:val="2"/>
          <w:sz w:val="32"/>
          <w:szCs w:val="32"/>
          <w:highlight w:val="none"/>
          <w:lang w:val="en-US" w:eastAsia="zh-CN" w:bidi="ar-SA"/>
        </w:rPr>
        <w:t>万元，主要包括：办公费</w:t>
      </w:r>
      <w:r>
        <w:rPr>
          <w:rFonts w:hint="eastAsia" w:eastAsia="仿宋_GB2312" w:cs="仿宋_GB2312"/>
          <w:color w:val="auto"/>
          <w:kern w:val="2"/>
          <w:sz w:val="32"/>
          <w:szCs w:val="32"/>
          <w:highlight w:val="none"/>
          <w:lang w:val="en-US" w:eastAsia="zh-CN" w:bidi="ar-SA"/>
        </w:rPr>
        <w:t>12.68万元</w:t>
      </w:r>
      <w:r>
        <w:rPr>
          <w:rFonts w:hint="eastAsia" w:ascii="Times New Roman" w:hAnsi="Times New Roman" w:eastAsia="仿宋_GB2312" w:cs="仿宋_GB2312"/>
          <w:color w:val="auto"/>
          <w:kern w:val="2"/>
          <w:sz w:val="32"/>
          <w:szCs w:val="32"/>
          <w:highlight w:val="none"/>
          <w:lang w:val="en-US" w:eastAsia="zh-CN" w:bidi="ar-SA"/>
        </w:rPr>
        <w:t>、水费2.64</w:t>
      </w:r>
      <w:r>
        <w:rPr>
          <w:rFonts w:hint="eastAsia" w:eastAsia="仿宋_GB2312" w:cs="仿宋_GB2312"/>
          <w:color w:val="auto"/>
          <w:kern w:val="2"/>
          <w:sz w:val="32"/>
          <w:szCs w:val="32"/>
          <w:highlight w:val="none"/>
          <w:lang w:val="en-US" w:eastAsia="zh-CN" w:bidi="ar-SA"/>
        </w:rPr>
        <w:t>万元</w:t>
      </w:r>
      <w:r>
        <w:rPr>
          <w:rFonts w:hint="eastAsia" w:ascii="Times New Roman" w:hAnsi="Times New Roman" w:eastAsia="仿宋_GB2312" w:cs="仿宋_GB2312"/>
          <w:color w:val="auto"/>
          <w:kern w:val="2"/>
          <w:sz w:val="32"/>
          <w:szCs w:val="32"/>
          <w:highlight w:val="none"/>
          <w:lang w:val="en-US" w:eastAsia="zh-CN" w:bidi="ar-SA"/>
        </w:rPr>
        <w:t>、电费5.97</w:t>
      </w:r>
      <w:r>
        <w:rPr>
          <w:rFonts w:hint="eastAsia" w:eastAsia="仿宋_GB2312" w:cs="仿宋_GB2312"/>
          <w:color w:val="auto"/>
          <w:kern w:val="2"/>
          <w:sz w:val="32"/>
          <w:szCs w:val="32"/>
          <w:highlight w:val="none"/>
          <w:lang w:val="en-US" w:eastAsia="zh-CN" w:bidi="ar-SA"/>
        </w:rPr>
        <w:t>万元</w:t>
      </w:r>
      <w:r>
        <w:rPr>
          <w:rFonts w:hint="eastAsia" w:ascii="Times New Roman" w:hAnsi="Times New Roman" w:eastAsia="仿宋_GB2312" w:cs="仿宋_GB2312"/>
          <w:color w:val="auto"/>
          <w:kern w:val="2"/>
          <w:sz w:val="32"/>
          <w:szCs w:val="32"/>
          <w:highlight w:val="none"/>
          <w:lang w:val="en-US" w:eastAsia="zh-CN" w:bidi="ar-SA"/>
        </w:rPr>
        <w:t>、邮电费7.54</w:t>
      </w:r>
      <w:r>
        <w:rPr>
          <w:rFonts w:hint="eastAsia" w:eastAsia="仿宋_GB2312" w:cs="仿宋_GB2312"/>
          <w:color w:val="auto"/>
          <w:kern w:val="2"/>
          <w:sz w:val="32"/>
          <w:szCs w:val="32"/>
          <w:highlight w:val="none"/>
          <w:lang w:val="en-US" w:eastAsia="zh-CN" w:bidi="ar-SA"/>
        </w:rPr>
        <w:t>万元、</w:t>
      </w:r>
      <w:r>
        <w:rPr>
          <w:rFonts w:hint="eastAsia" w:ascii="Times New Roman" w:hAnsi="Times New Roman" w:eastAsia="仿宋_GB2312" w:cs="仿宋_GB2312"/>
          <w:color w:val="auto"/>
          <w:kern w:val="2"/>
          <w:sz w:val="32"/>
          <w:szCs w:val="32"/>
          <w:highlight w:val="none"/>
          <w:lang w:val="en-US" w:eastAsia="zh-CN" w:bidi="ar-SA"/>
        </w:rPr>
        <w:t>差旅费33.5</w:t>
      </w:r>
      <w:r>
        <w:rPr>
          <w:rFonts w:hint="eastAsia" w:eastAsia="仿宋_GB2312" w:cs="仿宋_GB2312"/>
          <w:color w:val="auto"/>
          <w:kern w:val="2"/>
          <w:sz w:val="32"/>
          <w:szCs w:val="32"/>
          <w:highlight w:val="none"/>
          <w:lang w:val="en-US" w:eastAsia="zh-CN" w:bidi="ar-SA"/>
        </w:rPr>
        <w:t>3万元</w:t>
      </w:r>
      <w:r>
        <w:rPr>
          <w:rFonts w:hint="eastAsia" w:ascii="Times New Roman" w:hAnsi="Times New Roman" w:eastAsia="仿宋_GB2312" w:cs="仿宋_GB2312"/>
          <w:color w:val="auto"/>
          <w:kern w:val="2"/>
          <w:sz w:val="32"/>
          <w:szCs w:val="32"/>
          <w:highlight w:val="none"/>
          <w:lang w:val="en-US" w:eastAsia="zh-CN" w:bidi="ar-SA"/>
        </w:rPr>
        <w:t>、维修（护）费0.2</w:t>
      </w:r>
      <w:r>
        <w:rPr>
          <w:rFonts w:hint="eastAsia" w:eastAsia="仿宋_GB2312" w:cs="仿宋_GB2312"/>
          <w:color w:val="auto"/>
          <w:kern w:val="2"/>
          <w:sz w:val="32"/>
          <w:szCs w:val="32"/>
          <w:highlight w:val="none"/>
          <w:lang w:val="en-US" w:eastAsia="zh-CN" w:bidi="ar-SA"/>
        </w:rPr>
        <w:t>万元</w:t>
      </w:r>
      <w:r>
        <w:rPr>
          <w:rFonts w:hint="eastAsia" w:ascii="Times New Roman" w:hAnsi="Times New Roman" w:eastAsia="仿宋_GB2312" w:cs="仿宋_GB2312"/>
          <w:color w:val="auto"/>
          <w:kern w:val="2"/>
          <w:sz w:val="32"/>
          <w:szCs w:val="32"/>
          <w:highlight w:val="none"/>
          <w:lang w:val="en-US" w:eastAsia="zh-CN" w:bidi="ar-SA"/>
        </w:rPr>
        <w:t>、租赁费8.94</w:t>
      </w:r>
      <w:r>
        <w:rPr>
          <w:rFonts w:hint="eastAsia" w:eastAsia="仿宋_GB2312" w:cs="仿宋_GB2312"/>
          <w:color w:val="auto"/>
          <w:kern w:val="2"/>
          <w:sz w:val="32"/>
          <w:szCs w:val="32"/>
          <w:highlight w:val="none"/>
          <w:lang w:val="en-US" w:eastAsia="zh-CN" w:bidi="ar-SA"/>
        </w:rPr>
        <w:t>万元</w:t>
      </w:r>
      <w:r>
        <w:rPr>
          <w:rFonts w:hint="eastAsia" w:ascii="Times New Roman" w:hAnsi="Times New Roman" w:eastAsia="仿宋_GB2312" w:cs="仿宋_GB2312"/>
          <w:color w:val="auto"/>
          <w:kern w:val="2"/>
          <w:sz w:val="32"/>
          <w:szCs w:val="32"/>
          <w:highlight w:val="none"/>
          <w:lang w:val="en-US" w:eastAsia="zh-CN" w:bidi="ar-SA"/>
        </w:rPr>
        <w:t>、会议费0.25</w:t>
      </w:r>
      <w:r>
        <w:rPr>
          <w:rFonts w:hint="eastAsia" w:eastAsia="仿宋_GB2312" w:cs="仿宋_GB2312"/>
          <w:color w:val="auto"/>
          <w:kern w:val="2"/>
          <w:sz w:val="32"/>
          <w:szCs w:val="32"/>
          <w:highlight w:val="none"/>
          <w:lang w:val="en-US" w:eastAsia="zh-CN" w:bidi="ar-SA"/>
        </w:rPr>
        <w:t>万元</w:t>
      </w:r>
      <w:r>
        <w:rPr>
          <w:rFonts w:hint="eastAsia" w:ascii="Times New Roman" w:hAnsi="Times New Roman" w:eastAsia="仿宋_GB2312" w:cs="仿宋_GB2312"/>
          <w:color w:val="auto"/>
          <w:kern w:val="2"/>
          <w:sz w:val="32"/>
          <w:szCs w:val="32"/>
          <w:highlight w:val="none"/>
          <w:lang w:val="en-US" w:eastAsia="zh-CN" w:bidi="ar-SA"/>
        </w:rPr>
        <w:t>、培训费0.61</w:t>
      </w:r>
      <w:r>
        <w:rPr>
          <w:rFonts w:hint="eastAsia" w:eastAsia="仿宋_GB2312" w:cs="仿宋_GB2312"/>
          <w:color w:val="auto"/>
          <w:kern w:val="2"/>
          <w:sz w:val="32"/>
          <w:szCs w:val="32"/>
          <w:highlight w:val="none"/>
          <w:lang w:val="en-US" w:eastAsia="zh-CN" w:bidi="ar-SA"/>
        </w:rPr>
        <w:t>万元</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专用材料费17.95万元、</w:t>
      </w:r>
      <w:r>
        <w:rPr>
          <w:rFonts w:hint="eastAsia" w:ascii="Times New Roman" w:hAnsi="Times New Roman" w:eastAsia="仿宋_GB2312" w:cs="仿宋_GB2312"/>
          <w:color w:val="auto"/>
          <w:kern w:val="2"/>
          <w:sz w:val="32"/>
          <w:szCs w:val="32"/>
          <w:highlight w:val="none"/>
          <w:lang w:val="en-US" w:eastAsia="zh-CN" w:bidi="ar-SA"/>
        </w:rPr>
        <w:t>劳务费26.54</w:t>
      </w:r>
      <w:r>
        <w:rPr>
          <w:rFonts w:hint="eastAsia" w:eastAsia="仿宋_GB2312" w:cs="仿宋_GB2312"/>
          <w:color w:val="auto"/>
          <w:kern w:val="2"/>
          <w:sz w:val="32"/>
          <w:szCs w:val="32"/>
          <w:highlight w:val="none"/>
          <w:lang w:val="en-US" w:eastAsia="zh-CN" w:bidi="ar-SA"/>
        </w:rPr>
        <w:t>万元</w:t>
      </w:r>
      <w:r>
        <w:rPr>
          <w:rFonts w:hint="eastAsia" w:ascii="Times New Roman" w:hAnsi="Times New Roman" w:eastAsia="仿宋_GB2312" w:cs="仿宋_GB2312"/>
          <w:color w:val="auto"/>
          <w:kern w:val="2"/>
          <w:sz w:val="32"/>
          <w:szCs w:val="32"/>
          <w:highlight w:val="none"/>
          <w:lang w:val="en-US" w:eastAsia="zh-CN" w:bidi="ar-SA"/>
        </w:rPr>
        <w:t>、委托业务费31.97</w:t>
      </w:r>
      <w:r>
        <w:rPr>
          <w:rFonts w:hint="eastAsia" w:eastAsia="仿宋_GB2312" w:cs="仿宋_GB2312"/>
          <w:color w:val="auto"/>
          <w:kern w:val="2"/>
          <w:sz w:val="32"/>
          <w:szCs w:val="32"/>
          <w:highlight w:val="none"/>
          <w:lang w:val="en-US" w:eastAsia="zh-CN" w:bidi="ar-SA"/>
        </w:rPr>
        <w:t>万元</w:t>
      </w:r>
      <w:r>
        <w:rPr>
          <w:rFonts w:hint="eastAsia" w:ascii="Times New Roman" w:hAnsi="Times New Roman" w:eastAsia="仿宋_GB2312" w:cs="仿宋_GB2312"/>
          <w:color w:val="auto"/>
          <w:kern w:val="2"/>
          <w:sz w:val="32"/>
          <w:szCs w:val="32"/>
          <w:highlight w:val="none"/>
          <w:lang w:val="en-US" w:eastAsia="zh-CN" w:bidi="ar-SA"/>
        </w:rPr>
        <w:t>、工会经费2</w:t>
      </w:r>
      <w:r>
        <w:rPr>
          <w:rFonts w:hint="eastAsia" w:eastAsia="仿宋_GB2312" w:cs="仿宋_GB2312"/>
          <w:color w:val="auto"/>
          <w:kern w:val="2"/>
          <w:sz w:val="32"/>
          <w:szCs w:val="32"/>
          <w:highlight w:val="none"/>
          <w:lang w:val="en-US" w:eastAsia="zh-CN" w:bidi="ar-SA"/>
        </w:rPr>
        <w:t>万元</w:t>
      </w:r>
      <w:r>
        <w:rPr>
          <w:rFonts w:hint="eastAsia" w:ascii="Times New Roman" w:hAnsi="Times New Roman" w:eastAsia="仿宋_GB2312" w:cs="仿宋_GB2312"/>
          <w:color w:val="auto"/>
          <w:kern w:val="2"/>
          <w:sz w:val="32"/>
          <w:szCs w:val="32"/>
          <w:highlight w:val="none"/>
          <w:lang w:val="en-US" w:eastAsia="zh-CN" w:bidi="ar-SA"/>
        </w:rPr>
        <w:t>、福利费10.28</w:t>
      </w:r>
      <w:r>
        <w:rPr>
          <w:rFonts w:hint="eastAsia" w:eastAsia="仿宋_GB2312" w:cs="仿宋_GB2312"/>
          <w:color w:val="auto"/>
          <w:kern w:val="2"/>
          <w:sz w:val="32"/>
          <w:szCs w:val="32"/>
          <w:highlight w:val="none"/>
          <w:lang w:val="en-US" w:eastAsia="zh-CN" w:bidi="ar-SA"/>
        </w:rPr>
        <w:t>万元</w:t>
      </w:r>
      <w:r>
        <w:rPr>
          <w:rFonts w:hint="eastAsia" w:ascii="Times New Roman" w:hAnsi="Times New Roman" w:eastAsia="仿宋_GB2312" w:cs="仿宋_GB2312"/>
          <w:color w:val="auto"/>
          <w:kern w:val="2"/>
          <w:sz w:val="32"/>
          <w:szCs w:val="32"/>
          <w:highlight w:val="none"/>
          <w:lang w:val="en-US" w:eastAsia="zh-CN" w:bidi="ar-SA"/>
        </w:rPr>
        <w:t>、公务用车运行维护费15.12</w:t>
      </w:r>
      <w:r>
        <w:rPr>
          <w:rFonts w:hint="eastAsia" w:eastAsia="仿宋_GB2312" w:cs="仿宋_GB2312"/>
          <w:color w:val="auto"/>
          <w:kern w:val="2"/>
          <w:sz w:val="32"/>
          <w:szCs w:val="32"/>
          <w:highlight w:val="none"/>
          <w:lang w:val="en-US" w:eastAsia="zh-CN" w:bidi="ar-SA"/>
        </w:rPr>
        <w:t>万元</w:t>
      </w:r>
      <w:r>
        <w:rPr>
          <w:rFonts w:hint="eastAsia" w:ascii="Times New Roman" w:hAnsi="Times New Roman" w:eastAsia="仿宋_GB2312" w:cs="仿宋_GB2312"/>
          <w:color w:val="auto"/>
          <w:kern w:val="2"/>
          <w:sz w:val="32"/>
          <w:szCs w:val="32"/>
          <w:highlight w:val="none"/>
          <w:lang w:val="en-US" w:eastAsia="zh-CN" w:bidi="ar-SA"/>
        </w:rPr>
        <w:t>、其他交通费9.91</w:t>
      </w:r>
      <w:r>
        <w:rPr>
          <w:rFonts w:hint="eastAsia" w:eastAsia="仿宋_GB2312" w:cs="仿宋_GB2312"/>
          <w:color w:val="auto"/>
          <w:kern w:val="2"/>
          <w:sz w:val="32"/>
          <w:szCs w:val="32"/>
          <w:highlight w:val="none"/>
          <w:lang w:val="en-US" w:eastAsia="zh-CN" w:bidi="ar-SA"/>
        </w:rPr>
        <w:t>万元</w:t>
      </w:r>
      <w:r>
        <w:rPr>
          <w:rFonts w:hint="eastAsia" w:ascii="Times New Roman" w:hAnsi="Times New Roman" w:eastAsia="仿宋_GB2312" w:cs="仿宋_GB2312"/>
          <w:color w:val="auto"/>
          <w:kern w:val="2"/>
          <w:sz w:val="32"/>
          <w:szCs w:val="32"/>
          <w:highlight w:val="none"/>
          <w:lang w:val="en-US" w:eastAsia="zh-CN" w:bidi="ar-SA"/>
        </w:rPr>
        <w:t>、其他商品和服务支出13.6</w:t>
      </w:r>
      <w:r>
        <w:rPr>
          <w:rFonts w:hint="eastAsia" w:eastAsia="仿宋_GB2312" w:cs="仿宋_GB2312"/>
          <w:color w:val="auto"/>
          <w:kern w:val="2"/>
          <w:sz w:val="32"/>
          <w:szCs w:val="32"/>
          <w:highlight w:val="none"/>
          <w:lang w:val="en-US" w:eastAsia="zh-CN" w:bidi="ar-SA"/>
        </w:rPr>
        <w:t>万元</w:t>
      </w:r>
      <w:r>
        <w:rPr>
          <w:rFonts w:hint="eastAsia" w:ascii="Times New Roman" w:hAnsi="Times New Roman" w:eastAsia="仿宋_GB2312" w:cs="仿宋_GB2312"/>
          <w:color w:val="auto"/>
          <w:kern w:val="2"/>
          <w:sz w:val="32"/>
          <w:szCs w:val="32"/>
          <w:highlight w:val="none"/>
          <w:lang w:val="en-US" w:eastAsia="zh-CN" w:bidi="ar-SA"/>
        </w:rPr>
        <w:t>、办公设备购置0.93</w:t>
      </w:r>
      <w:r>
        <w:rPr>
          <w:rFonts w:hint="eastAsia" w:eastAsia="仿宋_GB2312" w:cs="仿宋_GB2312"/>
          <w:color w:val="auto"/>
          <w:kern w:val="2"/>
          <w:sz w:val="32"/>
          <w:szCs w:val="32"/>
          <w:highlight w:val="none"/>
          <w:lang w:val="en-US" w:eastAsia="zh-CN" w:bidi="ar-SA"/>
        </w:rPr>
        <w:t>万元</w:t>
      </w:r>
      <w:r>
        <w:rPr>
          <w:rFonts w:hint="eastAsia" w:ascii="Times New Roman" w:hAnsi="Times New Roman" w:eastAsia="仿宋_GB2312" w:cs="仿宋_GB2312"/>
          <w:color w:val="auto"/>
          <w:kern w:val="2"/>
          <w:sz w:val="32"/>
          <w:szCs w:val="32"/>
          <w:highlight w:val="none"/>
          <w:lang w:val="en-US" w:eastAsia="zh-CN" w:bidi="ar-SA"/>
        </w:rPr>
        <w:t>、专用设备购置14.27</w:t>
      </w:r>
      <w:r>
        <w:rPr>
          <w:rFonts w:hint="eastAsia" w:eastAsia="仿宋_GB2312" w:cs="仿宋_GB2312"/>
          <w:color w:val="auto"/>
          <w:kern w:val="2"/>
          <w:sz w:val="32"/>
          <w:szCs w:val="32"/>
          <w:highlight w:val="none"/>
          <w:lang w:val="en-US" w:eastAsia="zh-CN" w:bidi="ar-SA"/>
        </w:rPr>
        <w:t>万元</w:t>
      </w:r>
      <w:r>
        <w:rPr>
          <w:rFonts w:hint="eastAsia" w:ascii="Times New Roman" w:hAnsi="Times New Roman" w:eastAsia="仿宋_GB2312" w:cs="仿宋_GB2312"/>
          <w:color w:val="auto"/>
          <w:kern w:val="2"/>
          <w:sz w:val="32"/>
          <w:szCs w:val="32"/>
          <w:highlight w:val="none"/>
          <w:lang w:val="en-US" w:eastAsia="zh-CN" w:bidi="ar-SA"/>
        </w:rPr>
        <w:t>。</w:t>
      </w:r>
    </w:p>
    <w:p w14:paraId="75A1DDF0">
      <w:pPr>
        <w:pageBreakBefore w:val="0"/>
        <w:kinsoku/>
        <w:wordWrap/>
        <w:overflowPunct/>
        <w:topLinePunct w:val="0"/>
        <w:bidi w:val="0"/>
        <w:spacing w:line="560" w:lineRule="atLeast"/>
        <w:ind w:firstLine="640"/>
        <w:outlineLvl w:val="1"/>
        <w:rPr>
          <w:rStyle w:val="32"/>
          <w:rFonts w:ascii="Times New Roman" w:hAnsi="Times New Roman" w:eastAsia="黑体"/>
          <w:b w:val="0"/>
          <w:color w:val="auto"/>
          <w:highlight w:val="none"/>
        </w:rPr>
      </w:pPr>
      <w:bookmarkStart w:id="30" w:name="_Toc15396609"/>
      <w:bookmarkStart w:id="31" w:name="_Toc15377215"/>
      <w:r>
        <w:rPr>
          <w:rFonts w:hint="eastAsia" w:ascii="Times New Roman" w:hAnsi="Times New Roman" w:eastAsia="黑体"/>
          <w:color w:val="auto"/>
          <w:sz w:val="32"/>
          <w:szCs w:val="32"/>
          <w:highlight w:val="none"/>
        </w:rPr>
        <w:t>七、</w:t>
      </w:r>
      <w:r>
        <w:rPr>
          <w:rStyle w:val="32"/>
          <w:rFonts w:hint="eastAsia" w:ascii="Times New Roman" w:hAnsi="Times New Roman" w:eastAsia="黑体"/>
          <w:b w:val="0"/>
          <w:color w:val="auto"/>
          <w:highlight w:val="none"/>
        </w:rPr>
        <w:t>财政拨款</w:t>
      </w:r>
      <w:r>
        <w:rPr>
          <w:rStyle w:val="32"/>
          <w:rFonts w:hint="eastAsia" w:ascii="Times New Roman" w:hAnsi="Times New Roman" w:eastAsia="黑体"/>
          <w:color w:val="auto"/>
          <w:highlight w:val="none"/>
        </w:rPr>
        <w:t>“</w:t>
      </w:r>
      <w:r>
        <w:rPr>
          <w:rStyle w:val="32"/>
          <w:rFonts w:hint="eastAsia" w:ascii="Times New Roman" w:hAnsi="Times New Roman" w:eastAsia="黑体"/>
          <w:b w:val="0"/>
          <w:color w:val="auto"/>
          <w:highlight w:val="none"/>
        </w:rPr>
        <w:t>三公”经费支出决算情况说明</w:t>
      </w:r>
      <w:bookmarkEnd w:id="30"/>
      <w:bookmarkEnd w:id="31"/>
    </w:p>
    <w:p w14:paraId="6062CDC8">
      <w:pPr>
        <w:pageBreakBefore w:val="0"/>
        <w:kinsoku/>
        <w:wordWrap/>
        <w:overflowPunct/>
        <w:topLinePunct w:val="0"/>
        <w:bidi w:val="0"/>
        <w:spacing w:line="560" w:lineRule="atLeast"/>
        <w:ind w:firstLine="643" w:firstLineChars="200"/>
        <w:outlineLvl w:val="2"/>
        <w:rPr>
          <w:rFonts w:hint="eastAsia" w:ascii="Times New Roman" w:hAnsi="Times New Roman" w:eastAsia="楷体_GB2312" w:cs="楷体_GB2312"/>
          <w:b/>
          <w:color w:val="auto"/>
          <w:sz w:val="32"/>
          <w:szCs w:val="32"/>
          <w:highlight w:val="none"/>
        </w:rPr>
      </w:pPr>
      <w:bookmarkStart w:id="32" w:name="_Toc15377216"/>
      <w:r>
        <w:rPr>
          <w:rFonts w:hint="eastAsia" w:ascii="Times New Roman" w:hAnsi="Times New Roman" w:eastAsia="楷体_GB2312" w:cs="楷体_GB2312"/>
          <w:b/>
          <w:color w:val="auto"/>
          <w:sz w:val="32"/>
          <w:szCs w:val="32"/>
          <w:highlight w:val="none"/>
        </w:rPr>
        <w:t>（一）财政拨款“三公”经费支出决算总体情况说明</w:t>
      </w:r>
      <w:bookmarkEnd w:id="32"/>
    </w:p>
    <w:p w14:paraId="1A7DB6A1">
      <w:pPr>
        <w:pageBreakBefore w:val="0"/>
        <w:kinsoku/>
        <w:wordWrap/>
        <w:overflowPunct/>
        <w:topLinePunct w:val="0"/>
        <w:bidi w:val="0"/>
        <w:spacing w:line="560" w:lineRule="atLeas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财政拨款“三公”经费支出决算为</w:t>
      </w:r>
      <w:r>
        <w:rPr>
          <w:rFonts w:hint="eastAsia" w:eastAsia="仿宋_GB2312" w:cs="仿宋_GB2312"/>
          <w:color w:val="auto"/>
          <w:kern w:val="2"/>
          <w:sz w:val="32"/>
          <w:szCs w:val="32"/>
          <w:highlight w:val="none"/>
          <w:lang w:val="en-US" w:eastAsia="zh-CN" w:bidi="ar-SA"/>
        </w:rPr>
        <w:t>24.47</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%，较上年度减少</w:t>
      </w:r>
      <w:r>
        <w:rPr>
          <w:rFonts w:hint="eastAsia" w:eastAsia="仿宋_GB2312" w:cs="仿宋_GB2312"/>
          <w:color w:val="auto"/>
          <w:kern w:val="2"/>
          <w:sz w:val="32"/>
          <w:szCs w:val="32"/>
          <w:highlight w:val="none"/>
          <w:lang w:val="en-US" w:eastAsia="zh-CN" w:bidi="ar-SA"/>
        </w:rPr>
        <w:t>77.79</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76</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下降</w:t>
      </w:r>
      <w:r>
        <w:rPr>
          <w:rFonts w:hint="eastAsia" w:ascii="Times New Roman" w:hAnsi="Times New Roman" w:eastAsia="仿宋_GB2312" w:cs="仿宋_GB2312"/>
          <w:color w:val="auto"/>
          <w:kern w:val="2"/>
          <w:sz w:val="32"/>
          <w:szCs w:val="32"/>
          <w:highlight w:val="none"/>
          <w:lang w:val="en-US" w:eastAsia="zh-CN" w:bidi="ar-SA"/>
        </w:rPr>
        <w:t>的主要原因是</w:t>
      </w:r>
      <w:r>
        <w:rPr>
          <w:rFonts w:hint="eastAsia" w:eastAsia="仿宋_GB2312" w:cs="仿宋_GB2312"/>
          <w:color w:val="auto"/>
          <w:kern w:val="2"/>
          <w:sz w:val="32"/>
          <w:szCs w:val="32"/>
          <w:highlight w:val="none"/>
          <w:lang w:val="en-US" w:eastAsia="zh-CN" w:bidi="ar-SA"/>
        </w:rPr>
        <w:t>2025年度无公务用车购置费支出。</w:t>
      </w:r>
    </w:p>
    <w:p w14:paraId="7EFC015D">
      <w:pPr>
        <w:pageBreakBefore w:val="0"/>
        <w:kinsoku/>
        <w:wordWrap/>
        <w:overflowPunct/>
        <w:topLinePunct w:val="0"/>
        <w:bidi w:val="0"/>
        <w:spacing w:line="560" w:lineRule="atLeast"/>
        <w:ind w:firstLine="643" w:firstLineChars="200"/>
        <w:outlineLvl w:val="2"/>
        <w:rPr>
          <w:rFonts w:hint="eastAsia" w:ascii="Times New Roman" w:hAnsi="Times New Roman" w:eastAsia="楷体_GB2312" w:cs="楷体_GB2312"/>
          <w:b/>
          <w:color w:val="auto"/>
          <w:sz w:val="32"/>
          <w:szCs w:val="32"/>
          <w:highlight w:val="none"/>
        </w:rPr>
      </w:pPr>
      <w:bookmarkStart w:id="33" w:name="_Toc15377217"/>
      <w:r>
        <w:rPr>
          <w:rFonts w:hint="eastAsia" w:ascii="Times New Roman" w:hAnsi="Times New Roman" w:eastAsia="楷体_GB2312" w:cs="楷体_GB2312"/>
          <w:b/>
          <w:color w:val="auto"/>
          <w:sz w:val="32"/>
          <w:szCs w:val="32"/>
          <w:highlight w:val="none"/>
        </w:rPr>
        <w:t>（二）财政拨款“三公”经费支出决算具体情况说明</w:t>
      </w:r>
      <w:bookmarkEnd w:id="33"/>
    </w:p>
    <w:p w14:paraId="14D1BA44">
      <w:pPr>
        <w:pageBreakBefore w:val="0"/>
        <w:kinsoku/>
        <w:wordWrap/>
        <w:overflowPunct/>
        <w:topLinePunct w:val="0"/>
        <w:bidi w:val="0"/>
        <w:spacing w:line="560" w:lineRule="atLeas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财政拨款“三公”经费支出决算中，因公出国（境）费支出决算</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%；公务用车</w:t>
      </w:r>
      <w:r>
        <w:rPr>
          <w:rFonts w:hint="eastAsia" w:eastAsia="仿宋_GB2312" w:cs="仿宋_GB2312"/>
          <w:color w:val="auto"/>
          <w:kern w:val="2"/>
          <w:sz w:val="32"/>
          <w:szCs w:val="32"/>
          <w:highlight w:val="none"/>
          <w:lang w:val="en-US" w:eastAsia="zh-CN" w:bidi="ar-SA"/>
        </w:rPr>
        <w:t>购置及</w:t>
      </w:r>
      <w:r>
        <w:rPr>
          <w:rFonts w:hint="eastAsia" w:ascii="Times New Roman" w:hAnsi="Times New Roman" w:eastAsia="仿宋_GB2312" w:cs="仿宋_GB2312"/>
          <w:color w:val="auto"/>
          <w:kern w:val="2"/>
          <w:sz w:val="32"/>
          <w:szCs w:val="32"/>
          <w:highlight w:val="none"/>
          <w:lang w:val="en-US" w:eastAsia="zh-CN" w:bidi="ar-SA"/>
        </w:rPr>
        <w:t>运行维护费支出决算</w:t>
      </w:r>
      <w:r>
        <w:rPr>
          <w:rFonts w:hint="eastAsia" w:eastAsia="仿宋_GB2312" w:cs="仿宋_GB2312"/>
          <w:color w:val="auto"/>
          <w:kern w:val="2"/>
          <w:sz w:val="32"/>
          <w:szCs w:val="32"/>
          <w:highlight w:val="none"/>
          <w:lang w:val="en-US" w:eastAsia="zh-CN" w:bidi="ar-SA"/>
        </w:rPr>
        <w:t>24.47</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%；公务接待费支出决算</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*%。具体情况如下：</w:t>
      </w:r>
    </w:p>
    <w:p w14:paraId="3D69B80F">
      <w:pPr>
        <w:pStyle w:val="9"/>
        <w:pageBreakBefore w:val="0"/>
        <w:kinsoku/>
        <w:wordWrap/>
        <w:overflowPunct/>
        <w:topLinePunct w:val="0"/>
        <w:bidi w:val="0"/>
        <w:spacing w:line="560" w:lineRule="atLeast"/>
        <w:rPr>
          <w:rFonts w:hint="eastAsia" w:ascii="Times New Roman" w:hAnsi="Times New Roman" w:eastAsia="仿宋_GB2312" w:cs="仿宋_GB2312"/>
          <w:color w:val="auto"/>
          <w:kern w:val="2"/>
          <w:sz w:val="32"/>
          <w:szCs w:val="32"/>
          <w:highlight w:val="none"/>
          <w:lang w:val="en-US" w:eastAsia="zh-CN" w:bidi="ar-SA"/>
        </w:rPr>
      </w:pPr>
    </w:p>
    <w:p w14:paraId="67A563F0">
      <w:pPr>
        <w:pStyle w:val="10"/>
        <w:pageBreakBefore w:val="0"/>
        <w:widowControl w:val="0"/>
        <w:numPr>
          <w:ilvl w:val="0"/>
          <w:numId w:val="0"/>
        </w:numPr>
        <w:kinsoku/>
        <w:wordWrap/>
        <w:overflowPunct/>
        <w:topLinePunct w:val="0"/>
        <w:bidi w:val="0"/>
        <w:spacing w:line="560" w:lineRule="atLeast"/>
        <w:jc w:val="both"/>
        <w:rPr>
          <w:rFonts w:hint="eastAsia" w:ascii="Times New Roman" w:hAnsi="Times New Roman" w:eastAsia="仿宋_GB2312" w:cs="仿宋_GB2312"/>
          <w:color w:val="auto"/>
          <w:kern w:val="2"/>
          <w:sz w:val="32"/>
          <w:szCs w:val="32"/>
          <w:highlight w:val="none"/>
          <w:lang w:val="en-US" w:eastAsia="zh-CN" w:bidi="ar-SA"/>
        </w:rPr>
      </w:pPr>
      <w:r>
        <w:rPr>
          <w:rFonts w:hint="eastAsia" w:eastAsia="宋体"/>
          <w:lang w:eastAsia="zh-CN"/>
        </w:rPr>
        <w:drawing>
          <wp:inline distT="0" distB="0" distL="114300" distR="114300">
            <wp:extent cx="5674360" cy="2585085"/>
            <wp:effectExtent l="4445" t="4445" r="5715" b="16510"/>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42E8B9F8">
      <w:pPr>
        <w:pageBreakBefore w:val="0"/>
        <w:kinsoku/>
        <w:wordWrap/>
        <w:overflowPunct/>
        <w:topLinePunct w:val="0"/>
        <w:bidi w:val="0"/>
        <w:spacing w:line="560" w:lineRule="atLeas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（图7：财政拨款“三公”经费支出结构）（饼状图）</w:t>
      </w:r>
    </w:p>
    <w:p w14:paraId="2EFDCC33">
      <w:pPr>
        <w:pageBreakBefore w:val="0"/>
        <w:kinsoku/>
        <w:wordWrap/>
        <w:overflowPunct/>
        <w:topLinePunct w:val="0"/>
        <w:bidi w:val="0"/>
        <w:spacing w:line="560" w:lineRule="atLeast"/>
        <w:ind w:firstLine="640"/>
        <w:rPr>
          <w:rFonts w:hint="eastAsia" w:ascii="Times New Roman" w:hAnsi="Times New Roman" w:eastAsia="仿宋_GB2312" w:cs="仿宋_GB2312"/>
          <w:b/>
          <w:bCs/>
          <w:color w:val="auto"/>
          <w:kern w:val="2"/>
          <w:sz w:val="32"/>
          <w:szCs w:val="32"/>
          <w:highlight w:val="none"/>
          <w:lang w:val="en-US" w:eastAsia="zh-CN" w:bidi="ar-SA"/>
        </w:rPr>
      </w:pPr>
    </w:p>
    <w:p w14:paraId="76D5CF74">
      <w:pPr>
        <w:pageBreakBefore w:val="0"/>
        <w:kinsoku/>
        <w:wordWrap/>
        <w:overflowPunct/>
        <w:topLinePunct w:val="0"/>
        <w:bidi w:val="0"/>
        <w:spacing w:line="560" w:lineRule="atLeas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1.</w:t>
      </w:r>
      <w:r>
        <w:rPr>
          <w:rFonts w:hint="eastAsia" w:ascii="仿宋" w:hAnsi="仿宋" w:eastAsia="仿宋" w:cs="仿宋"/>
          <w:b w:val="0"/>
          <w:bCs w:val="0"/>
          <w:color w:val="auto"/>
          <w:kern w:val="2"/>
          <w:sz w:val="32"/>
          <w:szCs w:val="32"/>
          <w:highlight w:val="none"/>
          <w:lang w:val="en-US" w:eastAsia="zh-CN" w:bidi="ar-SA"/>
        </w:rPr>
        <w:t>2025年度本单位无因公出国（境）经费支出</w:t>
      </w:r>
      <w:r>
        <w:rPr>
          <w:rFonts w:hint="eastAsia" w:eastAsia="仿宋_GB2312" w:cs="仿宋_GB2312"/>
          <w:b w:val="0"/>
          <w:bCs w:val="0"/>
          <w:color w:val="auto"/>
          <w:kern w:val="2"/>
          <w:sz w:val="32"/>
          <w:szCs w:val="32"/>
          <w:highlight w:val="none"/>
          <w:lang w:val="en-US" w:eastAsia="zh-CN" w:bidi="ar-SA"/>
        </w:rPr>
        <w:t>。</w:t>
      </w:r>
    </w:p>
    <w:p w14:paraId="20BB536C">
      <w:pPr>
        <w:pageBreakBefore w:val="0"/>
        <w:kinsoku/>
        <w:wordWrap/>
        <w:overflowPunct/>
        <w:topLinePunct w:val="0"/>
        <w:bidi w:val="0"/>
        <w:spacing w:line="560" w:lineRule="atLeas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eastAsia="仿宋_GB2312" w:cs="仿宋_GB2312"/>
          <w:b/>
          <w:bCs/>
          <w:color w:val="auto"/>
          <w:kern w:val="2"/>
          <w:sz w:val="32"/>
          <w:szCs w:val="32"/>
          <w:highlight w:val="none"/>
          <w:lang w:val="en-US" w:eastAsia="zh-CN" w:bidi="ar-SA"/>
        </w:rPr>
        <w:t>24.47</w:t>
      </w:r>
      <w:r>
        <w:rPr>
          <w:rFonts w:hint="eastAsia" w:ascii="Times New Roman" w:hAnsi="Times New Roman" w:eastAsia="仿宋_GB2312" w:cs="仿宋_GB2312"/>
          <w:b/>
          <w:bCs/>
          <w:color w:val="auto"/>
          <w:kern w:val="2"/>
          <w:sz w:val="32"/>
          <w:szCs w:val="32"/>
          <w:highlight w:val="none"/>
          <w:lang w:val="en-US" w:eastAsia="zh-CN" w:bidi="ar-SA"/>
        </w:rPr>
        <w:t>万元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减少</w:t>
      </w:r>
      <w:r>
        <w:rPr>
          <w:rFonts w:hint="eastAsia" w:eastAsia="仿宋_GB2312" w:cs="仿宋_GB2312"/>
          <w:color w:val="auto"/>
          <w:kern w:val="2"/>
          <w:sz w:val="32"/>
          <w:szCs w:val="32"/>
          <w:highlight w:val="none"/>
          <w:lang w:val="en-US" w:eastAsia="zh-CN" w:bidi="ar-SA"/>
        </w:rPr>
        <w:t>77.79</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76</w:t>
      </w:r>
      <w:r>
        <w:rPr>
          <w:rFonts w:hint="eastAsia" w:ascii="Times New Roman" w:hAnsi="Times New Roman" w:eastAsia="仿宋_GB2312" w:cs="仿宋_GB2312"/>
          <w:color w:val="auto"/>
          <w:kern w:val="2"/>
          <w:sz w:val="32"/>
          <w:szCs w:val="32"/>
          <w:highlight w:val="none"/>
          <w:lang w:val="en-US" w:eastAsia="zh-CN" w:bidi="ar-SA"/>
        </w:rPr>
        <w:t>%。主要原因</w:t>
      </w:r>
      <w:r>
        <w:rPr>
          <w:rFonts w:hint="eastAsia" w:eastAsia="仿宋_GB2312" w:cs="仿宋_GB2312"/>
          <w:color w:val="auto"/>
          <w:kern w:val="2"/>
          <w:sz w:val="32"/>
          <w:szCs w:val="32"/>
          <w:highlight w:val="none"/>
          <w:lang w:val="en-US" w:eastAsia="zh-CN" w:bidi="ar-SA"/>
        </w:rPr>
        <w:t>是2025年度无公务用车购置费支出。</w:t>
      </w:r>
    </w:p>
    <w:p w14:paraId="2F80BDA2">
      <w:pPr>
        <w:pageBreakBefore w:val="0"/>
        <w:kinsoku/>
        <w:wordWrap/>
        <w:overflowPunct/>
        <w:topLinePunct w:val="0"/>
        <w:bidi w:val="0"/>
        <w:spacing w:line="560" w:lineRule="atLeast"/>
        <w:ind w:firstLine="640" w:firstLineChars="200"/>
        <w:rPr>
          <w:rFonts w:hint="default" w:eastAsia="仿宋_GB2312" w:cs="仿宋_GB2312"/>
          <w:color w:val="000000" w:themeColor="text1"/>
          <w:sz w:val="32"/>
          <w:szCs w:val="32"/>
          <w:highlight w:val="none"/>
          <w:lang w:val="en-US"/>
          <w14:textFill>
            <w14:solidFill>
              <w14:schemeClr w14:val="tx1"/>
            </w14:solidFill>
          </w14:textFill>
        </w:rPr>
      </w:pPr>
      <w:r>
        <w:rPr>
          <w:rFonts w:hint="eastAsia" w:ascii="Times New Roman" w:hAnsi="Times New Roman" w:eastAsia="仿宋_GB2312" w:cs="仿宋_GB2312"/>
          <w:color w:val="auto"/>
          <w:kern w:val="2"/>
          <w:sz w:val="32"/>
          <w:szCs w:val="32"/>
          <w:highlight w:val="none"/>
          <w:lang w:val="en-US" w:eastAsia="zh-CN" w:bidi="ar-SA"/>
        </w:rPr>
        <w:t>其中：公务用车购置支出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万元。全年按规定更新购置公务用车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万元，越野车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万元，载客汽车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w:t>
      </w:r>
      <w:r>
        <w:rPr>
          <w:rFonts w:hint="eastAsia" w:eastAsia="仿宋_GB2312" w:cs="仿宋_GB2312"/>
          <w:color w:val="000000" w:themeColor="text1"/>
          <w:sz w:val="32"/>
          <w:szCs w:val="32"/>
          <w:highlight w:val="none"/>
          <w14:textFill>
            <w14:solidFill>
              <w14:schemeClr w14:val="tx1"/>
            </w14:solidFill>
          </w14:textFill>
        </w:rPr>
        <w:t>单位共有公务用车</w:t>
      </w:r>
      <w:r>
        <w:rPr>
          <w:rFonts w:hint="eastAsia" w:eastAsia="仿宋_GB2312" w:cs="仿宋_GB2312"/>
          <w:color w:val="000000" w:themeColor="text1"/>
          <w:sz w:val="32"/>
          <w:szCs w:val="32"/>
          <w:highlight w:val="none"/>
          <w:lang w:val="en-US" w:eastAsia="zh-CN"/>
          <w14:textFill>
            <w14:solidFill>
              <w14:schemeClr w14:val="tx1"/>
            </w14:solidFill>
          </w14:textFill>
        </w:rPr>
        <w:t>6</w:t>
      </w:r>
      <w:r>
        <w:rPr>
          <w:rFonts w:hint="eastAsia" w:eastAsia="仿宋_GB2312" w:cs="仿宋_GB2312"/>
          <w:color w:val="000000" w:themeColor="text1"/>
          <w:sz w:val="32"/>
          <w:szCs w:val="32"/>
          <w:highlight w:val="none"/>
          <w14:textFill>
            <w14:solidFill>
              <w14:schemeClr w14:val="tx1"/>
            </w14:solidFill>
          </w14:textFill>
        </w:rPr>
        <w:t>辆，其中、越野车</w:t>
      </w:r>
      <w:r>
        <w:rPr>
          <w:rFonts w:hint="eastAsia" w:eastAsia="仿宋_GB2312" w:cs="仿宋_GB2312"/>
          <w:color w:val="000000" w:themeColor="text1"/>
          <w:sz w:val="32"/>
          <w:szCs w:val="32"/>
          <w:highlight w:val="none"/>
          <w:lang w:val="en-US" w:eastAsia="zh-CN"/>
          <w14:textFill>
            <w14:solidFill>
              <w14:schemeClr w14:val="tx1"/>
            </w14:solidFill>
          </w14:textFill>
        </w:rPr>
        <w:t>3</w:t>
      </w:r>
      <w:r>
        <w:rPr>
          <w:rFonts w:hint="eastAsia" w:eastAsia="仿宋_GB2312" w:cs="仿宋_GB2312"/>
          <w:color w:val="000000" w:themeColor="text1"/>
          <w:sz w:val="32"/>
          <w:szCs w:val="32"/>
          <w:highlight w:val="none"/>
          <w14:textFill>
            <w14:solidFill>
              <w14:schemeClr w14:val="tx1"/>
            </w14:solidFill>
          </w14:textFill>
        </w:rPr>
        <w:t>辆、载客汽车</w:t>
      </w:r>
      <w:r>
        <w:rPr>
          <w:rFonts w:hint="eastAsia" w:eastAsia="仿宋_GB2312" w:cs="仿宋_GB2312"/>
          <w:color w:val="000000" w:themeColor="text1"/>
          <w:sz w:val="32"/>
          <w:szCs w:val="32"/>
          <w:highlight w:val="none"/>
          <w:lang w:val="en-US" w:eastAsia="zh-CN"/>
          <w14:textFill>
            <w14:solidFill>
              <w14:schemeClr w14:val="tx1"/>
            </w14:solidFill>
          </w14:textFill>
        </w:rPr>
        <w:t>1</w:t>
      </w:r>
      <w:r>
        <w:rPr>
          <w:rFonts w:hint="eastAsia" w:eastAsia="仿宋_GB2312" w:cs="仿宋_GB2312"/>
          <w:color w:val="000000" w:themeColor="text1"/>
          <w:sz w:val="32"/>
          <w:szCs w:val="32"/>
          <w:highlight w:val="none"/>
          <w14:textFill>
            <w14:solidFill>
              <w14:schemeClr w14:val="tx1"/>
            </w14:solidFill>
          </w14:textFill>
        </w:rPr>
        <w:t>辆</w:t>
      </w:r>
      <w:r>
        <w:rPr>
          <w:rFonts w:hint="eastAsia" w:eastAsia="仿宋_GB2312" w:cs="仿宋_GB2312"/>
          <w:color w:val="000000" w:themeColor="text1"/>
          <w:sz w:val="32"/>
          <w:szCs w:val="32"/>
          <w:highlight w:val="none"/>
          <w:lang w:eastAsia="zh-CN"/>
          <w14:textFill>
            <w14:solidFill>
              <w14:schemeClr w14:val="tx1"/>
            </w14:solidFill>
          </w14:textFill>
        </w:rPr>
        <w:t>，特种专业技术用车</w:t>
      </w:r>
      <w:r>
        <w:rPr>
          <w:rFonts w:hint="eastAsia" w:eastAsia="仿宋_GB2312" w:cs="仿宋_GB2312"/>
          <w:color w:val="000000" w:themeColor="text1"/>
          <w:sz w:val="32"/>
          <w:szCs w:val="32"/>
          <w:highlight w:val="none"/>
          <w:lang w:val="en-US" w:eastAsia="zh-CN"/>
          <w14:textFill>
            <w14:solidFill>
              <w14:schemeClr w14:val="tx1"/>
            </w14:solidFill>
          </w14:textFill>
        </w:rPr>
        <w:t>1辆，商务车1辆。</w:t>
      </w:r>
    </w:p>
    <w:p w14:paraId="79BC2589">
      <w:pPr>
        <w:pageBreakBefore w:val="0"/>
        <w:kinsoku/>
        <w:wordWrap/>
        <w:overflowPunct/>
        <w:topLinePunct w:val="0"/>
        <w:bidi w:val="0"/>
        <w:spacing w:line="560" w:lineRule="atLeas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公务用车运行维护费支出</w:t>
      </w:r>
      <w:r>
        <w:rPr>
          <w:rFonts w:hint="eastAsia" w:eastAsia="仿宋_GB2312" w:cs="仿宋_GB2312"/>
          <w:color w:val="auto"/>
          <w:kern w:val="2"/>
          <w:sz w:val="32"/>
          <w:szCs w:val="32"/>
          <w:highlight w:val="none"/>
          <w:lang w:val="en-US" w:eastAsia="zh-CN" w:bidi="ar-SA"/>
        </w:rPr>
        <w:t>24.47</w:t>
      </w:r>
      <w:r>
        <w:rPr>
          <w:rFonts w:hint="eastAsia" w:ascii="Times New Roman" w:hAnsi="Times New Roman" w:eastAsia="仿宋_GB2312" w:cs="仿宋_GB2312"/>
          <w:color w:val="auto"/>
          <w:kern w:val="2"/>
          <w:sz w:val="32"/>
          <w:szCs w:val="32"/>
          <w:highlight w:val="none"/>
          <w:lang w:val="en-US" w:eastAsia="zh-CN" w:bidi="ar-SA"/>
        </w:rPr>
        <w:t>万元。主要用于</w:t>
      </w:r>
      <w:r>
        <w:rPr>
          <w:rFonts w:hint="eastAsia" w:eastAsia="仿宋_GB2312" w:cs="仿宋_GB2312"/>
          <w:color w:val="auto"/>
          <w:kern w:val="2"/>
          <w:sz w:val="32"/>
          <w:szCs w:val="32"/>
          <w:highlight w:val="none"/>
          <w:lang w:val="en-US" w:eastAsia="zh-CN" w:bidi="ar-SA"/>
        </w:rPr>
        <w:t>赴九寨沟县、小金县、映秀镇开展送文化乡演出工作，赴成都观摩《醒狮》、《苏提春晓》、《三国志》、《惊梦》、《天鹅湖》工作，赴成都参加《岷山导江》剧本创作会工作、赴康定市、德阳市参加川超演出工作、赴茂县参加新兵欢送会演出工作、赴茂县参加阿坝州旅游发展会演出工作、赴简阳市、成都市参加市运会演出工作、赴成都慰问退休老干部工作、赴茂县参加四川省第五届乡村振兴美丽竞演大赛阿坝州赛区演出工作、赴成都参加2025年舞动天府演出工作、赴成都对接《爱润阿坝》编剧工作、赴西昌市参加四川省舞蹈新作比赛、赴成都参加四川省舞蹈家协会第九次省代表大会工作</w:t>
      </w:r>
      <w:r>
        <w:rPr>
          <w:rFonts w:hint="eastAsia" w:ascii="Times New Roman" w:hAnsi="Times New Roman" w:eastAsia="仿宋_GB2312" w:cs="仿宋_GB2312"/>
          <w:color w:val="auto"/>
          <w:kern w:val="2"/>
          <w:sz w:val="32"/>
          <w:szCs w:val="32"/>
          <w:highlight w:val="none"/>
          <w:lang w:val="en-US" w:eastAsia="zh-CN" w:bidi="ar-SA"/>
        </w:rPr>
        <w:t>所需的公务用车燃料费、维修费、过路过桥费、保险费等支出。</w:t>
      </w:r>
    </w:p>
    <w:p w14:paraId="34CEB017">
      <w:pPr>
        <w:pageBreakBefore w:val="0"/>
        <w:kinsoku/>
        <w:wordWrap/>
        <w:overflowPunct/>
        <w:topLinePunct w:val="0"/>
        <w:bidi w:val="0"/>
        <w:spacing w:line="560" w:lineRule="atLeas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3</w:t>
      </w:r>
      <w:r>
        <w:rPr>
          <w:rFonts w:hint="eastAsia" w:ascii="Times New Roman" w:hAnsi="Times New Roman" w:eastAsia="仿宋_GB2312" w:cs="仿宋_GB2312"/>
          <w:b w:val="0"/>
          <w:bCs w:val="0"/>
          <w:color w:val="auto"/>
          <w:kern w:val="2"/>
          <w:sz w:val="32"/>
          <w:szCs w:val="32"/>
          <w:highlight w:val="none"/>
          <w:lang w:val="en-US" w:eastAsia="zh-CN" w:bidi="ar-SA"/>
        </w:rPr>
        <w:t>.</w:t>
      </w:r>
      <w:r>
        <w:rPr>
          <w:rFonts w:hint="eastAsia" w:ascii="仿宋" w:hAnsi="仿宋" w:eastAsia="仿宋" w:cs="仿宋"/>
          <w:b w:val="0"/>
          <w:bCs w:val="0"/>
          <w:color w:val="auto"/>
          <w:kern w:val="2"/>
          <w:sz w:val="32"/>
          <w:szCs w:val="32"/>
          <w:highlight w:val="none"/>
          <w:lang w:val="en-US" w:eastAsia="zh-CN" w:bidi="ar-SA"/>
        </w:rPr>
        <w:t>2025年度本单位无公务接待费支出。</w:t>
      </w:r>
      <w:bookmarkStart w:id="34" w:name="_Toc15396610"/>
      <w:bookmarkStart w:id="35" w:name="_Toc15377218"/>
    </w:p>
    <w:p w14:paraId="75DA8B58">
      <w:pPr>
        <w:pageBreakBefore w:val="0"/>
        <w:kinsoku/>
        <w:wordWrap/>
        <w:overflowPunct/>
        <w:topLinePunct w:val="0"/>
        <w:bidi w:val="0"/>
        <w:spacing w:line="560" w:lineRule="atLeast"/>
        <w:ind w:firstLine="640"/>
        <w:outlineLvl w:val="1"/>
        <w:rPr>
          <w:rStyle w:val="32"/>
          <w:rFonts w:ascii="Times New Roman" w:hAnsi="Times New Roman" w:eastAsia="黑体"/>
          <w:color w:val="auto"/>
          <w:highlight w:val="none"/>
        </w:rPr>
      </w:pPr>
      <w:r>
        <w:rPr>
          <w:rFonts w:hint="eastAsia" w:ascii="Times New Roman" w:hAnsi="Times New Roman" w:eastAsia="黑体"/>
          <w:color w:val="auto"/>
          <w:sz w:val="32"/>
          <w:szCs w:val="32"/>
          <w:highlight w:val="none"/>
        </w:rPr>
        <w:t>八、</w:t>
      </w:r>
      <w:r>
        <w:rPr>
          <w:rStyle w:val="32"/>
          <w:rFonts w:hint="eastAsia" w:ascii="Times New Roman" w:hAnsi="Times New Roman" w:eastAsia="黑体"/>
          <w:b w:val="0"/>
          <w:color w:val="auto"/>
          <w:highlight w:val="none"/>
        </w:rPr>
        <w:t>政府性基金预算支出决算情况说明</w:t>
      </w:r>
      <w:bookmarkEnd w:id="34"/>
      <w:bookmarkEnd w:id="35"/>
    </w:p>
    <w:p w14:paraId="53148A58">
      <w:pPr>
        <w:pageBreakBefore w:val="0"/>
        <w:kinsoku/>
        <w:wordWrap/>
        <w:overflowPunct/>
        <w:topLinePunct w:val="0"/>
        <w:bidi w:val="0"/>
        <w:spacing w:line="560" w:lineRule="atLeas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2025年度本单位无</w:t>
      </w:r>
      <w:r>
        <w:rPr>
          <w:rFonts w:hint="eastAsia" w:ascii="Times New Roman" w:hAnsi="Times New Roman" w:eastAsia="仿宋_GB2312" w:cs="仿宋_GB2312"/>
          <w:color w:val="auto"/>
          <w:kern w:val="2"/>
          <w:sz w:val="32"/>
          <w:szCs w:val="32"/>
          <w:highlight w:val="none"/>
          <w:lang w:val="en-US" w:eastAsia="zh-CN" w:bidi="ar-SA"/>
        </w:rPr>
        <w:t>政府性基金预算财政拨款支出</w:t>
      </w:r>
      <w:r>
        <w:rPr>
          <w:rFonts w:hint="eastAsia" w:eastAsia="仿宋_GB2312" w:cs="仿宋_GB2312"/>
          <w:color w:val="auto"/>
          <w:kern w:val="2"/>
          <w:sz w:val="32"/>
          <w:szCs w:val="32"/>
          <w:highlight w:val="none"/>
          <w:lang w:val="en-US" w:eastAsia="zh-CN" w:bidi="ar-SA"/>
        </w:rPr>
        <w:t>。</w:t>
      </w:r>
    </w:p>
    <w:p w14:paraId="6EDF50E5">
      <w:pPr>
        <w:pageBreakBefore w:val="0"/>
        <w:numPr>
          <w:ilvl w:val="0"/>
          <w:numId w:val="0"/>
        </w:numPr>
        <w:kinsoku/>
        <w:wordWrap/>
        <w:overflowPunct/>
        <w:topLinePunct w:val="0"/>
        <w:bidi w:val="0"/>
        <w:spacing w:line="560" w:lineRule="atLeast"/>
        <w:ind w:left="630" w:leftChars="0"/>
        <w:outlineLvl w:val="1"/>
        <w:rPr>
          <w:rStyle w:val="32"/>
          <w:rFonts w:ascii="Times New Roman" w:hAnsi="Times New Roman" w:eastAsia="黑体"/>
          <w:b w:val="0"/>
          <w:color w:val="auto"/>
          <w:highlight w:val="none"/>
        </w:rPr>
      </w:pPr>
      <w:bookmarkStart w:id="36" w:name="_Toc15396611"/>
      <w:bookmarkStart w:id="37" w:name="_Toc15377219"/>
      <w:r>
        <w:rPr>
          <w:rStyle w:val="32"/>
          <w:rFonts w:hint="eastAsia" w:ascii="Times New Roman" w:hAnsi="Times New Roman" w:eastAsia="黑体"/>
          <w:b w:val="0"/>
          <w:color w:val="auto"/>
          <w:highlight w:val="none"/>
          <w:lang w:eastAsia="zh-CN"/>
        </w:rPr>
        <w:t>九、</w:t>
      </w:r>
      <w:r>
        <w:rPr>
          <w:rStyle w:val="32"/>
          <w:rFonts w:hint="eastAsia" w:ascii="Times New Roman" w:hAnsi="Times New Roman" w:eastAsia="黑体"/>
          <w:b w:val="0"/>
          <w:color w:val="auto"/>
          <w:highlight w:val="none"/>
        </w:rPr>
        <w:t>国有资本经营预算支出决算情况说明</w:t>
      </w:r>
      <w:bookmarkEnd w:id="36"/>
      <w:bookmarkEnd w:id="37"/>
    </w:p>
    <w:p w14:paraId="09193D60">
      <w:pPr>
        <w:pageBreakBefore w:val="0"/>
        <w:kinsoku/>
        <w:wordWrap/>
        <w:overflowPunct/>
        <w:topLinePunct w:val="0"/>
        <w:bidi w:val="0"/>
        <w:spacing w:line="560" w:lineRule="atLeas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2025年度本单位无</w:t>
      </w:r>
      <w:r>
        <w:rPr>
          <w:rFonts w:hint="eastAsia" w:ascii="Times New Roman" w:hAnsi="Times New Roman" w:eastAsia="仿宋_GB2312" w:cs="仿宋_GB2312"/>
          <w:color w:val="auto"/>
          <w:kern w:val="2"/>
          <w:sz w:val="32"/>
          <w:szCs w:val="32"/>
          <w:highlight w:val="none"/>
          <w:lang w:val="en-US" w:eastAsia="zh-CN" w:bidi="ar-SA"/>
        </w:rPr>
        <w:t>国有资本经营预算财政拨款支出</w:t>
      </w:r>
      <w:r>
        <w:rPr>
          <w:rFonts w:hint="eastAsia" w:eastAsia="仿宋_GB2312" w:cs="仿宋_GB2312"/>
          <w:color w:val="auto"/>
          <w:kern w:val="2"/>
          <w:sz w:val="32"/>
          <w:szCs w:val="32"/>
          <w:highlight w:val="none"/>
          <w:lang w:val="en-US" w:eastAsia="zh-CN" w:bidi="ar-SA"/>
        </w:rPr>
        <w:t>。</w:t>
      </w:r>
    </w:p>
    <w:p w14:paraId="7603ABEE">
      <w:pPr>
        <w:pageBreakBefore w:val="0"/>
        <w:numPr>
          <w:ilvl w:val="0"/>
          <w:numId w:val="0"/>
        </w:numPr>
        <w:kinsoku/>
        <w:wordWrap/>
        <w:overflowPunct/>
        <w:topLinePunct w:val="0"/>
        <w:bidi w:val="0"/>
        <w:spacing w:line="560" w:lineRule="atLeast"/>
        <w:ind w:left="630" w:leftChars="0"/>
        <w:outlineLvl w:val="1"/>
        <w:rPr>
          <w:rStyle w:val="32"/>
          <w:rFonts w:hint="eastAsia" w:ascii="Times New Roman" w:hAnsi="Times New Roman" w:eastAsia="黑体"/>
          <w:b w:val="0"/>
          <w:color w:val="auto"/>
          <w:highlight w:val="none"/>
        </w:rPr>
      </w:pPr>
      <w:bookmarkStart w:id="38" w:name="_Toc15377221"/>
      <w:bookmarkStart w:id="39" w:name="_Toc15396612"/>
      <w:r>
        <w:rPr>
          <w:rStyle w:val="32"/>
          <w:rFonts w:hint="eastAsia" w:ascii="Times New Roman" w:hAnsi="Times New Roman" w:eastAsia="黑体"/>
          <w:b w:val="0"/>
          <w:color w:val="auto"/>
          <w:highlight w:val="none"/>
          <w:lang w:eastAsia="zh-CN"/>
        </w:rPr>
        <w:t>十、</w:t>
      </w:r>
      <w:r>
        <w:rPr>
          <w:rStyle w:val="32"/>
          <w:rFonts w:hint="eastAsia" w:ascii="Times New Roman" w:hAnsi="Times New Roman" w:eastAsia="黑体"/>
          <w:b w:val="0"/>
          <w:color w:val="auto"/>
          <w:highlight w:val="none"/>
        </w:rPr>
        <w:t>其他重要事项的情况说明</w:t>
      </w:r>
      <w:bookmarkEnd w:id="38"/>
      <w:bookmarkEnd w:id="39"/>
    </w:p>
    <w:p w14:paraId="49EB38D8">
      <w:pPr>
        <w:pageBreakBefore w:val="0"/>
        <w:kinsoku/>
        <w:wordWrap/>
        <w:overflowPunct/>
        <w:topLinePunct w:val="0"/>
        <w:bidi w:val="0"/>
        <w:spacing w:line="560" w:lineRule="atLeast"/>
        <w:ind w:firstLine="643" w:firstLineChars="200"/>
        <w:outlineLvl w:val="2"/>
        <w:rPr>
          <w:rFonts w:hint="eastAsia" w:ascii="Times New Roman" w:hAnsi="Times New Roman" w:eastAsia="楷体_GB2312" w:cs="楷体_GB2312"/>
          <w:b/>
          <w:color w:val="auto"/>
          <w:sz w:val="32"/>
          <w:szCs w:val="32"/>
          <w:highlight w:val="none"/>
        </w:rPr>
      </w:pPr>
      <w:bookmarkStart w:id="40" w:name="_Toc15377222"/>
      <w:r>
        <w:rPr>
          <w:rFonts w:hint="eastAsia" w:ascii="Times New Roman" w:hAnsi="Times New Roman" w:eastAsia="楷体_GB2312" w:cs="楷体_GB2312"/>
          <w:b/>
          <w:color w:val="auto"/>
          <w:sz w:val="32"/>
          <w:szCs w:val="32"/>
          <w:highlight w:val="none"/>
        </w:rPr>
        <w:t>（一）机关运行经费支出情况</w:t>
      </w:r>
      <w:bookmarkEnd w:id="40"/>
    </w:p>
    <w:p w14:paraId="5DA1A11D">
      <w:pPr>
        <w:pageBreakBefore w:val="0"/>
        <w:kinsoku/>
        <w:wordWrap/>
        <w:overflowPunct/>
        <w:topLinePunct w:val="0"/>
        <w:bidi w:val="0"/>
        <w:spacing w:line="560" w:lineRule="atLeast"/>
        <w:ind w:firstLine="640" w:firstLineChars="200"/>
        <w:outlineLvl w:val="2"/>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2025年度本单位无机关运行经费支出</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与上年度机关运行经费支出持平无变化。</w:t>
      </w:r>
      <w:bookmarkStart w:id="41" w:name="_Toc15377223"/>
    </w:p>
    <w:p w14:paraId="7F661849">
      <w:pPr>
        <w:pageBreakBefore w:val="0"/>
        <w:kinsoku/>
        <w:wordWrap/>
        <w:overflowPunct/>
        <w:topLinePunct w:val="0"/>
        <w:bidi w:val="0"/>
        <w:spacing w:line="560" w:lineRule="atLeast"/>
        <w:ind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（二）政府采购支出情况</w:t>
      </w:r>
      <w:bookmarkEnd w:id="41"/>
    </w:p>
    <w:p w14:paraId="74EF22CA">
      <w:pPr>
        <w:pageBreakBefore w:val="0"/>
        <w:kinsoku/>
        <w:wordWrap/>
        <w:overflowPunct/>
        <w:topLinePunct w:val="0"/>
        <w:bidi w:val="0"/>
        <w:spacing w:line="560" w:lineRule="atLeas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2025年度阿坝州民族歌舞团</w:t>
      </w:r>
      <w:r>
        <w:rPr>
          <w:rFonts w:hint="eastAsia" w:ascii="Times New Roman" w:hAnsi="Times New Roman" w:eastAsia="仿宋_GB2312" w:cs="仿宋_GB2312"/>
          <w:color w:val="auto"/>
          <w:kern w:val="2"/>
          <w:sz w:val="32"/>
          <w:szCs w:val="32"/>
          <w:highlight w:val="none"/>
          <w:lang w:val="en-US" w:eastAsia="zh-CN" w:bidi="ar-SA"/>
        </w:rPr>
        <w:t>政府采购支出总额</w:t>
      </w:r>
      <w:r>
        <w:rPr>
          <w:rFonts w:hint="eastAsia" w:eastAsia="仿宋_GB2312" w:cs="仿宋_GB2312"/>
          <w:color w:val="auto"/>
          <w:kern w:val="2"/>
          <w:sz w:val="32"/>
          <w:szCs w:val="32"/>
          <w:highlight w:val="none"/>
          <w:lang w:val="en-US" w:eastAsia="zh-CN" w:bidi="ar-SA"/>
        </w:rPr>
        <w:t>97.93</w:t>
      </w:r>
      <w:r>
        <w:rPr>
          <w:rFonts w:hint="eastAsia" w:ascii="Times New Roman" w:hAnsi="Times New Roman" w:eastAsia="仿宋_GB2312" w:cs="仿宋_GB2312"/>
          <w:color w:val="auto"/>
          <w:kern w:val="2"/>
          <w:sz w:val="32"/>
          <w:szCs w:val="32"/>
          <w:highlight w:val="none"/>
          <w:lang w:val="en-US" w:eastAsia="zh-CN" w:bidi="ar-SA"/>
        </w:rPr>
        <w:t>万元，其中：政府采购货物支出</w:t>
      </w:r>
      <w:r>
        <w:rPr>
          <w:rFonts w:hint="eastAsia" w:eastAsia="仿宋_GB2312" w:cs="仿宋_GB2312"/>
          <w:color w:val="auto"/>
          <w:kern w:val="2"/>
          <w:sz w:val="32"/>
          <w:szCs w:val="32"/>
          <w:highlight w:val="none"/>
          <w:lang w:val="en-US" w:eastAsia="zh-CN" w:bidi="ar-SA"/>
        </w:rPr>
        <w:t>0.93</w:t>
      </w:r>
      <w:r>
        <w:rPr>
          <w:rFonts w:hint="eastAsia" w:ascii="Times New Roman" w:hAnsi="Times New Roman" w:eastAsia="仿宋_GB2312" w:cs="仿宋_GB2312"/>
          <w:color w:val="auto"/>
          <w:kern w:val="2"/>
          <w:sz w:val="32"/>
          <w:szCs w:val="32"/>
          <w:highlight w:val="none"/>
          <w:lang w:val="en-US" w:eastAsia="zh-CN" w:bidi="ar-SA"/>
        </w:rPr>
        <w:t>万元、政府采购工程支出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万元、政府采购服务支出</w:t>
      </w:r>
      <w:r>
        <w:rPr>
          <w:rFonts w:hint="eastAsia" w:eastAsia="仿宋_GB2312" w:cs="仿宋_GB2312"/>
          <w:color w:val="auto"/>
          <w:kern w:val="2"/>
          <w:sz w:val="32"/>
          <w:szCs w:val="32"/>
          <w:highlight w:val="none"/>
          <w:lang w:val="en-US" w:eastAsia="zh-CN" w:bidi="ar-SA"/>
        </w:rPr>
        <w:t>97</w:t>
      </w:r>
      <w:r>
        <w:rPr>
          <w:rFonts w:hint="eastAsia" w:ascii="Times New Roman" w:hAnsi="Times New Roman" w:eastAsia="仿宋_GB2312" w:cs="仿宋_GB2312"/>
          <w:color w:val="auto"/>
          <w:kern w:val="2"/>
          <w:sz w:val="32"/>
          <w:szCs w:val="32"/>
          <w:highlight w:val="none"/>
          <w:lang w:val="en-US" w:eastAsia="zh-CN" w:bidi="ar-SA"/>
        </w:rPr>
        <w:t>万元。主要用于</w:t>
      </w:r>
      <w:r>
        <w:rPr>
          <w:rFonts w:hint="eastAsia" w:eastAsia="仿宋_GB2312" w:cs="仿宋_GB2312"/>
          <w:color w:val="auto"/>
          <w:kern w:val="2"/>
          <w:sz w:val="32"/>
          <w:szCs w:val="32"/>
          <w:highlight w:val="none"/>
          <w:lang w:val="en-US" w:eastAsia="zh-CN" w:bidi="ar-SA"/>
        </w:rPr>
        <w:t>公务用车维修与保险采购工作、打印机一体机采购工作、2025年浙江援建资金---“青春恰似火，我和我的祖国”浙川青少年文化交流活动项目采购工作、歌舞剧《云上的呼唤》打磨提升服装设计制作服务项目采购工作</w:t>
      </w:r>
      <w:r>
        <w:rPr>
          <w:rFonts w:hint="eastAsia" w:ascii="Times New Roman" w:hAnsi="Times New Roman" w:eastAsia="仿宋_GB2312" w:cs="仿宋_GB2312"/>
          <w:color w:val="auto"/>
          <w:kern w:val="2"/>
          <w:sz w:val="32"/>
          <w:szCs w:val="32"/>
          <w:highlight w:val="none"/>
          <w:lang w:val="en-US" w:eastAsia="zh-CN" w:bidi="ar-SA"/>
        </w:rPr>
        <w:t>。授予中小企业合同金额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%，其中：授予小微企业合同金额</w:t>
      </w:r>
      <w:r>
        <w:rPr>
          <w:rFonts w:hint="eastAsia" w:eastAsia="仿宋_GB2312" w:cs="仿宋_GB2312"/>
          <w:color w:val="auto"/>
          <w:kern w:val="2"/>
          <w:sz w:val="32"/>
          <w:szCs w:val="32"/>
          <w:highlight w:val="none"/>
          <w:lang w:val="en-US" w:eastAsia="zh-CN" w:bidi="ar-SA"/>
        </w:rPr>
        <w:t>44.56</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eastAsia="仿宋_GB2312" w:cs="仿宋_GB2312"/>
          <w:color w:val="auto"/>
          <w:kern w:val="2"/>
          <w:sz w:val="32"/>
          <w:szCs w:val="32"/>
          <w:highlight w:val="none"/>
          <w:lang w:val="en-US" w:eastAsia="zh-CN" w:bidi="ar-SA"/>
        </w:rPr>
        <w:t>46</w:t>
      </w:r>
      <w:r>
        <w:rPr>
          <w:rFonts w:hint="eastAsia" w:ascii="Times New Roman" w:hAnsi="Times New Roman" w:eastAsia="仿宋_GB2312" w:cs="仿宋_GB2312"/>
          <w:color w:val="auto"/>
          <w:kern w:val="2"/>
          <w:sz w:val="32"/>
          <w:szCs w:val="32"/>
          <w:highlight w:val="none"/>
          <w:lang w:val="en-US" w:eastAsia="zh-CN" w:bidi="ar-SA"/>
        </w:rPr>
        <w:t>%。</w:t>
      </w:r>
    </w:p>
    <w:p w14:paraId="4D17ED9C">
      <w:pPr>
        <w:pageBreakBefore w:val="0"/>
        <w:kinsoku/>
        <w:wordWrap/>
        <w:overflowPunct/>
        <w:topLinePunct w:val="0"/>
        <w:bidi w:val="0"/>
        <w:spacing w:line="560" w:lineRule="atLeast"/>
        <w:ind w:firstLine="640"/>
        <w:rPr>
          <w:rFonts w:hint="eastAsia" w:ascii="Times New Roman" w:hAnsi="Times New Roman" w:eastAsia="仿宋_GB2312" w:cs="仿宋_GB2312"/>
          <w:color w:val="auto"/>
          <w:kern w:val="2"/>
          <w:sz w:val="32"/>
          <w:szCs w:val="32"/>
          <w:highlight w:val="none"/>
          <w:lang w:val="en-US" w:eastAsia="zh-CN" w:bidi="ar-SA"/>
        </w:rPr>
      </w:pPr>
    </w:p>
    <w:p w14:paraId="6925F3B0">
      <w:pPr>
        <w:pageBreakBefore w:val="0"/>
        <w:kinsoku/>
        <w:wordWrap/>
        <w:overflowPunct/>
        <w:topLinePunct w:val="0"/>
        <w:bidi w:val="0"/>
        <w:spacing w:line="560" w:lineRule="atLeast"/>
        <w:ind w:firstLine="643" w:firstLineChars="200"/>
        <w:outlineLvl w:val="2"/>
        <w:rPr>
          <w:rFonts w:hint="eastAsia" w:ascii="Times New Roman" w:hAnsi="Times New Roman" w:eastAsia="楷体_GB2312" w:cs="楷体_GB2312"/>
          <w:b/>
          <w:color w:val="auto"/>
          <w:sz w:val="32"/>
          <w:szCs w:val="32"/>
          <w:highlight w:val="none"/>
        </w:rPr>
      </w:pPr>
      <w:bookmarkStart w:id="42" w:name="_Toc15377224"/>
      <w:r>
        <w:rPr>
          <w:rFonts w:hint="eastAsia" w:ascii="Times New Roman" w:hAnsi="Times New Roman" w:eastAsia="楷体_GB2312" w:cs="楷体_GB2312"/>
          <w:b/>
          <w:color w:val="auto"/>
          <w:sz w:val="32"/>
          <w:szCs w:val="32"/>
          <w:highlight w:val="none"/>
        </w:rPr>
        <w:t>（三）国有资产占有使用情况</w:t>
      </w:r>
      <w:bookmarkEnd w:id="42"/>
    </w:p>
    <w:p w14:paraId="30C5E6D8">
      <w:pPr>
        <w:pageBreakBefore w:val="0"/>
        <w:kinsoku/>
        <w:wordWrap/>
        <w:overflowPunct/>
        <w:topLinePunct w:val="0"/>
        <w:bidi w:val="0"/>
        <w:spacing w:line="560" w:lineRule="atLeast"/>
        <w:ind w:firstLine="640" w:firstLineChars="200"/>
        <w:rPr>
          <w:rFonts w:hint="eastAsia" w:eastAsia="仿宋_GB2312" w:cs="仿宋_GB2312"/>
          <w:i w:val="0"/>
          <w:iCs w:val="0"/>
          <w:sz w:val="32"/>
          <w:szCs w:val="32"/>
          <w:highlight w:val="none"/>
        </w:rPr>
      </w:pPr>
      <w:r>
        <w:rPr>
          <w:rFonts w:hint="eastAsia" w:ascii="Times New Roman" w:hAnsi="Times New Roman" w:eastAsia="仿宋_GB2312" w:cs="仿宋_GB2312"/>
          <w:color w:val="auto"/>
          <w:kern w:val="2"/>
          <w:sz w:val="32"/>
          <w:szCs w:val="32"/>
          <w:highlight w:val="none"/>
          <w:lang w:val="en-US" w:eastAsia="zh-CN" w:bidi="ar-SA"/>
        </w:rPr>
        <w:t>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w:t>
      </w:r>
      <w:r>
        <w:rPr>
          <w:rFonts w:hint="eastAsia" w:ascii="仿宋_GB2312" w:hAnsi="仿宋_GB2312" w:eastAsia="仿宋_GB2312" w:cs="仿宋_GB2312"/>
          <w:i w:val="0"/>
          <w:iCs w:val="0"/>
          <w:sz w:val="32"/>
          <w:szCs w:val="32"/>
          <w:highlight w:val="none"/>
          <w:u w:val="none"/>
          <w:lang w:eastAsia="zh-CN"/>
        </w:rPr>
        <w:t>阿坝州民族歌舞团</w:t>
      </w:r>
      <w:r>
        <w:rPr>
          <w:rFonts w:hint="eastAsia" w:ascii="仿宋_GB2312" w:hAnsi="仿宋_GB2312" w:eastAsia="仿宋_GB2312" w:cs="仿宋_GB2312"/>
          <w:i w:val="0"/>
          <w:iCs w:val="0"/>
          <w:sz w:val="32"/>
          <w:szCs w:val="32"/>
          <w:highlight w:val="none"/>
          <w:u w:val="none"/>
        </w:rPr>
        <w:t>共有车辆</w:t>
      </w:r>
      <w:r>
        <w:rPr>
          <w:rFonts w:hint="eastAsia" w:ascii="仿宋_GB2312" w:hAnsi="仿宋_GB2312" w:eastAsia="仿宋_GB2312" w:cs="仿宋_GB2312"/>
          <w:i w:val="0"/>
          <w:iCs w:val="0"/>
          <w:sz w:val="32"/>
          <w:szCs w:val="32"/>
          <w:highlight w:val="none"/>
          <w:u w:val="none"/>
          <w:lang w:val="en-US" w:eastAsia="zh-CN"/>
        </w:rPr>
        <w:t>6</w:t>
      </w:r>
      <w:r>
        <w:rPr>
          <w:rFonts w:hint="eastAsia" w:ascii="仿宋_GB2312" w:hAnsi="仿宋_GB2312" w:eastAsia="仿宋_GB2312" w:cs="仿宋_GB2312"/>
          <w:i w:val="0"/>
          <w:iCs w:val="0"/>
          <w:sz w:val="32"/>
          <w:szCs w:val="32"/>
          <w:highlight w:val="none"/>
          <w:u w:val="none"/>
        </w:rPr>
        <w:t>辆，其中：主要负责人用车</w:t>
      </w:r>
      <w:r>
        <w:rPr>
          <w:rFonts w:hint="eastAsia" w:ascii="仿宋_GB2312" w:hAnsi="仿宋_GB2312" w:eastAsia="仿宋_GB2312" w:cs="仿宋_GB2312"/>
          <w:i w:val="0"/>
          <w:iCs w:val="0"/>
          <w:sz w:val="32"/>
          <w:szCs w:val="32"/>
          <w:highlight w:val="none"/>
          <w:u w:val="none"/>
          <w:lang w:val="en-US" w:eastAsia="zh-CN"/>
        </w:rPr>
        <w:t>0</w:t>
      </w:r>
      <w:r>
        <w:rPr>
          <w:rFonts w:hint="eastAsia" w:ascii="仿宋_GB2312" w:hAnsi="仿宋_GB2312" w:eastAsia="仿宋_GB2312" w:cs="仿宋_GB2312"/>
          <w:i w:val="0"/>
          <w:iCs w:val="0"/>
          <w:sz w:val="32"/>
          <w:szCs w:val="32"/>
          <w:highlight w:val="none"/>
        </w:rPr>
        <w:t>辆、机要通信用车</w:t>
      </w:r>
      <w:r>
        <w:rPr>
          <w:rFonts w:hint="eastAsia" w:ascii="仿宋_GB2312" w:hAnsi="仿宋_GB2312" w:eastAsia="仿宋_GB2312" w:cs="仿宋_GB2312"/>
          <w:i w:val="0"/>
          <w:iCs w:val="0"/>
          <w:sz w:val="32"/>
          <w:szCs w:val="32"/>
          <w:highlight w:val="none"/>
          <w:lang w:val="en-US" w:eastAsia="zh-CN"/>
        </w:rPr>
        <w:t>0</w:t>
      </w:r>
      <w:r>
        <w:rPr>
          <w:rFonts w:hint="eastAsia" w:ascii="仿宋_GB2312" w:hAnsi="仿宋_GB2312" w:eastAsia="仿宋_GB2312" w:cs="仿宋_GB2312"/>
          <w:i w:val="0"/>
          <w:iCs w:val="0"/>
          <w:sz w:val="32"/>
          <w:szCs w:val="32"/>
          <w:highlight w:val="none"/>
        </w:rPr>
        <w:t>辆、应急保障用车</w:t>
      </w:r>
      <w:r>
        <w:rPr>
          <w:rFonts w:hint="eastAsia" w:ascii="仿宋_GB2312" w:hAnsi="仿宋_GB2312" w:eastAsia="仿宋_GB2312" w:cs="仿宋_GB2312"/>
          <w:i w:val="0"/>
          <w:iCs w:val="0"/>
          <w:sz w:val="32"/>
          <w:szCs w:val="32"/>
          <w:highlight w:val="none"/>
          <w:lang w:val="en-US" w:eastAsia="zh-CN"/>
        </w:rPr>
        <w:t>0</w:t>
      </w:r>
      <w:r>
        <w:rPr>
          <w:rFonts w:hint="eastAsia" w:ascii="仿宋_GB2312" w:hAnsi="仿宋_GB2312" w:eastAsia="仿宋_GB2312" w:cs="仿宋_GB2312"/>
          <w:i w:val="0"/>
          <w:iCs w:val="0"/>
          <w:sz w:val="32"/>
          <w:szCs w:val="32"/>
          <w:highlight w:val="none"/>
        </w:rPr>
        <w:t>辆、</w:t>
      </w:r>
      <w:r>
        <w:rPr>
          <w:rFonts w:hint="eastAsia" w:ascii="仿宋_GB2312" w:hAnsi="仿宋_GB2312" w:eastAsia="仿宋_GB2312" w:cs="仿宋_GB2312"/>
          <w:i w:val="0"/>
          <w:iCs w:val="0"/>
          <w:sz w:val="32"/>
          <w:szCs w:val="32"/>
          <w:highlight w:val="none"/>
          <w:lang w:eastAsia="zh-CN"/>
        </w:rPr>
        <w:t>特种专业技术用车</w:t>
      </w:r>
      <w:r>
        <w:rPr>
          <w:rFonts w:hint="eastAsia" w:ascii="仿宋_GB2312" w:hAnsi="仿宋_GB2312" w:eastAsia="仿宋_GB2312" w:cs="仿宋_GB2312"/>
          <w:i w:val="0"/>
          <w:iCs w:val="0"/>
          <w:sz w:val="32"/>
          <w:szCs w:val="32"/>
          <w:highlight w:val="none"/>
          <w:lang w:val="en-US" w:eastAsia="zh-CN"/>
        </w:rPr>
        <w:t>1辆、</w:t>
      </w:r>
      <w:r>
        <w:rPr>
          <w:rFonts w:hint="eastAsia" w:ascii="仿宋_GB2312" w:hAnsi="仿宋_GB2312" w:eastAsia="仿宋_GB2312" w:cs="仿宋_GB2312"/>
          <w:i w:val="0"/>
          <w:iCs w:val="0"/>
          <w:sz w:val="32"/>
          <w:szCs w:val="32"/>
          <w:highlight w:val="none"/>
        </w:rPr>
        <w:t>其他用车</w:t>
      </w:r>
      <w:r>
        <w:rPr>
          <w:rFonts w:hint="eastAsia" w:ascii="仿宋_GB2312" w:hAnsi="仿宋_GB2312" w:eastAsia="仿宋_GB2312" w:cs="仿宋_GB2312"/>
          <w:i w:val="0"/>
          <w:iCs w:val="0"/>
          <w:sz w:val="32"/>
          <w:szCs w:val="32"/>
          <w:highlight w:val="none"/>
          <w:lang w:val="en-US" w:eastAsia="zh-CN"/>
        </w:rPr>
        <w:t>5</w:t>
      </w:r>
      <w:r>
        <w:rPr>
          <w:rFonts w:hint="eastAsia" w:ascii="仿宋_GB2312" w:hAnsi="仿宋_GB2312" w:eastAsia="仿宋_GB2312" w:cs="仿宋_GB2312"/>
          <w:i w:val="0"/>
          <w:iCs w:val="0"/>
          <w:sz w:val="32"/>
          <w:szCs w:val="32"/>
          <w:highlight w:val="none"/>
        </w:rPr>
        <w:t>辆，其他用车主要是用于</w:t>
      </w:r>
      <w:r>
        <w:rPr>
          <w:rFonts w:hint="eastAsia" w:ascii="仿宋_GB2312" w:hAnsi="仿宋_GB2312" w:eastAsia="仿宋_GB2312" w:cs="仿宋_GB2312"/>
          <w:i w:val="0"/>
          <w:iCs w:val="0"/>
          <w:sz w:val="32"/>
          <w:szCs w:val="32"/>
          <w:highlight w:val="none"/>
          <w:lang w:eastAsia="zh-CN"/>
        </w:rPr>
        <w:t>单位日常业务开展，用于公务出差、下乡等工作</w:t>
      </w:r>
      <w:r>
        <w:rPr>
          <w:rFonts w:hint="eastAsia" w:ascii="仿宋_GB2312" w:hAnsi="仿宋_GB2312" w:eastAsia="仿宋_GB2312" w:cs="仿宋_GB2312"/>
          <w:i w:val="0"/>
          <w:iCs w:val="0"/>
          <w:sz w:val="32"/>
          <w:szCs w:val="32"/>
          <w:highlight w:val="none"/>
        </w:rPr>
        <w:t>。单价100万元（含）以上设备（不含车辆）</w:t>
      </w:r>
      <w:r>
        <w:rPr>
          <w:rFonts w:hint="eastAsia" w:ascii="仿宋_GB2312" w:hAnsi="仿宋_GB2312" w:eastAsia="仿宋_GB2312" w:cs="仿宋_GB2312"/>
          <w:i w:val="0"/>
          <w:iCs w:val="0"/>
          <w:sz w:val="32"/>
          <w:szCs w:val="32"/>
          <w:highlight w:val="none"/>
          <w:lang w:val="en-US" w:eastAsia="zh-CN"/>
        </w:rPr>
        <w:t>0</w:t>
      </w:r>
      <w:r>
        <w:rPr>
          <w:rFonts w:hint="eastAsia" w:ascii="仿宋_GB2312" w:hAnsi="仿宋_GB2312" w:eastAsia="仿宋_GB2312" w:cs="仿宋_GB2312"/>
          <w:i w:val="0"/>
          <w:iCs w:val="0"/>
          <w:sz w:val="32"/>
          <w:szCs w:val="32"/>
          <w:highlight w:val="none"/>
        </w:rPr>
        <w:t>台（套）</w:t>
      </w:r>
      <w:r>
        <w:rPr>
          <w:rFonts w:hint="eastAsia" w:eastAsia="仿宋_GB2312" w:cs="仿宋_GB2312"/>
          <w:i w:val="0"/>
          <w:iCs w:val="0"/>
          <w:sz w:val="32"/>
          <w:szCs w:val="32"/>
          <w:highlight w:val="none"/>
        </w:rPr>
        <w:t>。</w:t>
      </w:r>
    </w:p>
    <w:p w14:paraId="67F658F8">
      <w:pPr>
        <w:pageBreakBefore w:val="0"/>
        <w:kinsoku/>
        <w:wordWrap/>
        <w:overflowPunct/>
        <w:topLinePunct w:val="0"/>
        <w:bidi w:val="0"/>
        <w:spacing w:line="560" w:lineRule="atLeast"/>
        <w:ind w:firstLine="640"/>
        <w:rPr>
          <w:rFonts w:hint="eastAsia" w:ascii="Times New Roman" w:hAnsi="Times New Roman" w:eastAsia="仿宋_GB2312" w:cs="仿宋_GB2312"/>
          <w:color w:val="auto"/>
          <w:kern w:val="2"/>
          <w:sz w:val="32"/>
          <w:szCs w:val="32"/>
          <w:highlight w:val="none"/>
          <w:lang w:val="en-US" w:eastAsia="zh-CN" w:bidi="ar-SA"/>
        </w:rPr>
      </w:pPr>
    </w:p>
    <w:p w14:paraId="62F749E0">
      <w:pPr>
        <w:pageBreakBefore w:val="0"/>
        <w:kinsoku/>
        <w:wordWrap/>
        <w:overflowPunct/>
        <w:topLinePunct w:val="0"/>
        <w:bidi w:val="0"/>
        <w:spacing w:line="560" w:lineRule="atLeast"/>
        <w:ind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14:paraId="64136EA4">
      <w:pPr>
        <w:pageBreakBefore w:val="0"/>
        <w:kinsoku/>
        <w:wordWrap/>
        <w:overflowPunct/>
        <w:topLinePunct w:val="0"/>
        <w:bidi w:val="0"/>
        <w:spacing w:line="560" w:lineRule="atLeas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根据预算绩效管理要求，</w:t>
      </w:r>
      <w:r>
        <w:rPr>
          <w:rFonts w:hint="eastAsia" w:eastAsia="仿宋_GB2312" w:cs="仿宋_GB2312"/>
          <w:color w:val="auto"/>
          <w:kern w:val="2"/>
          <w:sz w:val="32"/>
          <w:szCs w:val="32"/>
          <w:highlight w:val="none"/>
          <w:lang w:val="en-US" w:eastAsia="zh-CN" w:bidi="ar-SA"/>
        </w:rPr>
        <w:t>阿坝州民族歌舞团</w:t>
      </w:r>
      <w:r>
        <w:rPr>
          <w:rFonts w:hint="eastAsia" w:ascii="Times New Roman" w:hAnsi="Times New Roman" w:eastAsia="仿宋_GB2312" w:cs="仿宋_GB2312"/>
          <w:color w:val="auto"/>
          <w:kern w:val="2"/>
          <w:sz w:val="32"/>
          <w:szCs w:val="32"/>
          <w:highlight w:val="none"/>
          <w:lang w:val="en-US" w:eastAsia="zh-CN" w:bidi="ar-SA"/>
        </w:rPr>
        <w:t>在2025年度，组织对歌舞剧《云上的呼唤》缺口资金</w:t>
      </w:r>
      <w:r>
        <w:rPr>
          <w:rFonts w:hint="eastAsia" w:eastAsia="仿宋_GB2312" w:cs="仿宋_GB2312"/>
          <w:color w:val="auto"/>
          <w:kern w:val="2"/>
          <w:sz w:val="32"/>
          <w:szCs w:val="32"/>
          <w:highlight w:val="none"/>
          <w:lang w:val="en-US" w:eastAsia="zh-CN" w:bidi="ar-SA"/>
        </w:rPr>
        <w:t>项目、</w:t>
      </w:r>
      <w:r>
        <w:rPr>
          <w:rFonts w:hint="eastAsia" w:ascii="Times New Roman" w:hAnsi="Times New Roman" w:eastAsia="仿宋_GB2312" w:cs="仿宋_GB2312"/>
          <w:color w:val="auto"/>
          <w:kern w:val="2"/>
          <w:sz w:val="32"/>
          <w:szCs w:val="32"/>
          <w:highlight w:val="none"/>
          <w:lang w:val="en-US" w:eastAsia="zh-CN" w:bidi="ar-SA"/>
        </w:rPr>
        <w:t>2023年《云上的呼唤》成都演出大麦网门票收入</w:t>
      </w:r>
      <w:r>
        <w:rPr>
          <w:rFonts w:hint="eastAsia" w:eastAsia="仿宋_GB2312" w:cs="仿宋_GB2312"/>
          <w:color w:val="auto"/>
          <w:kern w:val="2"/>
          <w:sz w:val="32"/>
          <w:szCs w:val="32"/>
          <w:highlight w:val="none"/>
          <w:lang w:val="en-US" w:eastAsia="zh-CN" w:bidi="ar-SA"/>
        </w:rPr>
        <w:t>项目、</w:t>
      </w:r>
      <w:r>
        <w:rPr>
          <w:rFonts w:hint="eastAsia" w:ascii="Times New Roman" w:hAnsi="Times New Roman" w:eastAsia="仿宋_GB2312" w:cs="仿宋_GB2312"/>
          <w:color w:val="auto"/>
          <w:kern w:val="2"/>
          <w:sz w:val="32"/>
          <w:szCs w:val="32"/>
          <w:highlight w:val="none"/>
          <w:lang w:val="en-US" w:eastAsia="zh-CN" w:bidi="ar-SA"/>
        </w:rPr>
        <w:t>阿坝州民族歌舞团剧目《云上的呼唤》打磨提升</w:t>
      </w:r>
      <w:r>
        <w:rPr>
          <w:rFonts w:hint="eastAsia" w:eastAsia="仿宋_GB2312" w:cs="仿宋_GB2312"/>
          <w:color w:val="auto"/>
          <w:kern w:val="2"/>
          <w:sz w:val="32"/>
          <w:szCs w:val="32"/>
          <w:highlight w:val="none"/>
          <w:lang w:val="en-US" w:eastAsia="zh-CN" w:bidi="ar-SA"/>
        </w:rPr>
        <w:t>项目、</w:t>
      </w:r>
      <w:r>
        <w:rPr>
          <w:rFonts w:hint="eastAsia" w:ascii="Times New Roman" w:hAnsi="Times New Roman" w:eastAsia="仿宋_GB2312" w:cs="仿宋_GB2312"/>
          <w:color w:val="auto"/>
          <w:kern w:val="2"/>
          <w:sz w:val="32"/>
          <w:szCs w:val="32"/>
          <w:highlight w:val="none"/>
          <w:lang w:val="en-US" w:eastAsia="zh-CN" w:bidi="ar-SA"/>
        </w:rPr>
        <w:t>歌舞团文艺演出文艺创作等经费</w:t>
      </w:r>
      <w:r>
        <w:rPr>
          <w:rFonts w:hint="eastAsia" w:eastAsia="仿宋_GB2312" w:cs="仿宋_GB2312"/>
          <w:color w:val="auto"/>
          <w:kern w:val="2"/>
          <w:sz w:val="32"/>
          <w:szCs w:val="32"/>
          <w:highlight w:val="none"/>
          <w:lang w:val="en-US" w:eastAsia="zh-CN" w:bidi="ar-SA"/>
        </w:rPr>
        <w:t>项目</w:t>
      </w:r>
      <w:r>
        <w:rPr>
          <w:rFonts w:hint="eastAsia" w:ascii="Times New Roman" w:hAnsi="Times New Roman" w:eastAsia="仿宋_GB2312" w:cs="仿宋_GB2312"/>
          <w:color w:val="auto"/>
          <w:kern w:val="2"/>
          <w:sz w:val="32"/>
          <w:szCs w:val="32"/>
          <w:highlight w:val="none"/>
          <w:lang w:val="en-US" w:eastAsia="zh-CN" w:bidi="ar-SA"/>
        </w:rPr>
        <w:t>2025年《牦牛革命》北京大学演出剧场服务费</w:t>
      </w:r>
      <w:r>
        <w:rPr>
          <w:rFonts w:hint="eastAsia" w:eastAsia="仿宋_GB2312" w:cs="仿宋_GB2312"/>
          <w:color w:val="auto"/>
          <w:kern w:val="2"/>
          <w:sz w:val="32"/>
          <w:szCs w:val="32"/>
          <w:highlight w:val="none"/>
          <w:lang w:val="en-US" w:eastAsia="zh-CN" w:bidi="ar-SA"/>
        </w:rPr>
        <w:t>项目、</w:t>
      </w:r>
      <w:r>
        <w:rPr>
          <w:rFonts w:hint="eastAsia" w:ascii="Times New Roman" w:hAnsi="Times New Roman" w:eastAsia="仿宋_GB2312" w:cs="仿宋_GB2312"/>
          <w:color w:val="auto"/>
          <w:kern w:val="2"/>
          <w:sz w:val="32"/>
          <w:szCs w:val="32"/>
          <w:highlight w:val="none"/>
          <w:lang w:val="en-US" w:eastAsia="zh-CN" w:bidi="ar-SA"/>
        </w:rPr>
        <w:t>2025年浙江援建资金---“青春恰似火，我和我的祖国”浙川青少年文化交流活动经费</w:t>
      </w:r>
      <w:r>
        <w:rPr>
          <w:rFonts w:hint="eastAsia" w:eastAsia="仿宋_GB2312" w:cs="仿宋_GB2312"/>
          <w:color w:val="auto"/>
          <w:kern w:val="2"/>
          <w:sz w:val="32"/>
          <w:szCs w:val="32"/>
          <w:highlight w:val="none"/>
          <w:lang w:val="en-US" w:eastAsia="zh-CN" w:bidi="ar-SA"/>
        </w:rPr>
        <w:t>项目、</w:t>
      </w:r>
      <w:r>
        <w:rPr>
          <w:rFonts w:hint="eastAsia" w:ascii="Times New Roman" w:hAnsi="Times New Roman" w:eastAsia="仿宋_GB2312" w:cs="仿宋_GB2312"/>
          <w:color w:val="auto"/>
          <w:kern w:val="2"/>
          <w:sz w:val="32"/>
          <w:szCs w:val="32"/>
          <w:highlight w:val="none"/>
          <w:lang w:val="en-US" w:eastAsia="zh-CN" w:bidi="ar-SA"/>
        </w:rPr>
        <w:t>创作研究室专业音乐制作及视频制作设备（音频、音源、软件、操作系统）</w:t>
      </w:r>
      <w:r>
        <w:rPr>
          <w:rFonts w:hint="eastAsia" w:eastAsia="仿宋_GB2312" w:cs="仿宋_GB2312"/>
          <w:color w:val="auto"/>
          <w:kern w:val="2"/>
          <w:sz w:val="32"/>
          <w:szCs w:val="32"/>
          <w:highlight w:val="none"/>
          <w:lang w:val="en-US" w:eastAsia="zh-CN" w:bidi="ar-SA"/>
        </w:rPr>
        <w:t>项目、</w:t>
      </w:r>
      <w:r>
        <w:rPr>
          <w:rFonts w:hint="eastAsia" w:ascii="Times New Roman" w:hAnsi="Times New Roman" w:eastAsia="仿宋_GB2312" w:cs="仿宋_GB2312"/>
          <w:color w:val="auto"/>
          <w:kern w:val="2"/>
          <w:sz w:val="32"/>
          <w:szCs w:val="32"/>
          <w:highlight w:val="none"/>
          <w:lang w:val="en-US" w:eastAsia="zh-CN" w:bidi="ar-SA"/>
        </w:rPr>
        <w:t>2025年阿坝州民族歌舞团门卫工资</w:t>
      </w:r>
      <w:r>
        <w:rPr>
          <w:rFonts w:hint="eastAsia" w:eastAsia="仿宋_GB2312" w:cs="仿宋_GB2312"/>
          <w:color w:val="auto"/>
          <w:kern w:val="2"/>
          <w:sz w:val="32"/>
          <w:szCs w:val="32"/>
          <w:highlight w:val="none"/>
          <w:lang w:val="en-US" w:eastAsia="zh-CN" w:bidi="ar-SA"/>
        </w:rPr>
        <w:t>发放项目8</w:t>
      </w:r>
      <w:r>
        <w:rPr>
          <w:rFonts w:hint="eastAsia" w:ascii="Times New Roman" w:hAnsi="Times New Roman" w:eastAsia="仿宋_GB2312" w:cs="仿宋_GB2312"/>
          <w:color w:val="auto"/>
          <w:kern w:val="2"/>
          <w:sz w:val="32"/>
          <w:szCs w:val="32"/>
          <w:highlight w:val="none"/>
          <w:lang w:val="en-US" w:eastAsia="zh-CN" w:bidi="ar-SA"/>
        </w:rPr>
        <w:t>个项目涉及金额</w:t>
      </w:r>
      <w:r>
        <w:rPr>
          <w:rFonts w:hint="eastAsia" w:eastAsia="仿宋_GB2312" w:cs="仿宋_GB2312"/>
          <w:color w:val="auto"/>
          <w:kern w:val="2"/>
          <w:sz w:val="32"/>
          <w:szCs w:val="32"/>
          <w:highlight w:val="none"/>
          <w:lang w:val="en-US" w:eastAsia="zh-CN" w:bidi="ar-SA"/>
        </w:rPr>
        <w:t>309.4</w:t>
      </w:r>
      <w:r>
        <w:rPr>
          <w:rFonts w:hint="eastAsia" w:ascii="Times New Roman" w:hAnsi="Times New Roman" w:eastAsia="仿宋_GB2312" w:cs="仿宋_GB2312"/>
          <w:color w:val="auto"/>
          <w:kern w:val="2"/>
          <w:sz w:val="32"/>
          <w:szCs w:val="32"/>
          <w:highlight w:val="none"/>
          <w:lang w:val="en-US" w:eastAsia="zh-CN" w:bidi="ar-SA"/>
        </w:rPr>
        <w:t>万元开展了事前绩效评估，对</w:t>
      </w:r>
      <w:r>
        <w:rPr>
          <w:rFonts w:hint="eastAsia" w:eastAsia="仿宋_GB2312" w:cs="仿宋_GB2312"/>
          <w:color w:val="auto"/>
          <w:kern w:val="2"/>
          <w:sz w:val="32"/>
          <w:szCs w:val="32"/>
          <w:highlight w:val="none"/>
          <w:lang w:val="en-US" w:eastAsia="zh-CN" w:bidi="ar-SA"/>
        </w:rPr>
        <w:t>8</w:t>
      </w:r>
      <w:r>
        <w:rPr>
          <w:rFonts w:hint="eastAsia" w:ascii="Times New Roman" w:hAnsi="Times New Roman" w:eastAsia="仿宋_GB2312" w:cs="仿宋_GB2312"/>
          <w:color w:val="auto"/>
          <w:kern w:val="2"/>
          <w:sz w:val="32"/>
          <w:szCs w:val="32"/>
          <w:highlight w:val="none"/>
          <w:lang w:val="en-US" w:eastAsia="zh-CN" w:bidi="ar-SA"/>
        </w:rPr>
        <w:t>个项目编制了绩效目标，预算执行过程中，选取</w:t>
      </w:r>
      <w:r>
        <w:rPr>
          <w:rFonts w:hint="eastAsia" w:eastAsia="仿宋_GB2312" w:cs="仿宋_GB2312"/>
          <w:color w:val="auto"/>
          <w:kern w:val="2"/>
          <w:sz w:val="32"/>
          <w:szCs w:val="32"/>
          <w:highlight w:val="none"/>
          <w:lang w:val="en-US" w:eastAsia="zh-CN" w:bidi="ar-SA"/>
        </w:rPr>
        <w:t>8</w:t>
      </w:r>
      <w:r>
        <w:rPr>
          <w:rFonts w:hint="eastAsia" w:ascii="Times New Roman" w:hAnsi="Times New Roman" w:eastAsia="仿宋_GB2312" w:cs="仿宋_GB2312"/>
          <w:color w:val="auto"/>
          <w:kern w:val="2"/>
          <w:sz w:val="32"/>
          <w:szCs w:val="32"/>
          <w:highlight w:val="none"/>
          <w:lang w:val="en-US" w:eastAsia="zh-CN" w:bidi="ar-SA"/>
        </w:rPr>
        <w:t>个项目开展绩效监控。</w:t>
      </w:r>
    </w:p>
    <w:p w14:paraId="4818AB03">
      <w:pPr>
        <w:pageBreakBefore w:val="0"/>
        <w:kinsoku/>
        <w:wordWrap/>
        <w:overflowPunct/>
        <w:topLinePunct w:val="0"/>
        <w:bidi w:val="0"/>
        <w:spacing w:line="560" w:lineRule="atLeast"/>
        <w:ind w:firstLine="640" w:firstLineChars="200"/>
        <w:rPr>
          <w:rFonts w:hint="eastAsia" w:eastAsia="仿宋" w:cs="仿宋_GB2312"/>
          <w:sz w:val="32"/>
          <w:szCs w:val="32"/>
          <w:lang w:eastAsia="zh-CN"/>
        </w:rPr>
      </w:pPr>
      <w:r>
        <w:rPr>
          <w:rFonts w:hint="eastAsia" w:ascii="Times New Roman" w:hAnsi="Times New Roman" w:eastAsia="仿宋_GB2312" w:cs="仿宋_GB2312"/>
          <w:color w:val="auto"/>
          <w:kern w:val="2"/>
          <w:sz w:val="32"/>
          <w:szCs w:val="32"/>
          <w:highlight w:val="none"/>
          <w:lang w:val="en-US" w:eastAsia="zh-CN" w:bidi="ar-SA"/>
        </w:rPr>
        <w:t>组织对2025年度一般公共预算全面开展绩效自评，形成</w:t>
      </w:r>
      <w:r>
        <w:rPr>
          <w:rFonts w:hint="eastAsia" w:eastAsia="仿宋_GB2312" w:cs="仿宋_GB2312"/>
          <w:sz w:val="32"/>
          <w:szCs w:val="32"/>
          <w:lang w:eastAsia="zh-CN"/>
        </w:rPr>
        <w:t>阿坝州民族歌舞团</w:t>
      </w:r>
      <w:r>
        <w:rPr>
          <w:rFonts w:hint="eastAsia" w:eastAsia="仿宋_GB2312" w:cs="仿宋_GB2312"/>
          <w:sz w:val="32"/>
          <w:szCs w:val="32"/>
        </w:rPr>
        <w:t>部门整体绩效自评报告、专项预算项目绩效自评报告</w:t>
      </w:r>
      <w:r>
        <w:rPr>
          <w:rFonts w:hint="eastAsia" w:ascii="Times New Roman" w:hAnsi="Times New Roman" w:eastAsia="仿宋_GB2312" w:cs="仿宋_GB2312"/>
          <w:color w:val="auto"/>
          <w:kern w:val="2"/>
          <w:sz w:val="32"/>
          <w:szCs w:val="32"/>
          <w:highlight w:val="none"/>
          <w:lang w:val="en-US" w:eastAsia="zh-CN" w:bidi="ar-SA"/>
        </w:rPr>
        <w:t>，其中，</w:t>
      </w:r>
      <w:r>
        <w:rPr>
          <w:rFonts w:hint="eastAsia" w:eastAsia="仿宋_GB2312" w:cs="仿宋_GB2312"/>
          <w:sz w:val="32"/>
          <w:szCs w:val="32"/>
        </w:rPr>
        <w:t>部门整体（含部门预算项目）绩效自评得分为</w:t>
      </w:r>
      <w:r>
        <w:rPr>
          <w:rFonts w:hint="eastAsia" w:eastAsia="仿宋_GB2312" w:cs="仿宋_GB2312"/>
          <w:sz w:val="32"/>
          <w:szCs w:val="32"/>
          <w:lang w:val="en-US" w:eastAsia="zh-CN"/>
        </w:rPr>
        <w:t>90</w:t>
      </w:r>
      <w:r>
        <w:rPr>
          <w:rFonts w:hint="eastAsia" w:eastAsia="仿宋_GB2312" w:cs="仿宋_GB2312"/>
          <w:sz w:val="32"/>
          <w:szCs w:val="32"/>
        </w:rPr>
        <w:t>分，绩效自评综述</w:t>
      </w:r>
      <w:r>
        <w:rPr>
          <w:rFonts w:hint="eastAsia" w:ascii="仿宋" w:hAnsi="仿宋" w:eastAsia="仿宋" w:cs="仿宋"/>
          <w:color w:val="000000"/>
          <w:sz w:val="32"/>
          <w:szCs w:val="32"/>
        </w:rPr>
        <w:t>202</w:t>
      </w:r>
      <w:r>
        <w:rPr>
          <w:rFonts w:hint="eastAsia" w:ascii="仿宋" w:hAnsi="仿宋" w:eastAsia="仿宋" w:cs="仿宋"/>
          <w:color w:val="000000"/>
          <w:sz w:val="32"/>
          <w:szCs w:val="32"/>
          <w:lang w:val="en-US" w:eastAsia="zh-CN"/>
        </w:rPr>
        <w:t>5</w:t>
      </w:r>
      <w:r>
        <w:rPr>
          <w:rFonts w:hint="eastAsia" w:ascii="仿宋" w:hAnsi="仿宋" w:eastAsia="仿宋" w:cs="仿宋"/>
          <w:color w:val="000000"/>
          <w:sz w:val="32"/>
          <w:szCs w:val="32"/>
        </w:rPr>
        <w:t>年我团资金运行维护决策正确，资金管理规范，项目管理到位，政策执行有力，有效发挥了财政资金的使用效率，顺利完成了各项任务。三公经费严格控制在预算范围内，严格落实了厉行节约的原则</w:t>
      </w:r>
      <w:r>
        <w:rPr>
          <w:rFonts w:hint="eastAsia" w:eastAsia="仿宋_GB2312" w:cs="仿宋_GB2312"/>
          <w:sz w:val="32"/>
          <w:szCs w:val="32"/>
          <w:lang w:eastAsia="zh-CN"/>
        </w:rPr>
        <w:t>。</w:t>
      </w:r>
    </w:p>
    <w:p w14:paraId="7D672F03">
      <w:pPr>
        <w:pageBreakBefore w:val="0"/>
        <w:kinsoku/>
        <w:wordWrap/>
        <w:overflowPunct/>
        <w:topLinePunct w:val="0"/>
        <w:bidi w:val="0"/>
        <w:spacing w:line="560" w:lineRule="atLeast"/>
        <w:ind w:firstLine="640"/>
        <w:rPr>
          <w:rFonts w:hint="eastAsia" w:ascii="Times New Roman" w:hAnsi="Times New Roman" w:eastAsia="仿宋_GB2312" w:cs="仿宋_GB2312"/>
          <w:color w:val="auto"/>
          <w:kern w:val="2"/>
          <w:sz w:val="32"/>
          <w:szCs w:val="32"/>
          <w:highlight w:val="none"/>
          <w:lang w:val="en-US" w:eastAsia="zh-CN" w:bidi="ar-SA"/>
        </w:rPr>
      </w:pPr>
    </w:p>
    <w:p w14:paraId="797D9F8C">
      <w:pPr>
        <w:pageBreakBefore w:val="0"/>
        <w:numPr>
          <w:ilvl w:val="0"/>
          <w:numId w:val="0"/>
        </w:numPr>
        <w:kinsoku/>
        <w:wordWrap/>
        <w:overflowPunct/>
        <w:topLinePunct w:val="0"/>
        <w:bidi w:val="0"/>
        <w:spacing w:line="560" w:lineRule="atLeast"/>
        <w:jc w:val="center"/>
        <w:outlineLvl w:val="0"/>
        <w:rPr>
          <w:rFonts w:hint="eastAsia" w:ascii="Times New Roman" w:hAnsi="Times New Roman" w:eastAsia="黑体"/>
          <w:color w:val="auto"/>
          <w:sz w:val="44"/>
          <w:szCs w:val="44"/>
          <w:highlight w:val="none"/>
        </w:rPr>
      </w:pPr>
      <w:bookmarkStart w:id="43" w:name="_Toc15377225"/>
      <w:bookmarkStart w:id="44" w:name="_Toc15396613"/>
    </w:p>
    <w:p w14:paraId="57D57FCF">
      <w:pPr>
        <w:pageBreakBefore w:val="0"/>
        <w:numPr>
          <w:ilvl w:val="0"/>
          <w:numId w:val="0"/>
        </w:numPr>
        <w:kinsoku/>
        <w:wordWrap/>
        <w:overflowPunct/>
        <w:topLinePunct w:val="0"/>
        <w:bidi w:val="0"/>
        <w:spacing w:line="560" w:lineRule="atLeast"/>
        <w:jc w:val="center"/>
        <w:outlineLvl w:val="0"/>
        <w:rPr>
          <w:rFonts w:hint="eastAsia" w:ascii="Times New Roman" w:hAnsi="Times New Roman" w:eastAsia="黑体"/>
          <w:color w:val="auto"/>
          <w:sz w:val="44"/>
          <w:szCs w:val="44"/>
          <w:highlight w:val="none"/>
        </w:rPr>
      </w:pPr>
    </w:p>
    <w:p w14:paraId="0D07751C">
      <w:pPr>
        <w:pageBreakBefore w:val="0"/>
        <w:numPr>
          <w:ilvl w:val="0"/>
          <w:numId w:val="0"/>
        </w:numPr>
        <w:kinsoku/>
        <w:wordWrap/>
        <w:overflowPunct/>
        <w:topLinePunct w:val="0"/>
        <w:bidi w:val="0"/>
        <w:spacing w:line="560" w:lineRule="atLeast"/>
        <w:jc w:val="center"/>
        <w:outlineLvl w:val="0"/>
        <w:rPr>
          <w:rFonts w:hint="eastAsia" w:ascii="Times New Roman" w:hAnsi="Times New Roman" w:eastAsia="黑体"/>
          <w:color w:val="auto"/>
          <w:sz w:val="44"/>
          <w:szCs w:val="44"/>
          <w:highlight w:val="none"/>
        </w:rPr>
      </w:pPr>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43"/>
      <w:bookmarkEnd w:id="44"/>
    </w:p>
    <w:p w14:paraId="38C013ED">
      <w:pPr>
        <w:pageBreakBefore w:val="0"/>
        <w:kinsoku/>
        <w:wordWrap/>
        <w:overflowPunct/>
        <w:topLinePunct w:val="0"/>
        <w:bidi w:val="0"/>
        <w:spacing w:line="560" w:lineRule="atLeast"/>
        <w:jc w:val="left"/>
        <w:rPr>
          <w:rFonts w:ascii="Times New Roman" w:hAnsi="Times New Roman"/>
          <w:b/>
          <w:color w:val="auto"/>
          <w:sz w:val="44"/>
          <w:szCs w:val="44"/>
          <w:highlight w:val="none"/>
        </w:rPr>
      </w:pPr>
    </w:p>
    <w:p w14:paraId="441C1BDB">
      <w:pPr>
        <w:pageBreakBefore w:val="0"/>
        <w:kinsoku/>
        <w:wordWrap/>
        <w:overflowPunct/>
        <w:topLinePunct w:val="0"/>
        <w:bidi w:val="0"/>
        <w:spacing w:line="560" w:lineRule="atLeas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1.财政拨款收入：指单位从同级财政部门取得的财政预算资金。</w:t>
      </w:r>
    </w:p>
    <w:p w14:paraId="60AA1BB8">
      <w:pPr>
        <w:pageBreakBefore w:val="0"/>
        <w:kinsoku/>
        <w:wordWrap/>
        <w:overflowPunct/>
        <w:topLinePunct w:val="0"/>
        <w:bidi w:val="0"/>
        <w:spacing w:line="560" w:lineRule="atLeas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.其他收入：指单位取得的除上述收入以外的各项收入。主要是</w:t>
      </w:r>
      <w:r>
        <w:rPr>
          <w:rFonts w:hint="eastAsia" w:eastAsia="仿宋_GB2312" w:cs="仿宋_GB2312"/>
          <w:color w:val="auto"/>
          <w:kern w:val="2"/>
          <w:sz w:val="32"/>
          <w:szCs w:val="32"/>
          <w:highlight w:val="none"/>
          <w:lang w:val="en-US" w:eastAsia="zh-CN" w:bidi="ar-SA"/>
        </w:rPr>
        <w:t>剧目《岷山导江》编剧经费、</w:t>
      </w:r>
      <w:r>
        <w:rPr>
          <w:rFonts w:hint="eastAsia" w:ascii="Times New Roman" w:hAnsi="Times New Roman" w:eastAsia="仿宋_GB2312" w:cs="仿宋_GB2312"/>
          <w:color w:val="auto"/>
          <w:kern w:val="2"/>
          <w:sz w:val="32"/>
          <w:szCs w:val="32"/>
          <w:highlight w:val="none"/>
          <w:lang w:val="en-US" w:eastAsia="zh-CN" w:bidi="ar-SA"/>
        </w:rPr>
        <w:t xml:space="preserve"> </w:t>
      </w:r>
      <w:r>
        <w:rPr>
          <w:rFonts w:hint="eastAsia" w:eastAsia="仿宋_GB2312" w:cs="仿宋_GB2312"/>
          <w:color w:val="auto"/>
          <w:kern w:val="2"/>
          <w:sz w:val="32"/>
          <w:szCs w:val="32"/>
          <w:highlight w:val="none"/>
          <w:lang w:val="en-US" w:eastAsia="zh-CN" w:bidi="ar-SA"/>
        </w:rPr>
        <w:t>音乐剧《牦牛革命》巡演尾款。</w:t>
      </w:r>
    </w:p>
    <w:p w14:paraId="3712BA2A">
      <w:pPr>
        <w:pageBreakBefore w:val="0"/>
        <w:kinsoku/>
        <w:wordWrap/>
        <w:overflowPunct/>
        <w:topLinePunct w:val="0"/>
        <w:bidi w:val="0"/>
        <w:spacing w:line="560" w:lineRule="atLeas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en-US" w:eastAsia="zh-CN" w:bidi="ar-SA"/>
        </w:rPr>
        <w:t xml:space="preserve">.年初结转和结余：指以前年度尚未完成、结转到本年按有关规定继续使用的资金。 </w:t>
      </w:r>
    </w:p>
    <w:p w14:paraId="69B9BF00">
      <w:pPr>
        <w:pageBreakBefore w:val="0"/>
        <w:kinsoku/>
        <w:wordWrap/>
        <w:overflowPunct/>
        <w:topLinePunct w:val="0"/>
        <w:bidi w:val="0"/>
        <w:spacing w:line="560" w:lineRule="atLeas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.年末结转和结余：指单位按有关规定结转到下年或以后年度继续使用的资金。</w:t>
      </w:r>
    </w:p>
    <w:p w14:paraId="5EDCFC25">
      <w:pPr>
        <w:pageBreakBefore w:val="0"/>
        <w:kinsoku/>
        <w:wordWrap/>
        <w:overflowPunct/>
        <w:topLinePunct w:val="0"/>
        <w:bidi w:val="0"/>
        <w:spacing w:line="560" w:lineRule="atLeast"/>
        <w:ind w:firstLine="640" w:firstLineChars="200"/>
        <w:rPr>
          <w:rFonts w:hint="eastAsia" w:eastAsia="仿宋_GB2312" w:cs="仿宋_GB2312"/>
          <w:sz w:val="32"/>
          <w:szCs w:val="32"/>
          <w:lang w:val="en-US" w:eastAsia="zh-CN"/>
        </w:rPr>
      </w:pPr>
      <w:r>
        <w:rPr>
          <w:rFonts w:hint="eastAsia" w:eastAsia="仿宋_GB2312" w:cs="仿宋_GB2312"/>
          <w:sz w:val="32"/>
          <w:szCs w:val="32"/>
          <w:lang w:val="en-US" w:eastAsia="zh-CN"/>
        </w:rPr>
        <w:t>5</w:t>
      </w:r>
      <w:r>
        <w:rPr>
          <w:rFonts w:hint="eastAsia" w:eastAsia="仿宋_GB2312" w:cs="仿宋_GB2312"/>
          <w:sz w:val="32"/>
          <w:szCs w:val="32"/>
        </w:rPr>
        <w:t>.</w:t>
      </w:r>
      <w:r>
        <w:rPr>
          <w:rFonts w:hint="eastAsia" w:eastAsia="仿宋_GB2312" w:cs="仿宋_GB2312"/>
          <w:sz w:val="32"/>
          <w:szCs w:val="32"/>
          <w:lang w:val="en-US" w:eastAsia="zh-CN"/>
        </w:rPr>
        <w:t xml:space="preserve"> </w:t>
      </w:r>
      <w:r>
        <w:rPr>
          <w:rFonts w:hint="eastAsia" w:eastAsia="仿宋_GB2312" w:cs="仿宋_GB2312"/>
          <w:sz w:val="32"/>
          <w:szCs w:val="32"/>
        </w:rPr>
        <w:t>文化旅游体育与传媒</w:t>
      </w:r>
      <w:r>
        <w:rPr>
          <w:rFonts w:hint="eastAsia" w:eastAsia="仿宋_GB2312" w:cs="仿宋_GB2312"/>
          <w:sz w:val="32"/>
          <w:szCs w:val="32"/>
          <w:lang w:eastAsia="zh-CN"/>
        </w:rPr>
        <w:t>支出</w:t>
      </w:r>
      <w:r>
        <w:rPr>
          <w:rFonts w:hint="eastAsia" w:eastAsia="仿宋_GB2312" w:cs="仿宋_GB2312"/>
          <w:sz w:val="32"/>
          <w:szCs w:val="32"/>
          <w:lang w:val="en-US" w:eastAsia="zh-CN"/>
        </w:rPr>
        <w:t xml:space="preserve">          </w:t>
      </w:r>
    </w:p>
    <w:p w14:paraId="6DF5D09D">
      <w:pPr>
        <w:pageBreakBefore w:val="0"/>
        <w:kinsoku/>
        <w:wordWrap/>
        <w:overflowPunct/>
        <w:topLinePunct w:val="0"/>
        <w:bidi w:val="0"/>
        <w:spacing w:line="560" w:lineRule="atLeast"/>
        <w:ind w:firstLine="640" w:firstLineChars="200"/>
        <w:rPr>
          <w:rFonts w:hint="eastAsia" w:ascii="仿宋_GB2312" w:eastAsia="仿宋_GB2312"/>
          <w:color w:val="000000"/>
          <w:sz w:val="32"/>
          <w:szCs w:val="32"/>
          <w:lang w:eastAsia="zh-CN"/>
        </w:rPr>
      </w:pPr>
      <w:r>
        <w:rPr>
          <w:rFonts w:hint="eastAsia" w:ascii="仿宋_GB2312" w:eastAsia="仿宋_GB2312"/>
          <w:color w:val="000000"/>
          <w:sz w:val="32"/>
          <w:szCs w:val="32"/>
        </w:rPr>
        <w:t>20</w:t>
      </w:r>
      <w:r>
        <w:rPr>
          <w:rFonts w:hint="eastAsia" w:ascii="仿宋_GB2312" w:eastAsia="仿宋_GB2312"/>
          <w:color w:val="000000"/>
          <w:sz w:val="32"/>
          <w:szCs w:val="32"/>
          <w:lang w:val="en-US" w:eastAsia="zh-CN"/>
        </w:rPr>
        <w:t>7</w:t>
      </w:r>
      <w:r>
        <w:rPr>
          <w:rFonts w:hint="eastAsia" w:ascii="仿宋_GB2312" w:eastAsia="仿宋_GB2312"/>
          <w:color w:val="000000"/>
          <w:sz w:val="32"/>
          <w:szCs w:val="32"/>
        </w:rPr>
        <w:t>（类）</w:t>
      </w:r>
      <w:r>
        <w:rPr>
          <w:rFonts w:hint="eastAsia" w:ascii="仿宋_GB2312" w:eastAsia="仿宋_GB2312"/>
          <w:color w:val="000000"/>
          <w:sz w:val="32"/>
          <w:szCs w:val="32"/>
          <w:lang w:val="en-US" w:eastAsia="zh-CN"/>
        </w:rPr>
        <w:t>01</w:t>
      </w:r>
      <w:r>
        <w:rPr>
          <w:rFonts w:hint="eastAsia" w:ascii="仿宋_GB2312" w:eastAsia="仿宋_GB2312"/>
          <w:color w:val="000000"/>
          <w:sz w:val="32"/>
          <w:szCs w:val="32"/>
        </w:rPr>
        <w:t>（款</w:t>
      </w:r>
      <w:r>
        <w:rPr>
          <w:rFonts w:hint="eastAsia" w:ascii="仿宋_GB2312" w:eastAsia="仿宋_GB2312"/>
          <w:color w:val="000000"/>
          <w:sz w:val="32"/>
          <w:szCs w:val="32"/>
          <w:lang w:eastAsia="zh-CN"/>
        </w:rPr>
        <w:t>）</w:t>
      </w:r>
      <w:r>
        <w:rPr>
          <w:rFonts w:hint="eastAsia" w:ascii="仿宋_GB2312" w:eastAsia="仿宋_GB2312"/>
          <w:color w:val="000000"/>
          <w:sz w:val="32"/>
          <w:szCs w:val="32"/>
          <w:lang w:val="en-US" w:eastAsia="zh-CN"/>
        </w:rPr>
        <w:t>07</w:t>
      </w:r>
      <w:r>
        <w:rPr>
          <w:rFonts w:hint="eastAsia" w:ascii="仿宋_GB2312" w:eastAsia="仿宋_GB2312"/>
          <w:color w:val="000000"/>
          <w:sz w:val="32"/>
          <w:szCs w:val="32"/>
        </w:rPr>
        <w:t>（项）</w:t>
      </w:r>
      <w:r>
        <w:rPr>
          <w:rFonts w:hint="eastAsia" w:ascii="仿宋_GB2312" w:eastAsia="仿宋_GB2312"/>
          <w:color w:val="000000"/>
          <w:sz w:val="32"/>
          <w:szCs w:val="32"/>
          <w:lang w:eastAsia="zh-CN"/>
        </w:rPr>
        <w:t>：艺术表演团体，反映文化及其部门主管的剧院（团）等艺术表演团体的支出。指阿坝州民族歌舞团基本工资、伙食补助费、其他社会保障缴费、办公费、印刷费、水费、电费、邮电费、物业管理费、差旅费、维修（护）费、租赁费、培训费、专用材料费、劳务费、委托业务费、福利费、公务用车运行维护费、其他交通费用、抚恤金、离休金等支出。</w:t>
      </w:r>
    </w:p>
    <w:p w14:paraId="346B3D62">
      <w:pPr>
        <w:pageBreakBefore w:val="0"/>
        <w:kinsoku/>
        <w:wordWrap/>
        <w:overflowPunct/>
        <w:topLinePunct w:val="0"/>
        <w:bidi w:val="0"/>
        <w:spacing w:line="560" w:lineRule="atLeast"/>
        <w:ind w:firstLine="640" w:firstLineChars="200"/>
        <w:rPr>
          <w:rFonts w:hint="eastAsia" w:ascii="仿宋_GB2312" w:eastAsia="仿宋_GB2312"/>
          <w:sz w:val="32"/>
          <w:szCs w:val="32"/>
          <w:lang w:eastAsia="zh-CN"/>
        </w:rPr>
      </w:pPr>
      <w:r>
        <w:rPr>
          <w:rFonts w:hint="eastAsia" w:eastAsia="仿宋_GB2312" w:cs="仿宋_GB2312"/>
          <w:sz w:val="32"/>
          <w:szCs w:val="32"/>
          <w:lang w:val="en-US" w:eastAsia="zh-CN"/>
        </w:rPr>
        <w:t>6.</w:t>
      </w:r>
      <w:r>
        <w:rPr>
          <w:rFonts w:hint="eastAsia" w:ascii="仿宋_GB2312" w:eastAsia="仿宋_GB2312"/>
          <w:sz w:val="32"/>
          <w:szCs w:val="32"/>
        </w:rPr>
        <w:t>社会保障和就业</w:t>
      </w:r>
      <w:r>
        <w:rPr>
          <w:rFonts w:hint="eastAsia" w:ascii="仿宋_GB2312" w:eastAsia="仿宋_GB2312"/>
          <w:sz w:val="32"/>
          <w:szCs w:val="32"/>
          <w:lang w:eastAsia="zh-CN"/>
        </w:rPr>
        <w:t>支出</w:t>
      </w:r>
    </w:p>
    <w:p w14:paraId="6BC80359">
      <w:pPr>
        <w:pageBreakBefore w:val="0"/>
        <w:kinsoku/>
        <w:wordWrap/>
        <w:overflowPunct/>
        <w:topLinePunct w:val="0"/>
        <w:bidi w:val="0"/>
        <w:spacing w:line="560" w:lineRule="atLeast"/>
        <w:ind w:firstLine="640" w:firstLineChars="200"/>
        <w:rPr>
          <w:rFonts w:ascii="仿宋_GB2312" w:eastAsia="仿宋_GB2312"/>
          <w:color w:val="000000"/>
          <w:sz w:val="32"/>
          <w:szCs w:val="32"/>
        </w:rPr>
      </w:pPr>
      <w:r>
        <w:rPr>
          <w:rFonts w:hint="eastAsia" w:ascii="仿宋_GB2312" w:eastAsia="仿宋_GB2312"/>
          <w:color w:val="000000"/>
          <w:sz w:val="32"/>
          <w:szCs w:val="32"/>
        </w:rPr>
        <w:t>208（类）05（款）05（项）</w:t>
      </w:r>
      <w:r>
        <w:rPr>
          <w:rFonts w:hint="eastAsia" w:ascii="仿宋_GB2312" w:eastAsia="仿宋_GB2312"/>
          <w:color w:val="000000"/>
          <w:sz w:val="32"/>
          <w:szCs w:val="32"/>
          <w:lang w:eastAsia="zh-CN"/>
        </w:rPr>
        <w:t>：</w:t>
      </w:r>
      <w:r>
        <w:rPr>
          <w:rFonts w:hint="eastAsia" w:ascii="仿宋_GB2312" w:eastAsia="仿宋_GB2312"/>
          <w:color w:val="000000"/>
          <w:sz w:val="32"/>
          <w:szCs w:val="32"/>
        </w:rPr>
        <w:t>机关事业单位基本养老保险缴费支出</w:t>
      </w:r>
      <w:r>
        <w:rPr>
          <w:rFonts w:hint="eastAsia" w:ascii="仿宋_GB2312" w:eastAsia="仿宋_GB2312"/>
          <w:color w:val="000000"/>
          <w:sz w:val="32"/>
          <w:szCs w:val="32"/>
          <w:lang w:eastAsia="zh-CN"/>
        </w:rPr>
        <w:t>，</w:t>
      </w:r>
      <w:r>
        <w:rPr>
          <w:rFonts w:hint="eastAsia" w:ascii="仿宋_GB2312" w:eastAsia="仿宋_GB2312"/>
          <w:color w:val="000000"/>
          <w:sz w:val="32"/>
          <w:szCs w:val="32"/>
        </w:rPr>
        <w:t>反映机关事业单位实施养老保险缴费制度由单位缴纳的基本养老保险费支出</w:t>
      </w:r>
      <w:r>
        <w:rPr>
          <w:rFonts w:hint="eastAsia" w:ascii="仿宋_GB2312" w:eastAsia="仿宋_GB2312"/>
          <w:color w:val="000000"/>
          <w:sz w:val="32"/>
          <w:szCs w:val="32"/>
          <w:lang w:eastAsia="zh-CN"/>
        </w:rPr>
        <w:t>。</w:t>
      </w:r>
      <w:r>
        <w:rPr>
          <w:rFonts w:hint="eastAsia" w:ascii="仿宋_GB2312" w:eastAsia="仿宋_GB2312"/>
          <w:color w:val="000000"/>
          <w:sz w:val="32"/>
          <w:szCs w:val="32"/>
        </w:rPr>
        <w:t>指</w:t>
      </w:r>
      <w:r>
        <w:rPr>
          <w:rFonts w:hint="eastAsia" w:ascii="仿宋_GB2312" w:eastAsia="仿宋_GB2312"/>
          <w:color w:val="000000"/>
          <w:sz w:val="32"/>
          <w:szCs w:val="32"/>
          <w:lang w:eastAsia="zh-CN"/>
        </w:rPr>
        <w:t>阿坝州民族歌舞团</w:t>
      </w:r>
      <w:r>
        <w:rPr>
          <w:rFonts w:hint="eastAsia" w:ascii="仿宋_GB2312" w:eastAsia="仿宋_GB2312"/>
          <w:color w:val="000000"/>
          <w:sz w:val="32"/>
          <w:szCs w:val="32"/>
        </w:rPr>
        <w:t>的机关事业单位基本养老保险支出。</w:t>
      </w:r>
    </w:p>
    <w:p w14:paraId="3DD86A41">
      <w:pPr>
        <w:pageBreakBefore w:val="0"/>
        <w:kinsoku/>
        <w:wordWrap/>
        <w:overflowPunct/>
        <w:topLinePunct w:val="0"/>
        <w:bidi w:val="0"/>
        <w:spacing w:line="560" w:lineRule="atLeast"/>
        <w:ind w:firstLine="640" w:firstLineChars="200"/>
        <w:rPr>
          <w:rFonts w:hint="eastAsia" w:ascii="仿宋_GB2312" w:eastAsia="仿宋_GB2312"/>
          <w:color w:val="000000"/>
          <w:sz w:val="32"/>
          <w:szCs w:val="32"/>
          <w:lang w:val="en-US" w:eastAsia="zh-CN"/>
        </w:rPr>
      </w:pPr>
      <w:r>
        <w:rPr>
          <w:rFonts w:hint="eastAsia" w:ascii="仿宋_GB2312" w:eastAsia="仿宋_GB2312"/>
          <w:color w:val="000000"/>
          <w:sz w:val="32"/>
          <w:szCs w:val="32"/>
        </w:rPr>
        <w:t>208（类）05（款）06（项）：机关事业单位职业年金缴费支出，反映机关事业单位实施养老保险制度由单位实际缴纳的职业年金支出</w:t>
      </w:r>
      <w:r>
        <w:rPr>
          <w:rFonts w:hint="eastAsia" w:ascii="仿宋_GB2312" w:eastAsia="仿宋_GB2312"/>
          <w:color w:val="000000"/>
          <w:sz w:val="32"/>
          <w:szCs w:val="32"/>
          <w:lang w:eastAsia="zh-CN"/>
        </w:rPr>
        <w:t>。</w:t>
      </w:r>
      <w:r>
        <w:rPr>
          <w:rFonts w:hint="eastAsia" w:ascii="仿宋_GB2312" w:eastAsia="仿宋_GB2312"/>
          <w:color w:val="000000"/>
          <w:sz w:val="32"/>
          <w:szCs w:val="32"/>
        </w:rPr>
        <w:t>指</w:t>
      </w:r>
      <w:r>
        <w:rPr>
          <w:rFonts w:hint="eastAsia" w:ascii="仿宋_GB2312" w:eastAsia="仿宋_GB2312"/>
          <w:color w:val="000000"/>
          <w:sz w:val="32"/>
          <w:szCs w:val="32"/>
          <w:lang w:eastAsia="zh-CN"/>
        </w:rPr>
        <w:t>阿坝州民族歌舞团</w:t>
      </w:r>
      <w:r>
        <w:rPr>
          <w:rFonts w:hint="eastAsia" w:ascii="仿宋_GB2312" w:eastAsia="仿宋_GB2312"/>
          <w:color w:val="000000"/>
          <w:sz w:val="32"/>
          <w:szCs w:val="32"/>
        </w:rPr>
        <w:t>职业年金支出。</w:t>
      </w:r>
      <w:r>
        <w:rPr>
          <w:rFonts w:hint="eastAsia" w:ascii="仿宋_GB2312" w:eastAsia="仿宋_GB2312"/>
          <w:color w:val="000000"/>
          <w:sz w:val="32"/>
          <w:szCs w:val="32"/>
          <w:lang w:val="en-US" w:eastAsia="zh-CN"/>
        </w:rPr>
        <w:t xml:space="preserve"> </w:t>
      </w:r>
    </w:p>
    <w:p w14:paraId="2B6E7D5B">
      <w:pPr>
        <w:pageBreakBefore w:val="0"/>
        <w:kinsoku/>
        <w:wordWrap/>
        <w:overflowPunct/>
        <w:topLinePunct w:val="0"/>
        <w:bidi w:val="0"/>
        <w:spacing w:line="560" w:lineRule="atLeast"/>
        <w:ind w:firstLine="640" w:firstLineChars="200"/>
        <w:rPr>
          <w:rFonts w:hint="eastAsia" w:ascii="仿宋_GB2312" w:eastAsia="仿宋_GB2312"/>
          <w:color w:val="000000"/>
          <w:sz w:val="32"/>
          <w:szCs w:val="32"/>
          <w:lang w:eastAsia="zh-CN"/>
        </w:rPr>
      </w:pPr>
      <w:r>
        <w:rPr>
          <w:rFonts w:hint="eastAsia" w:ascii="仿宋_GB2312" w:eastAsia="仿宋_GB2312"/>
          <w:color w:val="000000"/>
          <w:sz w:val="32"/>
          <w:szCs w:val="32"/>
        </w:rPr>
        <w:t>208（类）05（款）</w:t>
      </w:r>
      <w:r>
        <w:rPr>
          <w:rFonts w:hint="eastAsia" w:ascii="仿宋_GB2312" w:eastAsia="仿宋_GB2312"/>
          <w:color w:val="000000"/>
          <w:sz w:val="32"/>
          <w:szCs w:val="32"/>
          <w:lang w:val="en-US" w:eastAsia="zh-CN"/>
        </w:rPr>
        <w:t>99</w:t>
      </w:r>
      <w:r>
        <w:rPr>
          <w:rFonts w:hint="eastAsia" w:ascii="仿宋_GB2312" w:eastAsia="仿宋_GB2312"/>
          <w:color w:val="000000"/>
          <w:sz w:val="32"/>
          <w:szCs w:val="32"/>
        </w:rPr>
        <w:t>（项）：</w:t>
      </w:r>
      <w:r>
        <w:rPr>
          <w:rFonts w:hint="eastAsia" w:ascii="仿宋_GB2312" w:eastAsia="仿宋_GB2312"/>
          <w:color w:val="000000"/>
          <w:sz w:val="32"/>
          <w:szCs w:val="32"/>
          <w:lang w:eastAsia="zh-CN"/>
        </w:rPr>
        <w:t>其他行政事业单位养老支出</w:t>
      </w:r>
      <w:r>
        <w:rPr>
          <w:rFonts w:hint="eastAsia" w:ascii="仿宋_GB2312" w:eastAsia="仿宋_GB2312"/>
          <w:color w:val="000000"/>
          <w:sz w:val="32"/>
          <w:szCs w:val="32"/>
        </w:rPr>
        <w:t>，反映</w:t>
      </w:r>
      <w:r>
        <w:rPr>
          <w:rFonts w:hint="eastAsia" w:ascii="仿宋_GB2312" w:eastAsia="仿宋_GB2312"/>
          <w:color w:val="000000"/>
          <w:sz w:val="32"/>
          <w:szCs w:val="32"/>
          <w:lang w:eastAsia="zh-CN"/>
        </w:rPr>
        <w:t>上述项目以外用于行政事业单位养老方面的支出，指阿坝州民族歌舞团退休人员其他生活补助。</w:t>
      </w:r>
    </w:p>
    <w:p w14:paraId="7A0E9E78">
      <w:pPr>
        <w:pageBreakBefore w:val="0"/>
        <w:kinsoku/>
        <w:wordWrap/>
        <w:overflowPunct/>
        <w:topLinePunct w:val="0"/>
        <w:bidi w:val="0"/>
        <w:spacing w:line="560" w:lineRule="atLeast"/>
        <w:ind w:firstLine="640" w:firstLineChars="200"/>
        <w:rPr>
          <w:rFonts w:hint="default"/>
          <w:lang w:val="en-US" w:eastAsia="zh-CN"/>
        </w:rPr>
      </w:pPr>
      <w:r>
        <w:rPr>
          <w:rFonts w:hint="eastAsia" w:eastAsia="仿宋_GB2312" w:cs="仿宋_GB2312"/>
          <w:sz w:val="32"/>
          <w:szCs w:val="32"/>
          <w:lang w:val="en-US" w:eastAsia="zh-CN"/>
        </w:rPr>
        <w:t>7.卫生健康支出</w:t>
      </w:r>
    </w:p>
    <w:p w14:paraId="37C15FD2">
      <w:pPr>
        <w:pageBreakBefore w:val="0"/>
        <w:kinsoku/>
        <w:wordWrap/>
        <w:overflowPunct/>
        <w:topLinePunct w:val="0"/>
        <w:bidi w:val="0"/>
        <w:spacing w:line="560" w:lineRule="atLeast"/>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210（类）11（款）02（项）：事业单位医疗，反映财政部门安排的事业单位基本医疗保险缴费经费，未参加医疗保险的事业单位的公费医疗经费，按国家规定享受离退休人员待遇的医疗经费</w:t>
      </w:r>
      <w:r>
        <w:rPr>
          <w:rFonts w:hint="eastAsia" w:ascii="仿宋_GB2312" w:eastAsia="仿宋_GB2312"/>
          <w:color w:val="000000"/>
          <w:sz w:val="32"/>
          <w:szCs w:val="32"/>
          <w:lang w:eastAsia="zh-CN"/>
        </w:rPr>
        <w:t>。</w:t>
      </w:r>
      <w:r>
        <w:rPr>
          <w:rFonts w:hint="eastAsia" w:ascii="仿宋_GB2312" w:eastAsia="仿宋_GB2312"/>
          <w:color w:val="000000"/>
          <w:sz w:val="32"/>
          <w:szCs w:val="32"/>
        </w:rPr>
        <w:t>指</w:t>
      </w:r>
      <w:r>
        <w:rPr>
          <w:rFonts w:hint="eastAsia" w:ascii="仿宋_GB2312" w:eastAsia="仿宋_GB2312"/>
          <w:color w:val="000000"/>
          <w:sz w:val="32"/>
          <w:szCs w:val="32"/>
          <w:lang w:eastAsia="zh-CN"/>
        </w:rPr>
        <w:t>阿坝州民族歌舞团</w:t>
      </w:r>
      <w:r>
        <w:rPr>
          <w:rFonts w:hint="eastAsia" w:ascii="仿宋_GB2312" w:eastAsia="仿宋_GB2312"/>
          <w:color w:val="000000"/>
          <w:sz w:val="32"/>
          <w:szCs w:val="32"/>
        </w:rPr>
        <w:t>职工基本医疗保险支出。</w:t>
      </w:r>
    </w:p>
    <w:p w14:paraId="5BE45D20">
      <w:pPr>
        <w:pageBreakBefore w:val="0"/>
        <w:numPr>
          <w:ilvl w:val="0"/>
          <w:numId w:val="0"/>
        </w:numPr>
        <w:kinsoku/>
        <w:wordWrap/>
        <w:overflowPunct/>
        <w:topLinePunct w:val="0"/>
        <w:bidi w:val="0"/>
        <w:spacing w:line="560" w:lineRule="atLeast"/>
        <w:ind w:firstLine="640" w:firstLineChars="200"/>
        <w:rPr>
          <w:rFonts w:hint="eastAsia" w:ascii="仿宋_GB2312" w:eastAsia="仿宋_GB2312"/>
          <w:sz w:val="32"/>
          <w:szCs w:val="32"/>
          <w:lang w:val="en-US" w:eastAsia="zh-CN"/>
        </w:rPr>
      </w:pPr>
      <w:r>
        <w:rPr>
          <w:rFonts w:hint="eastAsia" w:ascii="仿宋_GB2312" w:eastAsia="仿宋_GB2312"/>
          <w:color w:val="000000"/>
          <w:sz w:val="32"/>
          <w:szCs w:val="32"/>
          <w:lang w:val="en-US" w:eastAsia="zh-CN"/>
        </w:rPr>
        <w:t>8.</w:t>
      </w:r>
      <w:r>
        <w:rPr>
          <w:rFonts w:hint="eastAsia" w:ascii="仿宋_GB2312" w:eastAsia="仿宋_GB2312"/>
          <w:sz w:val="32"/>
          <w:szCs w:val="32"/>
        </w:rPr>
        <w:t>住房保障</w:t>
      </w:r>
      <w:r>
        <w:rPr>
          <w:rFonts w:hint="eastAsia" w:ascii="仿宋_GB2312" w:eastAsia="仿宋_GB2312"/>
          <w:sz w:val="32"/>
          <w:szCs w:val="32"/>
          <w:lang w:val="en-US" w:eastAsia="zh-CN"/>
        </w:rPr>
        <w:t>支出</w:t>
      </w:r>
    </w:p>
    <w:p w14:paraId="4CFA5C7F">
      <w:pPr>
        <w:pageBreakBefore w:val="0"/>
        <w:kinsoku/>
        <w:wordWrap/>
        <w:overflowPunct/>
        <w:topLinePunct w:val="0"/>
        <w:bidi w:val="0"/>
        <w:spacing w:line="560" w:lineRule="atLeast"/>
        <w:ind w:firstLine="640" w:firstLineChars="200"/>
        <w:rPr>
          <w:rFonts w:hint="eastAsia" w:ascii="仿宋_GB2312" w:eastAsia="仿宋_GB2312"/>
          <w:color w:val="000000"/>
          <w:sz w:val="32"/>
          <w:szCs w:val="32"/>
          <w:lang w:eastAsia="zh-CN"/>
        </w:rPr>
      </w:pPr>
      <w:r>
        <w:rPr>
          <w:rFonts w:hint="eastAsia" w:ascii="仿宋_GB2312" w:eastAsia="仿宋_GB2312"/>
          <w:color w:val="000000"/>
          <w:sz w:val="32"/>
          <w:szCs w:val="32"/>
        </w:rPr>
        <w:t>221</w:t>
      </w:r>
      <w:r>
        <w:rPr>
          <w:rFonts w:hint="eastAsia" w:ascii="仿宋" w:eastAsia="仿宋"/>
          <w:color w:val="000000"/>
          <w:sz w:val="32"/>
          <w:szCs w:val="32"/>
        </w:rPr>
        <w:t>（类）</w:t>
      </w:r>
      <w:r>
        <w:rPr>
          <w:rFonts w:hint="eastAsia" w:ascii="仿宋_GB2312" w:eastAsia="仿宋_GB2312"/>
          <w:color w:val="000000"/>
          <w:sz w:val="32"/>
          <w:szCs w:val="32"/>
        </w:rPr>
        <w:t>02</w:t>
      </w:r>
      <w:r>
        <w:rPr>
          <w:rFonts w:hint="eastAsia" w:ascii="仿宋" w:eastAsia="仿宋"/>
          <w:color w:val="000000"/>
          <w:sz w:val="32"/>
          <w:szCs w:val="32"/>
        </w:rPr>
        <w:t>（款）</w:t>
      </w:r>
      <w:r>
        <w:rPr>
          <w:rFonts w:hint="eastAsia" w:ascii="仿宋_GB2312" w:eastAsia="仿宋_GB2312"/>
          <w:color w:val="000000"/>
          <w:sz w:val="32"/>
          <w:szCs w:val="32"/>
        </w:rPr>
        <w:t>01</w:t>
      </w:r>
      <w:r>
        <w:rPr>
          <w:rFonts w:hint="eastAsia" w:ascii="仿宋_GB2312" w:eastAsia="仿宋_GB2312"/>
          <w:color w:val="000000"/>
          <w:sz w:val="32"/>
          <w:szCs w:val="32"/>
        </w:rPr>
        <w:tab/>
      </w:r>
      <w:r>
        <w:rPr>
          <w:rFonts w:hint="eastAsia" w:ascii="仿宋" w:eastAsia="仿宋"/>
          <w:color w:val="000000"/>
          <w:sz w:val="32"/>
          <w:szCs w:val="32"/>
        </w:rPr>
        <w:t>（项）</w:t>
      </w:r>
      <w:r>
        <w:rPr>
          <w:rFonts w:hint="eastAsia" w:ascii="仿宋_GB2312" w:eastAsia="仿宋_GB2312"/>
          <w:color w:val="000000"/>
          <w:sz w:val="32"/>
          <w:szCs w:val="32"/>
        </w:rPr>
        <w:t>：住房公积金，反映行政事业单位按人力资源和社会保障部，财政部等规定和基本工资和津贴补贴以及规定比例为职工缴纳的住房公积金，指</w:t>
      </w:r>
      <w:r>
        <w:rPr>
          <w:rFonts w:hint="eastAsia" w:ascii="仿宋_GB2312" w:eastAsia="仿宋_GB2312"/>
          <w:color w:val="000000"/>
          <w:sz w:val="32"/>
          <w:szCs w:val="32"/>
          <w:lang w:eastAsia="zh-CN"/>
        </w:rPr>
        <w:t>阿坝州民族歌舞团职工</w:t>
      </w:r>
      <w:r>
        <w:rPr>
          <w:rFonts w:hint="eastAsia" w:ascii="仿宋_GB2312" w:eastAsia="仿宋_GB2312"/>
          <w:color w:val="000000"/>
          <w:sz w:val="32"/>
          <w:szCs w:val="32"/>
        </w:rPr>
        <w:t>住房公积金</w:t>
      </w:r>
      <w:r>
        <w:rPr>
          <w:rFonts w:hint="eastAsia" w:ascii="仿宋_GB2312" w:eastAsia="仿宋_GB2312"/>
          <w:color w:val="000000"/>
          <w:sz w:val="32"/>
          <w:szCs w:val="32"/>
          <w:lang w:eastAsia="zh-CN"/>
        </w:rPr>
        <w:t>支出。</w:t>
      </w:r>
    </w:p>
    <w:p w14:paraId="0F0A890F">
      <w:pPr>
        <w:pageBreakBefore w:val="0"/>
        <w:kinsoku/>
        <w:wordWrap/>
        <w:overflowPunct/>
        <w:topLinePunct w:val="0"/>
        <w:bidi w:val="0"/>
        <w:spacing w:line="560" w:lineRule="atLeas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9</w:t>
      </w:r>
      <w:r>
        <w:rPr>
          <w:rFonts w:hint="eastAsia" w:ascii="Times New Roman" w:hAnsi="Times New Roman" w:eastAsia="仿宋_GB2312" w:cs="仿宋_GB2312"/>
          <w:color w:val="auto"/>
          <w:kern w:val="2"/>
          <w:sz w:val="32"/>
          <w:szCs w:val="32"/>
          <w:highlight w:val="none"/>
          <w:lang w:val="en-US" w:eastAsia="zh-CN" w:bidi="ar-SA"/>
        </w:rPr>
        <w:t>.基本支出：指为保障机构正常运转、完成日常工作任务而发生的人员支出和公用支出。</w:t>
      </w:r>
    </w:p>
    <w:p w14:paraId="7BABB4ED">
      <w:pPr>
        <w:pageBreakBefore w:val="0"/>
        <w:kinsoku/>
        <w:wordWrap/>
        <w:overflowPunct/>
        <w:topLinePunct w:val="0"/>
        <w:bidi w:val="0"/>
        <w:spacing w:line="560" w:lineRule="atLeas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10</w:t>
      </w:r>
      <w:r>
        <w:rPr>
          <w:rFonts w:hint="eastAsia" w:ascii="Times New Roman" w:hAnsi="Times New Roman" w:eastAsia="仿宋_GB2312" w:cs="仿宋_GB2312"/>
          <w:color w:val="auto"/>
          <w:kern w:val="2"/>
          <w:sz w:val="32"/>
          <w:szCs w:val="32"/>
          <w:highlight w:val="none"/>
          <w:lang w:val="en-US" w:eastAsia="zh-CN" w:bidi="ar-SA"/>
        </w:rPr>
        <w:t xml:space="preserve">.项目支出：指在基本支出之外为完成特定行政任务和事业发展目标所发生的支出。 </w:t>
      </w:r>
    </w:p>
    <w:p w14:paraId="144BC020">
      <w:pPr>
        <w:pageBreakBefore w:val="0"/>
        <w:kinsoku/>
        <w:wordWrap/>
        <w:overflowPunct/>
        <w:topLinePunct w:val="0"/>
        <w:bidi w:val="0"/>
        <w:spacing w:line="560" w:lineRule="atLeas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11</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三公</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0D07BE49">
      <w:pPr>
        <w:pageBreakBefore w:val="0"/>
        <w:kinsoku/>
        <w:wordWrap/>
        <w:overflowPunct/>
        <w:topLinePunct w:val="0"/>
        <w:bidi w:val="0"/>
        <w:spacing w:line="560" w:lineRule="atLeast"/>
        <w:jc w:val="both"/>
        <w:rPr>
          <w:rStyle w:val="31"/>
          <w:rFonts w:hint="eastAsia" w:ascii="Times New Roman" w:hAnsi="Times New Roman" w:eastAsia="黑体"/>
          <w:b w:val="0"/>
          <w:color w:val="auto"/>
          <w:highlight w:val="none"/>
          <w:lang w:eastAsia="zh-CN"/>
        </w:rPr>
      </w:pPr>
      <w:bookmarkStart w:id="45" w:name="_Toc15377226"/>
      <w:r>
        <w:rPr>
          <w:rFonts w:hint="eastAsia" w:ascii="Times New Roman" w:hAnsi="Times New Roman" w:eastAsia="仿宋_GB2312" w:cs="仿宋_GB2312"/>
          <w:color w:val="auto"/>
          <w:kern w:val="2"/>
          <w:sz w:val="32"/>
          <w:szCs w:val="32"/>
          <w:highlight w:val="none"/>
          <w:lang w:val="en-US" w:eastAsia="zh-CN" w:bidi="ar-SA"/>
        </w:rPr>
        <w:br w:type="page"/>
      </w:r>
      <w:bookmarkStart w:id="46" w:name="_Toc15396614"/>
      <w:r>
        <w:rPr>
          <w:rFonts w:hint="eastAsia" w:eastAsia="仿宋_GB2312" w:cs="仿宋_GB2312"/>
          <w:color w:val="auto"/>
          <w:kern w:val="2"/>
          <w:sz w:val="32"/>
          <w:szCs w:val="32"/>
          <w:highlight w:val="none"/>
          <w:lang w:val="en-US" w:eastAsia="zh-CN" w:bidi="ar-SA"/>
        </w:rPr>
        <w:t xml:space="preserve">               </w:t>
      </w:r>
      <w:r>
        <w:rPr>
          <w:rFonts w:hint="eastAsia" w:ascii="Times New Roman" w:hAnsi="Times New Roman" w:eastAsia="黑体"/>
          <w:color w:val="auto"/>
          <w:sz w:val="44"/>
          <w:szCs w:val="44"/>
          <w:highlight w:val="none"/>
        </w:rPr>
        <w:t>第四部分</w:t>
      </w:r>
      <w:r>
        <w:rPr>
          <w:rFonts w:hint="eastAsia" w:ascii="Times New Roman" w:hAnsi="Times New Roman"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 xml:space="preserve"> 附件</w:t>
      </w:r>
      <w:bookmarkEnd w:id="46"/>
    </w:p>
    <w:p w14:paraId="410C4E68">
      <w:pPr>
        <w:keepNext w:val="0"/>
        <w:keepLines w:val="0"/>
        <w:pageBreakBefore w:val="0"/>
        <w:kinsoku/>
        <w:wordWrap/>
        <w:overflowPunct/>
        <w:topLinePunct w:val="0"/>
        <w:autoSpaceDE/>
        <w:autoSpaceDN/>
        <w:bidi w:val="0"/>
        <w:spacing w:line="560" w:lineRule="atLeast"/>
        <w:jc w:val="left"/>
        <w:textAlignment w:val="auto"/>
        <w:outlineLvl w:val="0"/>
        <w:rPr>
          <w:rFonts w:hint="eastAsia" w:ascii="Times New Roman" w:hAnsi="Times New Roman" w:eastAsia="黑体" w:cs="黑体"/>
          <w:color w:val="FF0000"/>
          <w:sz w:val="32"/>
          <w:szCs w:val="32"/>
          <w:highlight w:val="none"/>
        </w:rPr>
      </w:pPr>
    </w:p>
    <w:p w14:paraId="471B8BEC">
      <w:pPr>
        <w:keepNext w:val="0"/>
        <w:keepLines w:val="0"/>
        <w:pageBreakBefore w:val="0"/>
        <w:kinsoku/>
        <w:wordWrap/>
        <w:overflowPunct/>
        <w:topLinePunct w:val="0"/>
        <w:autoSpaceDE/>
        <w:autoSpaceDN/>
        <w:bidi w:val="0"/>
        <w:spacing w:line="560" w:lineRule="atLeast"/>
        <w:jc w:val="left"/>
        <w:textAlignment w:val="auto"/>
        <w:outlineLvl w:val="0"/>
        <w:rPr>
          <w:rFonts w:hint="eastAsia" w:ascii="Times New Roman" w:hAnsi="Times New Roman" w:eastAsia="黑体" w:cs="方正小标宋简体"/>
          <w:color w:val="auto"/>
          <w:sz w:val="44"/>
          <w:szCs w:val="44"/>
          <w:highlight w:val="none"/>
          <w:lang w:val="en-US" w:eastAsia="zh-CN"/>
        </w:rPr>
      </w:pPr>
      <w:r>
        <w:rPr>
          <w:rFonts w:hint="eastAsia" w:ascii="Times New Roman" w:hAnsi="Times New Roman" w:eastAsia="黑体" w:cs="黑体"/>
          <w:color w:val="auto"/>
          <w:sz w:val="32"/>
          <w:szCs w:val="32"/>
          <w:highlight w:val="none"/>
        </w:rPr>
        <w:t>附件</w:t>
      </w:r>
      <w:r>
        <w:rPr>
          <w:rFonts w:hint="eastAsia" w:ascii="Times New Roman" w:hAnsi="Times New Roman" w:eastAsia="黑体" w:cs="黑体"/>
          <w:color w:val="auto"/>
          <w:sz w:val="32"/>
          <w:szCs w:val="32"/>
          <w:highlight w:val="none"/>
          <w:lang w:val="en-US" w:eastAsia="zh-CN"/>
        </w:rPr>
        <w:t>1</w:t>
      </w:r>
    </w:p>
    <w:p w14:paraId="5FC116EA">
      <w:pPr>
        <w:keepNext w:val="0"/>
        <w:keepLines w:val="0"/>
        <w:pageBreakBefore w:val="0"/>
        <w:widowControl/>
        <w:kinsoku/>
        <w:wordWrap/>
        <w:overflowPunct/>
        <w:topLinePunct w:val="0"/>
        <w:autoSpaceDE/>
        <w:autoSpaceDN/>
        <w:bidi w:val="0"/>
        <w:spacing w:line="560" w:lineRule="atLeas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p>
    <w:p w14:paraId="6A01C845">
      <w:pPr>
        <w:keepNext w:val="0"/>
        <w:keepLines w:val="0"/>
        <w:pageBreakBefore w:val="0"/>
        <w:widowControl/>
        <w:kinsoku/>
        <w:wordWrap/>
        <w:overflowPunct/>
        <w:topLinePunct w:val="0"/>
        <w:autoSpaceDE/>
        <w:autoSpaceDN/>
        <w:bidi w:val="0"/>
        <w:adjustRightInd w:val="0"/>
        <w:snapToGrid w:val="0"/>
        <w:spacing w:line="560" w:lineRule="atLeast"/>
        <w:ind w:firstLine="480" w:firstLineChars="200"/>
        <w:contextualSpacing/>
        <w:jc w:val="left"/>
        <w:textAlignment w:val="auto"/>
        <w:outlineLvl w:val="9"/>
        <w:rPr>
          <w:rFonts w:hint="default" w:ascii="Times New Roman" w:hAnsi="Times New Roman" w:eastAsia="黑体" w:cs="Times New Roman"/>
          <w:color w:val="000000"/>
          <w:kern w:val="0"/>
          <w:sz w:val="24"/>
          <w:szCs w:val="32"/>
          <w:highlight w:val="none"/>
          <w:shd w:val="clear" w:color="auto" w:fill="FFFFFF"/>
        </w:rPr>
      </w:pPr>
    </w:p>
    <w:p w14:paraId="5C4B397F">
      <w:pPr>
        <w:keepNext w:val="0"/>
        <w:keepLines w:val="0"/>
        <w:pageBreakBefore w:val="0"/>
        <w:widowControl/>
        <w:kinsoku/>
        <w:wordWrap/>
        <w:overflowPunct/>
        <w:topLinePunct w:val="0"/>
        <w:autoSpaceDE/>
        <w:autoSpaceDN/>
        <w:bidi w:val="0"/>
        <w:spacing w:afterAutospacing="0" w:line="560" w:lineRule="atLeast"/>
        <w:contextualSpacing/>
        <w:jc w:val="center"/>
        <w:textAlignment w:val="auto"/>
        <w:outlineLvl w:val="9"/>
        <w:rPr>
          <w:rFonts w:hint="eastAsia" w:eastAsia="方正小标宋简体" w:cs="Times New Roman"/>
          <w:b w:val="0"/>
          <w:bCs/>
          <w:sz w:val="44"/>
          <w:szCs w:val="44"/>
          <w:highlight w:val="none"/>
          <w:shd w:val="clear" w:color="auto" w:fill="FFFFFF"/>
          <w:lang w:val="en-US" w:eastAsia="zh-CN"/>
        </w:rPr>
      </w:pPr>
      <w:r>
        <w:rPr>
          <w:rFonts w:hint="eastAsia" w:eastAsia="方正小标宋简体" w:cs="Times New Roman"/>
          <w:b w:val="0"/>
          <w:bCs/>
          <w:sz w:val="44"/>
          <w:szCs w:val="44"/>
          <w:highlight w:val="none"/>
          <w:shd w:val="clear" w:color="auto" w:fill="FFFFFF"/>
          <w:lang w:val="en-US" w:eastAsia="zh-CN"/>
        </w:rPr>
        <w:t>阿坝州民族歌舞团</w:t>
      </w:r>
    </w:p>
    <w:p w14:paraId="42E6148C">
      <w:pPr>
        <w:keepNext w:val="0"/>
        <w:keepLines w:val="0"/>
        <w:pageBreakBefore w:val="0"/>
        <w:widowControl/>
        <w:kinsoku/>
        <w:wordWrap/>
        <w:overflowPunct/>
        <w:topLinePunct w:val="0"/>
        <w:autoSpaceDE/>
        <w:autoSpaceDN/>
        <w:bidi w:val="0"/>
        <w:spacing w:afterAutospacing="0" w:line="560" w:lineRule="atLeast"/>
        <w:contextualSpacing/>
        <w:jc w:val="center"/>
        <w:textAlignment w:val="auto"/>
        <w:outlineLvl w:val="9"/>
        <w:rPr>
          <w:rFonts w:hint="default" w:ascii="Times New Roman" w:hAnsi="Times New Roman" w:cs="Times New Roman"/>
          <w:szCs w:val="32"/>
          <w:highlight w:val="none"/>
          <w:shd w:val="clear" w:color="auto" w:fill="FFFFFF"/>
        </w:rPr>
      </w:pPr>
      <w:r>
        <w:rPr>
          <w:rFonts w:hint="eastAsia" w:eastAsia="方正小标宋简体" w:cs="Times New Roman"/>
          <w:b w:val="0"/>
          <w:bCs/>
          <w:sz w:val="44"/>
          <w:szCs w:val="44"/>
          <w:highlight w:val="none"/>
          <w:shd w:val="clear" w:color="auto" w:fill="FFFFFF"/>
          <w:lang w:val="en-US" w:eastAsia="zh-CN"/>
        </w:rPr>
        <w:t>2025年度</w:t>
      </w:r>
      <w:r>
        <w:rPr>
          <w:rFonts w:hint="eastAsia" w:eastAsia="方正小标宋简体" w:cs="Times New Roman"/>
          <w:b w:val="0"/>
          <w:bCs/>
          <w:sz w:val="44"/>
          <w:szCs w:val="44"/>
          <w:highlight w:val="none"/>
          <w:shd w:val="clear" w:color="auto" w:fill="FFFFFF"/>
          <w:lang w:eastAsia="zh-CN"/>
        </w:rPr>
        <w:t>整体</w:t>
      </w:r>
      <w:r>
        <w:rPr>
          <w:rFonts w:hint="default" w:ascii="Times New Roman" w:hAnsi="Times New Roman" w:eastAsia="方正小标宋简体" w:cs="Times New Roman"/>
          <w:b w:val="0"/>
          <w:bCs/>
          <w:sz w:val="44"/>
          <w:szCs w:val="44"/>
          <w:highlight w:val="none"/>
          <w:shd w:val="clear" w:color="auto" w:fill="FFFFFF"/>
        </w:rPr>
        <w:t>绩效</w:t>
      </w:r>
      <w:r>
        <w:rPr>
          <w:rFonts w:hint="eastAsia" w:eastAsia="方正小标宋简体" w:cs="Times New Roman"/>
          <w:b w:val="0"/>
          <w:bCs/>
          <w:sz w:val="44"/>
          <w:szCs w:val="44"/>
          <w:highlight w:val="none"/>
          <w:shd w:val="clear" w:color="auto" w:fill="FFFFFF"/>
          <w:lang w:eastAsia="zh-CN"/>
        </w:rPr>
        <w:t>自评</w:t>
      </w:r>
      <w:r>
        <w:rPr>
          <w:rFonts w:hint="default" w:ascii="Times New Roman" w:hAnsi="Times New Roman" w:eastAsia="方正小标宋简体" w:cs="Times New Roman"/>
          <w:b w:val="0"/>
          <w:bCs/>
          <w:sz w:val="44"/>
          <w:szCs w:val="44"/>
          <w:highlight w:val="none"/>
          <w:shd w:val="clear" w:color="auto" w:fill="FFFFFF"/>
        </w:rPr>
        <w:t>报告</w:t>
      </w:r>
    </w:p>
    <w:p w14:paraId="6E531EFD">
      <w:pPr>
        <w:pStyle w:val="18"/>
        <w:keepNext w:val="0"/>
        <w:keepLines w:val="0"/>
        <w:pageBreakBefore w:val="0"/>
        <w:widowControl/>
        <w:kinsoku/>
        <w:wordWrap/>
        <w:overflowPunct/>
        <w:topLinePunct w:val="0"/>
        <w:bidi w:val="0"/>
        <w:spacing w:before="0" w:after="0" w:afterAutospacing="0" w:line="560" w:lineRule="atLeast"/>
        <w:textAlignment w:val="auto"/>
        <w:rPr>
          <w:rFonts w:hint="eastAsia" w:ascii="仿宋" w:hAnsi="仿宋" w:eastAsia="仿宋" w:cs="仿宋"/>
          <w:color w:val="000000"/>
          <w:sz w:val="32"/>
          <w:szCs w:val="32"/>
        </w:rPr>
      </w:pPr>
    </w:p>
    <w:p w14:paraId="7D0923A9">
      <w:pPr>
        <w:keepNext w:val="0"/>
        <w:keepLines w:val="0"/>
        <w:pageBreakBefore w:val="0"/>
        <w:widowControl/>
        <w:numPr>
          <w:ilvl w:val="0"/>
          <w:numId w:val="0"/>
        </w:numPr>
        <w:kinsoku/>
        <w:wordWrap/>
        <w:overflowPunct/>
        <w:topLinePunct w:val="0"/>
        <w:autoSpaceDE/>
        <w:autoSpaceDN/>
        <w:bidi w:val="0"/>
        <w:adjustRightInd w:val="0"/>
        <w:snapToGrid w:val="0"/>
        <w:spacing w:afterAutospacing="0" w:line="560" w:lineRule="atLeast"/>
        <w:ind w:firstLine="640" w:firstLineChars="200"/>
        <w:contextualSpacing/>
        <w:jc w:val="left"/>
        <w:textAlignment w:val="auto"/>
        <w:outlineLvl w:val="9"/>
        <w:rPr>
          <w:rFonts w:hint="default" w:ascii="Times New Roman" w:hAnsi="Times New Roman" w:cs="Times New Roman"/>
          <w:sz w:val="32"/>
          <w:szCs w:val="32"/>
        </w:rPr>
      </w:pPr>
      <w:r>
        <w:rPr>
          <w:rFonts w:hint="default" w:ascii="Times New Roman" w:hAnsi="Times New Roman" w:eastAsia="黑体" w:cs="Times New Roman"/>
          <w:color w:val="000000"/>
          <w:kern w:val="0"/>
          <w:sz w:val="32"/>
          <w:szCs w:val="32"/>
          <w:highlight w:val="none"/>
          <w:shd w:val="clear" w:color="auto" w:fill="FFFFFF"/>
          <w:lang w:val="zh-CN"/>
        </w:rPr>
        <w:t>一、部门（单位）基本情况</w:t>
      </w:r>
    </w:p>
    <w:p w14:paraId="439536F6">
      <w:pPr>
        <w:pStyle w:val="18"/>
        <w:keepNext w:val="0"/>
        <w:keepLines w:val="0"/>
        <w:pageBreakBefore w:val="0"/>
        <w:widowControl/>
        <w:kinsoku/>
        <w:wordWrap/>
        <w:overflowPunct/>
        <w:topLinePunct w:val="0"/>
        <w:bidi w:val="0"/>
        <w:spacing w:before="0" w:after="0" w:afterAutospacing="0" w:line="560" w:lineRule="atLeast"/>
        <w:ind w:firstLine="643" w:firstLineChars="200"/>
        <w:textAlignment w:val="auto"/>
        <w:rPr>
          <w:rFonts w:hint="eastAsia" w:ascii="楷体" w:hAnsi="楷体" w:eastAsia="楷体" w:cs="楷体"/>
          <w:b/>
          <w:color w:val="000000"/>
          <w:sz w:val="32"/>
          <w:szCs w:val="32"/>
        </w:rPr>
      </w:pPr>
      <w:r>
        <w:rPr>
          <w:rFonts w:hint="eastAsia" w:ascii="楷体" w:hAnsi="楷体" w:eastAsia="楷体" w:cs="楷体"/>
          <w:b/>
          <w:color w:val="000000"/>
          <w:sz w:val="32"/>
          <w:szCs w:val="32"/>
        </w:rPr>
        <w:t>（一）机构情况</w:t>
      </w:r>
    </w:p>
    <w:p w14:paraId="3A77DA50">
      <w:pPr>
        <w:pStyle w:val="18"/>
        <w:keepNext w:val="0"/>
        <w:keepLines w:val="0"/>
        <w:pageBreakBefore w:val="0"/>
        <w:widowControl/>
        <w:kinsoku/>
        <w:wordWrap/>
        <w:overflowPunct/>
        <w:topLinePunct w:val="0"/>
        <w:bidi w:val="0"/>
        <w:spacing w:before="0" w:after="0" w:afterAutospacing="0" w:line="560" w:lineRule="atLeast"/>
        <w:ind w:firstLine="640" w:firstLineChars="200"/>
        <w:textAlignment w:val="auto"/>
        <w:rPr>
          <w:rFonts w:hint="eastAsia" w:ascii="仿宋" w:hAnsi="仿宋" w:eastAsia="仿宋" w:cs="仿宋"/>
          <w:color w:val="000000"/>
          <w:sz w:val="32"/>
          <w:szCs w:val="32"/>
        </w:rPr>
      </w:pPr>
      <w:r>
        <w:rPr>
          <w:rFonts w:hint="eastAsia" w:ascii="仿宋" w:hAnsi="仿宋" w:eastAsia="仿宋" w:cs="仿宋"/>
          <w:color w:val="000000"/>
          <w:sz w:val="32"/>
          <w:szCs w:val="32"/>
        </w:rPr>
        <w:t>歌舞团内设机构9个，具体是：行政办公室、业务办公室、创作办公室、舞蹈队、声乐队、乐器队、舞美队、剧场办公室、非遗研习室</w:t>
      </w:r>
      <w:r>
        <w:rPr>
          <w:rFonts w:hint="eastAsia" w:ascii="仿宋" w:hAnsi="仿宋" w:eastAsia="仿宋" w:cs="仿宋"/>
          <w:color w:val="000000"/>
          <w:sz w:val="32"/>
          <w:szCs w:val="32"/>
          <w:lang w:eastAsia="zh-CN"/>
        </w:rPr>
        <w:t>。</w:t>
      </w:r>
      <w:r>
        <w:rPr>
          <w:rFonts w:hint="eastAsia" w:ascii="仿宋" w:hAnsi="仿宋" w:eastAsia="仿宋" w:cs="仿宋"/>
          <w:color w:val="000000"/>
          <w:sz w:val="32"/>
          <w:szCs w:val="32"/>
        </w:rPr>
        <w:t xml:space="preserve"> </w:t>
      </w:r>
    </w:p>
    <w:p w14:paraId="16BA6AB0">
      <w:pPr>
        <w:pStyle w:val="18"/>
        <w:keepNext w:val="0"/>
        <w:keepLines w:val="0"/>
        <w:pageBreakBefore w:val="0"/>
        <w:widowControl/>
        <w:kinsoku/>
        <w:wordWrap/>
        <w:overflowPunct/>
        <w:topLinePunct w:val="0"/>
        <w:bidi w:val="0"/>
        <w:spacing w:before="0" w:after="0" w:afterAutospacing="0" w:line="560" w:lineRule="atLeast"/>
        <w:ind w:firstLine="643" w:firstLineChars="200"/>
        <w:textAlignment w:val="auto"/>
        <w:rPr>
          <w:rFonts w:hint="default" w:ascii="楷体" w:hAnsi="楷体" w:eastAsia="楷体" w:cs="楷体"/>
          <w:b/>
          <w:color w:val="000000"/>
          <w:sz w:val="32"/>
          <w:szCs w:val="32"/>
          <w:lang w:val="zh-CN"/>
        </w:rPr>
      </w:pPr>
      <w:r>
        <w:rPr>
          <w:rFonts w:hint="eastAsia" w:ascii="楷体" w:hAnsi="楷体" w:eastAsia="楷体" w:cs="楷体"/>
          <w:b/>
          <w:color w:val="000000"/>
          <w:sz w:val="32"/>
          <w:szCs w:val="32"/>
        </w:rPr>
        <w:t>（</w:t>
      </w:r>
      <w:r>
        <w:rPr>
          <w:rFonts w:hint="eastAsia" w:ascii="楷体" w:hAnsi="楷体" w:eastAsia="楷体" w:cs="楷体"/>
          <w:b/>
          <w:color w:val="000000"/>
          <w:sz w:val="32"/>
          <w:szCs w:val="32"/>
          <w:lang w:eastAsia="zh-CN"/>
        </w:rPr>
        <w:t>二</w:t>
      </w:r>
      <w:r>
        <w:rPr>
          <w:rFonts w:hint="eastAsia" w:ascii="楷体" w:hAnsi="楷体" w:eastAsia="楷体" w:cs="楷体"/>
          <w:b/>
          <w:color w:val="000000"/>
          <w:sz w:val="32"/>
          <w:szCs w:val="32"/>
        </w:rPr>
        <w:t>）</w:t>
      </w:r>
      <w:r>
        <w:rPr>
          <w:rFonts w:hint="default" w:ascii="楷体" w:hAnsi="楷体" w:eastAsia="楷体" w:cs="楷体"/>
          <w:b/>
          <w:color w:val="000000"/>
          <w:sz w:val="32"/>
          <w:szCs w:val="32"/>
          <w:lang w:val="zh-CN"/>
        </w:rPr>
        <w:t>机构职能</w:t>
      </w:r>
    </w:p>
    <w:p w14:paraId="68C336A0">
      <w:pPr>
        <w:pStyle w:val="38"/>
        <w:keepNext w:val="0"/>
        <w:keepLines w:val="0"/>
        <w:pageBreakBefore w:val="0"/>
        <w:widowControl w:val="0"/>
        <w:kinsoku/>
        <w:wordWrap/>
        <w:overflowPunct/>
        <w:topLinePunct w:val="0"/>
        <w:autoSpaceDE w:val="0"/>
        <w:bidi w:val="0"/>
        <w:spacing w:before="0" w:beforeAutospacing="0" w:after="0" w:afterAutospacing="0" w:line="560" w:lineRule="atLeast"/>
        <w:ind w:firstLine="640" w:firstLineChars="200"/>
        <w:jc w:val="both"/>
        <w:textAlignment w:val="auto"/>
        <w:rPr>
          <w:rFonts w:hint="eastAsia" w:ascii="仿宋" w:hAnsi="仿宋" w:eastAsia="仿宋" w:cs="仿宋"/>
          <w:color w:val="000000"/>
          <w:sz w:val="32"/>
          <w:szCs w:val="32"/>
        </w:rPr>
      </w:pPr>
      <w:r>
        <w:rPr>
          <w:rFonts w:hint="eastAsia" w:ascii="仿宋" w:hAnsi="仿宋" w:eastAsia="仿宋" w:cs="仿宋"/>
          <w:color w:val="000000"/>
          <w:sz w:val="32"/>
          <w:szCs w:val="32"/>
        </w:rPr>
        <w:t>宣传党的路线、方针、政策，树立宣传我州良好文化形象；担负着挖掘、整合、传承、示范、普及、研究我州丰富的藏羌民族文艺资源，拯救濒临失传的藏羌民族艺术成果及弘扬民族精神重任，也具有为我州文艺事业不断注入新内涵、新成果、新亮点的富有时代特征和民族特色的艺术成果任务；承担对外宣传我州艺术成果及对外开展艺术交流，传播先进文化成果的任务；承担着全州重要接待性演出、送文艺下乡演出、代表我州参加全省、全国的重要接待演出任务和演出赛事任务；担负着为我州各县文化战线培养复合型表演人才和文艺骨干任务；承担打造具有藏羌民族特色的歌曲舞蹈音乐精品的工作任务，不断发展繁荣我州文化文艺事业。</w:t>
      </w:r>
    </w:p>
    <w:p w14:paraId="78A50F6A">
      <w:pPr>
        <w:keepNext w:val="0"/>
        <w:keepLines w:val="0"/>
        <w:pageBreakBefore w:val="0"/>
        <w:widowControl w:val="0"/>
        <w:numPr>
          <w:ilvl w:val="0"/>
          <w:numId w:val="0"/>
        </w:numPr>
        <w:kinsoku/>
        <w:wordWrap/>
        <w:overflowPunct/>
        <w:topLinePunct w:val="0"/>
        <w:autoSpaceDE/>
        <w:autoSpaceDN/>
        <w:bidi w:val="0"/>
        <w:adjustRightInd/>
        <w:snapToGrid/>
        <w:spacing w:afterAutospacing="0" w:line="560" w:lineRule="atLeast"/>
        <w:ind w:leftChars="200"/>
        <w:textAlignment w:val="auto"/>
        <w:rPr>
          <w:rFonts w:hint="eastAsia" w:ascii="楷体" w:hAnsi="楷体" w:eastAsia="楷体" w:cs="楷体"/>
          <w:b/>
          <w:bCs/>
          <w:color w:val="000000"/>
          <w:kern w:val="0"/>
          <w:sz w:val="32"/>
          <w:szCs w:val="32"/>
          <w:highlight w:val="none"/>
          <w:shd w:val="clear" w:color="auto" w:fill="FFFFFF"/>
          <w:lang w:val="zh-CN"/>
        </w:rPr>
      </w:pPr>
      <w:r>
        <w:rPr>
          <w:rFonts w:hint="eastAsia" w:ascii="楷体" w:hAnsi="楷体" w:eastAsia="楷体" w:cs="楷体"/>
          <w:b/>
          <w:bCs/>
          <w:color w:val="000000"/>
          <w:kern w:val="0"/>
          <w:sz w:val="32"/>
          <w:szCs w:val="32"/>
          <w:highlight w:val="none"/>
          <w:shd w:val="clear" w:color="auto" w:fill="FFFFFF"/>
          <w:lang w:val="zh-CN"/>
        </w:rPr>
        <w:t>（三）人员概况</w:t>
      </w:r>
    </w:p>
    <w:p w14:paraId="6A04D71B">
      <w:pPr>
        <w:pageBreakBefore w:val="0"/>
        <w:kinsoku/>
        <w:wordWrap/>
        <w:overflowPunct/>
        <w:topLinePunct w:val="0"/>
        <w:autoSpaceDE w:val="0"/>
        <w:bidi w:val="0"/>
        <w:snapToGrid w:val="0"/>
        <w:spacing w:afterAutospacing="0" w:line="560" w:lineRule="atLeast"/>
        <w:ind w:firstLine="640" w:firstLineChars="200"/>
        <w:rPr>
          <w:rFonts w:hint="default" w:ascii="宋体" w:hAnsi="宋体" w:eastAsia="仿宋" w:cs="宋体"/>
          <w:kern w:val="0"/>
          <w:sz w:val="32"/>
          <w:szCs w:val="32"/>
          <w:lang w:val="en-US" w:eastAsia="zh-CN"/>
        </w:rPr>
      </w:pPr>
      <w:r>
        <w:rPr>
          <w:rFonts w:hint="eastAsia" w:ascii="仿宋" w:hAnsi="仿宋" w:eastAsia="仿宋" w:cs="仿宋"/>
          <w:kern w:val="0"/>
          <w:sz w:val="32"/>
          <w:szCs w:val="32"/>
          <w:lang w:val="en-US" w:eastAsia="zh-CN"/>
        </w:rPr>
        <w:t>2025年</w:t>
      </w:r>
      <w:r>
        <w:rPr>
          <w:rFonts w:hint="eastAsia" w:ascii="仿宋" w:hAnsi="仿宋" w:eastAsia="仿宋" w:cs="仿宋"/>
          <w:kern w:val="0"/>
          <w:sz w:val="32"/>
          <w:szCs w:val="32"/>
        </w:rPr>
        <w:t>年末实有人数为</w:t>
      </w:r>
      <w:r>
        <w:rPr>
          <w:rFonts w:hint="eastAsia" w:ascii="仿宋" w:hAnsi="仿宋" w:eastAsia="仿宋" w:cs="仿宋"/>
          <w:kern w:val="0"/>
          <w:sz w:val="32"/>
          <w:szCs w:val="32"/>
          <w:lang w:val="en-US" w:eastAsia="zh-CN"/>
        </w:rPr>
        <w:t>91</w:t>
      </w:r>
      <w:r>
        <w:rPr>
          <w:rFonts w:hint="eastAsia" w:ascii="仿宋" w:hAnsi="仿宋" w:eastAsia="仿宋" w:cs="仿宋"/>
          <w:kern w:val="0"/>
          <w:sz w:val="32"/>
          <w:szCs w:val="32"/>
        </w:rPr>
        <w:t>人，比上年增加</w:t>
      </w:r>
      <w:r>
        <w:rPr>
          <w:rFonts w:hint="eastAsia" w:ascii="仿宋" w:hAnsi="仿宋" w:eastAsia="仿宋" w:cs="仿宋"/>
          <w:kern w:val="0"/>
          <w:sz w:val="32"/>
          <w:szCs w:val="32"/>
          <w:lang w:val="en-US" w:eastAsia="zh-CN"/>
        </w:rPr>
        <w:t>3</w:t>
      </w:r>
      <w:r>
        <w:rPr>
          <w:rFonts w:hint="eastAsia" w:ascii="仿宋" w:hAnsi="仿宋" w:eastAsia="仿宋" w:cs="仿宋"/>
          <w:kern w:val="0"/>
          <w:sz w:val="32"/>
          <w:szCs w:val="32"/>
        </w:rPr>
        <w:t>人 ；在职人员</w:t>
      </w:r>
      <w:r>
        <w:rPr>
          <w:rFonts w:hint="eastAsia" w:ascii="仿宋" w:hAnsi="仿宋" w:eastAsia="仿宋" w:cs="仿宋"/>
          <w:kern w:val="0"/>
          <w:sz w:val="32"/>
          <w:szCs w:val="32"/>
          <w:lang w:val="en-US" w:eastAsia="zh-CN"/>
        </w:rPr>
        <w:t>91</w:t>
      </w:r>
      <w:r>
        <w:rPr>
          <w:rFonts w:hint="eastAsia" w:ascii="仿宋" w:hAnsi="仿宋" w:eastAsia="仿宋" w:cs="仿宋"/>
          <w:kern w:val="0"/>
          <w:sz w:val="32"/>
          <w:szCs w:val="32"/>
        </w:rPr>
        <w:t>人，其中，非参公事业人员</w:t>
      </w:r>
      <w:r>
        <w:rPr>
          <w:rFonts w:hint="eastAsia" w:ascii="仿宋" w:hAnsi="仿宋" w:eastAsia="仿宋" w:cs="仿宋"/>
          <w:kern w:val="0"/>
          <w:sz w:val="32"/>
          <w:szCs w:val="32"/>
          <w:lang w:val="en-US" w:eastAsia="zh-CN"/>
        </w:rPr>
        <w:t>91</w:t>
      </w:r>
      <w:r>
        <w:rPr>
          <w:rFonts w:hint="eastAsia" w:ascii="仿宋" w:hAnsi="仿宋" w:eastAsia="仿宋" w:cs="仿宋"/>
          <w:kern w:val="0"/>
          <w:sz w:val="32"/>
          <w:szCs w:val="32"/>
        </w:rPr>
        <w:t>人，离休人员1人，</w:t>
      </w:r>
      <w:r>
        <w:rPr>
          <w:rFonts w:hint="eastAsia" w:ascii="仿宋" w:hAnsi="仿宋" w:eastAsia="仿宋" w:cs="仿宋"/>
          <w:kern w:val="0"/>
          <w:sz w:val="32"/>
          <w:szCs w:val="32"/>
          <w:lang w:val="en-US" w:eastAsia="zh-CN"/>
        </w:rPr>
        <w:t>2025年调出1名人人员，新增4名人员。</w:t>
      </w:r>
    </w:p>
    <w:p w14:paraId="1D4A3A1C">
      <w:pPr>
        <w:keepNext w:val="0"/>
        <w:keepLines w:val="0"/>
        <w:pageBreakBefore w:val="0"/>
        <w:widowControl w:val="0"/>
        <w:kinsoku/>
        <w:wordWrap/>
        <w:overflowPunct/>
        <w:topLinePunct w:val="0"/>
        <w:autoSpaceDE w:val="0"/>
        <w:autoSpaceDN/>
        <w:bidi w:val="0"/>
        <w:adjustRightInd/>
        <w:snapToGrid/>
        <w:spacing w:afterAutospacing="0" w:line="560" w:lineRule="atLeast"/>
        <w:ind w:firstLine="640" w:firstLineChars="200"/>
        <w:textAlignment w:val="auto"/>
        <w:rPr>
          <w:rFonts w:hint="default" w:ascii="Times New Roman" w:hAnsi="Times New Roman" w:eastAsia="黑体" w:cs="Times New Roman"/>
          <w:color w:val="000000"/>
          <w:kern w:val="0"/>
          <w:sz w:val="32"/>
          <w:szCs w:val="32"/>
          <w:highlight w:val="none"/>
          <w:shd w:val="clear" w:color="auto" w:fill="FFFFFF"/>
        </w:rPr>
      </w:pPr>
      <w:r>
        <w:rPr>
          <w:rFonts w:hint="default" w:ascii="Times New Roman" w:hAnsi="Times New Roman" w:eastAsia="黑体" w:cs="Times New Roman"/>
          <w:color w:val="000000"/>
          <w:kern w:val="0"/>
          <w:sz w:val="32"/>
          <w:szCs w:val="32"/>
          <w:highlight w:val="none"/>
          <w:shd w:val="clear" w:color="auto" w:fill="FFFFFF"/>
        </w:rPr>
        <w:t>二、</w:t>
      </w:r>
      <w:r>
        <w:rPr>
          <w:rFonts w:hint="default" w:ascii="Times New Roman" w:hAnsi="Times New Roman" w:eastAsia="黑体" w:cs="Times New Roman"/>
          <w:color w:val="000000"/>
          <w:kern w:val="0"/>
          <w:sz w:val="32"/>
          <w:szCs w:val="32"/>
          <w:highlight w:val="none"/>
          <w:shd w:val="clear" w:color="auto" w:fill="FFFFFF"/>
          <w:lang w:eastAsia="zh-CN"/>
        </w:rPr>
        <w:t>部门</w:t>
      </w:r>
      <w:r>
        <w:rPr>
          <w:rFonts w:hint="default" w:ascii="Times New Roman" w:hAnsi="Times New Roman" w:eastAsia="黑体" w:cs="Times New Roman"/>
          <w:color w:val="000000"/>
          <w:kern w:val="0"/>
          <w:sz w:val="32"/>
          <w:szCs w:val="32"/>
          <w:highlight w:val="none"/>
          <w:shd w:val="clear" w:color="auto" w:fill="FFFFFF"/>
        </w:rPr>
        <w:t>资金收支情况</w:t>
      </w:r>
    </w:p>
    <w:p w14:paraId="005D7254">
      <w:pPr>
        <w:keepNext w:val="0"/>
        <w:keepLines w:val="0"/>
        <w:pageBreakBefore w:val="0"/>
        <w:widowControl w:val="0"/>
        <w:kinsoku/>
        <w:wordWrap/>
        <w:overflowPunct/>
        <w:topLinePunct w:val="0"/>
        <w:autoSpaceDE/>
        <w:autoSpaceDN/>
        <w:bidi w:val="0"/>
        <w:adjustRightInd/>
        <w:snapToGrid/>
        <w:spacing w:afterAutospacing="0" w:line="560" w:lineRule="atLeast"/>
        <w:ind w:firstLine="643" w:firstLineChars="200"/>
        <w:textAlignment w:val="auto"/>
        <w:rPr>
          <w:rFonts w:hint="eastAsia" w:ascii="楷体" w:hAnsi="楷体" w:eastAsia="楷体" w:cs="楷体"/>
          <w:b/>
          <w:bCs/>
          <w:color w:val="000000"/>
          <w:kern w:val="0"/>
          <w:sz w:val="32"/>
          <w:szCs w:val="32"/>
          <w:highlight w:val="none"/>
          <w:shd w:val="clear" w:color="auto" w:fill="FFFFFF"/>
          <w:lang w:val="zh-CN"/>
        </w:rPr>
      </w:pPr>
      <w:r>
        <w:rPr>
          <w:rFonts w:hint="eastAsia" w:ascii="楷体" w:hAnsi="楷体" w:eastAsia="楷体" w:cs="楷体"/>
          <w:b/>
          <w:bCs/>
          <w:color w:val="000000"/>
          <w:kern w:val="0"/>
          <w:sz w:val="32"/>
          <w:szCs w:val="32"/>
          <w:highlight w:val="none"/>
          <w:shd w:val="clear" w:color="auto" w:fill="FFFFFF"/>
          <w:lang w:val="zh-CN"/>
        </w:rPr>
        <w:t>（一）收入情况</w:t>
      </w:r>
    </w:p>
    <w:p w14:paraId="51F2C024">
      <w:pPr>
        <w:keepNext w:val="0"/>
        <w:keepLines w:val="0"/>
        <w:pageBreakBefore w:val="0"/>
        <w:widowControl w:val="0"/>
        <w:kinsoku/>
        <w:wordWrap/>
        <w:overflowPunct/>
        <w:topLinePunct w:val="0"/>
        <w:autoSpaceDE/>
        <w:autoSpaceDN/>
        <w:bidi w:val="0"/>
        <w:adjustRightInd/>
        <w:snapToGrid/>
        <w:spacing w:afterAutospacing="0" w:line="560" w:lineRule="atLeast"/>
        <w:ind w:firstLine="640" w:firstLineChars="200"/>
        <w:textAlignment w:val="auto"/>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2025年，年初预算收入总额为</w:t>
      </w:r>
      <w:r>
        <w:rPr>
          <w:rFonts w:hint="eastAsia" w:ascii="仿宋" w:hAnsi="仿宋" w:eastAsia="仿宋" w:cs="仿宋"/>
          <w:kern w:val="2"/>
          <w:sz w:val="32"/>
          <w:szCs w:val="32"/>
          <w:lang w:val="en-US" w:eastAsia="zh-CN" w:bidi="ar-SA"/>
        </w:rPr>
        <w:t>2515.1</w:t>
      </w:r>
      <w:r>
        <w:rPr>
          <w:rFonts w:hint="eastAsia" w:ascii="仿宋" w:hAnsi="仿宋" w:eastAsia="仿宋" w:cs="仿宋"/>
          <w:kern w:val="2"/>
          <w:sz w:val="32"/>
          <w:szCs w:val="32"/>
          <w:highlight w:val="none"/>
          <w:lang w:val="en-US" w:eastAsia="zh-CN" w:bidi="ar-SA"/>
        </w:rPr>
        <w:t>万元，其中：上年结转0万元，占0%；一般公共预算拨款收2515.1万元，占100%；事业收入0万元，占0%；其他收入0万元，占0%。</w:t>
      </w:r>
    </w:p>
    <w:p w14:paraId="562E8C09">
      <w:pPr>
        <w:keepNext w:val="0"/>
        <w:keepLines w:val="0"/>
        <w:pageBreakBefore w:val="0"/>
        <w:widowControl w:val="0"/>
        <w:kinsoku/>
        <w:wordWrap/>
        <w:overflowPunct/>
        <w:topLinePunct w:val="0"/>
        <w:autoSpaceDE/>
        <w:autoSpaceDN/>
        <w:bidi w:val="0"/>
        <w:adjustRightInd/>
        <w:snapToGrid/>
        <w:spacing w:afterAutospacing="0" w:line="560" w:lineRule="atLeast"/>
        <w:ind w:firstLine="640" w:firstLineChars="200"/>
        <w:textAlignment w:val="auto"/>
        <w:rPr>
          <w:rFonts w:hint="default" w:ascii="Times New Roman" w:hAnsi="Times New Roman" w:eastAsia="仿宋" w:cs="Times New Roman"/>
          <w:b/>
          <w:bCs/>
          <w:color w:val="000000"/>
          <w:kern w:val="0"/>
          <w:szCs w:val="32"/>
          <w:highlight w:val="none"/>
          <w:shd w:val="clear" w:color="auto" w:fill="FFFFFF"/>
          <w:lang w:val="en-US" w:eastAsia="zh-CN"/>
        </w:rPr>
      </w:pPr>
      <w:r>
        <w:rPr>
          <w:rFonts w:hint="eastAsia" w:ascii="仿宋" w:hAnsi="仿宋" w:eastAsia="仿宋" w:cs="仿宋"/>
          <w:kern w:val="2"/>
          <w:sz w:val="32"/>
          <w:szCs w:val="32"/>
          <w:highlight w:val="none"/>
          <w:lang w:val="en-US" w:eastAsia="zh-CN" w:bidi="ar-SA"/>
        </w:rPr>
        <w:t>2025年决算报表，本单位年度收入为2891.74万元，其中：一般公共预算财政拨款收入为2799.6万元，占比97%；其他收入42.69万元，占比1%；上年结转49.45万元，占比2%。</w:t>
      </w:r>
    </w:p>
    <w:p w14:paraId="26002175">
      <w:pPr>
        <w:keepNext w:val="0"/>
        <w:keepLines w:val="0"/>
        <w:pageBreakBefore w:val="0"/>
        <w:widowControl w:val="0"/>
        <w:numPr>
          <w:ilvl w:val="0"/>
          <w:numId w:val="4"/>
        </w:numPr>
        <w:kinsoku/>
        <w:wordWrap/>
        <w:overflowPunct/>
        <w:topLinePunct w:val="0"/>
        <w:autoSpaceDE/>
        <w:autoSpaceDN/>
        <w:bidi w:val="0"/>
        <w:adjustRightInd/>
        <w:snapToGrid/>
        <w:spacing w:afterAutospacing="0" w:line="560" w:lineRule="atLeast"/>
        <w:ind w:firstLine="643" w:firstLineChars="200"/>
        <w:textAlignment w:val="auto"/>
        <w:rPr>
          <w:rFonts w:hint="default"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支出情况</w:t>
      </w:r>
    </w:p>
    <w:p w14:paraId="39F29E3E">
      <w:pPr>
        <w:keepNext w:val="0"/>
        <w:keepLines w:val="0"/>
        <w:pageBreakBefore w:val="0"/>
        <w:widowControl w:val="0"/>
        <w:numPr>
          <w:ilvl w:val="0"/>
          <w:numId w:val="0"/>
        </w:numPr>
        <w:kinsoku/>
        <w:wordWrap/>
        <w:overflowPunct/>
        <w:topLinePunct w:val="0"/>
        <w:autoSpaceDE/>
        <w:autoSpaceDN/>
        <w:bidi w:val="0"/>
        <w:adjustRightInd/>
        <w:snapToGrid/>
        <w:spacing w:afterAutospacing="0" w:line="560" w:lineRule="atLeast"/>
        <w:ind w:firstLine="640" w:firstLineChars="200"/>
        <w:textAlignment w:val="auto"/>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2025年，年初预算支出总额2515.1万元，其中：基本支出2426.1万元，占96%；项目支出89万元，占4%。</w:t>
      </w:r>
    </w:p>
    <w:p w14:paraId="0C04171A">
      <w:pPr>
        <w:pStyle w:val="30"/>
        <w:keepNext w:val="0"/>
        <w:keepLines w:val="0"/>
        <w:pageBreakBefore w:val="0"/>
        <w:widowControl w:val="0"/>
        <w:numPr>
          <w:ilvl w:val="0"/>
          <w:numId w:val="0"/>
        </w:numPr>
        <w:kinsoku/>
        <w:wordWrap/>
        <w:overflowPunct/>
        <w:topLinePunct w:val="0"/>
        <w:autoSpaceDE/>
        <w:autoSpaceDN/>
        <w:bidi w:val="0"/>
        <w:adjustRightInd/>
        <w:snapToGrid/>
        <w:spacing w:line="560" w:lineRule="atLeast"/>
        <w:ind w:firstLine="640" w:firstLineChars="200"/>
        <w:textAlignment w:val="auto"/>
        <w:outlineLvl w:val="1"/>
        <w:rPr>
          <w:rFonts w:hint="eastAsia" w:eastAsia="仿宋_GB2312" w:cs="仿宋_GB2312"/>
          <w:color w:val="auto"/>
          <w:sz w:val="32"/>
          <w:szCs w:val="32"/>
          <w:highlight w:val="none"/>
          <w:lang w:eastAsia="zh-CN"/>
        </w:rPr>
      </w:pPr>
      <w:r>
        <w:rPr>
          <w:rFonts w:hint="eastAsia" w:ascii="仿宋" w:hAnsi="仿宋" w:eastAsia="仿宋" w:cs="仿宋"/>
          <w:b w:val="0"/>
          <w:bCs/>
          <w:kern w:val="2"/>
          <w:sz w:val="32"/>
          <w:szCs w:val="32"/>
          <w:highlight w:val="none"/>
          <w:lang w:val="en-US" w:eastAsia="zh-CN" w:bidi="ar-SA"/>
        </w:rPr>
        <w:t>2025年决算报表支出合计</w:t>
      </w:r>
      <w:r>
        <w:rPr>
          <w:rFonts w:hint="eastAsia" w:ascii="Times New Roman" w:hAnsi="Times New Roman" w:eastAsia="仿宋_GB2312" w:cs="仿宋_GB2312"/>
          <w:color w:val="auto"/>
          <w:sz w:val="32"/>
          <w:szCs w:val="32"/>
          <w:highlight w:val="none"/>
          <w:lang w:eastAsia="zh-CN"/>
        </w:rPr>
        <w:t>2829.4万元，其中：基本支出2527.12万元，占</w:t>
      </w:r>
      <w:r>
        <w:rPr>
          <w:rFonts w:hint="eastAsia" w:eastAsia="仿宋_GB2312" w:cs="仿宋_GB2312"/>
          <w:color w:val="auto"/>
          <w:sz w:val="32"/>
          <w:szCs w:val="32"/>
          <w:highlight w:val="none"/>
          <w:lang w:val="en-US" w:eastAsia="zh-CN"/>
        </w:rPr>
        <w:t>89.3</w:t>
      </w:r>
      <w:r>
        <w:rPr>
          <w:rFonts w:hint="eastAsia" w:ascii="Times New Roman" w:hAnsi="Times New Roman" w:eastAsia="仿宋_GB2312" w:cs="仿宋_GB2312"/>
          <w:color w:val="auto"/>
          <w:sz w:val="32"/>
          <w:szCs w:val="32"/>
          <w:highlight w:val="none"/>
          <w:lang w:eastAsia="zh-CN"/>
        </w:rPr>
        <w:t>%；项目支出302.28万元，占</w:t>
      </w:r>
      <w:r>
        <w:rPr>
          <w:rFonts w:hint="eastAsia" w:eastAsia="仿宋_GB2312" w:cs="仿宋_GB2312"/>
          <w:color w:val="auto"/>
          <w:sz w:val="32"/>
          <w:szCs w:val="32"/>
          <w:highlight w:val="none"/>
          <w:lang w:val="en-US" w:eastAsia="zh-CN"/>
        </w:rPr>
        <w:t>10.7</w:t>
      </w:r>
      <w:r>
        <w:rPr>
          <w:rFonts w:hint="eastAsia" w:ascii="Times New Roman" w:hAnsi="Times New Roman" w:eastAsia="仿宋_GB2312" w:cs="仿宋_GB2312"/>
          <w:color w:val="auto"/>
          <w:sz w:val="32"/>
          <w:szCs w:val="32"/>
          <w:highlight w:val="none"/>
          <w:lang w:eastAsia="zh-CN"/>
        </w:rPr>
        <w:t>%。</w:t>
      </w:r>
    </w:p>
    <w:p w14:paraId="6CA6D60C">
      <w:pPr>
        <w:keepNext w:val="0"/>
        <w:keepLines w:val="0"/>
        <w:pageBreakBefore w:val="0"/>
        <w:widowControl w:val="0"/>
        <w:numPr>
          <w:ilvl w:val="0"/>
          <w:numId w:val="0"/>
        </w:numPr>
        <w:kinsoku/>
        <w:wordWrap/>
        <w:overflowPunct/>
        <w:topLinePunct w:val="0"/>
        <w:autoSpaceDE/>
        <w:autoSpaceDN/>
        <w:bidi w:val="0"/>
        <w:adjustRightInd/>
        <w:snapToGrid/>
        <w:spacing w:afterAutospacing="0" w:line="560" w:lineRule="atLeast"/>
        <w:ind w:firstLine="640" w:firstLineChars="200"/>
        <w:textAlignment w:val="auto"/>
        <w:rPr>
          <w:rFonts w:hint="eastAsia"/>
          <w:b w:val="0"/>
          <w:bCs w:val="0"/>
          <w:highlight w:val="none"/>
          <w:lang w:val="en-US" w:eastAsia="zh-CN"/>
        </w:rPr>
      </w:pPr>
      <w:r>
        <w:rPr>
          <w:rFonts w:hint="eastAsia" w:ascii="仿宋" w:hAnsi="仿宋" w:eastAsia="仿宋"/>
          <w:b w:val="0"/>
          <w:bCs w:val="0"/>
          <w:color w:val="2A2A2A"/>
          <w:sz w:val="32"/>
          <w:szCs w:val="32"/>
          <w:highlight w:val="none"/>
          <w:lang w:eastAsia="zh-CN"/>
        </w:rPr>
        <w:t>其中，</w:t>
      </w:r>
      <w:r>
        <w:rPr>
          <w:rFonts w:ascii="仿宋" w:hAnsi="仿宋" w:eastAsia="仿宋"/>
          <w:b w:val="0"/>
          <w:bCs w:val="0"/>
          <w:color w:val="2A2A2A"/>
          <w:sz w:val="32"/>
          <w:szCs w:val="32"/>
          <w:highlight w:val="none"/>
        </w:rPr>
        <w:t>文化旅游体育与传媒支出</w:t>
      </w:r>
      <w:r>
        <w:rPr>
          <w:rFonts w:hint="eastAsia" w:ascii="仿宋" w:hAnsi="仿宋" w:eastAsia="仿宋"/>
          <w:b w:val="0"/>
          <w:bCs w:val="0"/>
          <w:color w:val="2A2A2A"/>
          <w:sz w:val="32"/>
          <w:szCs w:val="32"/>
          <w:highlight w:val="none"/>
          <w:lang w:val="en-US" w:eastAsia="zh-CN"/>
        </w:rPr>
        <w:t>2211.7</w:t>
      </w:r>
      <w:r>
        <w:rPr>
          <w:rFonts w:ascii="仿宋" w:hAnsi="仿宋" w:eastAsia="仿宋"/>
          <w:b w:val="0"/>
          <w:bCs w:val="0"/>
          <w:color w:val="2A2A2A"/>
          <w:sz w:val="32"/>
          <w:szCs w:val="32"/>
          <w:highlight w:val="none"/>
        </w:rPr>
        <w:t>万元</w:t>
      </w:r>
      <w:r>
        <w:rPr>
          <w:rFonts w:hint="eastAsia" w:ascii="仿宋" w:hAnsi="仿宋" w:eastAsia="仿宋"/>
          <w:b w:val="0"/>
          <w:bCs w:val="0"/>
          <w:color w:val="2A2A2A"/>
          <w:sz w:val="32"/>
          <w:szCs w:val="32"/>
          <w:highlight w:val="none"/>
          <w:lang w:eastAsia="zh-CN"/>
        </w:rPr>
        <w:t>，</w:t>
      </w:r>
      <w:r>
        <w:rPr>
          <w:rFonts w:ascii="仿宋" w:hAnsi="仿宋" w:eastAsia="仿宋"/>
          <w:b w:val="0"/>
          <w:bCs w:val="0"/>
          <w:color w:val="2A2A2A"/>
          <w:sz w:val="32"/>
          <w:szCs w:val="32"/>
          <w:highlight w:val="none"/>
        </w:rPr>
        <w:t>占比</w:t>
      </w:r>
      <w:r>
        <w:rPr>
          <w:rFonts w:hint="eastAsia" w:ascii="仿宋" w:hAnsi="仿宋" w:eastAsia="仿宋"/>
          <w:b w:val="0"/>
          <w:bCs w:val="0"/>
          <w:color w:val="2A2A2A"/>
          <w:sz w:val="32"/>
          <w:szCs w:val="32"/>
          <w:highlight w:val="none"/>
          <w:lang w:val="en-US" w:eastAsia="zh-CN"/>
        </w:rPr>
        <w:t>78</w:t>
      </w:r>
      <w:r>
        <w:rPr>
          <w:rFonts w:ascii="仿宋" w:hAnsi="仿宋" w:eastAsia="仿宋"/>
          <w:b w:val="0"/>
          <w:bCs w:val="0"/>
          <w:color w:val="2A2A2A"/>
          <w:sz w:val="32"/>
          <w:szCs w:val="32"/>
          <w:highlight w:val="none"/>
        </w:rPr>
        <w:t>%</w:t>
      </w:r>
      <w:r>
        <w:rPr>
          <w:rFonts w:hint="eastAsia" w:ascii="仿宋" w:hAnsi="仿宋" w:eastAsia="仿宋"/>
          <w:b w:val="0"/>
          <w:bCs w:val="0"/>
          <w:color w:val="2A2A2A"/>
          <w:sz w:val="32"/>
          <w:szCs w:val="32"/>
          <w:highlight w:val="none"/>
          <w:lang w:eastAsia="zh-CN"/>
        </w:rPr>
        <w:t>；</w:t>
      </w:r>
      <w:r>
        <w:rPr>
          <w:rFonts w:ascii="仿宋" w:hAnsi="仿宋" w:eastAsia="仿宋"/>
          <w:b w:val="0"/>
          <w:bCs w:val="0"/>
          <w:color w:val="2A2A2A"/>
          <w:sz w:val="32"/>
          <w:szCs w:val="32"/>
          <w:highlight w:val="none"/>
        </w:rPr>
        <w:t>社会保障和就业支出为</w:t>
      </w:r>
      <w:r>
        <w:rPr>
          <w:rFonts w:hint="eastAsia" w:ascii="仿宋" w:hAnsi="仿宋" w:eastAsia="仿宋"/>
          <w:b w:val="0"/>
          <w:bCs w:val="0"/>
          <w:color w:val="2A2A2A"/>
          <w:sz w:val="32"/>
          <w:szCs w:val="32"/>
          <w:highlight w:val="none"/>
          <w:lang w:val="en-US" w:eastAsia="zh-CN"/>
        </w:rPr>
        <w:t>328.7</w:t>
      </w:r>
      <w:r>
        <w:rPr>
          <w:rFonts w:ascii="仿宋" w:hAnsi="仿宋" w:eastAsia="仿宋"/>
          <w:b w:val="0"/>
          <w:bCs w:val="0"/>
          <w:color w:val="2A2A2A"/>
          <w:sz w:val="32"/>
          <w:szCs w:val="32"/>
          <w:highlight w:val="none"/>
        </w:rPr>
        <w:t>万元</w:t>
      </w:r>
      <w:r>
        <w:rPr>
          <w:rFonts w:hint="eastAsia" w:ascii="仿宋" w:hAnsi="仿宋" w:eastAsia="仿宋"/>
          <w:b w:val="0"/>
          <w:bCs w:val="0"/>
          <w:color w:val="2A2A2A"/>
          <w:sz w:val="32"/>
          <w:szCs w:val="32"/>
          <w:highlight w:val="none"/>
          <w:lang w:eastAsia="zh-CN"/>
        </w:rPr>
        <w:t>，</w:t>
      </w:r>
      <w:r>
        <w:rPr>
          <w:rFonts w:ascii="仿宋" w:hAnsi="仿宋" w:eastAsia="仿宋"/>
          <w:b w:val="0"/>
          <w:bCs w:val="0"/>
          <w:color w:val="2A2A2A"/>
          <w:sz w:val="32"/>
          <w:szCs w:val="32"/>
          <w:highlight w:val="none"/>
        </w:rPr>
        <w:t>占比</w:t>
      </w:r>
      <w:r>
        <w:rPr>
          <w:rFonts w:hint="eastAsia" w:ascii="仿宋" w:hAnsi="仿宋" w:eastAsia="仿宋"/>
          <w:b w:val="0"/>
          <w:bCs w:val="0"/>
          <w:color w:val="2A2A2A"/>
          <w:sz w:val="32"/>
          <w:szCs w:val="32"/>
          <w:highlight w:val="none"/>
          <w:lang w:val="en-US" w:eastAsia="zh-CN"/>
        </w:rPr>
        <w:t>12</w:t>
      </w:r>
      <w:r>
        <w:rPr>
          <w:rFonts w:ascii="仿宋" w:hAnsi="仿宋" w:eastAsia="仿宋"/>
          <w:b w:val="0"/>
          <w:bCs w:val="0"/>
          <w:color w:val="2A2A2A"/>
          <w:sz w:val="32"/>
          <w:szCs w:val="32"/>
          <w:highlight w:val="none"/>
        </w:rPr>
        <w:t>%</w:t>
      </w:r>
      <w:r>
        <w:rPr>
          <w:rFonts w:hint="eastAsia" w:ascii="仿宋" w:hAnsi="仿宋" w:eastAsia="仿宋"/>
          <w:b w:val="0"/>
          <w:bCs w:val="0"/>
          <w:color w:val="2A2A2A"/>
          <w:sz w:val="32"/>
          <w:szCs w:val="32"/>
          <w:highlight w:val="none"/>
          <w:lang w:val="en-US" w:eastAsia="zh-CN"/>
        </w:rPr>
        <w:t>,；</w:t>
      </w:r>
      <w:r>
        <w:rPr>
          <w:rFonts w:ascii="仿宋" w:hAnsi="仿宋" w:eastAsia="仿宋"/>
          <w:b w:val="0"/>
          <w:bCs w:val="0"/>
          <w:color w:val="2A2A2A"/>
          <w:sz w:val="32"/>
          <w:szCs w:val="32"/>
          <w:highlight w:val="none"/>
        </w:rPr>
        <w:t>卫生健康支出为12</w:t>
      </w:r>
      <w:r>
        <w:rPr>
          <w:rFonts w:hint="eastAsia" w:ascii="仿宋" w:hAnsi="仿宋" w:eastAsia="仿宋"/>
          <w:b w:val="0"/>
          <w:bCs w:val="0"/>
          <w:color w:val="2A2A2A"/>
          <w:sz w:val="32"/>
          <w:szCs w:val="32"/>
          <w:highlight w:val="none"/>
          <w:lang w:val="en-US" w:eastAsia="zh-CN"/>
        </w:rPr>
        <w:t>0.6</w:t>
      </w:r>
      <w:r>
        <w:rPr>
          <w:rFonts w:ascii="仿宋" w:hAnsi="仿宋" w:eastAsia="仿宋"/>
          <w:b w:val="0"/>
          <w:bCs w:val="0"/>
          <w:color w:val="2A2A2A"/>
          <w:sz w:val="32"/>
          <w:szCs w:val="32"/>
          <w:highlight w:val="none"/>
        </w:rPr>
        <w:t>万元</w:t>
      </w:r>
      <w:r>
        <w:rPr>
          <w:rFonts w:hint="eastAsia" w:ascii="仿宋" w:hAnsi="仿宋" w:eastAsia="仿宋"/>
          <w:b w:val="0"/>
          <w:bCs w:val="0"/>
          <w:color w:val="2A2A2A"/>
          <w:sz w:val="32"/>
          <w:szCs w:val="32"/>
          <w:highlight w:val="none"/>
          <w:lang w:eastAsia="zh-CN"/>
        </w:rPr>
        <w:t>，</w:t>
      </w:r>
      <w:r>
        <w:rPr>
          <w:rFonts w:ascii="仿宋" w:hAnsi="仿宋" w:eastAsia="仿宋"/>
          <w:b w:val="0"/>
          <w:bCs w:val="0"/>
          <w:color w:val="2A2A2A"/>
          <w:sz w:val="32"/>
          <w:szCs w:val="32"/>
          <w:highlight w:val="none"/>
        </w:rPr>
        <w:t>占比</w:t>
      </w:r>
      <w:r>
        <w:rPr>
          <w:rFonts w:hint="eastAsia" w:ascii="仿宋" w:hAnsi="仿宋" w:eastAsia="仿宋"/>
          <w:b w:val="0"/>
          <w:bCs w:val="0"/>
          <w:color w:val="2A2A2A"/>
          <w:sz w:val="32"/>
          <w:szCs w:val="32"/>
          <w:highlight w:val="none"/>
          <w:lang w:val="en-US" w:eastAsia="zh-CN"/>
        </w:rPr>
        <w:t>4</w:t>
      </w:r>
      <w:r>
        <w:rPr>
          <w:rFonts w:ascii="仿宋" w:hAnsi="仿宋" w:eastAsia="仿宋"/>
          <w:b w:val="0"/>
          <w:bCs w:val="0"/>
          <w:color w:val="2A2A2A"/>
          <w:sz w:val="32"/>
          <w:szCs w:val="32"/>
          <w:highlight w:val="none"/>
        </w:rPr>
        <w:t>%；住房保障支出为</w:t>
      </w:r>
      <w:r>
        <w:rPr>
          <w:rFonts w:hint="eastAsia" w:ascii="仿宋" w:hAnsi="仿宋" w:eastAsia="仿宋"/>
          <w:b w:val="0"/>
          <w:bCs w:val="0"/>
          <w:color w:val="2A2A2A"/>
          <w:sz w:val="32"/>
          <w:szCs w:val="32"/>
          <w:highlight w:val="none"/>
        </w:rPr>
        <w:t>1</w:t>
      </w:r>
      <w:r>
        <w:rPr>
          <w:rFonts w:ascii="仿宋" w:hAnsi="仿宋" w:eastAsia="仿宋"/>
          <w:b w:val="0"/>
          <w:bCs w:val="0"/>
          <w:color w:val="2A2A2A"/>
          <w:sz w:val="32"/>
          <w:szCs w:val="32"/>
          <w:highlight w:val="none"/>
        </w:rPr>
        <w:t>6</w:t>
      </w:r>
      <w:r>
        <w:rPr>
          <w:rFonts w:hint="eastAsia" w:ascii="仿宋" w:hAnsi="仿宋" w:eastAsia="仿宋"/>
          <w:b w:val="0"/>
          <w:bCs w:val="0"/>
          <w:color w:val="2A2A2A"/>
          <w:sz w:val="32"/>
          <w:szCs w:val="32"/>
          <w:highlight w:val="none"/>
          <w:lang w:val="en-US" w:eastAsia="zh-CN"/>
        </w:rPr>
        <w:t>8.4</w:t>
      </w:r>
      <w:r>
        <w:rPr>
          <w:rFonts w:ascii="仿宋" w:hAnsi="仿宋" w:eastAsia="仿宋"/>
          <w:b w:val="0"/>
          <w:bCs w:val="0"/>
          <w:color w:val="2A2A2A"/>
          <w:sz w:val="32"/>
          <w:szCs w:val="32"/>
          <w:highlight w:val="none"/>
        </w:rPr>
        <w:t>万元</w:t>
      </w:r>
      <w:r>
        <w:rPr>
          <w:rFonts w:hint="eastAsia" w:ascii="仿宋" w:hAnsi="仿宋" w:eastAsia="仿宋"/>
          <w:b w:val="0"/>
          <w:bCs w:val="0"/>
          <w:color w:val="2A2A2A"/>
          <w:sz w:val="32"/>
          <w:szCs w:val="32"/>
          <w:highlight w:val="none"/>
          <w:lang w:eastAsia="zh-CN"/>
        </w:rPr>
        <w:t>，</w:t>
      </w:r>
      <w:r>
        <w:rPr>
          <w:rFonts w:ascii="仿宋" w:hAnsi="仿宋" w:eastAsia="仿宋"/>
          <w:b w:val="0"/>
          <w:bCs w:val="0"/>
          <w:color w:val="2A2A2A"/>
          <w:sz w:val="32"/>
          <w:szCs w:val="32"/>
          <w:highlight w:val="none"/>
        </w:rPr>
        <w:t>占比</w:t>
      </w:r>
      <w:r>
        <w:rPr>
          <w:rFonts w:hint="eastAsia" w:ascii="仿宋" w:hAnsi="仿宋" w:eastAsia="仿宋"/>
          <w:b w:val="0"/>
          <w:bCs w:val="0"/>
          <w:color w:val="2A2A2A"/>
          <w:sz w:val="32"/>
          <w:szCs w:val="32"/>
          <w:highlight w:val="none"/>
          <w:lang w:val="en-US" w:eastAsia="zh-CN"/>
        </w:rPr>
        <w:t>6</w:t>
      </w:r>
      <w:r>
        <w:rPr>
          <w:rFonts w:ascii="仿宋" w:hAnsi="仿宋" w:eastAsia="仿宋"/>
          <w:b w:val="0"/>
          <w:bCs w:val="0"/>
          <w:color w:val="2A2A2A"/>
          <w:sz w:val="32"/>
          <w:szCs w:val="32"/>
          <w:highlight w:val="none"/>
        </w:rPr>
        <w:t>%</w:t>
      </w:r>
      <w:r>
        <w:rPr>
          <w:rFonts w:hint="eastAsia" w:ascii="仿宋" w:hAnsi="仿宋" w:eastAsia="仿宋"/>
          <w:b w:val="0"/>
          <w:bCs w:val="0"/>
          <w:color w:val="2A2A2A"/>
          <w:sz w:val="32"/>
          <w:szCs w:val="32"/>
          <w:highlight w:val="none"/>
        </w:rPr>
        <w:t>。</w:t>
      </w:r>
    </w:p>
    <w:p w14:paraId="7F75F17A">
      <w:pPr>
        <w:keepNext w:val="0"/>
        <w:keepLines w:val="0"/>
        <w:pageBreakBefore w:val="0"/>
        <w:widowControl/>
        <w:numPr>
          <w:ilvl w:val="0"/>
          <w:numId w:val="4"/>
        </w:numPr>
        <w:kinsoku/>
        <w:wordWrap/>
        <w:overflowPunct/>
        <w:topLinePunct w:val="0"/>
        <w:autoSpaceDE/>
        <w:autoSpaceDN/>
        <w:bidi w:val="0"/>
        <w:adjustRightInd w:val="0"/>
        <w:snapToGrid w:val="0"/>
        <w:spacing w:afterAutospacing="0" w:line="560" w:lineRule="atLeast"/>
        <w:ind w:left="0" w:leftChars="0" w:firstLine="643" w:firstLineChars="200"/>
        <w:contextualSpacing/>
        <w:jc w:val="left"/>
        <w:textAlignment w:val="auto"/>
        <w:outlineLvl w:val="9"/>
        <w:rPr>
          <w:rFonts w:hint="eastAsia" w:ascii="楷体" w:hAnsi="楷体" w:eastAsia="楷体" w:cs="楷体"/>
          <w:b/>
          <w:sz w:val="32"/>
          <w:szCs w:val="32"/>
          <w:highlight w:val="none"/>
          <w:lang w:eastAsia="zh-CN"/>
        </w:rPr>
      </w:pPr>
      <w:r>
        <w:rPr>
          <w:rFonts w:hint="eastAsia" w:ascii="楷体" w:hAnsi="楷体" w:eastAsia="楷体" w:cs="楷体"/>
          <w:b/>
          <w:sz w:val="32"/>
          <w:szCs w:val="32"/>
          <w:highlight w:val="none"/>
        </w:rPr>
        <w:t>结余分配和结转结余情况</w:t>
      </w:r>
    </w:p>
    <w:p w14:paraId="4D0CAE22">
      <w:pPr>
        <w:pStyle w:val="18"/>
        <w:pageBreakBefore w:val="0"/>
        <w:kinsoku/>
        <w:wordWrap/>
        <w:overflowPunct/>
        <w:topLinePunct w:val="0"/>
        <w:bidi w:val="0"/>
        <w:spacing w:before="0" w:beforeAutospacing="0" w:after="0" w:afterAutospacing="0" w:line="560" w:lineRule="atLeast"/>
        <w:ind w:firstLine="640" w:firstLineChars="200"/>
        <w:rPr>
          <w:rFonts w:ascii="仿宋" w:hAnsi="仿宋" w:eastAsia="仿宋"/>
          <w:sz w:val="32"/>
          <w:szCs w:val="32"/>
          <w:highlight w:val="none"/>
        </w:rPr>
      </w:pPr>
      <w:r>
        <w:rPr>
          <w:rFonts w:hint="eastAsia" w:ascii="仿宋" w:hAnsi="仿宋" w:eastAsia="仿宋"/>
          <w:sz w:val="32"/>
          <w:szCs w:val="32"/>
          <w:highlight w:val="none"/>
        </w:rPr>
        <w:t>2</w:t>
      </w:r>
      <w:r>
        <w:rPr>
          <w:rFonts w:ascii="仿宋" w:hAnsi="仿宋" w:eastAsia="仿宋"/>
          <w:sz w:val="32"/>
          <w:szCs w:val="32"/>
          <w:highlight w:val="none"/>
        </w:rPr>
        <w:t>02</w:t>
      </w:r>
      <w:r>
        <w:rPr>
          <w:rFonts w:hint="eastAsia" w:ascii="仿宋" w:hAnsi="仿宋" w:eastAsia="仿宋"/>
          <w:sz w:val="32"/>
          <w:szCs w:val="32"/>
          <w:highlight w:val="none"/>
          <w:lang w:val="en-US" w:eastAsia="zh-CN"/>
        </w:rPr>
        <w:t>5</w:t>
      </w:r>
      <w:r>
        <w:rPr>
          <w:rFonts w:ascii="仿宋" w:hAnsi="仿宋" w:eastAsia="仿宋"/>
          <w:sz w:val="32"/>
          <w:szCs w:val="32"/>
          <w:highlight w:val="none"/>
        </w:rPr>
        <w:t>年年末结转和结余</w:t>
      </w:r>
      <w:r>
        <w:rPr>
          <w:rFonts w:hint="eastAsia" w:ascii="仿宋" w:hAnsi="仿宋" w:eastAsia="仿宋"/>
          <w:sz w:val="32"/>
          <w:szCs w:val="32"/>
          <w:highlight w:val="none"/>
          <w:lang w:val="en-US" w:eastAsia="zh-CN"/>
        </w:rPr>
        <w:t>62.34</w:t>
      </w:r>
      <w:r>
        <w:rPr>
          <w:rFonts w:ascii="仿宋" w:hAnsi="仿宋" w:eastAsia="仿宋"/>
          <w:sz w:val="32"/>
          <w:szCs w:val="32"/>
          <w:highlight w:val="none"/>
        </w:rPr>
        <w:t>万元</w:t>
      </w:r>
      <w:r>
        <w:rPr>
          <w:rFonts w:hint="eastAsia" w:ascii="仿宋" w:hAnsi="仿宋" w:eastAsia="仿宋"/>
          <w:sz w:val="32"/>
          <w:szCs w:val="32"/>
          <w:highlight w:val="none"/>
        </w:rPr>
        <w:t>，</w:t>
      </w:r>
      <w:r>
        <w:rPr>
          <w:rFonts w:ascii="仿宋" w:hAnsi="仿宋" w:eastAsia="仿宋"/>
          <w:sz w:val="32"/>
          <w:szCs w:val="32"/>
          <w:highlight w:val="none"/>
        </w:rPr>
        <w:t xml:space="preserve"> 其中</w:t>
      </w:r>
      <w:r>
        <w:rPr>
          <w:rFonts w:hint="eastAsia" w:ascii="仿宋" w:hAnsi="仿宋" w:eastAsia="仿宋"/>
          <w:sz w:val="32"/>
          <w:szCs w:val="32"/>
          <w:highlight w:val="none"/>
        </w:rPr>
        <w:t>：</w:t>
      </w:r>
      <w:r>
        <w:rPr>
          <w:rFonts w:ascii="仿宋" w:hAnsi="仿宋" w:eastAsia="仿宋"/>
          <w:sz w:val="32"/>
          <w:szCs w:val="32"/>
          <w:highlight w:val="none"/>
        </w:rPr>
        <w:t>一般公共预算拨款结转</w:t>
      </w:r>
      <w:r>
        <w:rPr>
          <w:rFonts w:hint="eastAsia" w:ascii="仿宋" w:hAnsi="仿宋" w:eastAsia="仿宋"/>
          <w:sz w:val="32"/>
          <w:szCs w:val="32"/>
          <w:highlight w:val="none"/>
        </w:rPr>
        <w:t>0万元，非财政拨款结转</w:t>
      </w:r>
      <w:r>
        <w:rPr>
          <w:rFonts w:hint="eastAsia" w:ascii="仿宋" w:hAnsi="仿宋" w:eastAsia="仿宋"/>
          <w:sz w:val="32"/>
          <w:szCs w:val="32"/>
          <w:highlight w:val="none"/>
          <w:lang w:val="en-US" w:eastAsia="zh-CN"/>
        </w:rPr>
        <w:t>62.34</w:t>
      </w:r>
      <w:r>
        <w:rPr>
          <w:rFonts w:ascii="仿宋" w:hAnsi="仿宋" w:eastAsia="仿宋"/>
          <w:sz w:val="32"/>
          <w:szCs w:val="32"/>
          <w:highlight w:val="none"/>
        </w:rPr>
        <w:t>万元</w:t>
      </w:r>
      <w:r>
        <w:rPr>
          <w:rFonts w:hint="eastAsia" w:ascii="仿宋" w:hAnsi="仿宋" w:eastAsia="仿宋"/>
          <w:sz w:val="32"/>
          <w:szCs w:val="32"/>
          <w:highlight w:val="none"/>
        </w:rPr>
        <w:t xml:space="preserve">。 </w:t>
      </w:r>
    </w:p>
    <w:p w14:paraId="2B542B5D">
      <w:pPr>
        <w:keepNext w:val="0"/>
        <w:keepLines w:val="0"/>
        <w:pageBreakBefore w:val="0"/>
        <w:widowControl/>
        <w:kinsoku/>
        <w:wordWrap/>
        <w:overflowPunct/>
        <w:topLinePunct w:val="0"/>
        <w:autoSpaceDE/>
        <w:autoSpaceDN/>
        <w:bidi w:val="0"/>
        <w:adjustRightInd w:val="0"/>
        <w:snapToGrid w:val="0"/>
        <w:spacing w:afterAutospacing="0" w:line="560" w:lineRule="atLeast"/>
        <w:ind w:firstLine="640" w:firstLineChars="200"/>
        <w:contextualSpacing/>
        <w:jc w:val="left"/>
        <w:textAlignment w:val="auto"/>
        <w:outlineLvl w:val="9"/>
        <w:rPr>
          <w:rFonts w:hint="eastAsia" w:ascii="黑体" w:hAnsi="黑体" w:eastAsia="黑体" w:cs="黑体"/>
          <w:color w:val="000000" w:themeColor="text1"/>
          <w:kern w:val="0"/>
          <w:sz w:val="32"/>
          <w:szCs w:val="32"/>
          <w:highlight w:val="none"/>
          <w:shd w:val="clear" w:color="auto" w:fill="FFFFFF"/>
          <w14:textFill>
            <w14:solidFill>
              <w14:schemeClr w14:val="tx1"/>
            </w14:solidFill>
          </w14:textFill>
        </w:rPr>
      </w:pPr>
      <w:r>
        <w:rPr>
          <w:rFonts w:hint="eastAsia" w:ascii="黑体" w:hAnsi="黑体" w:eastAsia="黑体" w:cs="黑体"/>
          <w:color w:val="000000"/>
          <w:kern w:val="0"/>
          <w:sz w:val="32"/>
          <w:szCs w:val="32"/>
          <w:highlight w:val="none"/>
          <w:shd w:val="clear" w:color="auto" w:fill="FFFFFF"/>
        </w:rPr>
        <w:t>三、</w:t>
      </w:r>
      <w:r>
        <w:rPr>
          <w:rFonts w:hint="eastAsia" w:ascii="黑体" w:hAnsi="黑体" w:eastAsia="黑体" w:cs="黑体"/>
          <w:color w:val="000000"/>
          <w:kern w:val="0"/>
          <w:sz w:val="32"/>
          <w:szCs w:val="32"/>
          <w:highlight w:val="none"/>
          <w:u w:val="none"/>
          <w:shd w:val="clear" w:color="auto" w:fill="FFFFFF"/>
        </w:rPr>
        <w:t>部门</w:t>
      </w:r>
      <w:r>
        <w:rPr>
          <w:rFonts w:hint="eastAsia" w:ascii="黑体" w:hAnsi="黑体" w:eastAsia="黑体" w:cs="黑体"/>
          <w:color w:val="000000"/>
          <w:kern w:val="0"/>
          <w:sz w:val="32"/>
          <w:szCs w:val="32"/>
          <w:highlight w:val="none"/>
          <w:u w:val="none"/>
          <w:shd w:val="clear" w:color="auto" w:fill="FFFFFF"/>
          <w:lang w:eastAsia="zh-CN"/>
        </w:rPr>
        <w:t>预算</w:t>
      </w:r>
      <w:r>
        <w:rPr>
          <w:rFonts w:hint="eastAsia" w:ascii="黑体" w:hAnsi="黑体" w:eastAsia="黑体" w:cs="黑体"/>
          <w:color w:val="000000"/>
          <w:kern w:val="0"/>
          <w:sz w:val="32"/>
          <w:szCs w:val="32"/>
          <w:highlight w:val="none"/>
          <w:u w:val="none"/>
          <w:shd w:val="clear" w:color="auto" w:fill="FFFFFF"/>
        </w:rPr>
        <w:t>绩效</w:t>
      </w:r>
      <w:r>
        <w:rPr>
          <w:rFonts w:hint="eastAsia" w:ascii="黑体" w:hAnsi="黑体" w:eastAsia="黑体" w:cs="黑体"/>
          <w:color w:val="000000"/>
          <w:kern w:val="0"/>
          <w:sz w:val="32"/>
          <w:szCs w:val="32"/>
          <w:highlight w:val="none"/>
          <w:u w:val="none"/>
          <w:shd w:val="clear" w:color="auto" w:fill="FFFFFF"/>
          <w:lang w:eastAsia="zh-CN"/>
        </w:rPr>
        <w:t>分析</w:t>
      </w:r>
    </w:p>
    <w:p w14:paraId="0FEE5BC6">
      <w:pPr>
        <w:keepNext w:val="0"/>
        <w:keepLines w:val="0"/>
        <w:pageBreakBefore w:val="0"/>
        <w:widowControl w:val="0"/>
        <w:numPr>
          <w:ilvl w:val="0"/>
          <w:numId w:val="0"/>
        </w:numPr>
        <w:kinsoku/>
        <w:wordWrap/>
        <w:overflowPunct/>
        <w:topLinePunct w:val="0"/>
        <w:autoSpaceDE/>
        <w:autoSpaceDN/>
        <w:bidi w:val="0"/>
        <w:adjustRightInd w:val="0"/>
        <w:snapToGrid w:val="0"/>
        <w:spacing w:afterAutospacing="0" w:line="560" w:lineRule="atLeast"/>
        <w:ind w:firstLine="643" w:firstLineChars="200"/>
        <w:contextualSpacing/>
        <w:jc w:val="left"/>
        <w:textAlignment w:val="auto"/>
        <w:outlineLvl w:val="9"/>
        <w:rPr>
          <w:rFonts w:hint="eastAsia" w:ascii="楷体" w:hAnsi="楷体" w:eastAsia="楷体" w:cs="楷体"/>
          <w:color w:val="000000"/>
          <w:kern w:val="0"/>
          <w:sz w:val="32"/>
          <w:szCs w:val="32"/>
          <w:highlight w:val="none"/>
          <w:shd w:val="clear" w:color="auto" w:fill="FFFFFF"/>
          <w:lang w:val="zh-CN"/>
        </w:rPr>
      </w:pPr>
      <w:r>
        <w:rPr>
          <w:rFonts w:hint="eastAsia" w:ascii="楷体" w:hAnsi="楷体" w:eastAsia="楷体" w:cs="楷体"/>
          <w:b/>
          <w:bCs/>
          <w:color w:val="000000"/>
          <w:kern w:val="0"/>
          <w:sz w:val="32"/>
          <w:szCs w:val="32"/>
          <w:highlight w:val="none"/>
          <w:shd w:val="clear" w:color="auto" w:fill="FFFFFF"/>
          <w:lang w:val="zh-CN"/>
        </w:rPr>
        <w:t>（一）部门预算总体绩效分析</w:t>
      </w:r>
    </w:p>
    <w:p w14:paraId="4959D2AB">
      <w:pPr>
        <w:pStyle w:val="1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Autospacing="0" w:line="560" w:lineRule="atLeast"/>
        <w:ind w:left="0" w:right="0" w:firstLine="643" w:firstLineChars="200"/>
        <w:textAlignment w:val="auto"/>
        <w:rPr>
          <w:rFonts w:hint="eastAsia" w:ascii="仿宋" w:hAnsi="仿宋" w:eastAsia="仿宋" w:cs="仿宋"/>
          <w:i w:val="0"/>
          <w:iCs w:val="0"/>
          <w:caps w:val="0"/>
          <w:color w:val="222222"/>
          <w:spacing w:val="0"/>
          <w:sz w:val="32"/>
          <w:szCs w:val="32"/>
          <w:shd w:val="clear" w:fill="FFFFFF"/>
        </w:rPr>
      </w:pPr>
      <w:r>
        <w:rPr>
          <w:rFonts w:hint="default" w:ascii="Times New Roman" w:hAnsi="Times New Roman" w:eastAsia="楷体_GB2312" w:cs="Times New Roman"/>
          <w:b/>
          <w:bCs/>
          <w:color w:val="000000"/>
          <w:kern w:val="0"/>
          <w:sz w:val="32"/>
          <w:szCs w:val="32"/>
          <w:highlight w:val="none"/>
          <w:shd w:val="clear" w:color="auto" w:fill="FFFFFF"/>
          <w:lang w:val="en-US" w:eastAsia="zh-CN"/>
        </w:rPr>
        <w:t>1.</w:t>
      </w:r>
      <w:r>
        <w:rPr>
          <w:rFonts w:hint="default" w:ascii="Times New Roman" w:hAnsi="Times New Roman" w:eastAsia="楷体_GB2312" w:cs="Times New Roman"/>
          <w:b/>
          <w:bCs/>
          <w:color w:val="000000"/>
          <w:kern w:val="0"/>
          <w:sz w:val="32"/>
          <w:szCs w:val="32"/>
          <w:highlight w:val="none"/>
          <w:shd w:val="clear" w:color="auto" w:fill="FFFFFF"/>
          <w:lang w:val="zh-CN"/>
        </w:rPr>
        <w:t>履职效能</w:t>
      </w:r>
      <w:r>
        <w:rPr>
          <w:rFonts w:hint="eastAsia" w:eastAsia="楷体_GB2312" w:cs="Times New Roman"/>
          <w:b/>
          <w:bCs/>
          <w:color w:val="000000"/>
          <w:kern w:val="0"/>
          <w:sz w:val="32"/>
          <w:szCs w:val="32"/>
          <w:highlight w:val="none"/>
          <w:shd w:val="clear" w:color="auto" w:fill="FFFFFF"/>
          <w:lang w:val="zh-CN"/>
        </w:rPr>
        <w:t>：</w:t>
      </w:r>
      <w:r>
        <w:rPr>
          <w:rFonts w:hint="eastAsia" w:ascii="仿宋" w:hAnsi="仿宋" w:eastAsia="仿宋" w:cs="仿宋"/>
          <w:i w:val="0"/>
          <w:iCs w:val="0"/>
          <w:caps w:val="0"/>
          <w:color w:val="222222"/>
          <w:spacing w:val="0"/>
          <w:sz w:val="32"/>
          <w:szCs w:val="32"/>
          <w:shd w:val="clear" w:fill="FFFFFF"/>
          <w:lang w:val="en-US" w:eastAsia="zh-CN"/>
        </w:rPr>
        <w:t>①</w:t>
      </w:r>
      <w:r>
        <w:rPr>
          <w:rFonts w:hint="eastAsia" w:ascii="仿宋" w:hAnsi="仿宋" w:eastAsia="仿宋" w:cs="仿宋"/>
          <w:i w:val="0"/>
          <w:iCs w:val="0"/>
          <w:caps w:val="0"/>
          <w:color w:val="222222"/>
          <w:spacing w:val="0"/>
          <w:sz w:val="32"/>
          <w:szCs w:val="32"/>
          <w:shd w:val="clear" w:fill="FFFFFF"/>
        </w:rPr>
        <w:t>国际舞台展风采</w:t>
      </w:r>
      <w:r>
        <w:rPr>
          <w:rFonts w:hint="eastAsia" w:ascii="仿宋" w:hAnsi="仿宋" w:eastAsia="仿宋" w:cs="仿宋"/>
          <w:i w:val="0"/>
          <w:iCs w:val="0"/>
          <w:caps w:val="0"/>
          <w:color w:val="222222"/>
          <w:spacing w:val="0"/>
          <w:sz w:val="32"/>
          <w:szCs w:val="32"/>
          <w:shd w:val="clear" w:fill="FFFFFF"/>
          <w:lang w:eastAsia="zh-CN"/>
        </w:rPr>
        <w:t>、</w:t>
      </w:r>
      <w:r>
        <w:rPr>
          <w:rFonts w:hint="eastAsia" w:ascii="仿宋" w:hAnsi="仿宋" w:eastAsia="仿宋" w:cs="仿宋"/>
          <w:i w:val="0"/>
          <w:iCs w:val="0"/>
          <w:caps w:val="0"/>
          <w:color w:val="222222"/>
          <w:spacing w:val="0"/>
          <w:sz w:val="32"/>
          <w:szCs w:val="32"/>
          <w:shd w:val="clear" w:fill="FFFFFF"/>
        </w:rPr>
        <w:t>第12届成都</w:t>
      </w:r>
      <w:r>
        <w:rPr>
          <w:rFonts w:hint="eastAsia" w:ascii="仿宋" w:hAnsi="仿宋" w:eastAsia="仿宋" w:cs="仿宋"/>
          <w:i w:val="0"/>
          <w:iCs w:val="0"/>
          <w:caps w:val="0"/>
          <w:color w:val="222222"/>
          <w:spacing w:val="0"/>
          <w:sz w:val="32"/>
          <w:szCs w:val="32"/>
          <w:shd w:val="clear" w:fill="FFFFFF"/>
          <w:lang w:val="en-US" w:eastAsia="zh-CN"/>
        </w:rPr>
        <w:t>世界运动</w:t>
      </w:r>
      <w:r>
        <w:rPr>
          <w:rFonts w:hint="eastAsia" w:ascii="仿宋" w:hAnsi="仿宋" w:eastAsia="仿宋" w:cs="仿宋"/>
          <w:i w:val="0"/>
          <w:iCs w:val="0"/>
          <w:caps w:val="0"/>
          <w:color w:val="222222"/>
          <w:spacing w:val="0"/>
          <w:sz w:val="32"/>
          <w:szCs w:val="32"/>
          <w:shd w:val="clear" w:fill="FFFFFF"/>
        </w:rPr>
        <w:t>会</w:t>
      </w:r>
      <w:r>
        <w:rPr>
          <w:rFonts w:hint="eastAsia" w:ascii="仿宋" w:hAnsi="仿宋" w:eastAsia="仿宋" w:cs="仿宋"/>
          <w:i w:val="0"/>
          <w:iCs w:val="0"/>
          <w:caps w:val="0"/>
          <w:color w:val="222222"/>
          <w:spacing w:val="0"/>
          <w:sz w:val="32"/>
          <w:szCs w:val="32"/>
          <w:shd w:val="clear" w:fill="FFFFFF"/>
          <w:lang w:val="en-US" w:eastAsia="zh-CN"/>
        </w:rPr>
        <w:t>上，</w:t>
      </w:r>
      <w:r>
        <w:rPr>
          <w:rFonts w:hint="eastAsia" w:ascii="仿宋" w:hAnsi="仿宋" w:eastAsia="仿宋" w:cs="仿宋"/>
          <w:i w:val="0"/>
          <w:iCs w:val="0"/>
          <w:caps w:val="0"/>
          <w:color w:val="222222"/>
          <w:spacing w:val="0"/>
          <w:sz w:val="32"/>
          <w:szCs w:val="32"/>
          <w:shd w:val="clear" w:fill="FFFFFF"/>
        </w:rPr>
        <w:t>我团“藏韵”组合</w:t>
      </w:r>
      <w:r>
        <w:rPr>
          <w:rFonts w:hint="eastAsia" w:ascii="仿宋" w:hAnsi="仿宋" w:eastAsia="仿宋" w:cs="仿宋"/>
          <w:i w:val="0"/>
          <w:iCs w:val="0"/>
          <w:caps w:val="0"/>
          <w:color w:val="222222"/>
          <w:spacing w:val="0"/>
          <w:sz w:val="32"/>
          <w:szCs w:val="32"/>
          <w:shd w:val="clear" w:fill="FFFFFF"/>
          <w:lang w:eastAsia="zh-CN"/>
        </w:rPr>
        <w:t>，</w:t>
      </w:r>
      <w:r>
        <w:rPr>
          <w:rFonts w:hint="eastAsia" w:ascii="仿宋" w:hAnsi="仿宋" w:eastAsia="仿宋" w:cs="仿宋"/>
          <w:i w:val="0"/>
          <w:iCs w:val="0"/>
          <w:caps w:val="0"/>
          <w:color w:val="222222"/>
          <w:spacing w:val="0"/>
          <w:sz w:val="32"/>
          <w:szCs w:val="32"/>
          <w:shd w:val="clear" w:fill="FFFFFF"/>
          <w:lang w:val="en-US" w:eastAsia="zh-CN"/>
        </w:rPr>
        <w:t>舞蹈</w:t>
      </w:r>
      <w:r>
        <w:rPr>
          <w:rFonts w:hint="eastAsia" w:ascii="仿宋" w:hAnsi="仿宋" w:eastAsia="仿宋" w:cs="仿宋"/>
          <w:i w:val="0"/>
          <w:iCs w:val="0"/>
          <w:caps w:val="0"/>
          <w:color w:val="222222"/>
          <w:spacing w:val="0"/>
          <w:sz w:val="32"/>
          <w:szCs w:val="32"/>
          <w:shd w:val="clear" w:fill="FFFFFF"/>
        </w:rPr>
        <w:t>《瓦尔俄足》等节目，</w:t>
      </w:r>
      <w:r>
        <w:rPr>
          <w:rFonts w:hint="eastAsia" w:ascii="仿宋" w:hAnsi="仿宋" w:eastAsia="仿宋" w:cs="仿宋"/>
          <w:i w:val="0"/>
          <w:iCs w:val="0"/>
          <w:caps w:val="0"/>
          <w:color w:val="222222"/>
          <w:spacing w:val="0"/>
          <w:sz w:val="32"/>
          <w:szCs w:val="32"/>
          <w:shd w:val="clear" w:fill="FFFFFF"/>
          <w:lang w:val="en-US" w:eastAsia="zh-CN"/>
        </w:rPr>
        <w:t>应邀参加，在国际性的舞台上，</w:t>
      </w:r>
      <w:r>
        <w:rPr>
          <w:rFonts w:hint="eastAsia" w:ascii="仿宋" w:hAnsi="仿宋" w:eastAsia="仿宋" w:cs="仿宋"/>
          <w:i w:val="0"/>
          <w:iCs w:val="0"/>
          <w:caps w:val="0"/>
          <w:color w:val="222222"/>
          <w:spacing w:val="0"/>
          <w:sz w:val="32"/>
          <w:szCs w:val="32"/>
          <w:shd w:val="clear" w:fill="FFFFFF"/>
        </w:rPr>
        <w:t>向世界展现阿坝雪山草原之美与开放包容的精神风貌，相关演出获国际嘉宾与现场观众高度赞誉。</w:t>
      </w:r>
    </w:p>
    <w:p w14:paraId="789AA8E8">
      <w:pPr>
        <w:pStyle w:val="1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Autospacing="0" w:line="560" w:lineRule="atLeast"/>
        <w:ind w:left="0" w:right="0" w:firstLine="640" w:firstLineChars="200"/>
        <w:textAlignment w:val="auto"/>
        <w:rPr>
          <w:rFonts w:hint="eastAsia" w:ascii="仿宋" w:hAnsi="仿宋" w:eastAsia="仿宋" w:cs="仿宋"/>
          <w:i w:val="0"/>
          <w:iCs w:val="0"/>
          <w:caps w:val="0"/>
          <w:color w:val="222222"/>
          <w:spacing w:val="0"/>
          <w:sz w:val="32"/>
          <w:szCs w:val="32"/>
          <w:shd w:val="clear" w:fill="FFFFFF"/>
        </w:rPr>
      </w:pPr>
      <w:r>
        <w:rPr>
          <w:rFonts w:hint="eastAsia" w:ascii="仿宋" w:hAnsi="仿宋" w:eastAsia="仿宋" w:cs="仿宋"/>
          <w:i w:val="0"/>
          <w:iCs w:val="0"/>
          <w:caps w:val="0"/>
          <w:color w:val="222222"/>
          <w:spacing w:val="0"/>
          <w:sz w:val="32"/>
          <w:szCs w:val="32"/>
          <w:shd w:val="clear" w:fill="FFFFFF"/>
          <w:lang w:val="en-US" w:eastAsia="zh-CN"/>
        </w:rPr>
        <w:t>②</w:t>
      </w:r>
      <w:r>
        <w:rPr>
          <w:rFonts w:hint="eastAsia" w:ascii="仿宋" w:hAnsi="仿宋" w:eastAsia="仿宋" w:cs="仿宋"/>
          <w:i w:val="0"/>
          <w:iCs w:val="0"/>
          <w:caps w:val="0"/>
          <w:color w:val="222222"/>
          <w:spacing w:val="0"/>
          <w:sz w:val="32"/>
          <w:szCs w:val="32"/>
          <w:shd w:val="clear" w:fill="FFFFFF"/>
        </w:rPr>
        <w:t>文旅推广树品牌</w:t>
      </w:r>
      <w:r>
        <w:rPr>
          <w:rFonts w:hint="eastAsia" w:ascii="仿宋" w:hAnsi="仿宋" w:eastAsia="仿宋" w:cs="仿宋"/>
          <w:i w:val="0"/>
          <w:iCs w:val="0"/>
          <w:caps w:val="0"/>
          <w:color w:val="222222"/>
          <w:spacing w:val="0"/>
          <w:sz w:val="32"/>
          <w:szCs w:val="32"/>
          <w:shd w:val="clear" w:fill="FFFFFF"/>
          <w:lang w:eastAsia="zh-CN"/>
        </w:rPr>
        <w:t>。</w:t>
      </w:r>
      <w:r>
        <w:rPr>
          <w:rFonts w:hint="eastAsia" w:ascii="仿宋" w:hAnsi="仿宋" w:eastAsia="仿宋" w:cs="仿宋"/>
          <w:i w:val="0"/>
          <w:iCs w:val="0"/>
          <w:caps w:val="0"/>
          <w:color w:val="222222"/>
          <w:spacing w:val="0"/>
          <w:sz w:val="32"/>
          <w:szCs w:val="32"/>
          <w:shd w:val="clear" w:fill="FFFFFF"/>
          <w:lang w:val="en-US" w:eastAsia="zh-CN"/>
        </w:rPr>
        <w:t>本年度随州文广体旅局</w:t>
      </w:r>
      <w:r>
        <w:rPr>
          <w:rFonts w:hint="eastAsia" w:ascii="仿宋" w:hAnsi="仿宋" w:eastAsia="仿宋" w:cs="仿宋"/>
          <w:i w:val="0"/>
          <w:iCs w:val="0"/>
          <w:caps w:val="0"/>
          <w:color w:val="222222"/>
          <w:spacing w:val="0"/>
          <w:sz w:val="32"/>
          <w:szCs w:val="32"/>
          <w:shd w:val="clear" w:fill="FFFFFF"/>
        </w:rPr>
        <w:t>先后赴北京、上海两大</w:t>
      </w:r>
      <w:r>
        <w:rPr>
          <w:rFonts w:hint="eastAsia" w:ascii="仿宋" w:hAnsi="仿宋" w:eastAsia="仿宋" w:cs="仿宋"/>
          <w:i w:val="0"/>
          <w:iCs w:val="0"/>
          <w:caps w:val="0"/>
          <w:color w:val="222222"/>
          <w:spacing w:val="0"/>
          <w:sz w:val="32"/>
          <w:szCs w:val="32"/>
          <w:shd w:val="clear" w:fill="FFFFFF"/>
          <w:lang w:val="en-US" w:eastAsia="zh-CN"/>
        </w:rPr>
        <w:t>一线</w:t>
      </w:r>
      <w:r>
        <w:rPr>
          <w:rFonts w:hint="eastAsia" w:ascii="仿宋" w:hAnsi="仿宋" w:eastAsia="仿宋" w:cs="仿宋"/>
          <w:i w:val="0"/>
          <w:iCs w:val="0"/>
          <w:caps w:val="0"/>
          <w:color w:val="222222"/>
          <w:spacing w:val="0"/>
          <w:sz w:val="32"/>
          <w:szCs w:val="32"/>
          <w:shd w:val="clear" w:fill="FFFFFF"/>
        </w:rPr>
        <w:t>城市开展文旅推介演出</w:t>
      </w:r>
      <w:r>
        <w:rPr>
          <w:rFonts w:hint="eastAsia" w:ascii="仿宋" w:hAnsi="仿宋" w:eastAsia="仿宋" w:cs="仿宋"/>
          <w:i w:val="0"/>
          <w:iCs w:val="0"/>
          <w:caps w:val="0"/>
          <w:color w:val="222222"/>
          <w:spacing w:val="0"/>
          <w:sz w:val="32"/>
          <w:szCs w:val="32"/>
          <w:shd w:val="clear" w:fill="FFFFFF"/>
          <w:lang w:eastAsia="zh-CN"/>
        </w:rPr>
        <w:t>，</w:t>
      </w:r>
      <w:r>
        <w:rPr>
          <w:rFonts w:hint="eastAsia" w:ascii="仿宋" w:hAnsi="仿宋" w:eastAsia="仿宋" w:cs="仿宋"/>
          <w:i w:val="0"/>
          <w:iCs w:val="0"/>
          <w:caps w:val="0"/>
          <w:color w:val="222222"/>
          <w:spacing w:val="0"/>
          <w:sz w:val="32"/>
          <w:szCs w:val="32"/>
          <w:shd w:val="clear" w:fill="FFFFFF"/>
        </w:rPr>
        <w:t>在北京王府井</w:t>
      </w:r>
      <w:r>
        <w:rPr>
          <w:rFonts w:hint="eastAsia" w:ascii="仿宋" w:hAnsi="仿宋" w:eastAsia="仿宋" w:cs="仿宋"/>
          <w:i w:val="0"/>
          <w:iCs w:val="0"/>
          <w:caps w:val="0"/>
          <w:color w:val="222222"/>
          <w:spacing w:val="0"/>
          <w:sz w:val="32"/>
          <w:szCs w:val="32"/>
          <w:shd w:val="clear" w:fill="FFFFFF"/>
          <w:lang w:eastAsia="zh-CN"/>
        </w:rPr>
        <w:t>、</w:t>
      </w:r>
      <w:r>
        <w:rPr>
          <w:rFonts w:hint="eastAsia" w:ascii="仿宋" w:hAnsi="仿宋" w:eastAsia="仿宋" w:cs="仿宋"/>
          <w:i w:val="0"/>
          <w:iCs w:val="0"/>
          <w:caps w:val="0"/>
          <w:color w:val="222222"/>
          <w:spacing w:val="0"/>
          <w:sz w:val="32"/>
          <w:szCs w:val="32"/>
          <w:shd w:val="clear" w:fill="FFFFFF"/>
          <w:lang w:val="en-US" w:eastAsia="zh-CN"/>
        </w:rPr>
        <w:t>上海外滩等地标，留下了</w:t>
      </w:r>
      <w:r>
        <w:rPr>
          <w:rFonts w:hint="eastAsia" w:ascii="仿宋" w:hAnsi="仿宋" w:eastAsia="仿宋" w:cs="仿宋"/>
          <w:i w:val="0"/>
          <w:iCs w:val="0"/>
          <w:caps w:val="0"/>
          <w:color w:val="222222"/>
          <w:spacing w:val="0"/>
          <w:sz w:val="32"/>
          <w:szCs w:val="32"/>
          <w:shd w:val="clear" w:fill="FFFFFF"/>
        </w:rPr>
        <w:t>“天下九寨沟</w:t>
      </w:r>
      <w:r>
        <w:rPr>
          <w:rFonts w:hint="eastAsia" w:ascii="仿宋" w:hAnsi="仿宋" w:eastAsia="仿宋" w:cs="仿宋"/>
          <w:i w:val="0"/>
          <w:iCs w:val="0"/>
          <w:caps w:val="0"/>
          <w:color w:val="222222"/>
          <w:spacing w:val="0"/>
          <w:sz w:val="32"/>
          <w:szCs w:val="32"/>
          <w:shd w:val="clear" w:fill="FFFFFF"/>
          <w:lang w:eastAsia="zh-CN"/>
        </w:rPr>
        <w:t>•</w:t>
      </w:r>
      <w:r>
        <w:rPr>
          <w:rFonts w:hint="eastAsia" w:ascii="仿宋" w:hAnsi="仿宋" w:eastAsia="仿宋" w:cs="仿宋"/>
          <w:i w:val="0"/>
          <w:iCs w:val="0"/>
          <w:caps w:val="0"/>
          <w:color w:val="222222"/>
          <w:spacing w:val="0"/>
          <w:sz w:val="32"/>
          <w:szCs w:val="32"/>
          <w:shd w:val="clear" w:fill="FFFFFF"/>
        </w:rPr>
        <w:t>大美阿坝州”</w:t>
      </w:r>
      <w:r>
        <w:rPr>
          <w:rFonts w:hint="eastAsia" w:ascii="仿宋" w:hAnsi="仿宋" w:eastAsia="仿宋" w:cs="仿宋"/>
          <w:i w:val="0"/>
          <w:iCs w:val="0"/>
          <w:caps w:val="0"/>
          <w:color w:val="222222"/>
          <w:spacing w:val="0"/>
          <w:sz w:val="32"/>
          <w:szCs w:val="32"/>
          <w:shd w:val="clear" w:fill="FFFFFF"/>
          <w:lang w:val="en-US" w:eastAsia="zh-CN"/>
        </w:rPr>
        <w:t>文旅品牌的风姿倩影，</w:t>
      </w:r>
      <w:r>
        <w:rPr>
          <w:rFonts w:hint="eastAsia" w:ascii="仿宋" w:hAnsi="仿宋" w:eastAsia="仿宋" w:cs="仿宋"/>
          <w:i w:val="0"/>
          <w:iCs w:val="0"/>
          <w:caps w:val="0"/>
          <w:color w:val="222222"/>
          <w:spacing w:val="0"/>
          <w:sz w:val="32"/>
          <w:szCs w:val="32"/>
          <w:shd w:val="clear" w:fill="FFFFFF"/>
        </w:rPr>
        <w:t>音乐剧《牦牛革命》更登陆北京大学百周年纪念讲堂，成为边远山区剧目走进国家最高学府的成功实践</w:t>
      </w:r>
      <w:r>
        <w:rPr>
          <w:rFonts w:hint="eastAsia" w:ascii="仿宋" w:hAnsi="仿宋" w:eastAsia="仿宋" w:cs="仿宋"/>
          <w:i w:val="0"/>
          <w:iCs w:val="0"/>
          <w:caps w:val="0"/>
          <w:color w:val="222222"/>
          <w:spacing w:val="0"/>
          <w:sz w:val="32"/>
          <w:szCs w:val="32"/>
          <w:shd w:val="clear" w:fill="FFFFFF"/>
          <w:lang w:eastAsia="zh-CN"/>
        </w:rPr>
        <w:t>；</w:t>
      </w:r>
      <w:r>
        <w:rPr>
          <w:rFonts w:hint="eastAsia" w:ascii="仿宋" w:hAnsi="仿宋" w:eastAsia="仿宋" w:cs="仿宋"/>
          <w:i w:val="0"/>
          <w:iCs w:val="0"/>
          <w:caps w:val="0"/>
          <w:color w:val="222222"/>
          <w:spacing w:val="0"/>
          <w:sz w:val="32"/>
          <w:szCs w:val="32"/>
          <w:shd w:val="clear" w:fill="FFFFFF"/>
          <w:lang w:val="en-US" w:eastAsia="zh-CN"/>
        </w:rPr>
        <w:t>参加</w:t>
      </w:r>
      <w:r>
        <w:rPr>
          <w:rFonts w:hint="eastAsia" w:ascii="仿宋" w:hAnsi="仿宋" w:eastAsia="仿宋" w:cs="仿宋"/>
          <w:i w:val="0"/>
          <w:iCs w:val="0"/>
          <w:caps w:val="0"/>
          <w:color w:val="222222"/>
          <w:spacing w:val="0"/>
          <w:sz w:val="32"/>
          <w:szCs w:val="32"/>
          <w:shd w:val="clear" w:fill="FFFFFF"/>
        </w:rPr>
        <w:t>第二十届西博会</w:t>
      </w:r>
      <w:r>
        <w:rPr>
          <w:rFonts w:hint="eastAsia" w:ascii="仿宋" w:hAnsi="仿宋" w:eastAsia="仿宋" w:cs="仿宋"/>
          <w:i w:val="0"/>
          <w:iCs w:val="0"/>
          <w:caps w:val="0"/>
          <w:color w:val="222222"/>
          <w:spacing w:val="0"/>
          <w:sz w:val="32"/>
          <w:szCs w:val="32"/>
          <w:shd w:val="clear" w:fill="FFFFFF"/>
          <w:lang w:eastAsia="zh-CN"/>
        </w:rPr>
        <w:t>，</w:t>
      </w:r>
      <w:r>
        <w:rPr>
          <w:rFonts w:hint="eastAsia" w:ascii="仿宋" w:hAnsi="仿宋" w:eastAsia="仿宋" w:cs="仿宋"/>
          <w:i w:val="0"/>
          <w:iCs w:val="0"/>
          <w:caps w:val="0"/>
          <w:color w:val="222222"/>
          <w:spacing w:val="0"/>
          <w:sz w:val="32"/>
          <w:szCs w:val="32"/>
          <w:shd w:val="clear" w:fill="FFFFFF"/>
          <w:lang w:val="en-US" w:eastAsia="zh-CN"/>
        </w:rPr>
        <w:t>在</w:t>
      </w:r>
      <w:r>
        <w:rPr>
          <w:rFonts w:hint="eastAsia" w:ascii="仿宋" w:hAnsi="仿宋" w:eastAsia="仿宋" w:cs="仿宋"/>
          <w:i w:val="0"/>
          <w:iCs w:val="0"/>
          <w:caps w:val="0"/>
          <w:color w:val="222222"/>
          <w:spacing w:val="0"/>
          <w:sz w:val="32"/>
          <w:szCs w:val="32"/>
          <w:shd w:val="clear" w:fill="FFFFFF"/>
        </w:rPr>
        <w:t>阿坝州展馆连续5天开展演出</w:t>
      </w:r>
      <w:r>
        <w:rPr>
          <w:rFonts w:hint="eastAsia" w:ascii="仿宋" w:hAnsi="仿宋" w:eastAsia="仿宋" w:cs="仿宋"/>
          <w:i w:val="0"/>
          <w:iCs w:val="0"/>
          <w:caps w:val="0"/>
          <w:color w:val="222222"/>
          <w:spacing w:val="0"/>
          <w:sz w:val="32"/>
          <w:szCs w:val="32"/>
          <w:shd w:val="clear" w:fill="FFFFFF"/>
          <w:lang w:eastAsia="zh-CN"/>
        </w:rPr>
        <w:t>，</w:t>
      </w:r>
      <w:r>
        <w:rPr>
          <w:rFonts w:hint="eastAsia" w:ascii="仿宋" w:hAnsi="仿宋" w:eastAsia="仿宋" w:cs="仿宋"/>
          <w:i w:val="0"/>
          <w:iCs w:val="0"/>
          <w:caps w:val="0"/>
          <w:color w:val="222222"/>
          <w:spacing w:val="0"/>
          <w:sz w:val="32"/>
          <w:szCs w:val="32"/>
          <w:shd w:val="clear" w:fill="FFFFFF"/>
          <w:lang w:val="en-US" w:eastAsia="zh-CN"/>
        </w:rPr>
        <w:t xml:space="preserve">同时乘风“川超”舞台，助力“体育+文旅”宣传推介，多位面提升阿坝文旅品牌的市场吸引力。                                                                                                                                                                                                                                                                                                                                                                                                                                                                                        </w:t>
      </w:r>
      <w:r>
        <w:rPr>
          <w:rFonts w:hint="eastAsia" w:ascii="仿宋" w:hAnsi="仿宋" w:eastAsia="仿宋" w:cs="仿宋"/>
          <w:i w:val="0"/>
          <w:iCs w:val="0"/>
          <w:caps w:val="0"/>
          <w:color w:val="222222"/>
          <w:spacing w:val="0"/>
          <w:sz w:val="32"/>
          <w:szCs w:val="32"/>
          <w:shd w:val="clear" w:fill="FFFFFF"/>
        </w:rPr>
        <w:t xml:space="preserve"> </w:t>
      </w:r>
    </w:p>
    <w:p w14:paraId="628BAF03">
      <w:pPr>
        <w:pStyle w:val="1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Autospacing="0" w:line="560" w:lineRule="atLeast"/>
        <w:ind w:left="0" w:right="0" w:firstLine="640" w:firstLineChars="200"/>
        <w:textAlignment w:val="auto"/>
        <w:rPr>
          <w:rFonts w:hint="eastAsia" w:ascii="仿宋" w:hAnsi="仿宋" w:eastAsia="仿宋" w:cs="仿宋"/>
          <w:i w:val="0"/>
          <w:iCs w:val="0"/>
          <w:caps w:val="0"/>
          <w:color w:val="222222"/>
          <w:spacing w:val="0"/>
          <w:sz w:val="32"/>
          <w:szCs w:val="32"/>
          <w:shd w:val="clear" w:fill="FFFFFF"/>
          <w:lang w:eastAsia="zh-CN"/>
        </w:rPr>
      </w:pPr>
      <w:r>
        <w:rPr>
          <w:rFonts w:hint="eastAsia" w:ascii="仿宋" w:hAnsi="仿宋" w:eastAsia="仿宋" w:cs="仿宋"/>
          <w:i w:val="0"/>
          <w:iCs w:val="0"/>
          <w:caps w:val="0"/>
          <w:color w:val="222222"/>
          <w:spacing w:val="0"/>
          <w:sz w:val="32"/>
          <w:szCs w:val="32"/>
          <w:shd w:val="clear" w:fill="FFFFFF"/>
          <w:lang w:val="en-US" w:eastAsia="zh-CN"/>
        </w:rPr>
        <w:t>③</w:t>
      </w:r>
      <w:r>
        <w:rPr>
          <w:rFonts w:hint="eastAsia" w:ascii="仿宋" w:hAnsi="仿宋" w:eastAsia="仿宋" w:cs="仿宋"/>
          <w:i w:val="0"/>
          <w:iCs w:val="0"/>
          <w:caps w:val="0"/>
          <w:color w:val="222222"/>
          <w:spacing w:val="0"/>
          <w:sz w:val="32"/>
          <w:szCs w:val="32"/>
          <w:shd w:val="clear" w:fill="FFFFFF"/>
        </w:rPr>
        <w:t>省</w:t>
      </w:r>
      <w:r>
        <w:rPr>
          <w:rFonts w:hint="eastAsia" w:ascii="仿宋" w:hAnsi="仿宋" w:eastAsia="仿宋" w:cs="仿宋"/>
          <w:i w:val="0"/>
          <w:iCs w:val="0"/>
          <w:caps w:val="0"/>
          <w:color w:val="222222"/>
          <w:spacing w:val="0"/>
          <w:sz w:val="32"/>
          <w:szCs w:val="32"/>
          <w:shd w:val="clear" w:fill="FFFFFF"/>
          <w:lang w:val="en-US" w:eastAsia="zh-CN"/>
        </w:rPr>
        <w:t>级</w:t>
      </w:r>
      <w:r>
        <w:rPr>
          <w:rFonts w:hint="eastAsia" w:ascii="仿宋" w:hAnsi="仿宋" w:eastAsia="仿宋" w:cs="仿宋"/>
          <w:i w:val="0"/>
          <w:iCs w:val="0"/>
          <w:caps w:val="0"/>
          <w:color w:val="222222"/>
          <w:spacing w:val="0"/>
          <w:sz w:val="32"/>
          <w:szCs w:val="32"/>
          <w:shd w:val="clear" w:fill="FFFFFF"/>
        </w:rPr>
        <w:t>活动显担当</w:t>
      </w:r>
      <w:r>
        <w:rPr>
          <w:rFonts w:hint="eastAsia" w:ascii="仿宋" w:hAnsi="仿宋" w:eastAsia="仿宋" w:cs="仿宋"/>
          <w:i w:val="0"/>
          <w:iCs w:val="0"/>
          <w:caps w:val="0"/>
          <w:color w:val="222222"/>
          <w:spacing w:val="0"/>
          <w:sz w:val="32"/>
          <w:szCs w:val="32"/>
          <w:shd w:val="clear" w:fill="FFFFFF"/>
          <w:lang w:eastAsia="zh-CN"/>
        </w:rPr>
        <w:t>。</w:t>
      </w:r>
      <w:r>
        <w:rPr>
          <w:rFonts w:hint="eastAsia" w:ascii="仿宋" w:hAnsi="仿宋" w:eastAsia="仿宋" w:cs="仿宋"/>
          <w:i w:val="0"/>
          <w:iCs w:val="0"/>
          <w:caps w:val="0"/>
          <w:color w:val="222222"/>
          <w:spacing w:val="0"/>
          <w:sz w:val="32"/>
          <w:szCs w:val="32"/>
          <w:shd w:val="clear" w:fill="FFFFFF"/>
        </w:rPr>
        <w:t>积极响应省</w:t>
      </w:r>
      <w:r>
        <w:rPr>
          <w:rFonts w:hint="eastAsia" w:ascii="仿宋" w:hAnsi="仿宋" w:eastAsia="仿宋" w:cs="仿宋"/>
          <w:i w:val="0"/>
          <w:iCs w:val="0"/>
          <w:caps w:val="0"/>
          <w:color w:val="222222"/>
          <w:spacing w:val="0"/>
          <w:sz w:val="32"/>
          <w:szCs w:val="32"/>
          <w:shd w:val="clear" w:fill="FFFFFF"/>
          <w:lang w:eastAsia="zh-CN"/>
        </w:rPr>
        <w:t>、</w:t>
      </w:r>
      <w:r>
        <w:rPr>
          <w:rFonts w:hint="eastAsia" w:ascii="仿宋" w:hAnsi="仿宋" w:eastAsia="仿宋" w:cs="仿宋"/>
          <w:i w:val="0"/>
          <w:iCs w:val="0"/>
          <w:caps w:val="0"/>
          <w:color w:val="222222"/>
          <w:spacing w:val="0"/>
          <w:sz w:val="32"/>
          <w:szCs w:val="32"/>
          <w:shd w:val="clear" w:fill="FFFFFF"/>
          <w:lang w:val="en-US" w:eastAsia="zh-CN"/>
        </w:rPr>
        <w:t>州</w:t>
      </w:r>
      <w:r>
        <w:rPr>
          <w:rFonts w:hint="eastAsia" w:ascii="仿宋" w:hAnsi="仿宋" w:eastAsia="仿宋" w:cs="仿宋"/>
          <w:i w:val="0"/>
          <w:iCs w:val="0"/>
          <w:caps w:val="0"/>
          <w:color w:val="222222"/>
          <w:spacing w:val="0"/>
          <w:sz w:val="32"/>
          <w:szCs w:val="32"/>
          <w:shd w:val="clear" w:fill="FFFFFF"/>
        </w:rPr>
        <w:t>文化与活动号召，</w:t>
      </w:r>
      <w:r>
        <w:rPr>
          <w:rFonts w:hint="eastAsia" w:ascii="仿宋" w:hAnsi="仿宋" w:eastAsia="仿宋" w:cs="仿宋"/>
          <w:i w:val="0"/>
          <w:iCs w:val="0"/>
          <w:caps w:val="0"/>
          <w:color w:val="222222"/>
          <w:spacing w:val="0"/>
          <w:sz w:val="32"/>
          <w:szCs w:val="32"/>
          <w:shd w:val="clear" w:fill="FFFFFF"/>
          <w:lang w:val="en-US" w:eastAsia="zh-CN"/>
        </w:rPr>
        <w:t>舞蹈</w:t>
      </w:r>
      <w:r>
        <w:rPr>
          <w:rFonts w:hint="eastAsia" w:ascii="仿宋" w:hAnsi="仿宋" w:eastAsia="仿宋" w:cs="仿宋"/>
          <w:i w:val="0"/>
          <w:iCs w:val="0"/>
          <w:caps w:val="0"/>
          <w:color w:val="222222"/>
          <w:spacing w:val="0"/>
          <w:sz w:val="32"/>
          <w:szCs w:val="32"/>
          <w:shd w:val="clear" w:fill="FFFFFF"/>
        </w:rPr>
        <w:t>《雪山脚下》</w:t>
      </w:r>
      <w:r>
        <w:rPr>
          <w:rFonts w:hint="eastAsia" w:ascii="仿宋" w:hAnsi="仿宋" w:eastAsia="仿宋" w:cs="仿宋"/>
          <w:i w:val="0"/>
          <w:iCs w:val="0"/>
          <w:caps w:val="0"/>
          <w:color w:val="222222"/>
          <w:spacing w:val="0"/>
          <w:sz w:val="32"/>
          <w:szCs w:val="32"/>
          <w:shd w:val="clear" w:fill="FFFFFF"/>
          <w:lang w:val="en-US" w:eastAsia="zh-CN"/>
        </w:rPr>
        <w:t>参加</w:t>
      </w:r>
      <w:r>
        <w:rPr>
          <w:rFonts w:hint="eastAsia" w:ascii="仿宋" w:hAnsi="仿宋" w:eastAsia="仿宋" w:cs="仿宋"/>
          <w:i w:val="0"/>
          <w:iCs w:val="0"/>
          <w:caps w:val="0"/>
          <w:color w:val="222222"/>
          <w:spacing w:val="0"/>
          <w:sz w:val="32"/>
          <w:szCs w:val="32"/>
          <w:shd w:val="clear" w:fill="FFFFFF"/>
        </w:rPr>
        <w:t>四川省舞蹈新作比赛</w:t>
      </w:r>
      <w:r>
        <w:rPr>
          <w:rFonts w:hint="eastAsia" w:ascii="仿宋" w:hAnsi="仿宋" w:eastAsia="仿宋" w:cs="仿宋"/>
          <w:i w:val="0"/>
          <w:iCs w:val="0"/>
          <w:caps w:val="0"/>
          <w:color w:val="222222"/>
          <w:spacing w:val="0"/>
          <w:sz w:val="32"/>
          <w:szCs w:val="32"/>
          <w:shd w:val="clear" w:fill="FFFFFF"/>
          <w:lang w:eastAsia="zh-CN"/>
        </w:rPr>
        <w:t>，</w:t>
      </w:r>
      <w:r>
        <w:rPr>
          <w:rFonts w:hint="eastAsia" w:ascii="仿宋" w:hAnsi="仿宋" w:eastAsia="仿宋" w:cs="仿宋"/>
          <w:i w:val="0"/>
          <w:iCs w:val="0"/>
          <w:caps w:val="0"/>
          <w:color w:val="222222"/>
          <w:spacing w:val="0"/>
          <w:sz w:val="32"/>
          <w:szCs w:val="32"/>
          <w:shd w:val="clear" w:fill="FFFFFF"/>
          <w:lang w:val="en-US" w:eastAsia="zh-CN"/>
        </w:rPr>
        <w:t>获</w:t>
      </w:r>
      <w:r>
        <w:rPr>
          <w:rFonts w:hint="eastAsia" w:ascii="仿宋" w:hAnsi="仿宋" w:eastAsia="仿宋" w:cs="仿宋"/>
          <w:i w:val="0"/>
          <w:iCs w:val="0"/>
          <w:caps w:val="0"/>
          <w:color w:val="222222"/>
          <w:spacing w:val="0"/>
          <w:sz w:val="32"/>
          <w:szCs w:val="32"/>
          <w:shd w:val="clear" w:fill="FFFFFF"/>
          <w:lang w:eastAsia="zh-CN"/>
        </w:rPr>
        <w:t>得省级荣誉，</w:t>
      </w:r>
      <w:r>
        <w:rPr>
          <w:rFonts w:hint="eastAsia" w:ascii="仿宋" w:hAnsi="仿宋" w:eastAsia="仿宋" w:cs="仿宋"/>
          <w:i w:val="0"/>
          <w:iCs w:val="0"/>
          <w:caps w:val="0"/>
          <w:color w:val="222222"/>
          <w:spacing w:val="0"/>
          <w:sz w:val="32"/>
          <w:szCs w:val="32"/>
          <w:shd w:val="clear" w:fill="FFFFFF"/>
          <w:lang w:val="en-US" w:eastAsia="zh-CN"/>
        </w:rPr>
        <w:t>音乐剧</w:t>
      </w:r>
      <w:r>
        <w:rPr>
          <w:rFonts w:hint="eastAsia" w:ascii="仿宋" w:hAnsi="仿宋" w:eastAsia="仿宋" w:cs="仿宋"/>
          <w:i w:val="0"/>
          <w:iCs w:val="0"/>
          <w:caps w:val="0"/>
          <w:color w:val="222222"/>
          <w:spacing w:val="0"/>
          <w:sz w:val="32"/>
          <w:szCs w:val="32"/>
          <w:shd w:val="clear" w:fill="FFFFFF"/>
        </w:rPr>
        <w:t>《牦牛革命》入选四川省纪念中国人民抗战胜利80周年优秀文艺作品展映展播，舞蹈《阳光洒满羌寨》参</w:t>
      </w:r>
      <w:r>
        <w:rPr>
          <w:rFonts w:hint="eastAsia" w:ascii="仿宋" w:hAnsi="仿宋" w:eastAsia="仿宋" w:cs="仿宋"/>
          <w:i w:val="0"/>
          <w:iCs w:val="0"/>
          <w:caps w:val="0"/>
          <w:color w:val="222222"/>
          <w:spacing w:val="0"/>
          <w:sz w:val="32"/>
          <w:szCs w:val="32"/>
          <w:shd w:val="clear" w:fill="FFFFFF"/>
          <w:lang w:val="en-US" w:eastAsia="zh-CN"/>
        </w:rPr>
        <w:t>加</w:t>
      </w:r>
      <w:r>
        <w:rPr>
          <w:rFonts w:hint="eastAsia" w:ascii="仿宋" w:hAnsi="仿宋" w:eastAsia="仿宋" w:cs="仿宋"/>
          <w:i w:val="0"/>
          <w:iCs w:val="0"/>
          <w:caps w:val="0"/>
          <w:color w:val="222222"/>
          <w:spacing w:val="0"/>
          <w:sz w:val="32"/>
          <w:szCs w:val="32"/>
          <w:shd w:val="clear" w:fill="FFFFFF"/>
        </w:rPr>
        <w:t>“石榴花开</w:t>
      </w:r>
      <w:r>
        <w:rPr>
          <w:rFonts w:hint="eastAsia" w:ascii="仿宋" w:hAnsi="仿宋" w:eastAsia="仿宋" w:cs="仿宋"/>
          <w:i w:val="0"/>
          <w:iCs w:val="0"/>
          <w:caps w:val="0"/>
          <w:color w:val="222222"/>
          <w:spacing w:val="0"/>
          <w:sz w:val="32"/>
          <w:szCs w:val="32"/>
          <w:shd w:val="clear" w:fill="FFFFFF"/>
          <w:lang w:eastAsia="zh-CN"/>
        </w:rPr>
        <w:t>•</w:t>
      </w:r>
      <w:r>
        <w:rPr>
          <w:rFonts w:hint="eastAsia" w:ascii="仿宋" w:hAnsi="仿宋" w:eastAsia="仿宋" w:cs="仿宋"/>
          <w:i w:val="0"/>
          <w:iCs w:val="0"/>
          <w:caps w:val="0"/>
          <w:color w:val="222222"/>
          <w:spacing w:val="0"/>
          <w:sz w:val="32"/>
          <w:szCs w:val="32"/>
          <w:shd w:val="clear" w:fill="FFFFFF"/>
        </w:rPr>
        <w:t>舞动天府”四川省首届民族街舞展演</w:t>
      </w:r>
      <w:r>
        <w:rPr>
          <w:rFonts w:hint="eastAsia" w:ascii="仿宋" w:hAnsi="仿宋" w:eastAsia="仿宋" w:cs="仿宋"/>
          <w:i w:val="0"/>
          <w:iCs w:val="0"/>
          <w:caps w:val="0"/>
          <w:color w:val="222222"/>
          <w:spacing w:val="0"/>
          <w:sz w:val="32"/>
          <w:szCs w:val="32"/>
          <w:shd w:val="clear" w:fill="FFFFFF"/>
          <w:lang w:eastAsia="zh-CN"/>
        </w:rPr>
        <w:t>。</w:t>
      </w:r>
    </w:p>
    <w:p w14:paraId="36C8098C">
      <w:pPr>
        <w:pStyle w:val="1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Autospacing="0" w:line="560" w:lineRule="atLeast"/>
        <w:ind w:left="0" w:right="0" w:firstLine="640" w:firstLineChars="200"/>
        <w:textAlignment w:val="auto"/>
        <w:rPr>
          <w:rFonts w:hint="default" w:ascii="仿宋" w:hAnsi="仿宋" w:eastAsia="仿宋" w:cs="仿宋"/>
          <w:i w:val="0"/>
          <w:iCs w:val="0"/>
          <w:caps w:val="0"/>
          <w:color w:val="222222"/>
          <w:spacing w:val="0"/>
          <w:sz w:val="32"/>
          <w:szCs w:val="32"/>
          <w:shd w:val="clear" w:fill="FFFFFF"/>
          <w:lang w:val="en-US" w:eastAsia="zh-CN"/>
        </w:rPr>
      </w:pPr>
      <w:r>
        <w:rPr>
          <w:rFonts w:hint="eastAsia" w:ascii="仿宋" w:hAnsi="仿宋" w:eastAsia="仿宋" w:cs="仿宋"/>
          <w:i w:val="0"/>
          <w:iCs w:val="0"/>
          <w:caps w:val="0"/>
          <w:color w:val="222222"/>
          <w:spacing w:val="0"/>
          <w:sz w:val="32"/>
          <w:szCs w:val="32"/>
          <w:shd w:val="clear" w:fill="FFFFFF"/>
          <w:lang w:val="en-US" w:eastAsia="zh-CN"/>
        </w:rPr>
        <w:t>④地方活动全奉献。本年度在晶金隆剧场以及各类露天场地，先后创演了群众工作主题晚会《爱润阿坝》，软硬件支持</w:t>
      </w:r>
      <w:r>
        <w:rPr>
          <w:rFonts w:hint="eastAsia" w:ascii="仿宋" w:hAnsi="仿宋" w:eastAsia="仿宋" w:cs="仿宋"/>
          <w:i w:val="0"/>
          <w:iCs w:val="0"/>
          <w:caps w:val="0"/>
          <w:color w:val="222222"/>
          <w:spacing w:val="0"/>
          <w:sz w:val="32"/>
          <w:szCs w:val="32"/>
          <w:shd w:val="clear" w:fill="FFFFFF"/>
        </w:rPr>
        <w:t>马尔康市嘉绒锅庄民俗传统系列活动</w:t>
      </w:r>
      <w:r>
        <w:rPr>
          <w:rFonts w:hint="eastAsia" w:ascii="仿宋" w:hAnsi="仿宋" w:eastAsia="仿宋" w:cs="仿宋"/>
          <w:i w:val="0"/>
          <w:iCs w:val="0"/>
          <w:caps w:val="0"/>
          <w:color w:val="222222"/>
          <w:spacing w:val="0"/>
          <w:sz w:val="32"/>
          <w:szCs w:val="32"/>
          <w:shd w:val="clear" w:fill="FFFFFF"/>
          <w:lang w:eastAsia="zh-CN"/>
        </w:rPr>
        <w:t>、</w:t>
      </w:r>
      <w:r>
        <w:rPr>
          <w:rFonts w:hint="eastAsia" w:ascii="仿宋" w:hAnsi="仿宋" w:eastAsia="仿宋" w:cs="仿宋"/>
          <w:i w:val="0"/>
          <w:iCs w:val="0"/>
          <w:caps w:val="0"/>
          <w:color w:val="222222"/>
          <w:spacing w:val="0"/>
          <w:sz w:val="32"/>
          <w:szCs w:val="32"/>
          <w:shd w:val="clear" w:fill="FFFFFF"/>
        </w:rPr>
        <w:t>“民族团结进步活动月”</w:t>
      </w:r>
      <w:r>
        <w:rPr>
          <w:rFonts w:hint="eastAsia" w:ascii="仿宋" w:hAnsi="仿宋" w:eastAsia="仿宋" w:cs="仿宋"/>
          <w:i w:val="0"/>
          <w:iCs w:val="0"/>
          <w:caps w:val="0"/>
          <w:color w:val="222222"/>
          <w:spacing w:val="0"/>
          <w:sz w:val="32"/>
          <w:szCs w:val="32"/>
          <w:shd w:val="clear" w:fill="FFFFFF"/>
          <w:lang w:eastAsia="zh-CN"/>
        </w:rPr>
        <w:t>、</w:t>
      </w:r>
      <w:r>
        <w:rPr>
          <w:rFonts w:hint="default" w:ascii="仿宋" w:hAnsi="仿宋" w:eastAsia="仿宋" w:cs="仿宋"/>
          <w:i w:val="0"/>
          <w:iCs w:val="0"/>
          <w:caps w:val="0"/>
          <w:color w:val="222222"/>
          <w:spacing w:val="0"/>
          <w:sz w:val="32"/>
          <w:szCs w:val="32"/>
          <w:shd w:val="clear" w:fill="FFFFFF"/>
          <w:lang w:val="en-US" w:eastAsia="zh-CN"/>
        </w:rPr>
        <w:t>建军98周年联欢会</w:t>
      </w:r>
      <w:r>
        <w:rPr>
          <w:rFonts w:hint="eastAsia" w:ascii="仿宋" w:hAnsi="仿宋" w:eastAsia="仿宋" w:cs="仿宋"/>
          <w:i w:val="0"/>
          <w:iCs w:val="0"/>
          <w:caps w:val="0"/>
          <w:color w:val="222222"/>
          <w:spacing w:val="0"/>
          <w:sz w:val="32"/>
          <w:szCs w:val="32"/>
          <w:shd w:val="clear" w:fill="FFFFFF"/>
          <w:lang w:val="en-US" w:eastAsia="zh-CN"/>
        </w:rPr>
        <w:t>等各类州级、市级活动近20场次，每场活动均结合当地文化特色与群众需求精心策划节目内容，既保留了经典民族舞蹈的原生态魅力，又结合活动主题融入创新元素。全年地方活动累计吸引观众超2万人次，有效促进了基层文化繁荣与民族团结。与四川爱乐乐团合作开展“青春恰似火，我和我的祖国”浙川青少年文化交流活动，以音乐为纽带，促进浙川两地青少年深度交流。</w:t>
      </w:r>
    </w:p>
    <w:p w14:paraId="4E68C795">
      <w:pPr>
        <w:pStyle w:val="1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Autospacing="0" w:line="560" w:lineRule="atLeast"/>
        <w:ind w:left="0" w:right="0" w:firstLine="640" w:firstLineChars="200"/>
        <w:textAlignment w:val="auto"/>
        <w:rPr>
          <w:rFonts w:hint="default" w:ascii="仿宋" w:hAnsi="仿宋" w:eastAsia="仿宋" w:cs="仿宋"/>
          <w:i w:val="0"/>
          <w:iCs w:val="0"/>
          <w:caps w:val="0"/>
          <w:color w:val="222222"/>
          <w:spacing w:val="0"/>
          <w:sz w:val="32"/>
          <w:szCs w:val="32"/>
          <w:shd w:val="clear" w:fill="FFFFFF"/>
          <w:lang w:val="en-US" w:eastAsia="zh-CN"/>
        </w:rPr>
      </w:pPr>
      <w:r>
        <w:rPr>
          <w:rFonts w:hint="eastAsia" w:ascii="仿宋" w:hAnsi="仿宋" w:eastAsia="仿宋" w:cs="仿宋"/>
          <w:i w:val="0"/>
          <w:iCs w:val="0"/>
          <w:caps w:val="0"/>
          <w:color w:val="222222"/>
          <w:spacing w:val="0"/>
          <w:sz w:val="32"/>
          <w:szCs w:val="32"/>
          <w:shd w:val="clear" w:fill="FFFFFF"/>
          <w:lang w:val="en-US" w:eastAsia="zh-CN"/>
        </w:rPr>
        <w:t>⑤多位</w:t>
      </w:r>
      <w:r>
        <w:rPr>
          <w:rFonts w:hint="eastAsia" w:ascii="仿宋" w:hAnsi="仿宋" w:eastAsia="仿宋" w:cs="仿宋"/>
          <w:i w:val="0"/>
          <w:iCs w:val="0"/>
          <w:caps w:val="0"/>
          <w:color w:val="222222"/>
          <w:spacing w:val="0"/>
          <w:sz w:val="32"/>
          <w:szCs w:val="32"/>
          <w:shd w:val="clear" w:fill="FFFFFF"/>
        </w:rPr>
        <w:t>覆盖“送文化下乡”</w:t>
      </w:r>
      <w:r>
        <w:rPr>
          <w:rFonts w:hint="eastAsia" w:ascii="仿宋" w:hAnsi="仿宋" w:eastAsia="仿宋" w:cs="仿宋"/>
          <w:i w:val="0"/>
          <w:iCs w:val="0"/>
          <w:caps w:val="0"/>
          <w:color w:val="222222"/>
          <w:spacing w:val="0"/>
          <w:sz w:val="32"/>
          <w:szCs w:val="32"/>
          <w:shd w:val="clear" w:fill="FFFFFF"/>
          <w:lang w:eastAsia="zh-CN"/>
        </w:rPr>
        <w:t>。</w:t>
      </w:r>
      <w:r>
        <w:rPr>
          <w:rFonts w:hint="eastAsia" w:ascii="仿宋" w:hAnsi="仿宋" w:eastAsia="仿宋" w:cs="仿宋"/>
          <w:i w:val="0"/>
          <w:iCs w:val="0"/>
          <w:caps w:val="0"/>
          <w:color w:val="222222"/>
          <w:spacing w:val="0"/>
          <w:sz w:val="32"/>
          <w:szCs w:val="32"/>
          <w:shd w:val="clear" w:fill="FFFFFF"/>
        </w:rPr>
        <w:t>全年围绕“文艺为民”宗旨，深入阿坝州各县（市）开展惠民演出</w:t>
      </w:r>
      <w:r>
        <w:rPr>
          <w:rFonts w:hint="eastAsia" w:ascii="仿宋" w:hAnsi="仿宋" w:eastAsia="仿宋" w:cs="仿宋"/>
          <w:i w:val="0"/>
          <w:iCs w:val="0"/>
          <w:caps w:val="0"/>
          <w:color w:val="222222"/>
          <w:spacing w:val="0"/>
          <w:sz w:val="32"/>
          <w:szCs w:val="32"/>
          <w:shd w:val="clear" w:fill="FFFFFF"/>
          <w:lang w:eastAsia="zh-CN"/>
        </w:rPr>
        <w:t>。</w:t>
      </w:r>
      <w:r>
        <w:rPr>
          <w:rFonts w:hint="eastAsia" w:ascii="仿宋" w:hAnsi="仿宋" w:eastAsia="仿宋" w:cs="仿宋"/>
          <w:i w:val="0"/>
          <w:iCs w:val="0"/>
          <w:caps w:val="0"/>
          <w:color w:val="222222"/>
          <w:spacing w:val="0"/>
          <w:sz w:val="32"/>
          <w:szCs w:val="32"/>
          <w:shd w:val="clear" w:fill="FFFFFF"/>
          <w:lang w:val="en-US" w:eastAsia="zh-CN"/>
        </w:rPr>
        <w:t>先后</w:t>
      </w:r>
      <w:r>
        <w:rPr>
          <w:rFonts w:hint="eastAsia" w:ascii="仿宋" w:hAnsi="仿宋" w:eastAsia="仿宋" w:cs="仿宋"/>
          <w:i w:val="0"/>
          <w:iCs w:val="0"/>
          <w:caps w:val="0"/>
          <w:color w:val="222222"/>
          <w:spacing w:val="0"/>
          <w:sz w:val="32"/>
          <w:szCs w:val="32"/>
          <w:shd w:val="clear" w:fill="FFFFFF"/>
        </w:rPr>
        <w:t>参与州委宣传部牵头的“</w:t>
      </w:r>
      <w:r>
        <w:rPr>
          <w:rFonts w:hint="eastAsia" w:ascii="仿宋" w:hAnsi="仿宋" w:eastAsia="仿宋" w:cs="仿宋"/>
          <w:i w:val="0"/>
          <w:iCs w:val="0"/>
          <w:caps w:val="0"/>
          <w:color w:val="222222"/>
          <w:spacing w:val="0"/>
          <w:sz w:val="32"/>
          <w:szCs w:val="32"/>
          <w:shd w:val="clear" w:fill="FFFFFF"/>
          <w:lang w:val="en-US" w:eastAsia="zh-CN"/>
        </w:rPr>
        <w:t>四</w:t>
      </w:r>
      <w:r>
        <w:rPr>
          <w:rFonts w:hint="eastAsia" w:ascii="仿宋" w:hAnsi="仿宋" w:eastAsia="仿宋" w:cs="仿宋"/>
          <w:i w:val="0"/>
          <w:iCs w:val="0"/>
          <w:caps w:val="0"/>
          <w:color w:val="222222"/>
          <w:spacing w:val="0"/>
          <w:sz w:val="32"/>
          <w:szCs w:val="32"/>
          <w:shd w:val="clear" w:fill="FFFFFF"/>
        </w:rPr>
        <w:t>下乡”集中示范服务</w:t>
      </w:r>
      <w:r>
        <w:rPr>
          <w:rFonts w:hint="eastAsia" w:ascii="仿宋" w:hAnsi="仿宋" w:eastAsia="仿宋" w:cs="仿宋"/>
          <w:i w:val="0"/>
          <w:iCs w:val="0"/>
          <w:caps w:val="0"/>
          <w:color w:val="222222"/>
          <w:spacing w:val="0"/>
          <w:sz w:val="32"/>
          <w:szCs w:val="32"/>
          <w:shd w:val="clear" w:fill="FFFFFF"/>
          <w:lang w:val="en-US" w:eastAsia="zh-CN"/>
        </w:rPr>
        <w:t>活动</w:t>
      </w:r>
      <w:r>
        <w:rPr>
          <w:rFonts w:hint="eastAsia" w:ascii="仿宋" w:hAnsi="仿宋" w:eastAsia="仿宋" w:cs="仿宋"/>
          <w:i w:val="0"/>
          <w:iCs w:val="0"/>
          <w:caps w:val="0"/>
          <w:color w:val="222222"/>
          <w:spacing w:val="0"/>
          <w:sz w:val="32"/>
          <w:szCs w:val="32"/>
          <w:shd w:val="clear" w:fill="FFFFFF"/>
        </w:rPr>
        <w:t>，联合四川爱乐乐团组成文艺小分队</w:t>
      </w:r>
      <w:r>
        <w:rPr>
          <w:rFonts w:hint="eastAsia" w:ascii="仿宋" w:hAnsi="仿宋" w:eastAsia="仿宋" w:cs="仿宋"/>
          <w:i w:val="0"/>
          <w:iCs w:val="0"/>
          <w:caps w:val="0"/>
          <w:color w:val="222222"/>
          <w:spacing w:val="0"/>
          <w:sz w:val="32"/>
          <w:szCs w:val="32"/>
          <w:shd w:val="clear" w:fill="FFFFFF"/>
          <w:lang w:val="en-US" w:eastAsia="zh-CN"/>
        </w:rPr>
        <w:t>开展“我和我的祖国”文化惠民演出</w:t>
      </w:r>
      <w:r>
        <w:rPr>
          <w:rFonts w:hint="eastAsia" w:ascii="仿宋" w:hAnsi="仿宋" w:eastAsia="仿宋" w:cs="仿宋"/>
          <w:i w:val="0"/>
          <w:iCs w:val="0"/>
          <w:caps w:val="0"/>
          <w:color w:val="222222"/>
          <w:spacing w:val="0"/>
          <w:sz w:val="32"/>
          <w:szCs w:val="32"/>
          <w:shd w:val="clear" w:fill="FFFFFF"/>
        </w:rPr>
        <w:t>，</w:t>
      </w:r>
      <w:r>
        <w:rPr>
          <w:rFonts w:hint="eastAsia" w:ascii="仿宋" w:hAnsi="仿宋" w:eastAsia="仿宋" w:cs="仿宋"/>
          <w:i w:val="0"/>
          <w:iCs w:val="0"/>
          <w:caps w:val="0"/>
          <w:color w:val="222222"/>
          <w:spacing w:val="0"/>
          <w:sz w:val="32"/>
          <w:szCs w:val="32"/>
          <w:shd w:val="clear" w:fill="FFFFFF"/>
          <w:lang w:val="en-US" w:eastAsia="zh-CN"/>
        </w:rPr>
        <w:t>以及</w:t>
      </w:r>
      <w:r>
        <w:rPr>
          <w:rFonts w:hint="eastAsia" w:ascii="仿宋" w:hAnsi="仿宋" w:eastAsia="仿宋" w:cs="仿宋"/>
          <w:i w:val="0"/>
          <w:iCs w:val="0"/>
          <w:caps w:val="0"/>
          <w:color w:val="222222"/>
          <w:spacing w:val="0"/>
          <w:sz w:val="32"/>
          <w:szCs w:val="32"/>
          <w:shd w:val="clear" w:fill="FFFFFF"/>
        </w:rPr>
        <w:t>开展“高原金秋送文化下乡”活动</w:t>
      </w:r>
      <w:r>
        <w:rPr>
          <w:rFonts w:hint="eastAsia" w:ascii="仿宋" w:hAnsi="仿宋" w:eastAsia="仿宋" w:cs="仿宋"/>
          <w:i w:val="0"/>
          <w:iCs w:val="0"/>
          <w:caps w:val="0"/>
          <w:color w:val="222222"/>
          <w:spacing w:val="0"/>
          <w:sz w:val="32"/>
          <w:szCs w:val="32"/>
          <w:shd w:val="clear" w:fill="FFFFFF"/>
          <w:lang w:eastAsia="zh-CN"/>
        </w:rPr>
        <w:t>。</w:t>
      </w:r>
      <w:r>
        <w:rPr>
          <w:rFonts w:hint="eastAsia" w:ascii="仿宋" w:hAnsi="仿宋" w:eastAsia="仿宋" w:cs="仿宋"/>
          <w:i w:val="0"/>
          <w:iCs w:val="0"/>
          <w:caps w:val="0"/>
          <w:color w:val="222222"/>
          <w:spacing w:val="0"/>
          <w:sz w:val="32"/>
          <w:szCs w:val="32"/>
          <w:shd w:val="clear" w:fill="FFFFFF"/>
          <w:lang w:val="en-US" w:eastAsia="zh-CN"/>
        </w:rPr>
        <w:t>原计划下乡演出因紧急演出工作中断，全年演出7场次。</w:t>
      </w:r>
    </w:p>
    <w:p w14:paraId="78DC4FB4">
      <w:pPr>
        <w:pStyle w:val="1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Autospacing="0" w:line="560" w:lineRule="atLeast"/>
        <w:ind w:left="0" w:right="0"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i w:val="0"/>
          <w:iCs w:val="0"/>
          <w:caps w:val="0"/>
          <w:color w:val="222222"/>
          <w:spacing w:val="0"/>
          <w:sz w:val="32"/>
          <w:szCs w:val="32"/>
          <w:shd w:val="clear" w:fill="FFFFFF"/>
          <w:lang w:val="en-US" w:eastAsia="zh-CN"/>
        </w:rPr>
        <w:t>⑥基层驻村得民心。我单位办公室主任张玉徽，自2024年9月在若尔盖县包座乡嘎子村担任驻村第一书记，吃住在村，全脱产开展驻村帮扶相关工作。本年度，张玉徽同志积极协助乡党委政府切实推动村级设施补短提升项目，积极申请明珠寨新建蓄水池项目，推动集体经济（隆州农家乐）室内硬件设施采购及装饰装修项目，积极贯彻落实阿坝州群众工作“石榴籽”工程相关工作。张玉徽本人获得阿坝州群众工作优秀个人称号，嘎子村党支部获得若尔盖县群众工作“石榴籽”工程先进集体称号。</w:t>
      </w:r>
    </w:p>
    <w:p w14:paraId="766EBDA5">
      <w:pPr>
        <w:keepNext w:val="0"/>
        <w:keepLines w:val="0"/>
        <w:pageBreakBefore w:val="0"/>
        <w:kinsoku/>
        <w:wordWrap/>
        <w:overflowPunct/>
        <w:topLinePunct w:val="0"/>
        <w:autoSpaceDN w:val="0"/>
        <w:bidi w:val="0"/>
        <w:spacing w:afterAutospacing="0" w:line="560" w:lineRule="atLeast"/>
        <w:ind w:firstLine="643" w:firstLineChars="200"/>
        <w:textAlignment w:val="auto"/>
        <w:rPr>
          <w:rFonts w:hint="eastAsia" w:ascii="仿宋" w:hAnsi="仿宋" w:eastAsia="仿宋" w:cs="仿宋"/>
          <w:bCs/>
          <w:color w:val="000000"/>
          <w:sz w:val="32"/>
          <w:szCs w:val="32"/>
        </w:rPr>
      </w:pPr>
      <w:r>
        <w:rPr>
          <w:rFonts w:hint="eastAsia" w:ascii="仿宋" w:hAnsi="仿宋" w:eastAsia="仿宋" w:cs="仿宋"/>
          <w:b/>
          <w:bCs/>
          <w:color w:val="000000"/>
          <w:kern w:val="0"/>
          <w:sz w:val="32"/>
          <w:szCs w:val="32"/>
          <w:highlight w:val="none"/>
          <w:shd w:val="clear" w:color="auto" w:fill="FFFFFF"/>
          <w:lang w:val="en-US" w:eastAsia="zh-CN" w:bidi="ar"/>
        </w:rPr>
        <w:t>2.</w:t>
      </w:r>
      <w:r>
        <w:rPr>
          <w:rFonts w:hint="eastAsia" w:ascii="仿宋" w:hAnsi="仿宋" w:eastAsia="仿宋" w:cs="仿宋"/>
          <w:b/>
          <w:bCs/>
          <w:color w:val="000000"/>
          <w:kern w:val="0"/>
          <w:sz w:val="32"/>
          <w:szCs w:val="32"/>
          <w:highlight w:val="none"/>
          <w:shd w:val="clear" w:color="auto" w:fill="FFFFFF"/>
          <w:lang w:val="zh-CN" w:eastAsia="zh-CN" w:bidi="ar"/>
        </w:rPr>
        <w:t>预算管理：</w:t>
      </w:r>
      <w:r>
        <w:rPr>
          <w:rFonts w:hint="eastAsia" w:ascii="仿宋" w:hAnsi="仿宋" w:eastAsia="仿宋" w:cs="仿宋"/>
          <w:color w:val="000000"/>
          <w:sz w:val="32"/>
          <w:szCs w:val="32"/>
          <w:lang w:val="zh-CN"/>
        </w:rPr>
        <w:t>在预算管理方面，</w:t>
      </w:r>
      <w:r>
        <w:rPr>
          <w:rFonts w:hint="eastAsia" w:ascii="仿宋" w:hAnsi="仿宋" w:eastAsia="仿宋" w:cs="仿宋"/>
          <w:color w:val="000000"/>
          <w:sz w:val="32"/>
          <w:szCs w:val="32"/>
          <w:lang w:val="en-US" w:eastAsia="zh-CN"/>
        </w:rPr>
        <w:t>我单位</w:t>
      </w:r>
      <w:r>
        <w:rPr>
          <w:rFonts w:hint="eastAsia" w:ascii="仿宋" w:hAnsi="仿宋" w:eastAsia="仿宋" w:cs="仿宋"/>
          <w:color w:val="000000"/>
          <w:sz w:val="32"/>
          <w:szCs w:val="32"/>
          <w:lang w:val="zh-CN"/>
        </w:rPr>
        <w:t>严格遵循相关财务制度和预算安排，确保资金使用的合规性和有效性。一是强化预算编制的科学性，在编制年度预算时，充分考虑部门职能和业务需求，结合上年度预算执行情况和本年度工作计划，合理确定预算规模和结构，确保预算的准确性和完整性。二是加强预算执行的监控力度，通过建立预算执行动态监控机制，实时掌握预算执行进度和资金使用情况，及时发现并纠正预算执行中的偏差，确保预算执行的规范性和及时性。三是注重预算绩效的评价应用，将预算绩效评价结果作为下一年度预算编制的重要依据，对绩效评价中发现的问题进行深入分析，提出改进措施，不断优化预算安排，提高资金使用效益。</w:t>
      </w:r>
      <w:r>
        <w:rPr>
          <w:rFonts w:hint="eastAsia" w:ascii="仿宋" w:hAnsi="仿宋" w:eastAsia="仿宋" w:cs="仿宋"/>
          <w:color w:val="000000"/>
          <w:sz w:val="32"/>
          <w:szCs w:val="32"/>
          <w:lang w:val="en-US" w:eastAsia="zh-CN"/>
        </w:rPr>
        <w:t>四是</w:t>
      </w:r>
      <w:r>
        <w:rPr>
          <w:rFonts w:hint="eastAsia" w:ascii="仿宋" w:hAnsi="仿宋" w:eastAsia="仿宋" w:cs="仿宋"/>
          <w:color w:val="000000"/>
          <w:sz w:val="32"/>
          <w:szCs w:val="32"/>
        </w:rPr>
        <w:t>建立预算执行责任制，将年度预算支出责任逐一分解落实到具体执行科室和责任人，形成领导重视、各科室联动共同促进预算执行的良好格局。科学准确编制预算，加强预算管理，以项目完成数量为核心，强化预算执行力度，提高资金使用效率。</w:t>
      </w:r>
    </w:p>
    <w:p w14:paraId="0B1BDC52">
      <w:pPr>
        <w:keepNext w:val="0"/>
        <w:keepLines w:val="0"/>
        <w:pageBreakBefore w:val="0"/>
        <w:kinsoku/>
        <w:wordWrap/>
        <w:overflowPunct/>
        <w:topLinePunct w:val="0"/>
        <w:bidi w:val="0"/>
        <w:snapToGrid w:val="0"/>
        <w:spacing w:afterAutospacing="0" w:line="560" w:lineRule="atLeast"/>
        <w:ind w:firstLine="643" w:firstLineChars="200"/>
        <w:textAlignment w:val="auto"/>
        <w:rPr>
          <w:rFonts w:hint="eastAsia" w:ascii="仿宋" w:hAnsi="仿宋" w:eastAsia="仿宋" w:cs="仿宋"/>
          <w:color w:val="000000"/>
          <w:sz w:val="32"/>
          <w:szCs w:val="32"/>
          <w:lang w:val="zh-CN"/>
        </w:rPr>
      </w:pPr>
      <w:r>
        <w:rPr>
          <w:rFonts w:hint="default" w:ascii="Times New Roman" w:hAnsi="Times New Roman" w:eastAsia="楷体_GB2312" w:cs="Times New Roman"/>
          <w:b/>
          <w:bCs/>
          <w:color w:val="000000"/>
          <w:kern w:val="0"/>
          <w:sz w:val="32"/>
          <w:szCs w:val="32"/>
          <w:highlight w:val="none"/>
          <w:shd w:val="clear" w:color="auto" w:fill="FFFFFF"/>
          <w:lang w:val="en-US" w:eastAsia="zh-CN"/>
        </w:rPr>
        <w:t>3.</w:t>
      </w:r>
      <w:r>
        <w:rPr>
          <w:rFonts w:hint="default" w:ascii="Times New Roman" w:hAnsi="Times New Roman" w:eastAsia="楷体_GB2312" w:cs="Times New Roman"/>
          <w:b/>
          <w:bCs/>
          <w:color w:val="000000"/>
          <w:kern w:val="0"/>
          <w:sz w:val="32"/>
          <w:szCs w:val="32"/>
          <w:highlight w:val="none"/>
          <w:shd w:val="clear" w:color="auto" w:fill="FFFFFF"/>
          <w:lang w:val="zh-CN"/>
        </w:rPr>
        <w:t>财务管理</w:t>
      </w:r>
      <w:r>
        <w:rPr>
          <w:rFonts w:hint="eastAsia" w:eastAsia="楷体_GB2312" w:cs="Times New Roman"/>
          <w:b/>
          <w:bCs/>
          <w:color w:val="000000"/>
          <w:kern w:val="0"/>
          <w:sz w:val="32"/>
          <w:szCs w:val="32"/>
          <w:highlight w:val="none"/>
          <w:shd w:val="clear" w:color="auto" w:fill="FFFFFF"/>
          <w:lang w:val="zh-CN"/>
        </w:rPr>
        <w:t>：</w:t>
      </w:r>
      <w:r>
        <w:rPr>
          <w:rFonts w:hint="eastAsia" w:ascii="仿宋" w:hAnsi="仿宋" w:eastAsia="仿宋" w:cs="仿宋"/>
          <w:color w:val="000000"/>
          <w:sz w:val="32"/>
          <w:szCs w:val="32"/>
          <w:lang w:val="zh-CN"/>
        </w:rPr>
        <w:t>在财务管理方面，</w:t>
      </w:r>
      <w:r>
        <w:rPr>
          <w:rFonts w:hint="eastAsia" w:ascii="仿宋" w:hAnsi="仿宋" w:eastAsia="仿宋" w:cs="仿宋"/>
          <w:color w:val="000000"/>
          <w:sz w:val="32"/>
          <w:szCs w:val="32"/>
          <w:lang w:val="en-US" w:eastAsia="zh-CN"/>
        </w:rPr>
        <w:t>我单位</w:t>
      </w:r>
      <w:r>
        <w:rPr>
          <w:rFonts w:hint="eastAsia" w:ascii="仿宋" w:hAnsi="仿宋" w:eastAsia="仿宋" w:cs="仿宋"/>
          <w:color w:val="000000"/>
          <w:sz w:val="32"/>
          <w:szCs w:val="32"/>
          <w:lang w:val="zh-CN"/>
        </w:rPr>
        <w:t>始终秉持严谨、规范、高效的原则，确保财务工作的有序开展。一是严格执行国家财经法规和财务制度，建立健全内部财务管理体系，明确财务岗位职责，规范财务操作流程，确保财务工作的合规性和准确性。二是加强资金管理，对预算资金实行专款专用，严禁挤占、挪用，确保资金安全。</w:t>
      </w:r>
      <w:r>
        <w:rPr>
          <w:rFonts w:hint="eastAsia" w:ascii="仿宋" w:hAnsi="仿宋" w:eastAsia="仿宋" w:cs="仿宋"/>
          <w:color w:val="000000"/>
          <w:sz w:val="32"/>
          <w:szCs w:val="32"/>
          <w:lang w:val="en-US" w:eastAsia="zh-CN"/>
        </w:rPr>
        <w:t>三是</w:t>
      </w:r>
      <w:r>
        <w:rPr>
          <w:rFonts w:hint="eastAsia" w:ascii="仿宋" w:hAnsi="仿宋" w:eastAsia="仿宋" w:cs="仿宋"/>
          <w:color w:val="000000"/>
          <w:sz w:val="32"/>
          <w:szCs w:val="32"/>
          <w:lang w:val="zh-CN"/>
        </w:rPr>
        <w:t>优化资金使用结构，优先保障重点工作和项目的资金需求，提高资金使用效益。</w:t>
      </w:r>
      <w:r>
        <w:rPr>
          <w:rFonts w:hint="eastAsia" w:ascii="仿宋" w:hAnsi="仿宋" w:eastAsia="仿宋" w:cs="仿宋"/>
          <w:color w:val="000000"/>
          <w:sz w:val="32"/>
          <w:szCs w:val="32"/>
          <w:lang w:val="en-US" w:eastAsia="zh-CN"/>
        </w:rPr>
        <w:t>四</w:t>
      </w:r>
      <w:r>
        <w:rPr>
          <w:rFonts w:hint="eastAsia" w:ascii="仿宋" w:hAnsi="仿宋" w:eastAsia="仿宋" w:cs="仿宋"/>
          <w:color w:val="000000"/>
          <w:sz w:val="32"/>
          <w:szCs w:val="32"/>
          <w:lang w:val="zh-CN"/>
        </w:rPr>
        <w:t>是强化财务监督和审计，定期开展财务自查和内部审计，及时发现并纠正财务管理中存在的问题，确保财务信息的真实性和完整性。五是注重财务人员的培训和教育，定期组织财务人员参加业务培训和继续教育，提高财务人员的专业素养和业务能力，为财务管理工作的顺利开展提供有力保障。</w:t>
      </w:r>
    </w:p>
    <w:p w14:paraId="79E8698A">
      <w:pPr>
        <w:keepNext w:val="0"/>
        <w:keepLines w:val="0"/>
        <w:pageBreakBefore w:val="0"/>
        <w:kinsoku/>
        <w:wordWrap/>
        <w:overflowPunct/>
        <w:topLinePunct w:val="0"/>
        <w:bidi w:val="0"/>
        <w:adjustRightInd w:val="0"/>
        <w:snapToGrid w:val="0"/>
        <w:spacing w:afterAutospacing="0" w:line="560" w:lineRule="atLeast"/>
        <w:ind w:firstLine="643" w:firstLineChars="200"/>
        <w:textAlignment w:val="auto"/>
        <w:rPr>
          <w:rFonts w:hint="eastAsia" w:ascii="仿宋" w:hAnsi="仿宋" w:eastAsia="仿宋" w:cs="仿宋"/>
          <w:color w:val="000000"/>
          <w:sz w:val="32"/>
          <w:szCs w:val="32"/>
        </w:rPr>
      </w:pPr>
      <w:r>
        <w:rPr>
          <w:rFonts w:hint="eastAsia" w:ascii="仿宋" w:hAnsi="仿宋" w:eastAsia="仿宋" w:cs="仿宋"/>
          <w:b/>
          <w:color w:val="000000"/>
          <w:sz w:val="32"/>
          <w:szCs w:val="32"/>
        </w:rPr>
        <w:t>4.资产管理：</w:t>
      </w:r>
      <w:r>
        <w:rPr>
          <w:rFonts w:hint="eastAsia" w:ascii="仿宋" w:hAnsi="仿宋" w:eastAsia="仿宋" w:cs="仿宋"/>
          <w:color w:val="000000"/>
          <w:sz w:val="32"/>
          <w:szCs w:val="32"/>
          <w:lang w:val="zh-CN" w:eastAsia="zh-CN"/>
        </w:rPr>
        <w:t>在资产管理方面，我</w:t>
      </w:r>
      <w:r>
        <w:rPr>
          <w:rFonts w:hint="eastAsia" w:ascii="仿宋" w:hAnsi="仿宋" w:eastAsia="仿宋" w:cs="仿宋"/>
          <w:color w:val="000000"/>
          <w:sz w:val="32"/>
          <w:szCs w:val="32"/>
          <w:lang w:val="en-US" w:eastAsia="zh-CN"/>
        </w:rPr>
        <w:t>单位</w:t>
      </w:r>
      <w:r>
        <w:rPr>
          <w:rFonts w:hint="eastAsia" w:ascii="仿宋" w:hAnsi="仿宋" w:eastAsia="仿宋" w:cs="仿宋"/>
          <w:color w:val="000000"/>
          <w:sz w:val="32"/>
          <w:szCs w:val="32"/>
          <w:lang w:val="zh-CN" w:eastAsia="zh-CN"/>
        </w:rPr>
        <w:t>始终秉持规范、高效、透明的原则，确保国有资产的安全完整和有效利用。一是建立健全资产管理制度，明确资产采购、验收、使用、保管、处置等各环节的管理流程和责任分工，确保资产管理的规范化和制度化。二是加强资产日常管理，定期对资产进行清查盘点，确保账实相符、账账相符，及时发现并处理资产盘盈、盘亏等问题。三是优化资产配置，根据部门职能和业务需求，合理配置资产资源，避免资产闲置和浪费，提高资产使用效益。四是强化资产处置管理，严格按照规定程序对报废、闲置资产进行处置，确保资产处置的公开、公平、公正，防止国有资产流失。五是推进资产管理信息化建设，利用现代信息技术手段，建立资产管理信息系统，实现资产信息的动态管理和实时监控，提高资产管理的效率和水平。</w:t>
      </w:r>
      <w:r>
        <w:rPr>
          <w:rFonts w:hint="eastAsia" w:ascii="仿宋" w:hAnsi="仿宋" w:eastAsia="仿宋" w:cs="仿宋"/>
          <w:color w:val="000000"/>
          <w:sz w:val="32"/>
          <w:szCs w:val="32"/>
          <w:lang w:val="en-US" w:eastAsia="zh-CN"/>
        </w:rPr>
        <w:t>2025年</w:t>
      </w:r>
      <w:r>
        <w:rPr>
          <w:rFonts w:hint="eastAsia" w:ascii="仿宋" w:hAnsi="仿宋" w:eastAsia="仿宋" w:cs="仿宋"/>
          <w:color w:val="000000"/>
          <w:sz w:val="32"/>
          <w:szCs w:val="32"/>
        </w:rPr>
        <w:t>固定资产使用率为100%。</w:t>
      </w:r>
    </w:p>
    <w:p w14:paraId="1CA271D0">
      <w:pPr>
        <w:keepNext w:val="0"/>
        <w:keepLines w:val="0"/>
        <w:pageBreakBefore w:val="0"/>
        <w:widowControl/>
        <w:numPr>
          <w:ilvl w:val="0"/>
          <w:numId w:val="0"/>
        </w:numPr>
        <w:shd w:val="clear" w:color="auto" w:fill="FFFFFF"/>
        <w:kinsoku/>
        <w:wordWrap/>
        <w:overflowPunct/>
        <w:topLinePunct w:val="0"/>
        <w:bidi w:val="0"/>
        <w:spacing w:afterAutospacing="0" w:line="560" w:lineRule="atLeast"/>
        <w:ind w:firstLine="643" w:firstLineChars="200"/>
        <w:jc w:val="left"/>
        <w:textAlignment w:val="auto"/>
        <w:rPr>
          <w:rFonts w:hint="eastAsia" w:ascii="仿宋" w:hAnsi="仿宋" w:eastAsia="仿宋" w:cs="仿宋"/>
          <w:color w:val="000000"/>
          <w:sz w:val="32"/>
          <w:szCs w:val="32"/>
        </w:rPr>
      </w:pPr>
      <w:r>
        <w:rPr>
          <w:rFonts w:hint="eastAsia" w:ascii="仿宋" w:hAnsi="仿宋" w:eastAsia="仿宋" w:cs="仿宋"/>
          <w:b/>
          <w:color w:val="000000"/>
          <w:sz w:val="32"/>
          <w:szCs w:val="32"/>
          <w:lang w:val="en-US" w:eastAsia="zh-CN"/>
        </w:rPr>
        <w:t>5.</w:t>
      </w:r>
      <w:r>
        <w:rPr>
          <w:rFonts w:hint="eastAsia" w:ascii="仿宋" w:hAnsi="仿宋" w:eastAsia="仿宋" w:cs="仿宋"/>
          <w:b/>
          <w:color w:val="000000"/>
          <w:sz w:val="32"/>
          <w:szCs w:val="32"/>
        </w:rPr>
        <w:t>采购管理：</w:t>
      </w:r>
      <w:r>
        <w:rPr>
          <w:rFonts w:hint="eastAsia" w:ascii="仿宋" w:hAnsi="仿宋" w:eastAsia="仿宋" w:cs="仿宋"/>
          <w:color w:val="000000"/>
          <w:sz w:val="32"/>
          <w:szCs w:val="32"/>
          <w:lang w:val="zh-CN" w:eastAsia="zh-CN"/>
        </w:rPr>
        <w:t>在采购管理方面，我单位严格遵循政府采购相关法律法规及内部采购管理制度，确保采购活动的公开、公平、公正和高效。一是强化采购计划管理，根据部门预算和实际工作需求，科学编制年度采购计划，明确采购项目、数量、预算金额及资金来源，确保采购计划的合理性和准确性。二是规范采购流程，严格按照规定的采购方式和程序进行采购，对于达到公开招标数额标准的项目，一律实行公开招标；对于未达到公开招标数额标准的项目，根据项目特点选择合适的采购方式，如竞争性谈判、单一来源采购等，并确保采购过程透明、可追溯。三是加强采购合同管理，与供应商签订采购合同时，明确双方的权利和义务，确保合同条款合法、合规、合理，并严格按照合同约定履行付款义务，维护单位合法权益。四是注重采购绩效评价，对采购项目的实施效果进行跟踪评估，分析采购成本、质量、效率等方面的绩效指标，总结经验教训，为后续采购活动提供参考和借鉴。通过加强采购管理，我单位有效提高了资金使用效益，保障了部门职能的顺利履行。</w:t>
      </w:r>
      <w:r>
        <w:rPr>
          <w:rFonts w:hint="eastAsia" w:ascii="仿宋" w:hAnsi="仿宋" w:eastAsia="仿宋" w:cs="仿宋"/>
          <w:color w:val="000000"/>
          <w:sz w:val="32"/>
          <w:szCs w:val="32"/>
          <w:lang w:val="en-US" w:eastAsia="zh-CN"/>
        </w:rPr>
        <w:t>2025年</w:t>
      </w:r>
      <w:r>
        <w:rPr>
          <w:rFonts w:hint="eastAsia" w:ascii="仿宋" w:hAnsi="仿宋" w:eastAsia="仿宋" w:cs="仿宋"/>
          <w:color w:val="000000"/>
          <w:sz w:val="32"/>
          <w:szCs w:val="32"/>
        </w:rPr>
        <w:t>采购执行率为100%</w:t>
      </w:r>
    </w:p>
    <w:p w14:paraId="7B0B68F1">
      <w:pPr>
        <w:keepNext w:val="0"/>
        <w:keepLines w:val="0"/>
        <w:pageBreakBefore w:val="0"/>
        <w:widowControl w:val="0"/>
        <w:numPr>
          <w:ilvl w:val="0"/>
          <w:numId w:val="0"/>
        </w:numPr>
        <w:kinsoku/>
        <w:wordWrap/>
        <w:overflowPunct/>
        <w:topLinePunct w:val="0"/>
        <w:autoSpaceDE/>
        <w:autoSpaceDN/>
        <w:bidi w:val="0"/>
        <w:adjustRightInd w:val="0"/>
        <w:snapToGrid w:val="0"/>
        <w:spacing w:afterAutospacing="0" w:line="560" w:lineRule="atLeast"/>
        <w:ind w:firstLine="643" w:firstLineChars="200"/>
        <w:contextualSpacing/>
        <w:jc w:val="left"/>
        <w:textAlignment w:val="auto"/>
        <w:outlineLvl w:val="9"/>
        <w:rPr>
          <w:rFonts w:hint="eastAsia" w:ascii="楷体" w:hAnsi="楷体" w:eastAsia="楷体" w:cs="楷体"/>
          <w:b/>
          <w:bCs/>
          <w:color w:val="000000"/>
          <w:kern w:val="0"/>
          <w:sz w:val="32"/>
          <w:szCs w:val="32"/>
          <w:highlight w:val="none"/>
          <w:shd w:val="clear" w:color="auto" w:fill="FFFFFF"/>
          <w:lang w:val="zh-CN"/>
        </w:rPr>
      </w:pPr>
      <w:r>
        <w:rPr>
          <w:rFonts w:hint="eastAsia" w:ascii="楷体" w:hAnsi="楷体" w:eastAsia="楷体" w:cs="楷体"/>
          <w:b/>
          <w:bCs/>
          <w:color w:val="000000"/>
          <w:kern w:val="0"/>
          <w:sz w:val="32"/>
          <w:szCs w:val="32"/>
          <w:highlight w:val="none"/>
          <w:shd w:val="clear" w:color="auto" w:fill="FFFFFF"/>
          <w:lang w:val="zh-CN"/>
        </w:rPr>
        <w:t>（二）部门预算项目绩效分析</w:t>
      </w:r>
    </w:p>
    <w:p w14:paraId="750915EE">
      <w:pPr>
        <w:keepNext w:val="0"/>
        <w:keepLines w:val="0"/>
        <w:pageBreakBefore w:val="0"/>
        <w:widowControl/>
        <w:shd w:val="clear" w:color="auto" w:fill="FFFFFF"/>
        <w:kinsoku/>
        <w:wordWrap/>
        <w:overflowPunct/>
        <w:topLinePunct w:val="0"/>
        <w:bidi w:val="0"/>
        <w:spacing w:afterAutospacing="0" w:line="560" w:lineRule="atLeast"/>
        <w:ind w:firstLine="640" w:firstLineChars="200"/>
        <w:jc w:val="left"/>
        <w:textAlignment w:val="auto"/>
        <w:rPr>
          <w:rFonts w:hint="eastAsia" w:ascii="仿宋" w:hAnsi="仿宋" w:eastAsia="仿宋" w:cs="仿宋"/>
          <w:color w:val="000000"/>
          <w:sz w:val="32"/>
          <w:szCs w:val="32"/>
        </w:rPr>
      </w:pPr>
      <w:r>
        <w:rPr>
          <w:rFonts w:hint="eastAsia" w:ascii="仿宋" w:hAnsi="仿宋" w:eastAsia="仿宋" w:cs="仿宋"/>
          <w:color w:val="000000"/>
          <w:sz w:val="32"/>
          <w:szCs w:val="32"/>
        </w:rPr>
        <w:t>州歌舞团共涉及</w:t>
      </w:r>
      <w:r>
        <w:rPr>
          <w:rFonts w:hint="eastAsia" w:ascii="仿宋" w:hAnsi="仿宋" w:eastAsia="仿宋" w:cs="仿宋"/>
          <w:color w:val="000000"/>
          <w:sz w:val="32"/>
          <w:szCs w:val="32"/>
          <w:lang w:val="en-US" w:eastAsia="zh-CN"/>
        </w:rPr>
        <w:t>8</w:t>
      </w:r>
      <w:r>
        <w:rPr>
          <w:rFonts w:hint="eastAsia" w:ascii="仿宋" w:hAnsi="仿宋" w:eastAsia="仿宋" w:cs="仿宋"/>
          <w:color w:val="000000"/>
          <w:sz w:val="32"/>
          <w:szCs w:val="32"/>
        </w:rPr>
        <w:t>个项目，常年项目</w:t>
      </w:r>
      <w:r>
        <w:rPr>
          <w:rFonts w:hint="eastAsia" w:ascii="仿宋" w:hAnsi="仿宋" w:eastAsia="仿宋" w:cs="仿宋"/>
          <w:color w:val="000000"/>
          <w:sz w:val="32"/>
          <w:szCs w:val="32"/>
          <w:lang w:val="en-US" w:eastAsia="zh-CN"/>
        </w:rPr>
        <w:t>2</w:t>
      </w:r>
      <w:r>
        <w:rPr>
          <w:rFonts w:hint="eastAsia" w:ascii="仿宋" w:hAnsi="仿宋" w:eastAsia="仿宋" w:cs="仿宋"/>
          <w:color w:val="000000"/>
          <w:sz w:val="32"/>
          <w:szCs w:val="32"/>
        </w:rPr>
        <w:t>个，阶段性项目</w:t>
      </w:r>
      <w:r>
        <w:rPr>
          <w:rFonts w:hint="eastAsia" w:ascii="仿宋" w:hAnsi="仿宋" w:eastAsia="仿宋" w:cs="仿宋"/>
          <w:color w:val="000000"/>
          <w:sz w:val="32"/>
          <w:szCs w:val="32"/>
          <w:lang w:val="en-US" w:eastAsia="zh-CN"/>
        </w:rPr>
        <w:t>6</w:t>
      </w:r>
      <w:r>
        <w:rPr>
          <w:rFonts w:hint="eastAsia" w:ascii="仿宋" w:hAnsi="仿宋" w:eastAsia="仿宋" w:cs="仿宋"/>
          <w:color w:val="000000"/>
          <w:sz w:val="32"/>
          <w:szCs w:val="32"/>
        </w:rPr>
        <w:t>个。</w:t>
      </w:r>
    </w:p>
    <w:p w14:paraId="08D7DCB8">
      <w:pPr>
        <w:keepNext w:val="0"/>
        <w:keepLines w:val="0"/>
        <w:pageBreakBefore w:val="0"/>
        <w:kinsoku/>
        <w:wordWrap/>
        <w:overflowPunct/>
        <w:topLinePunct w:val="0"/>
        <w:bidi w:val="0"/>
        <w:adjustRightInd w:val="0"/>
        <w:snapToGrid w:val="0"/>
        <w:spacing w:afterAutospacing="0" w:line="560" w:lineRule="atLeast"/>
        <w:ind w:firstLine="640" w:firstLineChars="200"/>
        <w:contextualSpacing/>
        <w:jc w:val="left"/>
        <w:textAlignment w:val="auto"/>
        <w:rPr>
          <w:rFonts w:hint="eastAsia" w:ascii="仿宋" w:hAnsi="仿宋" w:eastAsia="仿宋" w:cs="仿宋"/>
          <w:color w:val="000000"/>
          <w:kern w:val="0"/>
          <w:sz w:val="32"/>
          <w:szCs w:val="32"/>
          <w:shd w:val="clear" w:color="auto" w:fill="FFFFFF"/>
          <w:lang w:val="zh-CN"/>
        </w:rPr>
      </w:pPr>
      <w:r>
        <w:rPr>
          <w:rFonts w:hint="eastAsia" w:ascii="仿宋" w:hAnsi="仿宋" w:eastAsia="仿宋" w:cs="仿宋"/>
          <w:color w:val="000000"/>
          <w:sz w:val="32"/>
          <w:szCs w:val="32"/>
        </w:rPr>
        <w:t>常年项目：该类项目总计</w:t>
      </w:r>
      <w:r>
        <w:rPr>
          <w:rFonts w:hint="eastAsia" w:ascii="仿宋" w:hAnsi="仿宋" w:eastAsia="仿宋" w:cs="仿宋"/>
          <w:color w:val="000000"/>
          <w:sz w:val="32"/>
          <w:szCs w:val="32"/>
          <w:lang w:val="en-US" w:eastAsia="zh-CN"/>
        </w:rPr>
        <w:t>2</w:t>
      </w:r>
      <w:r>
        <w:rPr>
          <w:rFonts w:hint="eastAsia" w:ascii="仿宋" w:hAnsi="仿宋" w:eastAsia="仿宋" w:cs="仿宋"/>
          <w:color w:val="000000"/>
          <w:sz w:val="32"/>
          <w:szCs w:val="32"/>
        </w:rPr>
        <w:t>个，涉及预算金额为</w:t>
      </w:r>
      <w:r>
        <w:rPr>
          <w:rFonts w:hint="eastAsia" w:ascii="仿宋" w:hAnsi="仿宋" w:eastAsia="仿宋" w:cs="仿宋"/>
          <w:color w:val="000000"/>
          <w:sz w:val="32"/>
          <w:szCs w:val="32"/>
          <w:lang w:val="en-US" w:eastAsia="zh-CN"/>
        </w:rPr>
        <w:t>65.1</w:t>
      </w:r>
      <w:r>
        <w:rPr>
          <w:rFonts w:hint="eastAsia" w:ascii="仿宋" w:hAnsi="仿宋" w:eastAsia="仿宋" w:cs="仿宋"/>
          <w:color w:val="000000"/>
          <w:sz w:val="32"/>
          <w:szCs w:val="32"/>
        </w:rPr>
        <w:t>万元</w:t>
      </w:r>
      <w:r>
        <w:rPr>
          <w:rFonts w:hint="eastAsia" w:ascii="仿宋" w:hAnsi="仿宋" w:eastAsia="仿宋" w:cs="仿宋"/>
          <w:color w:val="000000"/>
          <w:kern w:val="0"/>
          <w:sz w:val="32"/>
          <w:szCs w:val="32"/>
          <w:shd w:val="clear" w:color="auto" w:fill="FFFFFF"/>
          <w:lang w:val="zh-CN"/>
        </w:rPr>
        <w:t>，支付数为</w:t>
      </w:r>
      <w:r>
        <w:rPr>
          <w:rFonts w:hint="eastAsia" w:ascii="仿宋" w:hAnsi="仿宋" w:eastAsia="仿宋" w:cs="仿宋"/>
          <w:color w:val="000000"/>
          <w:sz w:val="32"/>
          <w:szCs w:val="32"/>
          <w:lang w:val="en-US" w:eastAsia="zh-CN"/>
        </w:rPr>
        <w:t>64.76</w:t>
      </w:r>
      <w:r>
        <w:rPr>
          <w:rFonts w:hint="eastAsia" w:ascii="仿宋" w:hAnsi="仿宋" w:eastAsia="仿宋" w:cs="仿宋"/>
          <w:color w:val="000000"/>
          <w:kern w:val="0"/>
          <w:sz w:val="32"/>
          <w:szCs w:val="32"/>
          <w:shd w:val="clear" w:color="auto" w:fill="FFFFFF"/>
          <w:lang w:val="zh-CN"/>
        </w:rPr>
        <w:t>，1—1</w:t>
      </w:r>
      <w:r>
        <w:rPr>
          <w:rFonts w:hint="eastAsia" w:ascii="仿宋" w:hAnsi="仿宋" w:eastAsia="仿宋" w:cs="仿宋"/>
          <w:color w:val="000000"/>
          <w:kern w:val="0"/>
          <w:sz w:val="32"/>
          <w:szCs w:val="32"/>
          <w:shd w:val="clear" w:color="auto" w:fill="FFFFFF"/>
        </w:rPr>
        <w:t>2</w:t>
      </w:r>
      <w:r>
        <w:rPr>
          <w:rFonts w:hint="eastAsia" w:ascii="仿宋" w:hAnsi="仿宋" w:eastAsia="仿宋" w:cs="仿宋"/>
          <w:color w:val="000000"/>
          <w:kern w:val="0"/>
          <w:sz w:val="32"/>
          <w:szCs w:val="32"/>
          <w:shd w:val="clear" w:color="auto" w:fill="FFFFFF"/>
          <w:lang w:val="zh-CN"/>
        </w:rPr>
        <w:t>月预算执行总体进度为</w:t>
      </w:r>
      <w:r>
        <w:rPr>
          <w:rFonts w:hint="eastAsia" w:ascii="仿宋" w:hAnsi="仿宋" w:eastAsia="仿宋" w:cs="仿宋"/>
          <w:color w:val="000000"/>
          <w:kern w:val="0"/>
          <w:sz w:val="32"/>
          <w:szCs w:val="32"/>
          <w:shd w:val="clear" w:color="auto" w:fill="FFFFFF"/>
          <w:lang w:val="en-US" w:eastAsia="zh-CN"/>
        </w:rPr>
        <w:t>99</w:t>
      </w:r>
      <w:r>
        <w:rPr>
          <w:rFonts w:hint="eastAsia" w:ascii="仿宋" w:hAnsi="仿宋" w:eastAsia="仿宋" w:cs="仿宋"/>
          <w:color w:val="000000"/>
          <w:kern w:val="0"/>
          <w:sz w:val="32"/>
          <w:szCs w:val="32"/>
          <w:shd w:val="clear" w:color="auto" w:fill="FFFFFF"/>
          <w:lang w:val="zh-CN"/>
        </w:rPr>
        <w:t>%，其中预算结余率大于</w:t>
      </w:r>
      <w:r>
        <w:rPr>
          <w:rFonts w:hint="eastAsia" w:ascii="仿宋" w:hAnsi="仿宋" w:eastAsia="仿宋" w:cs="仿宋"/>
          <w:color w:val="000000"/>
          <w:kern w:val="0"/>
          <w:sz w:val="32"/>
          <w:szCs w:val="32"/>
          <w:shd w:val="clear" w:color="auto" w:fill="FFFFFF"/>
        </w:rPr>
        <w:t>10%</w:t>
      </w:r>
      <w:r>
        <w:rPr>
          <w:rFonts w:hint="eastAsia" w:ascii="仿宋" w:hAnsi="仿宋" w:eastAsia="仿宋" w:cs="仿宋"/>
          <w:color w:val="000000"/>
          <w:kern w:val="0"/>
          <w:sz w:val="32"/>
          <w:szCs w:val="32"/>
          <w:shd w:val="clear" w:color="auto" w:fill="FFFFFF"/>
          <w:lang w:val="zh-CN"/>
        </w:rPr>
        <w:t>的项目共计</w:t>
      </w:r>
      <w:r>
        <w:rPr>
          <w:rFonts w:hint="eastAsia" w:ascii="仿宋" w:hAnsi="仿宋" w:eastAsia="仿宋" w:cs="仿宋"/>
          <w:color w:val="000000"/>
          <w:kern w:val="0"/>
          <w:sz w:val="32"/>
          <w:szCs w:val="32"/>
          <w:shd w:val="clear" w:color="auto" w:fill="FFFFFF"/>
          <w:lang w:val="en-US" w:eastAsia="zh-CN"/>
        </w:rPr>
        <w:t>0</w:t>
      </w:r>
      <w:r>
        <w:rPr>
          <w:rFonts w:hint="eastAsia" w:ascii="仿宋" w:hAnsi="仿宋" w:eastAsia="仿宋" w:cs="仿宋"/>
          <w:color w:val="000000"/>
          <w:kern w:val="0"/>
          <w:sz w:val="32"/>
          <w:szCs w:val="32"/>
          <w:shd w:val="clear" w:color="auto" w:fill="FFFFFF"/>
          <w:lang w:val="zh-CN"/>
        </w:rPr>
        <w:t>个。</w:t>
      </w:r>
    </w:p>
    <w:p w14:paraId="54702653">
      <w:pPr>
        <w:keepNext w:val="0"/>
        <w:keepLines w:val="0"/>
        <w:pageBreakBefore w:val="0"/>
        <w:kinsoku/>
        <w:wordWrap/>
        <w:overflowPunct/>
        <w:topLinePunct w:val="0"/>
        <w:bidi w:val="0"/>
        <w:adjustRightInd w:val="0"/>
        <w:snapToGrid w:val="0"/>
        <w:spacing w:afterAutospacing="0" w:line="560" w:lineRule="atLeast"/>
        <w:ind w:firstLine="640" w:firstLineChars="200"/>
        <w:contextualSpacing/>
        <w:jc w:val="left"/>
        <w:textAlignment w:val="auto"/>
        <w:rPr>
          <w:rFonts w:hint="default" w:ascii="Times New Roman" w:hAnsi="Times New Roman" w:eastAsia="楷体_GB2312" w:cs="Times New Roman"/>
          <w:b/>
          <w:bCs/>
          <w:color w:val="000000"/>
          <w:kern w:val="0"/>
          <w:szCs w:val="32"/>
          <w:highlight w:val="none"/>
          <w:shd w:val="clear" w:color="auto" w:fill="FFFFFF"/>
          <w:lang w:val="zh-CN" w:eastAsia="zh-CN"/>
        </w:rPr>
      </w:pPr>
      <w:r>
        <w:rPr>
          <w:rFonts w:hint="eastAsia" w:ascii="仿宋" w:hAnsi="仿宋" w:eastAsia="仿宋" w:cs="仿宋"/>
          <w:color w:val="000000"/>
          <w:kern w:val="0"/>
          <w:sz w:val="32"/>
          <w:szCs w:val="32"/>
          <w:shd w:val="clear" w:color="auto" w:fill="FFFFFF"/>
        </w:rPr>
        <w:t>阶段（一次性）项目绩效分析。</w:t>
      </w:r>
      <w:r>
        <w:rPr>
          <w:rFonts w:hint="eastAsia" w:ascii="仿宋" w:hAnsi="仿宋" w:eastAsia="仿宋" w:cs="仿宋"/>
          <w:color w:val="000000"/>
          <w:kern w:val="0"/>
          <w:sz w:val="32"/>
          <w:szCs w:val="32"/>
          <w:shd w:val="clear" w:color="auto" w:fill="FFFFFF"/>
          <w:lang w:val="zh-CN"/>
        </w:rPr>
        <w:t>该类项目总数</w:t>
      </w:r>
      <w:r>
        <w:rPr>
          <w:rFonts w:hint="eastAsia" w:ascii="仿宋" w:hAnsi="仿宋" w:eastAsia="仿宋" w:cs="仿宋"/>
          <w:color w:val="000000"/>
          <w:kern w:val="0"/>
          <w:sz w:val="32"/>
          <w:szCs w:val="32"/>
          <w:shd w:val="clear" w:color="auto" w:fill="FFFFFF"/>
          <w:lang w:val="en-US" w:eastAsia="zh-CN"/>
        </w:rPr>
        <w:t>6</w:t>
      </w:r>
      <w:r>
        <w:rPr>
          <w:rFonts w:hint="eastAsia" w:ascii="仿宋" w:hAnsi="仿宋" w:eastAsia="仿宋" w:cs="仿宋"/>
          <w:color w:val="000000"/>
          <w:kern w:val="0"/>
          <w:sz w:val="32"/>
          <w:szCs w:val="32"/>
          <w:shd w:val="clear" w:color="auto" w:fill="FFFFFF"/>
          <w:lang w:val="zh-CN"/>
        </w:rPr>
        <w:t>个，涉及预算总金额</w:t>
      </w:r>
      <w:r>
        <w:rPr>
          <w:rFonts w:hint="eastAsia" w:ascii="仿宋" w:hAnsi="仿宋" w:eastAsia="仿宋" w:cs="仿宋"/>
          <w:color w:val="000000"/>
          <w:kern w:val="0"/>
          <w:sz w:val="32"/>
          <w:szCs w:val="32"/>
          <w:shd w:val="clear" w:color="auto" w:fill="FFFFFF"/>
          <w:lang w:val="en-US" w:eastAsia="zh-CN"/>
        </w:rPr>
        <w:t>244.38</w:t>
      </w:r>
      <w:r>
        <w:rPr>
          <w:rFonts w:hint="eastAsia" w:ascii="仿宋" w:hAnsi="仿宋" w:eastAsia="仿宋" w:cs="仿宋"/>
          <w:color w:val="000000"/>
          <w:kern w:val="0"/>
          <w:sz w:val="32"/>
          <w:szCs w:val="32"/>
          <w:shd w:val="clear" w:color="auto" w:fill="FFFFFF"/>
          <w:lang w:val="zh-CN"/>
        </w:rPr>
        <w:t>万元，支付数为</w:t>
      </w:r>
      <w:r>
        <w:rPr>
          <w:rFonts w:hint="eastAsia" w:ascii="仿宋" w:hAnsi="仿宋" w:eastAsia="仿宋" w:cs="仿宋"/>
          <w:color w:val="000000"/>
          <w:kern w:val="0"/>
          <w:sz w:val="32"/>
          <w:szCs w:val="32"/>
          <w:shd w:val="clear" w:color="auto" w:fill="FFFFFF"/>
          <w:lang w:val="en-US" w:eastAsia="zh-CN"/>
        </w:rPr>
        <w:t>243.6</w:t>
      </w:r>
      <w:r>
        <w:rPr>
          <w:rFonts w:hint="eastAsia" w:ascii="仿宋" w:hAnsi="仿宋" w:eastAsia="仿宋" w:cs="仿宋"/>
          <w:color w:val="000000"/>
          <w:kern w:val="0"/>
          <w:sz w:val="32"/>
          <w:szCs w:val="32"/>
          <w:shd w:val="clear" w:color="auto" w:fill="FFFFFF"/>
          <w:lang w:val="zh-CN"/>
        </w:rPr>
        <w:t>万元，1—1</w:t>
      </w:r>
      <w:r>
        <w:rPr>
          <w:rFonts w:hint="eastAsia" w:ascii="仿宋" w:hAnsi="仿宋" w:eastAsia="仿宋" w:cs="仿宋"/>
          <w:color w:val="000000"/>
          <w:kern w:val="0"/>
          <w:sz w:val="32"/>
          <w:szCs w:val="32"/>
          <w:shd w:val="clear" w:color="auto" w:fill="FFFFFF"/>
        </w:rPr>
        <w:t>2</w:t>
      </w:r>
      <w:r>
        <w:rPr>
          <w:rFonts w:hint="eastAsia" w:ascii="仿宋" w:hAnsi="仿宋" w:eastAsia="仿宋" w:cs="仿宋"/>
          <w:color w:val="000000"/>
          <w:kern w:val="0"/>
          <w:sz w:val="32"/>
          <w:szCs w:val="32"/>
          <w:shd w:val="clear" w:color="auto" w:fill="FFFFFF"/>
          <w:lang w:val="zh-CN"/>
        </w:rPr>
        <w:t>月预算执行总体进度为</w:t>
      </w:r>
      <w:r>
        <w:rPr>
          <w:rFonts w:hint="eastAsia" w:ascii="仿宋" w:hAnsi="仿宋" w:eastAsia="仿宋" w:cs="仿宋"/>
          <w:color w:val="000000"/>
          <w:kern w:val="0"/>
          <w:sz w:val="32"/>
          <w:szCs w:val="32"/>
          <w:shd w:val="clear" w:color="auto" w:fill="FFFFFF"/>
        </w:rPr>
        <w:t>9</w:t>
      </w:r>
      <w:r>
        <w:rPr>
          <w:rFonts w:hint="eastAsia" w:ascii="仿宋" w:hAnsi="仿宋" w:eastAsia="仿宋" w:cs="仿宋"/>
          <w:color w:val="000000"/>
          <w:kern w:val="0"/>
          <w:sz w:val="32"/>
          <w:szCs w:val="32"/>
          <w:shd w:val="clear" w:color="auto" w:fill="FFFFFF"/>
          <w:lang w:val="en-US" w:eastAsia="zh-CN"/>
        </w:rPr>
        <w:t>9</w:t>
      </w:r>
      <w:r>
        <w:rPr>
          <w:rFonts w:hint="eastAsia" w:ascii="仿宋" w:hAnsi="仿宋" w:eastAsia="仿宋" w:cs="仿宋"/>
          <w:color w:val="000000"/>
          <w:kern w:val="0"/>
          <w:sz w:val="32"/>
          <w:szCs w:val="32"/>
          <w:shd w:val="clear" w:color="auto" w:fill="FFFFFF"/>
        </w:rPr>
        <w:t>%</w:t>
      </w:r>
      <w:r>
        <w:rPr>
          <w:rFonts w:hint="eastAsia" w:ascii="仿宋" w:hAnsi="仿宋" w:eastAsia="仿宋" w:cs="仿宋"/>
          <w:color w:val="000000"/>
          <w:kern w:val="0"/>
          <w:sz w:val="32"/>
          <w:szCs w:val="32"/>
          <w:shd w:val="clear" w:color="auto" w:fill="FFFFFF"/>
          <w:lang w:val="zh-CN"/>
        </w:rPr>
        <w:t>，其中：预算结余率大于</w:t>
      </w:r>
      <w:r>
        <w:rPr>
          <w:rFonts w:hint="eastAsia" w:ascii="仿宋" w:hAnsi="仿宋" w:eastAsia="仿宋" w:cs="仿宋"/>
          <w:color w:val="000000"/>
          <w:kern w:val="0"/>
          <w:sz w:val="32"/>
          <w:szCs w:val="32"/>
          <w:shd w:val="clear" w:color="auto" w:fill="FFFFFF"/>
        </w:rPr>
        <w:t>10%</w:t>
      </w:r>
      <w:r>
        <w:rPr>
          <w:rFonts w:hint="eastAsia" w:ascii="仿宋" w:hAnsi="仿宋" w:eastAsia="仿宋" w:cs="仿宋"/>
          <w:color w:val="000000"/>
          <w:kern w:val="0"/>
          <w:sz w:val="32"/>
          <w:szCs w:val="32"/>
          <w:shd w:val="clear" w:color="auto" w:fill="FFFFFF"/>
          <w:lang w:val="zh-CN"/>
        </w:rPr>
        <w:t>的项目共计</w:t>
      </w:r>
      <w:r>
        <w:rPr>
          <w:rFonts w:hint="eastAsia" w:ascii="仿宋" w:hAnsi="仿宋" w:eastAsia="仿宋" w:cs="仿宋"/>
          <w:color w:val="000000"/>
          <w:kern w:val="0"/>
          <w:sz w:val="32"/>
          <w:szCs w:val="32"/>
          <w:shd w:val="clear" w:color="auto" w:fill="FFFFFF"/>
        </w:rPr>
        <w:t>0</w:t>
      </w:r>
      <w:r>
        <w:rPr>
          <w:rFonts w:hint="eastAsia" w:ascii="仿宋" w:hAnsi="仿宋" w:eastAsia="仿宋" w:cs="仿宋"/>
          <w:color w:val="000000"/>
          <w:kern w:val="0"/>
          <w:sz w:val="32"/>
          <w:szCs w:val="32"/>
          <w:shd w:val="clear" w:color="auto" w:fill="FFFFFF"/>
          <w:lang w:val="zh-CN"/>
        </w:rPr>
        <w:t>个。</w:t>
      </w:r>
    </w:p>
    <w:p w14:paraId="18B8DC80">
      <w:pPr>
        <w:pStyle w:val="18"/>
        <w:keepNext w:val="0"/>
        <w:keepLines w:val="0"/>
        <w:pageBreakBefore w:val="0"/>
        <w:widowControl/>
        <w:shd w:val="clear" w:color="auto" w:fill="FFFFFF"/>
        <w:kinsoku/>
        <w:wordWrap/>
        <w:overflowPunct/>
        <w:topLinePunct w:val="0"/>
        <w:bidi w:val="0"/>
        <w:spacing w:before="0" w:after="0" w:afterAutospacing="0" w:line="560" w:lineRule="atLeast"/>
        <w:ind w:firstLine="643" w:firstLineChars="200"/>
        <w:jc w:val="both"/>
        <w:textAlignment w:val="auto"/>
        <w:rPr>
          <w:rFonts w:hint="eastAsia" w:ascii="仿宋" w:hAnsi="仿宋" w:eastAsia="仿宋" w:cs="仿宋"/>
          <w:color w:val="000000"/>
          <w:kern w:val="0"/>
          <w:sz w:val="32"/>
          <w:szCs w:val="32"/>
          <w:shd w:val="clear" w:color="auto" w:fill="FFFFFF"/>
          <w:lang w:val="zh-CN" w:eastAsia="zh-CN" w:bidi="ar-SA"/>
        </w:rPr>
      </w:pPr>
      <w:r>
        <w:rPr>
          <w:rFonts w:hint="eastAsia" w:ascii="仿宋" w:hAnsi="仿宋" w:eastAsia="仿宋" w:cs="仿宋"/>
          <w:b/>
          <w:color w:val="000000"/>
          <w:sz w:val="32"/>
          <w:szCs w:val="32"/>
          <w:shd w:val="clear" w:color="auto" w:fill="FFFFFF"/>
        </w:rPr>
        <w:t>1.项目决策</w:t>
      </w:r>
      <w:r>
        <w:rPr>
          <w:rFonts w:hint="eastAsia" w:ascii="仿宋" w:hAnsi="仿宋" w:eastAsia="仿宋" w:cs="仿宋"/>
          <w:b/>
          <w:color w:val="000000"/>
          <w:sz w:val="32"/>
          <w:szCs w:val="32"/>
          <w:shd w:val="clear" w:color="auto" w:fill="FFFFFF"/>
          <w:lang w:eastAsia="zh-CN"/>
        </w:rPr>
        <w:t>：</w:t>
      </w:r>
      <w:r>
        <w:rPr>
          <w:rFonts w:hint="eastAsia" w:ascii="仿宋" w:hAnsi="仿宋" w:eastAsia="仿宋" w:cs="仿宋"/>
          <w:color w:val="000000"/>
          <w:kern w:val="0"/>
          <w:sz w:val="32"/>
          <w:szCs w:val="32"/>
          <w:shd w:val="clear" w:color="auto" w:fill="FFFFFF"/>
          <w:lang w:val="zh-CN" w:eastAsia="zh-CN" w:bidi="ar-SA"/>
        </w:rPr>
        <w:t>在项目决策环节，我单位始终秉持科学、合理、高效的原则，确保每一个项目都能紧密围绕部门职能和业务需求展开，为阿坝州文化文艺事业的繁荣发展贡献力量。具体而言，我们注重以下几个方面：一是项目立项的严谨性。在项目立项前，我们组织专业团队进行深入的市场调研和需求分析，确保项目符合阿坝州文化发展的实际需求和长远规划。同时，我们严格按照相关程序进行项目申报和审批，确保项目的合法性和合规性。二是项目目标的明确性。在项目立项后，我们明确项目的具体目标和预期成果，制定详细的项目实施方案和时间表，确保项目能够按计划有序推进。同时，我们注重项目目标的可衡量性和可达成性，以便在项目实施过程中进行实时监控和评估。三是项目决策的民主性。在项目决策过程中，我们充分发扬民主精神，广泛征求各方面意见和建议，确保项目决策的科学性和合理性。我们组织专家论证会、座谈会等，邀请相关领域的专家学者和业界人士对项目进行论证和评估，为项目决策提供有力支持。四是项目风险的可控性。在项目决策时，我们充分考虑项目可能面临的风险和挑战，制定相应的风险应对措施和预案。我们注重项目风险的识别和评估，及时调整项目实施方案和策略，确保项目能够顺利推进并取得预期成果。</w:t>
      </w:r>
    </w:p>
    <w:p w14:paraId="4BB88F54">
      <w:pPr>
        <w:pStyle w:val="18"/>
        <w:keepNext w:val="0"/>
        <w:keepLines w:val="0"/>
        <w:pageBreakBefore w:val="0"/>
        <w:widowControl/>
        <w:shd w:val="clear" w:color="auto" w:fill="FFFFFF"/>
        <w:kinsoku/>
        <w:wordWrap/>
        <w:overflowPunct/>
        <w:topLinePunct w:val="0"/>
        <w:bidi w:val="0"/>
        <w:spacing w:before="0" w:after="0" w:afterAutospacing="0" w:line="560" w:lineRule="atLeast"/>
        <w:ind w:firstLine="643" w:firstLineChars="200"/>
        <w:jc w:val="both"/>
        <w:textAlignment w:val="auto"/>
        <w:rPr>
          <w:rFonts w:hint="eastAsia" w:ascii="仿宋" w:hAnsi="仿宋" w:eastAsia="仿宋" w:cs="仿宋"/>
          <w:color w:val="000000"/>
          <w:kern w:val="0"/>
          <w:sz w:val="32"/>
          <w:szCs w:val="32"/>
          <w:shd w:val="clear" w:color="auto" w:fill="FFFFFF"/>
          <w:lang w:val="zh-CN" w:eastAsia="zh-CN" w:bidi="ar-SA"/>
        </w:rPr>
      </w:pPr>
      <w:r>
        <w:rPr>
          <w:rFonts w:hint="eastAsia" w:ascii="仿宋" w:hAnsi="仿宋" w:eastAsia="仿宋" w:cs="仿宋"/>
          <w:b/>
          <w:color w:val="000000"/>
          <w:sz w:val="32"/>
          <w:szCs w:val="32"/>
          <w:shd w:val="clear" w:color="auto" w:fill="FFFFFF"/>
        </w:rPr>
        <w:t>2.项目执行</w:t>
      </w:r>
      <w:r>
        <w:rPr>
          <w:rFonts w:hint="eastAsia" w:ascii="仿宋" w:hAnsi="仿宋" w:eastAsia="仿宋" w:cs="仿宋"/>
          <w:b/>
          <w:color w:val="000000"/>
          <w:sz w:val="32"/>
          <w:szCs w:val="32"/>
          <w:shd w:val="clear" w:color="auto" w:fill="FFFFFF"/>
          <w:lang w:eastAsia="zh-CN"/>
        </w:rPr>
        <w:t>：</w:t>
      </w:r>
      <w:r>
        <w:rPr>
          <w:rFonts w:hint="eastAsia" w:ascii="仿宋" w:hAnsi="仿宋" w:eastAsia="仿宋" w:cs="仿宋"/>
          <w:color w:val="000000"/>
          <w:kern w:val="0"/>
          <w:sz w:val="32"/>
          <w:szCs w:val="32"/>
          <w:shd w:val="clear" w:color="auto" w:fill="FFFFFF"/>
          <w:lang w:val="zh-CN" w:eastAsia="zh-CN" w:bidi="ar-SA"/>
        </w:rPr>
        <w:t>在项目执行环节，我单位严格按照既定的项目实施方案和时间表推进各项工作，确保项目能够高效、有序地完成。对于常年项目，我们注重持续性和稳定性，通过定期调度和检查，及时解决项目执行过程中遇到的问题和困难，确保项目按计划推进。同时，我们加强与相关部门的沟通协调，争取更多的支持和资源，为项目的顺利实施提供有力保障。对于阶段性项目，我们则注重时效性和针对性，根据项目特点和实际需求，合理安排工作进度和资源投入，确保项目能够在规定时间内高质量完成。在项目执行过程中，我们还注重加强项目管理和监督，建立健全项目管理制度和监督机制，对项目进度、质量、成本等方面进行实时监控和评估，确保项目能够达到预期目标和效果。</w:t>
      </w:r>
    </w:p>
    <w:p w14:paraId="248F6C4E">
      <w:pPr>
        <w:keepNext w:val="0"/>
        <w:keepLines w:val="0"/>
        <w:pageBreakBefore w:val="0"/>
        <w:kinsoku/>
        <w:wordWrap/>
        <w:overflowPunct/>
        <w:topLinePunct w:val="0"/>
        <w:autoSpaceDN w:val="0"/>
        <w:bidi w:val="0"/>
        <w:spacing w:afterAutospacing="0" w:line="560" w:lineRule="atLeast"/>
        <w:ind w:firstLine="643" w:firstLineChars="200"/>
        <w:textAlignment w:val="auto"/>
        <w:rPr>
          <w:rFonts w:hint="eastAsia" w:ascii="仿宋" w:hAnsi="仿宋" w:eastAsia="仿宋" w:cs="仿宋"/>
          <w:bCs/>
          <w:color w:val="000000"/>
          <w:sz w:val="32"/>
          <w:szCs w:val="32"/>
        </w:rPr>
      </w:pPr>
      <w:r>
        <w:rPr>
          <w:rFonts w:hint="eastAsia" w:ascii="仿宋" w:hAnsi="仿宋" w:eastAsia="仿宋" w:cs="仿宋"/>
          <w:b/>
          <w:color w:val="000000"/>
          <w:kern w:val="0"/>
          <w:sz w:val="32"/>
          <w:szCs w:val="32"/>
          <w:shd w:val="clear" w:color="auto" w:fill="FFFFFF"/>
        </w:rPr>
        <w:t>3.</w:t>
      </w:r>
      <w:r>
        <w:rPr>
          <w:rFonts w:hint="eastAsia" w:ascii="仿宋" w:hAnsi="仿宋" w:eastAsia="仿宋" w:cs="仿宋"/>
          <w:b/>
          <w:color w:val="000000"/>
          <w:kern w:val="0"/>
          <w:sz w:val="32"/>
          <w:szCs w:val="32"/>
          <w:shd w:val="clear" w:color="auto" w:fill="FFFFFF"/>
          <w:lang w:val="zh-CN"/>
        </w:rPr>
        <w:t>目标实现：</w:t>
      </w:r>
      <w:r>
        <w:rPr>
          <w:rFonts w:hint="eastAsia" w:ascii="仿宋" w:hAnsi="仿宋" w:eastAsia="仿宋" w:cs="仿宋"/>
          <w:color w:val="000000"/>
          <w:kern w:val="0"/>
          <w:sz w:val="32"/>
          <w:szCs w:val="32"/>
          <w:shd w:val="clear" w:color="auto" w:fill="FFFFFF"/>
          <w:lang w:val="zh-CN"/>
        </w:rPr>
        <w:t>完成了</w:t>
      </w:r>
      <w:r>
        <w:rPr>
          <w:rFonts w:hint="eastAsia" w:ascii="仿宋" w:hAnsi="仿宋" w:eastAsia="仿宋" w:cs="仿宋"/>
          <w:b/>
          <w:bCs/>
          <w:color w:val="000000"/>
          <w:sz w:val="32"/>
          <w:szCs w:val="32"/>
        </w:rPr>
        <w:t>一是</w:t>
      </w:r>
      <w:r>
        <w:rPr>
          <w:rFonts w:hint="eastAsia" w:ascii="仿宋" w:hAnsi="仿宋" w:eastAsia="仿宋" w:cs="仿宋"/>
          <w:bCs/>
          <w:color w:val="000000"/>
          <w:kern w:val="0"/>
          <w:sz w:val="32"/>
          <w:szCs w:val="32"/>
          <w:lang w:bidi="ar"/>
        </w:rPr>
        <w:t>开展</w:t>
      </w:r>
      <w:r>
        <w:rPr>
          <w:rFonts w:hint="eastAsia" w:ascii="仿宋" w:hAnsi="仿宋" w:eastAsia="仿宋" w:cs="仿宋"/>
          <w:bCs/>
          <w:color w:val="000000"/>
          <w:sz w:val="32"/>
          <w:szCs w:val="32"/>
        </w:rPr>
        <w:t>送文化下乡活动，全年完成演出</w:t>
      </w:r>
      <w:r>
        <w:rPr>
          <w:rFonts w:hint="eastAsia" w:ascii="仿宋" w:hAnsi="仿宋" w:eastAsia="仿宋" w:cs="仿宋"/>
          <w:bCs/>
          <w:color w:val="000000"/>
          <w:sz w:val="32"/>
          <w:szCs w:val="32"/>
          <w:lang w:val="en-US" w:eastAsia="zh-CN"/>
        </w:rPr>
        <w:t>10</w:t>
      </w:r>
      <w:r>
        <w:rPr>
          <w:rFonts w:hint="eastAsia" w:ascii="仿宋" w:hAnsi="仿宋" w:eastAsia="仿宋" w:cs="仿宋"/>
          <w:bCs/>
          <w:color w:val="000000"/>
          <w:sz w:val="32"/>
          <w:szCs w:val="32"/>
        </w:rPr>
        <w:t>场次；</w:t>
      </w:r>
      <w:r>
        <w:rPr>
          <w:rFonts w:hint="eastAsia" w:ascii="仿宋" w:hAnsi="仿宋" w:eastAsia="仿宋" w:cs="仿宋"/>
          <w:b/>
          <w:bCs/>
          <w:color w:val="000000"/>
          <w:sz w:val="32"/>
          <w:szCs w:val="32"/>
        </w:rPr>
        <w:t>二是</w:t>
      </w:r>
      <w:r>
        <w:rPr>
          <w:rFonts w:hint="eastAsia" w:ascii="仿宋" w:hAnsi="仿宋" w:eastAsia="仿宋" w:cs="仿宋"/>
          <w:i w:val="0"/>
          <w:iCs w:val="0"/>
          <w:caps w:val="0"/>
          <w:color w:val="222222"/>
          <w:spacing w:val="0"/>
          <w:sz w:val="32"/>
          <w:szCs w:val="32"/>
          <w:shd w:val="clear" w:fill="FFFFFF"/>
          <w:lang w:val="en-US" w:eastAsia="zh-CN"/>
        </w:rPr>
        <w:t>完成</w:t>
      </w:r>
      <w:r>
        <w:rPr>
          <w:rFonts w:hint="eastAsia" w:ascii="仿宋" w:hAnsi="仿宋" w:eastAsia="仿宋" w:cs="仿宋"/>
          <w:i w:val="0"/>
          <w:iCs w:val="0"/>
          <w:caps w:val="0"/>
          <w:color w:val="222222"/>
          <w:spacing w:val="0"/>
          <w:sz w:val="32"/>
          <w:szCs w:val="32"/>
          <w:shd w:val="clear" w:fill="FFFFFF"/>
        </w:rPr>
        <w:t>“天下九寨沟</w:t>
      </w:r>
      <w:r>
        <w:rPr>
          <w:rFonts w:hint="eastAsia" w:ascii="仿宋" w:hAnsi="仿宋" w:eastAsia="仿宋" w:cs="仿宋"/>
          <w:i w:val="0"/>
          <w:iCs w:val="0"/>
          <w:caps w:val="0"/>
          <w:color w:val="222222"/>
          <w:spacing w:val="0"/>
          <w:sz w:val="32"/>
          <w:szCs w:val="32"/>
          <w:shd w:val="clear" w:fill="FFFFFF"/>
          <w:lang w:eastAsia="zh-CN"/>
        </w:rPr>
        <w:t>•</w:t>
      </w:r>
      <w:r>
        <w:rPr>
          <w:rFonts w:hint="eastAsia" w:ascii="仿宋" w:hAnsi="仿宋" w:eastAsia="仿宋" w:cs="仿宋"/>
          <w:i w:val="0"/>
          <w:iCs w:val="0"/>
          <w:caps w:val="0"/>
          <w:color w:val="222222"/>
          <w:spacing w:val="0"/>
          <w:sz w:val="32"/>
          <w:szCs w:val="32"/>
          <w:shd w:val="clear" w:fill="FFFFFF"/>
        </w:rPr>
        <w:t>大美阿坝州</w:t>
      </w:r>
      <w:r>
        <w:rPr>
          <w:rFonts w:hint="eastAsia" w:ascii="仿宋" w:hAnsi="仿宋" w:eastAsia="仿宋" w:cs="仿宋"/>
          <w:i w:val="0"/>
          <w:iCs w:val="0"/>
          <w:caps w:val="0"/>
          <w:color w:val="222222"/>
          <w:spacing w:val="0"/>
          <w:sz w:val="32"/>
          <w:szCs w:val="32"/>
          <w:shd w:val="clear" w:fill="FFFFFF"/>
          <w:lang w:eastAsia="zh-CN"/>
        </w:rPr>
        <w:t>及上海演出活动，</w:t>
      </w:r>
      <w:r>
        <w:rPr>
          <w:rFonts w:hint="eastAsia" w:ascii="仿宋" w:hAnsi="仿宋" w:eastAsia="仿宋" w:cs="仿宋"/>
          <w:bCs/>
          <w:color w:val="000000"/>
          <w:sz w:val="32"/>
          <w:szCs w:val="32"/>
          <w:lang w:val="en-US" w:eastAsia="zh-CN"/>
        </w:rPr>
        <w:t>四川城市足球超级联赛等文旅活动</w:t>
      </w:r>
      <w:r>
        <w:rPr>
          <w:rFonts w:hint="eastAsia" w:ascii="仿宋" w:hAnsi="仿宋" w:eastAsia="仿宋" w:cs="仿宋"/>
          <w:bCs/>
          <w:snapToGrid w:val="0"/>
          <w:color w:val="000000"/>
          <w:spacing w:val="-11"/>
          <w:kern w:val="0"/>
          <w:sz w:val="32"/>
          <w:szCs w:val="32"/>
        </w:rPr>
        <w:t>；</w:t>
      </w:r>
      <w:r>
        <w:rPr>
          <w:rFonts w:hint="eastAsia" w:ascii="仿宋" w:hAnsi="仿宋" w:eastAsia="仿宋" w:cs="仿宋"/>
          <w:b/>
          <w:bCs/>
          <w:color w:val="000000"/>
          <w:sz w:val="32"/>
          <w:szCs w:val="32"/>
        </w:rPr>
        <w:t>三是</w:t>
      </w:r>
      <w:r>
        <w:rPr>
          <w:rFonts w:hint="eastAsia" w:ascii="仿宋" w:hAnsi="仿宋" w:eastAsia="仿宋" w:cs="仿宋"/>
          <w:bCs/>
          <w:color w:val="000000"/>
          <w:sz w:val="32"/>
          <w:szCs w:val="32"/>
        </w:rPr>
        <w:t>组织选派30余人次开展剧目观摩和培训学习；</w:t>
      </w:r>
      <w:r>
        <w:rPr>
          <w:rFonts w:hint="eastAsia" w:ascii="仿宋" w:hAnsi="仿宋" w:eastAsia="仿宋" w:cs="仿宋"/>
          <w:b/>
          <w:bCs/>
          <w:color w:val="000000"/>
          <w:sz w:val="32"/>
          <w:szCs w:val="32"/>
        </w:rPr>
        <w:t>四是</w:t>
      </w:r>
      <w:r>
        <w:rPr>
          <w:rFonts w:hint="eastAsia" w:ascii="仿宋_GB2312" w:hAnsi="Times New Roman" w:eastAsia="仿宋_GB2312" w:cs="Times New Roman"/>
          <w:sz w:val="32"/>
          <w:szCs w:val="32"/>
          <w:lang w:val="en-US" w:eastAsia="zh-CN"/>
        </w:rPr>
        <w:t>开展群众工作主题晚会</w:t>
      </w:r>
      <w:r>
        <w:rPr>
          <w:rFonts w:hint="eastAsia" w:ascii="仿宋" w:hAnsi="仿宋" w:eastAsia="仿宋" w:cs="仿宋"/>
          <w:i w:val="0"/>
          <w:iCs w:val="0"/>
          <w:caps w:val="0"/>
          <w:color w:val="222222"/>
          <w:spacing w:val="0"/>
          <w:sz w:val="32"/>
          <w:szCs w:val="32"/>
          <w:shd w:val="clear" w:fill="FFFFFF"/>
          <w:lang w:val="en-US" w:eastAsia="zh-CN"/>
        </w:rPr>
        <w:t>《爱润阿坝》，</w:t>
      </w:r>
      <w:r>
        <w:rPr>
          <w:rFonts w:hint="eastAsia" w:ascii="Times New Roman" w:hAnsi="Times New Roman" w:eastAsia="仿宋_GB2312"/>
          <w:w w:val="98"/>
          <w:sz w:val="32"/>
          <w:szCs w:val="32"/>
          <w:lang w:val="en-US" w:eastAsia="zh-CN" w:bidi="ar-SA"/>
        </w:rPr>
        <w:t>软硬件支持</w:t>
      </w:r>
      <w:r>
        <w:rPr>
          <w:rFonts w:hint="eastAsia" w:ascii="仿宋" w:hAnsi="仿宋" w:eastAsia="仿宋" w:cs="仿宋"/>
          <w:i w:val="0"/>
          <w:iCs w:val="0"/>
          <w:caps w:val="0"/>
          <w:color w:val="222222"/>
          <w:spacing w:val="0"/>
          <w:sz w:val="32"/>
          <w:szCs w:val="32"/>
          <w:shd w:val="clear" w:fill="FFFFFF"/>
        </w:rPr>
        <w:t>马尔康市嘉绒锅庄民俗传统系列活动</w:t>
      </w:r>
      <w:r>
        <w:rPr>
          <w:rFonts w:hint="eastAsia" w:ascii="仿宋" w:hAnsi="仿宋" w:eastAsia="仿宋" w:cs="仿宋"/>
          <w:i w:val="0"/>
          <w:iCs w:val="0"/>
          <w:caps w:val="0"/>
          <w:color w:val="222222"/>
          <w:spacing w:val="0"/>
          <w:sz w:val="32"/>
          <w:szCs w:val="32"/>
          <w:shd w:val="clear" w:fill="FFFFFF"/>
          <w:lang w:eastAsia="zh-CN"/>
        </w:rPr>
        <w:t>、</w:t>
      </w:r>
      <w:r>
        <w:rPr>
          <w:rFonts w:hint="eastAsia" w:ascii="仿宋" w:hAnsi="仿宋" w:eastAsia="仿宋" w:cs="仿宋"/>
          <w:i w:val="0"/>
          <w:iCs w:val="0"/>
          <w:caps w:val="0"/>
          <w:color w:val="222222"/>
          <w:spacing w:val="0"/>
          <w:sz w:val="32"/>
          <w:szCs w:val="32"/>
          <w:shd w:val="clear" w:fill="FFFFFF"/>
        </w:rPr>
        <w:t>“民族团结进步活动月”</w:t>
      </w:r>
      <w:r>
        <w:rPr>
          <w:rFonts w:hint="eastAsia" w:ascii="仿宋" w:hAnsi="仿宋" w:eastAsia="仿宋" w:cs="仿宋"/>
          <w:i w:val="0"/>
          <w:iCs w:val="0"/>
          <w:caps w:val="0"/>
          <w:color w:val="222222"/>
          <w:spacing w:val="0"/>
          <w:sz w:val="32"/>
          <w:szCs w:val="32"/>
          <w:shd w:val="clear" w:fill="FFFFFF"/>
          <w:lang w:eastAsia="zh-CN"/>
        </w:rPr>
        <w:t>、</w:t>
      </w:r>
      <w:r>
        <w:rPr>
          <w:rFonts w:hint="default" w:ascii="Times New Roman" w:hAnsi="Times New Roman" w:eastAsia="仿宋_GB2312"/>
          <w:w w:val="98"/>
          <w:sz w:val="32"/>
          <w:szCs w:val="32"/>
          <w:lang w:val="en-US" w:eastAsia="zh-CN" w:bidi="ar-SA"/>
        </w:rPr>
        <w:t>建军98周年联欢会</w:t>
      </w:r>
      <w:r>
        <w:rPr>
          <w:rFonts w:hint="eastAsia" w:ascii="Times New Roman" w:hAnsi="Times New Roman" w:eastAsia="仿宋_GB2312"/>
          <w:w w:val="98"/>
          <w:sz w:val="32"/>
          <w:szCs w:val="32"/>
          <w:lang w:val="en-US" w:eastAsia="zh-CN" w:bidi="ar-SA"/>
        </w:rPr>
        <w:t>等各类州级、市级</w:t>
      </w:r>
      <w:r>
        <w:rPr>
          <w:rFonts w:hint="eastAsia" w:ascii="仿宋" w:hAnsi="仿宋" w:eastAsia="仿宋" w:cs="仿宋"/>
          <w:i w:val="0"/>
          <w:iCs w:val="0"/>
          <w:caps w:val="0"/>
          <w:color w:val="222222"/>
          <w:spacing w:val="0"/>
          <w:sz w:val="32"/>
          <w:szCs w:val="32"/>
          <w:shd w:val="clear" w:fill="FFFFFF"/>
          <w:lang w:val="en-US" w:eastAsia="zh-CN"/>
        </w:rPr>
        <w:t>活动近20场次。</w:t>
      </w:r>
    </w:p>
    <w:p w14:paraId="2F853630">
      <w:pPr>
        <w:keepNext w:val="0"/>
        <w:keepLines w:val="0"/>
        <w:pageBreakBefore w:val="0"/>
        <w:widowControl w:val="0"/>
        <w:kinsoku/>
        <w:wordWrap/>
        <w:overflowPunct/>
        <w:topLinePunct w:val="0"/>
        <w:autoSpaceDE/>
        <w:autoSpaceDN/>
        <w:bidi w:val="0"/>
        <w:snapToGrid w:val="0"/>
        <w:spacing w:afterAutospacing="0" w:line="560" w:lineRule="atLeast"/>
        <w:ind w:firstLine="643" w:firstLineChars="200"/>
        <w:textAlignment w:val="auto"/>
        <w:rPr>
          <w:rFonts w:hint="default" w:ascii="Times New Roman" w:hAnsi="Times New Roman" w:eastAsia="楷体_GB2312" w:cs="Times New Roman"/>
          <w:b/>
          <w:bCs/>
          <w:sz w:val="32"/>
          <w:szCs w:val="32"/>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（三）</w:t>
      </w:r>
      <w:r>
        <w:rPr>
          <w:rFonts w:hint="default" w:ascii="Times New Roman" w:hAnsi="Times New Roman" w:eastAsia="楷体_GB2312" w:cs="Times New Roman"/>
          <w:b/>
          <w:bCs/>
          <w:sz w:val="32"/>
          <w:szCs w:val="32"/>
          <w:lang w:val="zh-CN"/>
        </w:rPr>
        <w:t>绩效结果应用情况</w:t>
      </w:r>
    </w:p>
    <w:p w14:paraId="698B2CF2">
      <w:pPr>
        <w:keepNext w:val="0"/>
        <w:keepLines w:val="0"/>
        <w:pageBreakBefore w:val="0"/>
        <w:kinsoku/>
        <w:wordWrap/>
        <w:overflowPunct/>
        <w:topLinePunct w:val="0"/>
        <w:bidi w:val="0"/>
        <w:spacing w:afterAutospacing="0" w:line="560" w:lineRule="atLeast"/>
        <w:ind w:firstLine="643" w:firstLineChars="200"/>
        <w:textAlignment w:val="auto"/>
        <w:rPr>
          <w:rFonts w:hint="eastAsia" w:ascii="仿宋" w:hAnsi="仿宋" w:eastAsia="仿宋" w:cs="仿宋"/>
          <w:color w:val="000000"/>
          <w:sz w:val="32"/>
          <w:szCs w:val="32"/>
        </w:rPr>
      </w:pPr>
      <w:r>
        <w:rPr>
          <w:rFonts w:hint="eastAsia" w:ascii="仿宋" w:hAnsi="仿宋" w:eastAsia="仿宋" w:cs="仿宋"/>
          <w:b/>
          <w:color w:val="000000"/>
          <w:sz w:val="32"/>
          <w:szCs w:val="32"/>
        </w:rPr>
        <w:t>信息公开方面：</w:t>
      </w:r>
      <w:r>
        <w:rPr>
          <w:rFonts w:hint="eastAsia" w:ascii="仿宋" w:hAnsi="仿宋" w:eastAsia="仿宋" w:cs="仿宋"/>
          <w:color w:val="000000"/>
          <w:sz w:val="32"/>
          <w:szCs w:val="32"/>
        </w:rPr>
        <w:t>我单位严格按照相关文件规定对预决算在上级部门门户网站及相关网站进行了公开。部门预算公开内容包括一般公共预算、财政拨款收支预算、政府性基金收支预算；同级财政部门批复的部门预算报表及相关说明全部公开；本部门“三公经费"财政拨款预算总额和分项数额等全部公开。公开的所有数据、文字内容等全部真实。</w:t>
      </w:r>
    </w:p>
    <w:p w14:paraId="31A13843">
      <w:pPr>
        <w:keepNext w:val="0"/>
        <w:keepLines w:val="0"/>
        <w:pageBreakBefore w:val="0"/>
        <w:kinsoku/>
        <w:wordWrap/>
        <w:overflowPunct/>
        <w:topLinePunct w:val="0"/>
        <w:bidi w:val="0"/>
        <w:spacing w:afterAutospacing="0" w:line="560" w:lineRule="atLeast"/>
        <w:ind w:firstLine="635" w:firstLineChars="200"/>
        <w:jc w:val="left"/>
        <w:textAlignment w:val="auto"/>
        <w:rPr>
          <w:rFonts w:hint="eastAsia" w:ascii="仿宋" w:hAnsi="仿宋" w:eastAsia="仿宋" w:cs="仿宋"/>
          <w:b/>
          <w:color w:val="000000"/>
          <w:spacing w:val="-2"/>
          <w:kern w:val="0"/>
          <w:sz w:val="32"/>
          <w:szCs w:val="32"/>
        </w:rPr>
      </w:pPr>
      <w:r>
        <w:rPr>
          <w:rFonts w:hint="eastAsia" w:ascii="仿宋" w:hAnsi="仿宋" w:eastAsia="仿宋" w:cs="仿宋"/>
          <w:b/>
          <w:color w:val="000000"/>
          <w:spacing w:val="-2"/>
          <w:kern w:val="0"/>
          <w:sz w:val="32"/>
          <w:szCs w:val="32"/>
        </w:rPr>
        <w:t>整改反馈方面：</w:t>
      </w:r>
      <w:r>
        <w:rPr>
          <w:rFonts w:hint="eastAsia" w:ascii="仿宋" w:hAnsi="仿宋" w:eastAsia="仿宋" w:cs="仿宋"/>
          <w:color w:val="000000"/>
          <w:kern w:val="0"/>
          <w:sz w:val="32"/>
          <w:szCs w:val="32"/>
          <w:shd w:val="clear" w:color="auto" w:fill="FFFFFF"/>
          <w:lang w:val="zh-CN" w:eastAsia="zh-CN" w:bidi="ar-SA"/>
        </w:rPr>
        <w:t>针对绩效评价过程中发现的问题，我单位高度重视，迅速组织相关部门和人员进行深入分析，制定并落实了一系列切实可行的整改措施。对于预算执行进度不够理想的项目，加强了项目进度跟踪和督促，明确各阶段的时间节点和责任人，确保项目按计划推进，提高资金使用效率；对于部分项目绩效目标设定不够精准的问题，组织业务人员和财务人员共同研究，结合实际情况和未来发展规划，重新修订了绩效目标，使其更具科学性和可操作性；在信息公开方面，进一步完善了信息公开流程和审核机制，加强对公开内容的审核把关，确保公开信息的准确性、完整性和及时性。同时，将整改情况及时向上级部门反馈，并接受上级部门的监督检查，形成整改闭环管理，不断提升部门预算绩效管理水平。</w:t>
      </w:r>
    </w:p>
    <w:p w14:paraId="682C7FE2">
      <w:pPr>
        <w:keepNext w:val="0"/>
        <w:keepLines w:val="0"/>
        <w:pageBreakBefore w:val="0"/>
        <w:widowControl/>
        <w:kinsoku/>
        <w:wordWrap/>
        <w:overflowPunct/>
        <w:topLinePunct w:val="0"/>
        <w:autoSpaceDE/>
        <w:autoSpaceDN/>
        <w:bidi w:val="0"/>
        <w:adjustRightInd w:val="0"/>
        <w:snapToGrid w:val="0"/>
        <w:spacing w:afterAutospacing="0" w:line="560" w:lineRule="atLeas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rPr>
      </w:pPr>
      <w:r>
        <w:rPr>
          <w:rFonts w:hint="default" w:ascii="Times New Roman" w:hAnsi="Times New Roman" w:eastAsia="黑体" w:cs="Times New Roman"/>
          <w:color w:val="000000"/>
          <w:kern w:val="0"/>
          <w:sz w:val="32"/>
          <w:szCs w:val="32"/>
          <w:highlight w:val="none"/>
          <w:shd w:val="clear" w:color="auto" w:fill="FFFFFF"/>
          <w:lang w:eastAsia="zh-CN"/>
        </w:rPr>
        <w:t>四、</w:t>
      </w:r>
      <w:r>
        <w:rPr>
          <w:rFonts w:hint="default" w:ascii="Times New Roman" w:hAnsi="Times New Roman" w:eastAsia="黑体" w:cs="Times New Roman"/>
          <w:color w:val="000000"/>
          <w:kern w:val="0"/>
          <w:sz w:val="32"/>
          <w:szCs w:val="32"/>
          <w:highlight w:val="none"/>
          <w:shd w:val="clear" w:color="auto" w:fill="FFFFFF"/>
        </w:rPr>
        <w:t>评价结论及建议</w:t>
      </w:r>
    </w:p>
    <w:p w14:paraId="06E614E2">
      <w:pPr>
        <w:keepNext w:val="0"/>
        <w:keepLines w:val="0"/>
        <w:pageBreakBefore w:val="0"/>
        <w:kinsoku/>
        <w:wordWrap/>
        <w:overflowPunct/>
        <w:topLinePunct w:val="0"/>
        <w:bidi w:val="0"/>
        <w:snapToGrid w:val="0"/>
        <w:spacing w:afterAutospacing="0" w:line="560" w:lineRule="atLeast"/>
        <w:ind w:firstLine="643" w:firstLineChars="200"/>
        <w:textAlignment w:val="auto"/>
        <w:rPr>
          <w:rFonts w:hint="eastAsia" w:ascii="楷体" w:hAnsi="楷体" w:eastAsia="楷体" w:cs="楷体"/>
          <w:b/>
          <w:bCs/>
          <w:color w:val="000000"/>
          <w:kern w:val="0"/>
          <w:sz w:val="32"/>
          <w:szCs w:val="32"/>
          <w:shd w:val="clear" w:color="auto" w:fill="FFFFFF"/>
        </w:rPr>
      </w:pPr>
      <w:r>
        <w:rPr>
          <w:rFonts w:hint="eastAsia" w:ascii="楷体" w:hAnsi="楷体" w:eastAsia="楷体" w:cs="楷体"/>
          <w:b/>
          <w:bCs/>
          <w:color w:val="000000"/>
          <w:kern w:val="0"/>
          <w:sz w:val="32"/>
          <w:szCs w:val="32"/>
          <w:shd w:val="clear" w:color="auto" w:fill="FFFFFF"/>
        </w:rPr>
        <w:t>（一）评价结论</w:t>
      </w:r>
    </w:p>
    <w:p w14:paraId="15E10AA7">
      <w:pPr>
        <w:pStyle w:val="18"/>
        <w:keepNext w:val="0"/>
        <w:keepLines w:val="0"/>
        <w:pageBreakBefore w:val="0"/>
        <w:widowControl/>
        <w:kinsoku/>
        <w:wordWrap/>
        <w:overflowPunct/>
        <w:topLinePunct w:val="0"/>
        <w:bidi w:val="0"/>
        <w:spacing w:before="0" w:after="0" w:afterAutospacing="0" w:line="560" w:lineRule="atLeast"/>
        <w:ind w:firstLine="640" w:firstLineChars="200"/>
        <w:textAlignment w:val="auto"/>
        <w:rPr>
          <w:rFonts w:hint="eastAsia" w:ascii="仿宋" w:hAnsi="仿宋" w:eastAsia="仿宋" w:cs="仿宋"/>
          <w:color w:val="000000"/>
          <w:sz w:val="32"/>
          <w:szCs w:val="32"/>
          <w:lang w:val="en-US" w:eastAsia="zh-CN"/>
        </w:rPr>
      </w:pPr>
      <w:r>
        <w:rPr>
          <w:rFonts w:hint="eastAsia" w:ascii="仿宋" w:hAnsi="仿宋" w:eastAsia="仿宋" w:cs="仿宋"/>
          <w:color w:val="000000"/>
          <w:sz w:val="32"/>
          <w:szCs w:val="32"/>
        </w:rPr>
        <w:t>从整体上看，202</w:t>
      </w:r>
      <w:r>
        <w:rPr>
          <w:rFonts w:hint="eastAsia" w:ascii="仿宋" w:hAnsi="仿宋" w:eastAsia="仿宋" w:cs="仿宋"/>
          <w:color w:val="000000"/>
          <w:sz w:val="32"/>
          <w:szCs w:val="32"/>
          <w:lang w:val="en-US" w:eastAsia="zh-CN"/>
        </w:rPr>
        <w:t>5</w:t>
      </w:r>
      <w:r>
        <w:rPr>
          <w:rFonts w:hint="eastAsia" w:ascii="仿宋" w:hAnsi="仿宋" w:eastAsia="仿宋" w:cs="仿宋"/>
          <w:color w:val="000000"/>
          <w:sz w:val="32"/>
          <w:szCs w:val="32"/>
        </w:rPr>
        <w:t>年我团资金运行维护决策正确，资金管理规范，项目管理到位，政策执行有力，有效发挥了财政资金的使用效率，顺利完成了各项任务。三公经费严格控制在预算范围内，严格落实了厉行节约的原则。</w:t>
      </w:r>
      <w:r>
        <w:rPr>
          <w:rFonts w:hint="eastAsia" w:ascii="仿宋" w:hAnsi="仿宋" w:eastAsia="仿宋" w:cs="仿宋"/>
          <w:color w:val="000000"/>
          <w:sz w:val="32"/>
          <w:szCs w:val="32"/>
          <w:lang w:eastAsia="zh-CN"/>
        </w:rPr>
        <w:t>参照专项预算项目支出绩效评价指标体系计算，</w:t>
      </w:r>
      <w:r>
        <w:rPr>
          <w:rFonts w:hint="eastAsia" w:ascii="仿宋" w:hAnsi="仿宋" w:eastAsia="仿宋" w:cs="仿宋"/>
          <w:color w:val="000000"/>
          <w:sz w:val="32"/>
          <w:szCs w:val="32"/>
          <w:lang w:val="en-US" w:eastAsia="zh-CN"/>
        </w:rPr>
        <w:t>2025年整体绩效评价得分是：90分。</w:t>
      </w:r>
    </w:p>
    <w:p w14:paraId="503396AB">
      <w:pPr>
        <w:keepNext w:val="0"/>
        <w:keepLines w:val="0"/>
        <w:pageBreakBefore w:val="0"/>
        <w:numPr>
          <w:ilvl w:val="0"/>
          <w:numId w:val="5"/>
        </w:numPr>
        <w:kinsoku/>
        <w:wordWrap/>
        <w:overflowPunct/>
        <w:topLinePunct w:val="0"/>
        <w:bidi w:val="0"/>
        <w:snapToGrid w:val="0"/>
        <w:spacing w:afterAutospacing="0" w:line="560" w:lineRule="atLeast"/>
        <w:ind w:firstLine="643" w:firstLineChars="200"/>
        <w:textAlignment w:val="auto"/>
        <w:rPr>
          <w:rFonts w:hint="eastAsia" w:ascii="楷体" w:hAnsi="楷体" w:eastAsia="楷体" w:cs="楷体"/>
          <w:b/>
          <w:bCs/>
          <w:color w:val="000000"/>
          <w:kern w:val="0"/>
          <w:sz w:val="32"/>
          <w:szCs w:val="32"/>
          <w:shd w:val="clear" w:color="auto" w:fill="FFFFFF"/>
        </w:rPr>
      </w:pPr>
      <w:r>
        <w:rPr>
          <w:rFonts w:hint="eastAsia" w:ascii="楷体" w:hAnsi="楷体" w:eastAsia="楷体" w:cs="楷体"/>
          <w:b/>
          <w:bCs/>
          <w:color w:val="000000"/>
          <w:kern w:val="0"/>
          <w:sz w:val="32"/>
          <w:szCs w:val="32"/>
          <w:shd w:val="clear" w:color="auto" w:fill="FFFFFF"/>
        </w:rPr>
        <w:t>存在问题</w:t>
      </w:r>
    </w:p>
    <w:p w14:paraId="0FAB8782">
      <w:pPr>
        <w:keepNext w:val="0"/>
        <w:keepLines w:val="0"/>
        <w:pageBreakBefore w:val="0"/>
        <w:numPr>
          <w:ilvl w:val="0"/>
          <w:numId w:val="0"/>
        </w:numPr>
        <w:kinsoku/>
        <w:wordWrap/>
        <w:overflowPunct/>
        <w:topLinePunct w:val="0"/>
        <w:bidi w:val="0"/>
        <w:snapToGrid w:val="0"/>
        <w:spacing w:afterAutospacing="0" w:line="560" w:lineRule="atLeast"/>
        <w:textAlignment w:val="auto"/>
        <w:rPr>
          <w:rFonts w:hint="eastAsia" w:ascii="仿宋" w:hAnsi="仿宋" w:eastAsia="仿宋" w:cs="仿宋"/>
          <w:b w:val="0"/>
          <w:bCs w:val="0"/>
          <w:color w:val="000000"/>
          <w:kern w:val="0"/>
          <w:sz w:val="32"/>
          <w:szCs w:val="32"/>
          <w:shd w:val="clear" w:color="auto" w:fill="FFFFFF"/>
          <w:lang w:val="en-US" w:eastAsia="zh-CN"/>
        </w:rPr>
      </w:pPr>
      <w:r>
        <w:rPr>
          <w:rFonts w:hint="eastAsia" w:ascii="楷体" w:hAnsi="楷体" w:eastAsia="楷体" w:cs="楷体"/>
          <w:b/>
          <w:bCs/>
          <w:color w:val="000000"/>
          <w:kern w:val="0"/>
          <w:sz w:val="32"/>
          <w:szCs w:val="32"/>
          <w:shd w:val="clear" w:color="auto" w:fill="FFFFFF"/>
          <w:lang w:val="en-US" w:eastAsia="zh-CN"/>
        </w:rPr>
        <w:t xml:space="preserve">    </w:t>
      </w:r>
      <w:r>
        <w:rPr>
          <w:rFonts w:hint="eastAsia" w:ascii="仿宋" w:hAnsi="仿宋" w:eastAsia="仿宋" w:cs="仿宋"/>
          <w:b/>
          <w:bCs/>
          <w:color w:val="000000"/>
          <w:kern w:val="0"/>
          <w:sz w:val="32"/>
          <w:szCs w:val="32"/>
          <w:shd w:val="clear" w:color="auto" w:fill="FFFFFF"/>
          <w:lang w:val="en-US" w:eastAsia="zh-CN"/>
        </w:rPr>
        <w:t xml:space="preserve"> </w:t>
      </w:r>
      <w:r>
        <w:rPr>
          <w:rFonts w:hint="eastAsia" w:ascii="仿宋" w:hAnsi="仿宋" w:eastAsia="仿宋" w:cs="仿宋"/>
          <w:b w:val="0"/>
          <w:bCs w:val="0"/>
          <w:color w:val="000000"/>
          <w:kern w:val="0"/>
          <w:sz w:val="32"/>
          <w:szCs w:val="32"/>
          <w:shd w:val="clear" w:color="auto" w:fill="FFFFFF"/>
          <w:lang w:val="en-US" w:eastAsia="zh-CN"/>
        </w:rPr>
        <w:t>经费使用与预算执行的精细化水平需进一步加强；文旅融合深度与广度仍需不断拓展；新媒体宣传及对外文化交流渠道仍可进一步丰富，传播效力有待继续提升。</w:t>
      </w:r>
    </w:p>
    <w:p w14:paraId="7D4A9B83">
      <w:pPr>
        <w:keepNext w:val="0"/>
        <w:keepLines w:val="0"/>
        <w:pageBreakBefore w:val="0"/>
        <w:numPr>
          <w:ilvl w:val="0"/>
          <w:numId w:val="5"/>
        </w:numPr>
        <w:kinsoku/>
        <w:wordWrap/>
        <w:overflowPunct/>
        <w:topLinePunct w:val="0"/>
        <w:bidi w:val="0"/>
        <w:snapToGrid w:val="0"/>
        <w:spacing w:afterAutospacing="0" w:line="560" w:lineRule="atLeast"/>
        <w:ind w:firstLine="643" w:firstLineChars="200"/>
        <w:textAlignment w:val="auto"/>
        <w:rPr>
          <w:rFonts w:hint="eastAsia" w:ascii="楷体" w:hAnsi="楷体" w:eastAsia="楷体" w:cs="楷体"/>
          <w:b/>
          <w:bCs/>
          <w:color w:val="000000"/>
          <w:kern w:val="0"/>
          <w:sz w:val="32"/>
          <w:szCs w:val="32"/>
          <w:shd w:val="clear" w:color="auto" w:fill="FFFFFF"/>
          <w:lang w:val="zh-CN" w:eastAsia="zh-CN"/>
        </w:rPr>
      </w:pPr>
      <w:r>
        <w:rPr>
          <w:rFonts w:hint="eastAsia" w:ascii="楷体" w:hAnsi="楷体" w:eastAsia="楷体" w:cs="楷体"/>
          <w:b/>
          <w:bCs/>
          <w:color w:val="000000"/>
          <w:kern w:val="0"/>
          <w:sz w:val="32"/>
          <w:szCs w:val="32"/>
          <w:shd w:val="clear" w:color="auto" w:fill="FFFFFF"/>
          <w:lang w:val="zh-CN" w:eastAsia="zh-CN"/>
        </w:rPr>
        <w:t>改进建议</w:t>
      </w:r>
    </w:p>
    <w:p w14:paraId="5B626BDB">
      <w:pPr>
        <w:pageBreakBefore w:val="0"/>
        <w:kinsoku/>
        <w:wordWrap/>
        <w:overflowPunct/>
        <w:topLinePunct w:val="0"/>
        <w:bidi w:val="0"/>
        <w:snapToGrid w:val="0"/>
        <w:spacing w:line="560" w:lineRule="atLeast"/>
        <w:ind w:firstLine="640" w:firstLineChars="200"/>
        <w:rPr>
          <w:rFonts w:hint="default" w:ascii="仿宋" w:hAnsi="仿宋" w:eastAsia="仿宋" w:cs="仿宋"/>
          <w:b w:val="0"/>
          <w:bCs w:val="0"/>
          <w:color w:val="000000"/>
          <w:kern w:val="0"/>
          <w:sz w:val="32"/>
          <w:szCs w:val="32"/>
          <w:shd w:val="clear" w:color="auto" w:fill="FFFFFF"/>
          <w:lang w:val="en-US" w:eastAsia="zh-CN"/>
        </w:rPr>
      </w:pPr>
      <w:r>
        <w:rPr>
          <w:rFonts w:hint="eastAsia" w:ascii="仿宋" w:hAnsi="仿宋" w:eastAsia="仿宋" w:cs="仿宋"/>
          <w:b w:val="0"/>
          <w:bCs w:val="0"/>
          <w:color w:val="000000"/>
          <w:kern w:val="0"/>
          <w:sz w:val="32"/>
          <w:szCs w:val="32"/>
          <w:shd w:val="clear" w:color="auto" w:fill="FFFFFF"/>
          <w:lang w:val="en-US" w:eastAsia="zh-CN"/>
        </w:rPr>
        <w:t xml:space="preserve">  严格按照财政管理要求，加快预算执行进度，加强项目资金使用全过程管控，加强绩效目标管理，将预算执行与绩效目标实现情况紧密结合，提升资金使用效益；加大在新媒体领域的投入力度，拓展短视频等线上传播渠道，运用数字化技术赋能文艺展演，积极对接省内外优质文化资源，主动参与各类艺术交流活动与赛事，学习先进经验，拓展视野，在交流中促进民族文化的传播与弘扬。</w:t>
      </w:r>
    </w:p>
    <w:p w14:paraId="06C3E3C0">
      <w:pPr>
        <w:pStyle w:val="16"/>
        <w:keepNext w:val="0"/>
        <w:keepLines w:val="0"/>
        <w:pageBreakBefore w:val="0"/>
        <w:numPr>
          <w:ilvl w:val="0"/>
          <w:numId w:val="0"/>
        </w:numPr>
        <w:kinsoku/>
        <w:wordWrap/>
        <w:overflowPunct/>
        <w:topLinePunct w:val="0"/>
        <w:autoSpaceDE/>
        <w:autoSpaceDN/>
        <w:bidi w:val="0"/>
        <w:spacing w:line="560" w:lineRule="atLeast"/>
        <w:ind w:firstLine="640" w:firstLineChars="200"/>
        <w:textAlignment w:val="auto"/>
        <w:rPr>
          <w:rFonts w:hint="eastAsia" w:ascii="Times New Roman" w:hAnsi="Times New Roman" w:eastAsia="仿宋_GB2312" w:cs="Times New Roman"/>
          <w:kern w:val="2"/>
          <w:sz w:val="32"/>
          <w:szCs w:val="32"/>
          <w:u w:val="none"/>
          <w:lang w:val="zh-CN" w:eastAsia="zh-CN" w:bidi="ar"/>
        </w:rPr>
      </w:pPr>
    </w:p>
    <w:p w14:paraId="4E9CCF21">
      <w:pPr>
        <w:pStyle w:val="16"/>
        <w:keepNext w:val="0"/>
        <w:keepLines w:val="0"/>
        <w:pageBreakBefore w:val="0"/>
        <w:numPr>
          <w:ilvl w:val="0"/>
          <w:numId w:val="0"/>
        </w:numPr>
        <w:kinsoku/>
        <w:wordWrap/>
        <w:overflowPunct/>
        <w:topLinePunct w:val="0"/>
        <w:autoSpaceDE/>
        <w:autoSpaceDN/>
        <w:bidi w:val="0"/>
        <w:spacing w:line="560" w:lineRule="atLeast"/>
        <w:textAlignment w:val="auto"/>
        <w:rPr>
          <w:rFonts w:hint="eastAsia" w:ascii="Times New Roman" w:hAnsi="Times New Roman" w:cs="Times New Roman"/>
          <w:sz w:val="32"/>
          <w:szCs w:val="32"/>
          <w:highlight w:val="yellow"/>
          <w:lang w:val="zh-CN" w:eastAsia="zh-CN"/>
        </w:rPr>
      </w:pPr>
    </w:p>
    <w:tbl>
      <w:tblPr>
        <w:tblStyle w:val="19"/>
        <w:tblW w:w="1050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1032"/>
        <w:gridCol w:w="1652"/>
        <w:gridCol w:w="1245"/>
        <w:gridCol w:w="28"/>
        <w:gridCol w:w="1665"/>
        <w:gridCol w:w="551"/>
        <w:gridCol w:w="315"/>
        <w:gridCol w:w="1003"/>
        <w:gridCol w:w="1058"/>
        <w:gridCol w:w="926"/>
        <w:gridCol w:w="999"/>
        <w:gridCol w:w="28"/>
      </w:tblGrid>
      <w:tr w14:paraId="72BDA0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gridAfter w:val="1"/>
          <w:wAfter w:w="28" w:type="dxa"/>
          <w:trHeight w:val="762" w:hRule="exact"/>
          <w:jc w:val="center"/>
        </w:trPr>
        <w:tc>
          <w:tcPr>
            <w:tcW w:w="10474" w:type="dxa"/>
            <w:gridSpan w:val="11"/>
            <w:shd w:val="clear" w:color="auto" w:fill="auto"/>
            <w:vAlign w:val="center"/>
          </w:tcPr>
          <w:p w14:paraId="5DBD00E6">
            <w:pPr>
              <w:keepNext w:val="0"/>
              <w:keepLines w:val="0"/>
              <w:pageBreakBefore w:val="0"/>
              <w:widowControl/>
              <w:suppressLineNumbers w:val="0"/>
              <w:kinsoku/>
              <w:wordWrap/>
              <w:overflowPunct/>
              <w:topLinePunct w:val="0"/>
              <w:autoSpaceDE/>
              <w:autoSpaceDN/>
              <w:bidi w:val="0"/>
              <w:adjustRightInd/>
              <w:snapToGrid/>
              <w:spacing w:afterAutospacing="0" w:line="560" w:lineRule="atLeast"/>
              <w:jc w:val="center"/>
              <w:textAlignment w:val="center"/>
              <w:outlineLvl w:val="9"/>
              <w:rPr>
                <w:rFonts w:hint="default" w:ascii="Times New Roman" w:hAnsi="Times New Roman" w:eastAsia="黑体" w:cs="Times New Roman"/>
                <w:i w:val="0"/>
                <w:color w:val="000000"/>
                <w:sz w:val="28"/>
                <w:szCs w:val="28"/>
                <w:u w:val="none"/>
              </w:rPr>
            </w:pPr>
            <w:r>
              <w:rPr>
                <w:rFonts w:hint="eastAsia" w:ascii="Times New Roman" w:hAnsi="Times New Roman" w:eastAsia="方正小标宋简体" w:cs="Times New Roman"/>
                <w:i w:val="0"/>
                <w:color w:val="000000"/>
                <w:kern w:val="0"/>
                <w:sz w:val="44"/>
                <w:szCs w:val="44"/>
                <w:u w:val="none"/>
                <w:lang w:val="en-US" w:eastAsia="zh-CN" w:bidi="ar"/>
              </w:rPr>
              <w:t>阿坝州</w:t>
            </w:r>
            <w:r>
              <w:rPr>
                <w:rFonts w:hint="default" w:ascii="Times New Roman" w:hAnsi="Times New Roman" w:eastAsia="方正小标宋简体" w:cs="Times New Roman"/>
                <w:i w:val="0"/>
                <w:color w:val="000000"/>
                <w:kern w:val="0"/>
                <w:sz w:val="44"/>
                <w:szCs w:val="44"/>
                <w:u w:val="none"/>
                <w:lang w:val="en-US" w:eastAsia="zh-CN" w:bidi="ar"/>
              </w:rPr>
              <w:t>部门整体绩效目标完成情况自评表</w:t>
            </w:r>
          </w:p>
        </w:tc>
      </w:tr>
      <w:tr w14:paraId="09CEA8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gridAfter w:val="1"/>
          <w:wAfter w:w="28" w:type="dxa"/>
          <w:trHeight w:val="23" w:hRule="atLeast"/>
          <w:jc w:val="center"/>
        </w:trPr>
        <w:tc>
          <w:tcPr>
            <w:tcW w:w="10474" w:type="dxa"/>
            <w:gridSpan w:val="11"/>
            <w:shd w:val="clear" w:color="auto" w:fill="auto"/>
            <w:vAlign w:val="center"/>
          </w:tcPr>
          <w:p w14:paraId="4F70F1FB">
            <w:pPr>
              <w:keepNext w:val="0"/>
              <w:keepLines w:val="0"/>
              <w:pageBreakBefore w:val="0"/>
              <w:widowControl/>
              <w:suppressLineNumbers w:val="0"/>
              <w:kinsoku/>
              <w:wordWrap/>
              <w:overflowPunct/>
              <w:topLinePunct w:val="0"/>
              <w:autoSpaceDE/>
              <w:autoSpaceDN/>
              <w:bidi w:val="0"/>
              <w:adjustRightInd/>
              <w:snapToGrid/>
              <w:spacing w:afterAutospacing="0" w:line="560" w:lineRule="atLeast"/>
              <w:jc w:val="center"/>
              <w:textAlignment w:val="center"/>
              <w:outlineLvl w:val="9"/>
              <w:rPr>
                <w:rFonts w:hint="default" w:ascii="Times New Roman" w:hAnsi="Times New Roman" w:eastAsia="宋体" w:cs="Times New Roman"/>
                <w:i w:val="0"/>
                <w:color w:val="000000"/>
                <w:sz w:val="28"/>
                <w:szCs w:val="28"/>
                <w:u w:val="none"/>
              </w:rPr>
            </w:pPr>
            <w:r>
              <w:rPr>
                <w:rFonts w:hint="default" w:ascii="Times New Roman" w:hAnsi="Times New Roman" w:eastAsia="宋体" w:cs="Times New Roman"/>
                <w:i w:val="0"/>
                <w:color w:val="000000"/>
                <w:kern w:val="0"/>
                <w:sz w:val="28"/>
                <w:szCs w:val="28"/>
                <w:u w:val="none"/>
                <w:lang w:val="en-US" w:eastAsia="zh-CN" w:bidi="ar"/>
              </w:rPr>
              <w:t>（202</w:t>
            </w:r>
            <w:r>
              <w:rPr>
                <w:rFonts w:hint="eastAsia" w:eastAsia="宋体" w:cs="Times New Roman"/>
                <w:i w:val="0"/>
                <w:color w:val="000000"/>
                <w:kern w:val="0"/>
                <w:sz w:val="28"/>
                <w:szCs w:val="28"/>
                <w:u w:val="none"/>
                <w:lang w:val="en-US" w:eastAsia="zh-CN" w:bidi="ar"/>
              </w:rPr>
              <w:t>5</w:t>
            </w:r>
            <w:r>
              <w:rPr>
                <w:rFonts w:hint="default" w:ascii="Times New Roman" w:hAnsi="Times New Roman" w:eastAsia="宋体" w:cs="Times New Roman"/>
                <w:i w:val="0"/>
                <w:color w:val="000000"/>
                <w:kern w:val="0"/>
                <w:sz w:val="28"/>
                <w:szCs w:val="28"/>
                <w:u w:val="none"/>
                <w:lang w:val="en-US" w:eastAsia="zh-CN" w:bidi="ar"/>
              </w:rPr>
              <w:t>年度）</w:t>
            </w:r>
          </w:p>
        </w:tc>
      </w:tr>
      <w:tr w14:paraId="39A048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gridAfter w:val="1"/>
          <w:wAfter w:w="28" w:type="dxa"/>
          <w:trHeight w:val="23" w:hRule="atLeast"/>
          <w:jc w:val="center"/>
        </w:trPr>
        <w:tc>
          <w:tcPr>
            <w:tcW w:w="10474" w:type="dxa"/>
            <w:gridSpan w:val="11"/>
            <w:tcBorders>
              <w:bottom w:val="single" w:color="000000" w:sz="4" w:space="0"/>
            </w:tcBorders>
            <w:shd w:val="clear" w:color="auto" w:fill="auto"/>
            <w:vAlign w:val="center"/>
          </w:tcPr>
          <w:p w14:paraId="511832F7">
            <w:pPr>
              <w:keepNext w:val="0"/>
              <w:keepLines w:val="0"/>
              <w:pageBreakBefore w:val="0"/>
              <w:widowControl/>
              <w:suppressLineNumbers w:val="0"/>
              <w:kinsoku/>
              <w:wordWrap/>
              <w:overflowPunct/>
              <w:topLinePunct w:val="0"/>
              <w:autoSpaceDE/>
              <w:autoSpaceDN/>
              <w:bidi w:val="0"/>
              <w:adjustRightInd/>
              <w:snapToGrid/>
              <w:spacing w:afterAutospacing="0" w:line="560" w:lineRule="atLeast"/>
              <w:jc w:val="right"/>
              <w:textAlignment w:val="center"/>
              <w:outlineLvl w:val="9"/>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单位：万元</w:t>
            </w:r>
          </w:p>
        </w:tc>
      </w:tr>
      <w:tr w14:paraId="1EFFA5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gridAfter w:val="1"/>
          <w:wAfter w:w="28" w:type="dxa"/>
          <w:trHeight w:val="771" w:hRule="atLeast"/>
          <w:jc w:val="center"/>
        </w:trPr>
        <w:tc>
          <w:tcPr>
            <w:tcW w:w="392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4431876">
            <w:pPr>
              <w:keepNext w:val="0"/>
              <w:keepLines w:val="0"/>
              <w:pageBreakBefore w:val="0"/>
              <w:widowControl/>
              <w:suppressLineNumbers w:val="0"/>
              <w:kinsoku/>
              <w:wordWrap/>
              <w:overflowPunct/>
              <w:topLinePunct w:val="0"/>
              <w:autoSpaceDE/>
              <w:autoSpaceDN/>
              <w:bidi w:val="0"/>
              <w:adjustRightInd/>
              <w:snapToGrid/>
              <w:spacing w:afterAutospacing="0" w:line="560" w:lineRule="atLeas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部门名称</w:t>
            </w:r>
          </w:p>
        </w:tc>
        <w:tc>
          <w:tcPr>
            <w:tcW w:w="654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426465F">
            <w:pPr>
              <w:keepNext w:val="0"/>
              <w:keepLines w:val="0"/>
              <w:pageBreakBefore w:val="0"/>
              <w:widowControl/>
              <w:suppressLineNumbers w:val="0"/>
              <w:kinsoku/>
              <w:wordWrap/>
              <w:overflowPunct/>
              <w:topLinePunct w:val="0"/>
              <w:autoSpaceDE/>
              <w:autoSpaceDN/>
              <w:bidi w:val="0"/>
              <w:adjustRightInd/>
              <w:snapToGrid/>
              <w:spacing w:afterAutospacing="0" w:line="560" w:lineRule="atLeast"/>
              <w:jc w:val="center"/>
              <w:textAlignment w:val="center"/>
              <w:outlineLvl w:val="9"/>
              <w:rPr>
                <w:rFonts w:hint="default" w:ascii="Times New Roman" w:hAnsi="Times New Roman" w:eastAsia="宋体" w:cs="Times New Roman"/>
                <w:i w:val="0"/>
                <w:color w:val="000000"/>
                <w:sz w:val="24"/>
                <w:szCs w:val="24"/>
                <w:u w:val="none"/>
              </w:rPr>
            </w:pPr>
            <w:r>
              <w:rPr>
                <w:rFonts w:hint="eastAsia" w:eastAsia="宋体" w:cs="Times New Roman"/>
                <w:i w:val="0"/>
                <w:color w:val="000000"/>
                <w:kern w:val="0"/>
                <w:sz w:val="24"/>
                <w:szCs w:val="24"/>
                <w:u w:val="none"/>
                <w:lang w:val="en-US" w:eastAsia="zh-CN" w:bidi="ar"/>
              </w:rPr>
              <w:t>阿坝州民族歌舞团</w:t>
            </w:r>
          </w:p>
        </w:tc>
      </w:tr>
      <w:tr w14:paraId="5CAF0A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gridAfter w:val="1"/>
          <w:wAfter w:w="28" w:type="dxa"/>
          <w:trHeight w:val="620" w:hRule="atLeast"/>
          <w:jc w:val="center"/>
        </w:trPr>
        <w:tc>
          <w:tcPr>
            <w:tcW w:w="10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7BFE98">
            <w:pPr>
              <w:keepNext w:val="0"/>
              <w:keepLines w:val="0"/>
              <w:pageBreakBefore w:val="0"/>
              <w:widowControl/>
              <w:suppressLineNumbers w:val="0"/>
              <w:kinsoku/>
              <w:wordWrap/>
              <w:overflowPunct/>
              <w:topLinePunct w:val="0"/>
              <w:autoSpaceDE/>
              <w:autoSpaceDN/>
              <w:bidi w:val="0"/>
              <w:adjustRightInd/>
              <w:snapToGrid/>
              <w:spacing w:afterAutospacing="0" w:line="560" w:lineRule="atLeas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年度部门整体支出预算</w:t>
            </w:r>
          </w:p>
        </w:tc>
        <w:tc>
          <w:tcPr>
            <w:tcW w:w="289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86E370">
            <w:pPr>
              <w:keepNext w:val="0"/>
              <w:keepLines w:val="0"/>
              <w:pageBreakBefore w:val="0"/>
              <w:widowControl/>
              <w:suppressLineNumbers w:val="0"/>
              <w:kinsoku/>
              <w:wordWrap/>
              <w:overflowPunct/>
              <w:topLinePunct w:val="0"/>
              <w:autoSpaceDE/>
              <w:autoSpaceDN/>
              <w:bidi w:val="0"/>
              <w:adjustRightInd/>
              <w:snapToGrid/>
              <w:spacing w:afterAutospacing="0" w:line="560" w:lineRule="atLeas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资金总额</w:t>
            </w:r>
          </w:p>
        </w:tc>
        <w:tc>
          <w:tcPr>
            <w:tcW w:w="224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22AF636">
            <w:pPr>
              <w:keepNext w:val="0"/>
              <w:keepLines w:val="0"/>
              <w:pageBreakBefore w:val="0"/>
              <w:widowControl/>
              <w:suppressLineNumbers w:val="0"/>
              <w:kinsoku/>
              <w:wordWrap/>
              <w:overflowPunct/>
              <w:topLinePunct w:val="0"/>
              <w:autoSpaceDE/>
              <w:autoSpaceDN/>
              <w:bidi w:val="0"/>
              <w:adjustRightInd/>
              <w:snapToGrid/>
              <w:spacing w:afterAutospacing="0" w:line="560" w:lineRule="atLeas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财政拨款</w:t>
            </w:r>
          </w:p>
        </w:tc>
        <w:tc>
          <w:tcPr>
            <w:tcW w:w="430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7039975">
            <w:pPr>
              <w:keepNext w:val="0"/>
              <w:keepLines w:val="0"/>
              <w:pageBreakBefore w:val="0"/>
              <w:widowControl/>
              <w:suppressLineNumbers w:val="0"/>
              <w:kinsoku/>
              <w:wordWrap/>
              <w:overflowPunct/>
              <w:topLinePunct w:val="0"/>
              <w:autoSpaceDE/>
              <w:autoSpaceDN/>
              <w:bidi w:val="0"/>
              <w:adjustRightInd/>
              <w:snapToGrid/>
              <w:spacing w:afterAutospacing="0" w:line="560" w:lineRule="atLeas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其他资金</w:t>
            </w:r>
          </w:p>
        </w:tc>
      </w:tr>
      <w:tr w14:paraId="056980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gridAfter w:val="1"/>
          <w:wAfter w:w="28" w:type="dxa"/>
          <w:trHeight w:val="695" w:hRule="atLeast"/>
          <w:jc w:val="center"/>
        </w:trPr>
        <w:tc>
          <w:tcPr>
            <w:tcW w:w="10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761109">
            <w:pPr>
              <w:keepNext w:val="0"/>
              <w:keepLines w:val="0"/>
              <w:pageBreakBefore w:val="0"/>
              <w:widowControl/>
              <w:kinsoku/>
              <w:wordWrap/>
              <w:overflowPunct/>
              <w:topLinePunct w:val="0"/>
              <w:autoSpaceDE/>
              <w:autoSpaceDN/>
              <w:bidi w:val="0"/>
              <w:adjustRightInd/>
              <w:snapToGrid/>
              <w:spacing w:afterAutospacing="0" w:line="560" w:lineRule="atLeast"/>
              <w:jc w:val="center"/>
              <w:outlineLvl w:val="9"/>
              <w:rPr>
                <w:rFonts w:hint="default" w:ascii="Times New Roman" w:hAnsi="Times New Roman" w:eastAsia="宋体" w:cs="Times New Roman"/>
                <w:i w:val="0"/>
                <w:color w:val="000000"/>
                <w:sz w:val="24"/>
                <w:szCs w:val="24"/>
                <w:u w:val="none"/>
              </w:rPr>
            </w:pPr>
          </w:p>
        </w:tc>
        <w:tc>
          <w:tcPr>
            <w:tcW w:w="289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623661">
            <w:pPr>
              <w:keepNext w:val="0"/>
              <w:keepLines w:val="0"/>
              <w:pageBreakBefore w:val="0"/>
              <w:widowControl/>
              <w:suppressLineNumbers w:val="0"/>
              <w:kinsoku/>
              <w:wordWrap/>
              <w:overflowPunct/>
              <w:topLinePunct w:val="0"/>
              <w:autoSpaceDE/>
              <w:autoSpaceDN/>
              <w:bidi w:val="0"/>
              <w:adjustRightInd/>
              <w:snapToGrid/>
              <w:spacing w:afterAutospacing="0" w:line="560" w:lineRule="atLeast"/>
              <w:jc w:val="center"/>
              <w:textAlignment w:val="center"/>
              <w:outlineLvl w:val="9"/>
              <w:rPr>
                <w:rFonts w:hint="default" w:ascii="Times New Roman" w:hAnsi="Times New Roman" w:eastAsia="宋体" w:cs="Times New Roman"/>
                <w:i w:val="0"/>
                <w:color w:val="000000"/>
                <w:sz w:val="24"/>
                <w:szCs w:val="24"/>
                <w:u w:val="none"/>
                <w:lang w:val="en-US"/>
              </w:rPr>
            </w:pPr>
            <w:r>
              <w:rPr>
                <w:rFonts w:hint="eastAsia" w:eastAsia="宋体" w:cs="Times New Roman"/>
                <w:i w:val="0"/>
                <w:color w:val="000000"/>
                <w:kern w:val="0"/>
                <w:sz w:val="24"/>
                <w:szCs w:val="24"/>
                <w:u w:val="none"/>
                <w:lang w:val="en-US" w:eastAsia="zh-CN" w:bidi="ar"/>
              </w:rPr>
              <w:t>2829.4</w:t>
            </w:r>
          </w:p>
        </w:tc>
        <w:tc>
          <w:tcPr>
            <w:tcW w:w="224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B930126">
            <w:pPr>
              <w:keepNext w:val="0"/>
              <w:keepLines w:val="0"/>
              <w:pageBreakBefore w:val="0"/>
              <w:widowControl/>
              <w:suppressLineNumbers w:val="0"/>
              <w:kinsoku/>
              <w:wordWrap/>
              <w:overflowPunct/>
              <w:topLinePunct w:val="0"/>
              <w:autoSpaceDE/>
              <w:autoSpaceDN/>
              <w:bidi w:val="0"/>
              <w:adjustRightInd/>
              <w:snapToGrid/>
              <w:spacing w:afterAutospacing="0" w:line="560" w:lineRule="atLeast"/>
              <w:jc w:val="center"/>
              <w:textAlignment w:val="center"/>
              <w:outlineLvl w:val="9"/>
              <w:rPr>
                <w:rFonts w:hint="default" w:ascii="Times New Roman" w:hAnsi="Times New Roman" w:eastAsia="宋体" w:cs="Times New Roman"/>
                <w:i w:val="0"/>
                <w:color w:val="000000"/>
                <w:sz w:val="24"/>
                <w:szCs w:val="24"/>
                <w:u w:val="none"/>
                <w:lang w:val="en-US"/>
              </w:rPr>
            </w:pPr>
            <w:r>
              <w:rPr>
                <w:rFonts w:hint="eastAsia" w:eastAsia="宋体" w:cs="Times New Roman"/>
                <w:i w:val="0"/>
                <w:color w:val="000000"/>
                <w:kern w:val="0"/>
                <w:sz w:val="24"/>
                <w:szCs w:val="24"/>
                <w:u w:val="none"/>
                <w:lang w:val="en-US" w:eastAsia="zh-CN" w:bidi="ar"/>
              </w:rPr>
              <w:t>2799.6</w:t>
            </w:r>
          </w:p>
        </w:tc>
        <w:tc>
          <w:tcPr>
            <w:tcW w:w="430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1B34DEF">
            <w:pPr>
              <w:keepNext w:val="0"/>
              <w:keepLines w:val="0"/>
              <w:pageBreakBefore w:val="0"/>
              <w:widowControl/>
              <w:suppressLineNumbers w:val="0"/>
              <w:kinsoku/>
              <w:wordWrap/>
              <w:overflowPunct/>
              <w:topLinePunct w:val="0"/>
              <w:autoSpaceDE/>
              <w:autoSpaceDN/>
              <w:bidi w:val="0"/>
              <w:adjustRightInd/>
              <w:snapToGrid/>
              <w:spacing w:afterAutospacing="0" w:line="560" w:lineRule="atLeast"/>
              <w:jc w:val="center"/>
              <w:textAlignment w:val="center"/>
              <w:outlineLvl w:val="9"/>
              <w:rPr>
                <w:rFonts w:hint="default" w:ascii="Times New Roman" w:hAnsi="Times New Roman" w:eastAsia="宋体" w:cs="Times New Roman"/>
                <w:i w:val="0"/>
                <w:color w:val="000000"/>
                <w:sz w:val="24"/>
                <w:szCs w:val="24"/>
                <w:u w:val="none"/>
                <w:lang w:val="en-US"/>
              </w:rPr>
            </w:pPr>
            <w:r>
              <w:rPr>
                <w:rFonts w:hint="eastAsia" w:eastAsia="宋体" w:cs="Times New Roman"/>
                <w:i w:val="0"/>
                <w:color w:val="000000"/>
                <w:kern w:val="0"/>
                <w:sz w:val="24"/>
                <w:szCs w:val="24"/>
                <w:u w:val="none"/>
                <w:lang w:val="en-US" w:eastAsia="zh-CN" w:bidi="ar"/>
              </w:rPr>
              <w:t>29.8</w:t>
            </w:r>
          </w:p>
        </w:tc>
      </w:tr>
      <w:tr w14:paraId="28ADBD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gridAfter w:val="1"/>
          <w:wAfter w:w="28" w:type="dxa"/>
          <w:trHeight w:val="1729" w:hRule="atLeast"/>
          <w:jc w:val="center"/>
        </w:trPr>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47E6DC">
            <w:pPr>
              <w:keepNext w:val="0"/>
              <w:keepLines w:val="0"/>
              <w:pageBreakBefore w:val="0"/>
              <w:widowControl/>
              <w:suppressLineNumbers w:val="0"/>
              <w:kinsoku/>
              <w:wordWrap/>
              <w:overflowPunct/>
              <w:topLinePunct w:val="0"/>
              <w:autoSpaceDE/>
              <w:autoSpaceDN/>
              <w:bidi w:val="0"/>
              <w:adjustRightInd/>
              <w:snapToGrid/>
              <w:spacing w:afterAutospacing="0" w:line="560" w:lineRule="atLeast"/>
              <w:jc w:val="center"/>
              <w:textAlignment w:val="center"/>
              <w:outlineLvl w:val="9"/>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年度总体</w:t>
            </w:r>
          </w:p>
          <w:p w14:paraId="5C4FFE1E">
            <w:pPr>
              <w:keepNext w:val="0"/>
              <w:keepLines w:val="0"/>
              <w:pageBreakBefore w:val="0"/>
              <w:widowControl/>
              <w:suppressLineNumbers w:val="0"/>
              <w:kinsoku/>
              <w:wordWrap/>
              <w:overflowPunct/>
              <w:topLinePunct w:val="0"/>
              <w:autoSpaceDE/>
              <w:autoSpaceDN/>
              <w:bidi w:val="0"/>
              <w:adjustRightInd/>
              <w:snapToGrid/>
              <w:spacing w:afterAutospacing="0" w:line="560" w:lineRule="atLeas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目标</w:t>
            </w:r>
          </w:p>
        </w:tc>
        <w:tc>
          <w:tcPr>
            <w:tcW w:w="9442"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7F1BDFC">
            <w:pPr>
              <w:keepNext w:val="0"/>
              <w:keepLines w:val="0"/>
              <w:pageBreakBefore w:val="0"/>
              <w:widowControl/>
              <w:suppressLineNumbers w:val="0"/>
              <w:kinsoku/>
              <w:wordWrap/>
              <w:overflowPunct/>
              <w:topLinePunct w:val="0"/>
              <w:autoSpaceDE/>
              <w:autoSpaceDN/>
              <w:bidi w:val="0"/>
              <w:adjustRightInd/>
              <w:snapToGrid/>
              <w:spacing w:afterAutospacing="0" w:line="560" w:lineRule="atLeast"/>
              <w:jc w:val="left"/>
              <w:textAlignment w:val="center"/>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1.及时完成2025年的工作任务及目标2.根据2025年预算下达资金对单位各项经济活动进行资金合理合规支出。</w:t>
            </w:r>
          </w:p>
        </w:tc>
      </w:tr>
      <w:tr w14:paraId="1E5BBA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gridAfter w:val="1"/>
          <w:wAfter w:w="28" w:type="dxa"/>
          <w:trHeight w:val="903" w:hRule="atLeast"/>
          <w:jc w:val="center"/>
        </w:trPr>
        <w:tc>
          <w:tcPr>
            <w:tcW w:w="10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2441E45">
            <w:pPr>
              <w:keepNext w:val="0"/>
              <w:keepLines w:val="0"/>
              <w:pageBreakBefore w:val="0"/>
              <w:widowControl/>
              <w:suppressLineNumbers w:val="0"/>
              <w:kinsoku/>
              <w:wordWrap/>
              <w:overflowPunct/>
              <w:topLinePunct w:val="0"/>
              <w:autoSpaceDE/>
              <w:autoSpaceDN/>
              <w:bidi w:val="0"/>
              <w:adjustRightInd/>
              <w:snapToGrid/>
              <w:spacing w:afterAutospacing="0" w:line="560" w:lineRule="atLeast"/>
              <w:jc w:val="center"/>
              <w:textAlignment w:val="center"/>
              <w:outlineLvl w:val="9"/>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年度主要</w:t>
            </w:r>
          </w:p>
          <w:p w14:paraId="48865A9A">
            <w:pPr>
              <w:keepNext w:val="0"/>
              <w:keepLines w:val="0"/>
              <w:pageBreakBefore w:val="0"/>
              <w:widowControl/>
              <w:suppressLineNumbers w:val="0"/>
              <w:kinsoku/>
              <w:wordWrap/>
              <w:overflowPunct/>
              <w:topLinePunct w:val="0"/>
              <w:autoSpaceDE/>
              <w:autoSpaceDN/>
              <w:bidi w:val="0"/>
              <w:adjustRightInd/>
              <w:snapToGrid/>
              <w:spacing w:afterAutospacing="0" w:line="560" w:lineRule="atLeas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任务</w:t>
            </w:r>
          </w:p>
        </w:tc>
        <w:tc>
          <w:tcPr>
            <w:tcW w:w="289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7E6AC2">
            <w:pPr>
              <w:keepNext w:val="0"/>
              <w:keepLines w:val="0"/>
              <w:pageBreakBefore w:val="0"/>
              <w:widowControl/>
              <w:suppressLineNumbers w:val="0"/>
              <w:kinsoku/>
              <w:wordWrap/>
              <w:overflowPunct/>
              <w:topLinePunct w:val="0"/>
              <w:autoSpaceDE/>
              <w:autoSpaceDN/>
              <w:bidi w:val="0"/>
              <w:adjustRightInd/>
              <w:snapToGrid/>
              <w:spacing w:afterAutospacing="0" w:line="560" w:lineRule="atLeas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任务名称</w:t>
            </w:r>
          </w:p>
        </w:tc>
        <w:tc>
          <w:tcPr>
            <w:tcW w:w="654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FAD0FE3">
            <w:pPr>
              <w:keepNext w:val="0"/>
              <w:keepLines w:val="0"/>
              <w:pageBreakBefore w:val="0"/>
              <w:widowControl/>
              <w:suppressLineNumbers w:val="0"/>
              <w:kinsoku/>
              <w:wordWrap/>
              <w:overflowPunct/>
              <w:topLinePunct w:val="0"/>
              <w:autoSpaceDE/>
              <w:autoSpaceDN/>
              <w:bidi w:val="0"/>
              <w:adjustRightInd/>
              <w:snapToGrid/>
              <w:spacing w:afterAutospacing="0" w:line="560" w:lineRule="atLeas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主要内容</w:t>
            </w:r>
          </w:p>
        </w:tc>
      </w:tr>
      <w:tr w14:paraId="7E12E4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gridAfter w:val="1"/>
          <w:wAfter w:w="28" w:type="dxa"/>
          <w:trHeight w:val="1541" w:hRule="atLeast"/>
          <w:jc w:val="center"/>
        </w:trPr>
        <w:tc>
          <w:tcPr>
            <w:tcW w:w="10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98C23F">
            <w:pPr>
              <w:keepNext w:val="0"/>
              <w:keepLines w:val="0"/>
              <w:pageBreakBefore w:val="0"/>
              <w:widowControl/>
              <w:kinsoku/>
              <w:wordWrap/>
              <w:overflowPunct/>
              <w:topLinePunct w:val="0"/>
              <w:autoSpaceDE/>
              <w:autoSpaceDN/>
              <w:bidi w:val="0"/>
              <w:adjustRightInd/>
              <w:snapToGrid/>
              <w:spacing w:afterAutospacing="0" w:line="560" w:lineRule="atLeast"/>
              <w:jc w:val="center"/>
              <w:outlineLvl w:val="9"/>
              <w:rPr>
                <w:rFonts w:hint="default" w:ascii="Times New Roman" w:hAnsi="Times New Roman" w:eastAsia="宋体" w:cs="Times New Roman"/>
                <w:i w:val="0"/>
                <w:color w:val="000000"/>
                <w:sz w:val="24"/>
                <w:szCs w:val="24"/>
                <w:u w:val="none"/>
              </w:rPr>
            </w:pPr>
          </w:p>
        </w:tc>
        <w:tc>
          <w:tcPr>
            <w:tcW w:w="289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2A08B0">
            <w:pPr>
              <w:keepNext w:val="0"/>
              <w:keepLines w:val="0"/>
              <w:pageBreakBefore w:val="0"/>
              <w:widowControl/>
              <w:suppressLineNumbers w:val="0"/>
              <w:kinsoku/>
              <w:wordWrap/>
              <w:overflowPunct/>
              <w:topLinePunct w:val="0"/>
              <w:autoSpaceDE/>
              <w:autoSpaceDN/>
              <w:bidi w:val="0"/>
              <w:adjustRightInd/>
              <w:snapToGrid/>
              <w:spacing w:afterAutospacing="0" w:line="560" w:lineRule="atLeast"/>
              <w:jc w:val="center"/>
              <w:textAlignment w:val="center"/>
              <w:outlineLvl w:val="9"/>
              <w:rPr>
                <w:rFonts w:hint="eastAsia" w:ascii="Times New Roman" w:hAnsi="Times New Roman" w:eastAsia="宋体" w:cs="Times New Roman"/>
                <w:i w:val="0"/>
                <w:color w:val="000000"/>
                <w:sz w:val="24"/>
                <w:szCs w:val="24"/>
                <w:u w:val="none"/>
                <w:lang w:eastAsia="zh-CN"/>
              </w:rPr>
            </w:pPr>
            <w:r>
              <w:rPr>
                <w:rFonts w:hint="eastAsia" w:eastAsia="宋体" w:cs="Times New Roman"/>
                <w:i w:val="0"/>
                <w:color w:val="000000"/>
                <w:sz w:val="24"/>
                <w:szCs w:val="24"/>
                <w:u w:val="none"/>
                <w:lang w:eastAsia="zh-CN"/>
              </w:rPr>
              <w:t>文艺演出、文艺作品创作</w:t>
            </w:r>
          </w:p>
        </w:tc>
        <w:tc>
          <w:tcPr>
            <w:tcW w:w="654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495D455">
            <w:pPr>
              <w:pStyle w:val="1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560" w:lineRule="atLeast"/>
              <w:ind w:left="0" w:right="0" w:firstLine="480" w:firstLineChars="200"/>
              <w:jc w:val="left"/>
              <w:textAlignment w:val="auto"/>
              <w:rPr>
                <w:rFonts w:hint="eastAsia" w:asciiTheme="minorEastAsia" w:hAnsiTheme="minorEastAsia" w:eastAsiaTheme="minorEastAsia" w:cstheme="minorEastAsia"/>
                <w:i w:val="0"/>
                <w:iCs w:val="0"/>
                <w:caps w:val="0"/>
                <w:color w:val="222222"/>
                <w:spacing w:val="0"/>
                <w:sz w:val="24"/>
                <w:szCs w:val="24"/>
              </w:rPr>
            </w:pPr>
            <w:r>
              <w:rPr>
                <w:rFonts w:hint="eastAsia" w:asciiTheme="minorEastAsia" w:hAnsiTheme="minorEastAsia" w:eastAsiaTheme="minorEastAsia" w:cstheme="minorEastAsia"/>
                <w:i w:val="0"/>
                <w:iCs w:val="0"/>
                <w:caps w:val="0"/>
                <w:color w:val="222222"/>
                <w:spacing w:val="0"/>
                <w:sz w:val="24"/>
                <w:szCs w:val="24"/>
                <w:shd w:val="clear" w:fill="FFFFFF"/>
                <w:lang w:val="en-US" w:eastAsia="zh-CN"/>
              </w:rPr>
              <w:t>1.本年度随州文广体旅局</w:t>
            </w:r>
            <w:r>
              <w:rPr>
                <w:rFonts w:hint="eastAsia" w:asciiTheme="minorEastAsia" w:hAnsiTheme="minorEastAsia" w:eastAsiaTheme="minorEastAsia" w:cstheme="minorEastAsia"/>
                <w:i w:val="0"/>
                <w:iCs w:val="0"/>
                <w:caps w:val="0"/>
                <w:color w:val="222222"/>
                <w:spacing w:val="0"/>
                <w:sz w:val="24"/>
                <w:szCs w:val="24"/>
                <w:shd w:val="clear" w:fill="FFFFFF"/>
              </w:rPr>
              <w:t>先后赴北京、上海两大</w:t>
            </w:r>
            <w:r>
              <w:rPr>
                <w:rFonts w:hint="eastAsia" w:asciiTheme="minorEastAsia" w:hAnsiTheme="minorEastAsia" w:eastAsiaTheme="minorEastAsia" w:cstheme="minorEastAsia"/>
                <w:i w:val="0"/>
                <w:iCs w:val="0"/>
                <w:caps w:val="0"/>
                <w:color w:val="222222"/>
                <w:spacing w:val="0"/>
                <w:sz w:val="24"/>
                <w:szCs w:val="24"/>
                <w:shd w:val="clear" w:fill="FFFFFF"/>
                <w:lang w:val="en-US" w:eastAsia="zh-CN"/>
              </w:rPr>
              <w:t>一线</w:t>
            </w:r>
            <w:r>
              <w:rPr>
                <w:rFonts w:hint="eastAsia" w:asciiTheme="minorEastAsia" w:hAnsiTheme="minorEastAsia" w:eastAsiaTheme="minorEastAsia" w:cstheme="minorEastAsia"/>
                <w:i w:val="0"/>
                <w:iCs w:val="0"/>
                <w:caps w:val="0"/>
                <w:color w:val="222222"/>
                <w:spacing w:val="0"/>
                <w:sz w:val="24"/>
                <w:szCs w:val="24"/>
                <w:shd w:val="clear" w:fill="FFFFFF"/>
              </w:rPr>
              <w:t>城市开展文旅推介演出</w:t>
            </w:r>
            <w:r>
              <w:rPr>
                <w:rFonts w:hint="eastAsia" w:asciiTheme="minorEastAsia" w:hAnsiTheme="minorEastAsia" w:eastAsiaTheme="minorEastAsia" w:cstheme="minorEastAsia"/>
                <w:i w:val="0"/>
                <w:iCs w:val="0"/>
                <w:caps w:val="0"/>
                <w:color w:val="222222"/>
                <w:spacing w:val="0"/>
                <w:sz w:val="24"/>
                <w:szCs w:val="24"/>
                <w:shd w:val="clear" w:fill="FFFFFF"/>
                <w:lang w:eastAsia="zh-CN"/>
              </w:rPr>
              <w:t>，</w:t>
            </w:r>
            <w:r>
              <w:rPr>
                <w:rFonts w:hint="eastAsia" w:asciiTheme="minorEastAsia" w:hAnsiTheme="minorEastAsia" w:eastAsiaTheme="minorEastAsia" w:cstheme="minorEastAsia"/>
                <w:i w:val="0"/>
                <w:iCs w:val="0"/>
                <w:caps w:val="0"/>
                <w:color w:val="222222"/>
                <w:spacing w:val="0"/>
                <w:sz w:val="24"/>
                <w:szCs w:val="24"/>
                <w:shd w:val="clear" w:fill="FFFFFF"/>
              </w:rPr>
              <w:t>在北京王府井</w:t>
            </w:r>
            <w:r>
              <w:rPr>
                <w:rFonts w:hint="eastAsia" w:asciiTheme="minorEastAsia" w:hAnsiTheme="minorEastAsia" w:eastAsiaTheme="minorEastAsia" w:cstheme="minorEastAsia"/>
                <w:i w:val="0"/>
                <w:iCs w:val="0"/>
                <w:caps w:val="0"/>
                <w:color w:val="222222"/>
                <w:spacing w:val="0"/>
                <w:sz w:val="24"/>
                <w:szCs w:val="24"/>
                <w:shd w:val="clear" w:fill="FFFFFF"/>
                <w:lang w:eastAsia="zh-CN"/>
              </w:rPr>
              <w:t>、</w:t>
            </w:r>
            <w:r>
              <w:rPr>
                <w:rFonts w:hint="eastAsia" w:asciiTheme="minorEastAsia" w:hAnsiTheme="minorEastAsia" w:eastAsiaTheme="minorEastAsia" w:cstheme="minorEastAsia"/>
                <w:i w:val="0"/>
                <w:iCs w:val="0"/>
                <w:caps w:val="0"/>
                <w:color w:val="222222"/>
                <w:spacing w:val="0"/>
                <w:sz w:val="24"/>
                <w:szCs w:val="24"/>
                <w:shd w:val="clear" w:fill="FFFFFF"/>
                <w:lang w:val="en-US" w:eastAsia="zh-CN"/>
              </w:rPr>
              <w:t>上海外滩等地标，留下了</w:t>
            </w:r>
            <w:r>
              <w:rPr>
                <w:rFonts w:hint="eastAsia" w:asciiTheme="minorEastAsia" w:hAnsiTheme="minorEastAsia" w:eastAsiaTheme="minorEastAsia" w:cstheme="minorEastAsia"/>
                <w:i w:val="0"/>
                <w:iCs w:val="0"/>
                <w:caps w:val="0"/>
                <w:color w:val="222222"/>
                <w:spacing w:val="0"/>
                <w:sz w:val="24"/>
                <w:szCs w:val="24"/>
                <w:shd w:val="clear" w:fill="FFFFFF"/>
              </w:rPr>
              <w:t>“天下九寨沟</w:t>
            </w:r>
            <w:r>
              <w:rPr>
                <w:rFonts w:hint="eastAsia" w:asciiTheme="minorEastAsia" w:hAnsiTheme="minorEastAsia" w:eastAsiaTheme="minorEastAsia" w:cstheme="minorEastAsia"/>
                <w:i w:val="0"/>
                <w:iCs w:val="0"/>
                <w:caps w:val="0"/>
                <w:color w:val="222222"/>
                <w:spacing w:val="0"/>
                <w:sz w:val="24"/>
                <w:szCs w:val="24"/>
                <w:shd w:val="clear" w:fill="FFFFFF"/>
                <w:lang w:eastAsia="zh-CN"/>
              </w:rPr>
              <w:t>•</w:t>
            </w:r>
            <w:r>
              <w:rPr>
                <w:rFonts w:hint="eastAsia" w:asciiTheme="minorEastAsia" w:hAnsiTheme="minorEastAsia" w:eastAsiaTheme="minorEastAsia" w:cstheme="minorEastAsia"/>
                <w:i w:val="0"/>
                <w:iCs w:val="0"/>
                <w:caps w:val="0"/>
                <w:color w:val="222222"/>
                <w:spacing w:val="0"/>
                <w:sz w:val="24"/>
                <w:szCs w:val="24"/>
                <w:shd w:val="clear" w:fill="FFFFFF"/>
              </w:rPr>
              <w:t>大美阿坝州”</w:t>
            </w:r>
            <w:r>
              <w:rPr>
                <w:rFonts w:hint="eastAsia" w:asciiTheme="minorEastAsia" w:hAnsiTheme="minorEastAsia" w:eastAsiaTheme="minorEastAsia" w:cstheme="minorEastAsia"/>
                <w:i w:val="0"/>
                <w:iCs w:val="0"/>
                <w:caps w:val="0"/>
                <w:color w:val="222222"/>
                <w:spacing w:val="0"/>
                <w:sz w:val="24"/>
                <w:szCs w:val="24"/>
                <w:shd w:val="clear" w:fill="FFFFFF"/>
                <w:lang w:val="en-US" w:eastAsia="zh-CN"/>
              </w:rPr>
              <w:t>文旅品牌的风姿倩影，</w:t>
            </w:r>
            <w:r>
              <w:rPr>
                <w:rFonts w:hint="eastAsia" w:asciiTheme="minorEastAsia" w:hAnsiTheme="minorEastAsia" w:eastAsiaTheme="minorEastAsia" w:cstheme="minorEastAsia"/>
                <w:i w:val="0"/>
                <w:iCs w:val="0"/>
                <w:caps w:val="0"/>
                <w:color w:val="222222"/>
                <w:spacing w:val="0"/>
                <w:sz w:val="24"/>
                <w:szCs w:val="24"/>
                <w:shd w:val="clear" w:fill="FFFFFF"/>
              </w:rPr>
              <w:t>音乐剧《牦牛革命》更登陆北京大学百周年纪念讲堂，成为边远山区剧目走进国家最高学府的成功实践</w:t>
            </w:r>
            <w:r>
              <w:rPr>
                <w:rFonts w:hint="eastAsia" w:asciiTheme="minorEastAsia" w:hAnsiTheme="minorEastAsia" w:eastAsiaTheme="minorEastAsia" w:cstheme="minorEastAsia"/>
                <w:i w:val="0"/>
                <w:iCs w:val="0"/>
                <w:caps w:val="0"/>
                <w:color w:val="222222"/>
                <w:spacing w:val="0"/>
                <w:sz w:val="24"/>
                <w:szCs w:val="24"/>
                <w:shd w:val="clear" w:fill="FFFFFF"/>
                <w:lang w:eastAsia="zh-CN"/>
              </w:rPr>
              <w:t>；</w:t>
            </w:r>
            <w:r>
              <w:rPr>
                <w:rFonts w:hint="eastAsia" w:asciiTheme="minorEastAsia" w:hAnsiTheme="minorEastAsia" w:eastAsiaTheme="minorEastAsia" w:cstheme="minorEastAsia"/>
                <w:i w:val="0"/>
                <w:iCs w:val="0"/>
                <w:caps w:val="0"/>
                <w:color w:val="222222"/>
                <w:spacing w:val="0"/>
                <w:sz w:val="24"/>
                <w:szCs w:val="24"/>
                <w:shd w:val="clear" w:fill="FFFFFF"/>
                <w:lang w:val="en-US" w:eastAsia="zh-CN"/>
              </w:rPr>
              <w:t>参加</w:t>
            </w:r>
            <w:r>
              <w:rPr>
                <w:rFonts w:hint="eastAsia" w:asciiTheme="minorEastAsia" w:hAnsiTheme="minorEastAsia" w:eastAsiaTheme="minorEastAsia" w:cstheme="minorEastAsia"/>
                <w:i w:val="0"/>
                <w:iCs w:val="0"/>
                <w:caps w:val="0"/>
                <w:color w:val="222222"/>
                <w:spacing w:val="0"/>
                <w:sz w:val="24"/>
                <w:szCs w:val="24"/>
                <w:shd w:val="clear" w:fill="FFFFFF"/>
              </w:rPr>
              <w:t>第二十届西博会</w:t>
            </w:r>
            <w:r>
              <w:rPr>
                <w:rFonts w:hint="eastAsia" w:asciiTheme="minorEastAsia" w:hAnsiTheme="minorEastAsia" w:eastAsiaTheme="minorEastAsia" w:cstheme="minorEastAsia"/>
                <w:i w:val="0"/>
                <w:iCs w:val="0"/>
                <w:caps w:val="0"/>
                <w:color w:val="222222"/>
                <w:spacing w:val="0"/>
                <w:sz w:val="24"/>
                <w:szCs w:val="24"/>
                <w:shd w:val="clear" w:fill="FFFFFF"/>
                <w:lang w:eastAsia="zh-CN"/>
              </w:rPr>
              <w:t>，</w:t>
            </w:r>
            <w:r>
              <w:rPr>
                <w:rFonts w:hint="eastAsia" w:asciiTheme="minorEastAsia" w:hAnsiTheme="minorEastAsia" w:eastAsiaTheme="minorEastAsia" w:cstheme="minorEastAsia"/>
                <w:i w:val="0"/>
                <w:iCs w:val="0"/>
                <w:caps w:val="0"/>
                <w:color w:val="222222"/>
                <w:spacing w:val="0"/>
                <w:sz w:val="24"/>
                <w:szCs w:val="24"/>
                <w:shd w:val="clear" w:fill="FFFFFF"/>
                <w:lang w:val="en-US" w:eastAsia="zh-CN"/>
              </w:rPr>
              <w:t>在</w:t>
            </w:r>
            <w:r>
              <w:rPr>
                <w:rFonts w:hint="eastAsia" w:asciiTheme="minorEastAsia" w:hAnsiTheme="minorEastAsia" w:eastAsiaTheme="minorEastAsia" w:cstheme="minorEastAsia"/>
                <w:i w:val="0"/>
                <w:iCs w:val="0"/>
                <w:caps w:val="0"/>
                <w:color w:val="222222"/>
                <w:spacing w:val="0"/>
                <w:sz w:val="24"/>
                <w:szCs w:val="24"/>
                <w:shd w:val="clear" w:fill="FFFFFF"/>
              </w:rPr>
              <w:t>阿坝州展馆连续5天开展演出</w:t>
            </w:r>
            <w:r>
              <w:rPr>
                <w:rFonts w:hint="eastAsia" w:asciiTheme="minorEastAsia" w:hAnsiTheme="minorEastAsia" w:eastAsiaTheme="minorEastAsia" w:cstheme="minorEastAsia"/>
                <w:i w:val="0"/>
                <w:iCs w:val="0"/>
                <w:caps w:val="0"/>
                <w:color w:val="222222"/>
                <w:spacing w:val="0"/>
                <w:sz w:val="24"/>
                <w:szCs w:val="24"/>
                <w:shd w:val="clear" w:fill="FFFFFF"/>
                <w:lang w:eastAsia="zh-CN"/>
              </w:rPr>
              <w:t>，</w:t>
            </w:r>
            <w:r>
              <w:rPr>
                <w:rFonts w:hint="eastAsia" w:asciiTheme="minorEastAsia" w:hAnsiTheme="minorEastAsia" w:eastAsiaTheme="minorEastAsia" w:cstheme="minorEastAsia"/>
                <w:i w:val="0"/>
                <w:iCs w:val="0"/>
                <w:caps w:val="0"/>
                <w:color w:val="222222"/>
                <w:spacing w:val="0"/>
                <w:sz w:val="24"/>
                <w:szCs w:val="24"/>
                <w:shd w:val="clear" w:fill="FFFFFF"/>
                <w:lang w:val="en-US" w:eastAsia="zh-CN"/>
              </w:rPr>
              <w:t xml:space="preserve">同时乘风“川超”舞台，助力“体育+文旅”宣传推介，多位面提升阿坝文旅品牌的市场吸引力。                                                                                                                                                                                                                                                                                                                                                                                                                                                                                     </w:t>
            </w:r>
            <w:r>
              <w:rPr>
                <w:rFonts w:hint="eastAsia" w:asciiTheme="minorEastAsia" w:hAnsiTheme="minorEastAsia" w:eastAsiaTheme="minorEastAsia" w:cstheme="minorEastAsia"/>
                <w:i w:val="0"/>
                <w:iCs w:val="0"/>
                <w:caps w:val="0"/>
                <w:color w:val="222222"/>
                <w:spacing w:val="0"/>
                <w:sz w:val="24"/>
                <w:szCs w:val="24"/>
                <w:shd w:val="clear" w:fill="FFFFFF"/>
              </w:rPr>
              <w:t xml:space="preserve"> </w:t>
            </w:r>
          </w:p>
          <w:p w14:paraId="3AD1B4FC">
            <w:pPr>
              <w:pStyle w:val="1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560" w:lineRule="atLeast"/>
              <w:ind w:left="0" w:right="0" w:firstLine="480" w:firstLineChars="200"/>
              <w:jc w:val="left"/>
              <w:textAlignment w:val="auto"/>
              <w:rPr>
                <w:rFonts w:hint="eastAsia" w:asciiTheme="minorEastAsia" w:hAnsiTheme="minorEastAsia" w:eastAsiaTheme="minorEastAsia" w:cstheme="minorEastAsia"/>
                <w:i w:val="0"/>
                <w:iCs w:val="0"/>
                <w:caps w:val="0"/>
                <w:color w:val="222222"/>
                <w:spacing w:val="0"/>
                <w:sz w:val="24"/>
                <w:szCs w:val="24"/>
                <w:shd w:val="clear" w:fill="FFFFFF"/>
                <w:lang w:val="en-US" w:eastAsia="zh-CN"/>
              </w:rPr>
            </w:pPr>
            <w:r>
              <w:rPr>
                <w:rFonts w:hint="eastAsia" w:asciiTheme="minorEastAsia" w:hAnsiTheme="minorEastAsia" w:eastAsiaTheme="minorEastAsia" w:cstheme="minorEastAsia"/>
                <w:i w:val="0"/>
                <w:iCs w:val="0"/>
                <w:caps w:val="0"/>
                <w:color w:val="222222"/>
                <w:spacing w:val="0"/>
                <w:sz w:val="24"/>
                <w:szCs w:val="24"/>
                <w:shd w:val="clear" w:fill="FFFFFF"/>
                <w:lang w:val="en-US" w:eastAsia="zh-CN"/>
              </w:rPr>
              <w:t>2.</w:t>
            </w:r>
            <w:r>
              <w:rPr>
                <w:rFonts w:hint="eastAsia" w:asciiTheme="minorEastAsia" w:hAnsiTheme="minorEastAsia" w:eastAsiaTheme="minorEastAsia" w:cstheme="minorEastAsia"/>
                <w:i w:val="0"/>
                <w:iCs w:val="0"/>
                <w:caps w:val="0"/>
                <w:color w:val="222222"/>
                <w:spacing w:val="0"/>
                <w:sz w:val="24"/>
                <w:szCs w:val="24"/>
                <w:shd w:val="clear" w:fill="FFFFFF"/>
              </w:rPr>
              <w:t>积极响应省</w:t>
            </w:r>
            <w:r>
              <w:rPr>
                <w:rFonts w:hint="eastAsia" w:asciiTheme="minorEastAsia" w:hAnsiTheme="minorEastAsia" w:eastAsiaTheme="minorEastAsia" w:cstheme="minorEastAsia"/>
                <w:i w:val="0"/>
                <w:iCs w:val="0"/>
                <w:caps w:val="0"/>
                <w:color w:val="222222"/>
                <w:spacing w:val="0"/>
                <w:sz w:val="24"/>
                <w:szCs w:val="24"/>
                <w:shd w:val="clear" w:fill="FFFFFF"/>
                <w:lang w:eastAsia="zh-CN"/>
              </w:rPr>
              <w:t>、</w:t>
            </w:r>
            <w:r>
              <w:rPr>
                <w:rFonts w:hint="eastAsia" w:asciiTheme="minorEastAsia" w:hAnsiTheme="minorEastAsia" w:eastAsiaTheme="minorEastAsia" w:cstheme="minorEastAsia"/>
                <w:i w:val="0"/>
                <w:iCs w:val="0"/>
                <w:caps w:val="0"/>
                <w:color w:val="222222"/>
                <w:spacing w:val="0"/>
                <w:sz w:val="24"/>
                <w:szCs w:val="24"/>
                <w:shd w:val="clear" w:fill="FFFFFF"/>
                <w:lang w:val="en-US" w:eastAsia="zh-CN"/>
              </w:rPr>
              <w:t>州</w:t>
            </w:r>
            <w:r>
              <w:rPr>
                <w:rFonts w:hint="eastAsia" w:asciiTheme="minorEastAsia" w:hAnsiTheme="minorEastAsia" w:eastAsiaTheme="minorEastAsia" w:cstheme="minorEastAsia"/>
                <w:i w:val="0"/>
                <w:iCs w:val="0"/>
                <w:caps w:val="0"/>
                <w:color w:val="222222"/>
                <w:spacing w:val="0"/>
                <w:sz w:val="24"/>
                <w:szCs w:val="24"/>
                <w:shd w:val="clear" w:fill="FFFFFF"/>
              </w:rPr>
              <w:t>文化与活动号召，</w:t>
            </w:r>
            <w:r>
              <w:rPr>
                <w:rFonts w:hint="eastAsia" w:asciiTheme="minorEastAsia" w:hAnsiTheme="minorEastAsia" w:eastAsiaTheme="minorEastAsia" w:cstheme="minorEastAsia"/>
                <w:i w:val="0"/>
                <w:iCs w:val="0"/>
                <w:caps w:val="0"/>
                <w:color w:val="222222"/>
                <w:spacing w:val="0"/>
                <w:sz w:val="24"/>
                <w:szCs w:val="24"/>
                <w:shd w:val="clear" w:fill="FFFFFF"/>
                <w:lang w:val="en-US" w:eastAsia="zh-CN"/>
              </w:rPr>
              <w:t>舞蹈</w:t>
            </w:r>
            <w:r>
              <w:rPr>
                <w:rFonts w:hint="eastAsia" w:asciiTheme="minorEastAsia" w:hAnsiTheme="minorEastAsia" w:eastAsiaTheme="minorEastAsia" w:cstheme="minorEastAsia"/>
                <w:i w:val="0"/>
                <w:iCs w:val="0"/>
                <w:caps w:val="0"/>
                <w:color w:val="222222"/>
                <w:spacing w:val="0"/>
                <w:sz w:val="24"/>
                <w:szCs w:val="24"/>
                <w:shd w:val="clear" w:fill="FFFFFF"/>
              </w:rPr>
              <w:t>《雪山脚下》</w:t>
            </w:r>
            <w:r>
              <w:rPr>
                <w:rFonts w:hint="eastAsia" w:asciiTheme="minorEastAsia" w:hAnsiTheme="minorEastAsia" w:eastAsiaTheme="minorEastAsia" w:cstheme="minorEastAsia"/>
                <w:i w:val="0"/>
                <w:iCs w:val="0"/>
                <w:caps w:val="0"/>
                <w:color w:val="222222"/>
                <w:spacing w:val="0"/>
                <w:sz w:val="24"/>
                <w:szCs w:val="24"/>
                <w:shd w:val="clear" w:fill="FFFFFF"/>
                <w:lang w:val="en-US" w:eastAsia="zh-CN"/>
              </w:rPr>
              <w:t>参加</w:t>
            </w:r>
            <w:r>
              <w:rPr>
                <w:rFonts w:hint="eastAsia" w:asciiTheme="minorEastAsia" w:hAnsiTheme="minorEastAsia" w:eastAsiaTheme="minorEastAsia" w:cstheme="minorEastAsia"/>
                <w:i w:val="0"/>
                <w:iCs w:val="0"/>
                <w:caps w:val="0"/>
                <w:color w:val="222222"/>
                <w:spacing w:val="0"/>
                <w:sz w:val="24"/>
                <w:szCs w:val="24"/>
                <w:shd w:val="clear" w:fill="FFFFFF"/>
              </w:rPr>
              <w:t>四川省舞蹈新作比赛</w:t>
            </w:r>
            <w:r>
              <w:rPr>
                <w:rFonts w:hint="eastAsia" w:asciiTheme="minorEastAsia" w:hAnsiTheme="minorEastAsia" w:eastAsiaTheme="minorEastAsia" w:cstheme="minorEastAsia"/>
                <w:i w:val="0"/>
                <w:iCs w:val="0"/>
                <w:caps w:val="0"/>
                <w:color w:val="222222"/>
                <w:spacing w:val="0"/>
                <w:sz w:val="24"/>
                <w:szCs w:val="24"/>
                <w:shd w:val="clear" w:fill="FFFFFF"/>
                <w:lang w:eastAsia="zh-CN"/>
              </w:rPr>
              <w:t>，</w:t>
            </w:r>
            <w:r>
              <w:rPr>
                <w:rFonts w:hint="eastAsia" w:asciiTheme="minorEastAsia" w:hAnsiTheme="minorEastAsia" w:eastAsiaTheme="minorEastAsia" w:cstheme="minorEastAsia"/>
                <w:i w:val="0"/>
                <w:iCs w:val="0"/>
                <w:caps w:val="0"/>
                <w:color w:val="222222"/>
                <w:spacing w:val="0"/>
                <w:sz w:val="24"/>
                <w:szCs w:val="24"/>
                <w:shd w:val="clear" w:fill="FFFFFF"/>
                <w:lang w:val="en-US" w:eastAsia="zh-CN"/>
              </w:rPr>
              <w:t>获</w:t>
            </w:r>
            <w:r>
              <w:rPr>
                <w:rFonts w:hint="eastAsia" w:asciiTheme="minorEastAsia" w:hAnsiTheme="minorEastAsia" w:eastAsiaTheme="minorEastAsia" w:cstheme="minorEastAsia"/>
                <w:i w:val="0"/>
                <w:iCs w:val="0"/>
                <w:caps w:val="0"/>
                <w:color w:val="222222"/>
                <w:spacing w:val="0"/>
                <w:sz w:val="24"/>
                <w:szCs w:val="24"/>
                <w:shd w:val="clear" w:fill="FFFFFF"/>
                <w:lang w:eastAsia="zh-CN"/>
              </w:rPr>
              <w:t>得省级荣誉，</w:t>
            </w:r>
            <w:r>
              <w:rPr>
                <w:rFonts w:hint="eastAsia" w:asciiTheme="minorEastAsia" w:hAnsiTheme="minorEastAsia" w:eastAsiaTheme="minorEastAsia" w:cstheme="minorEastAsia"/>
                <w:i w:val="0"/>
                <w:iCs w:val="0"/>
                <w:caps w:val="0"/>
                <w:color w:val="222222"/>
                <w:spacing w:val="0"/>
                <w:sz w:val="24"/>
                <w:szCs w:val="24"/>
                <w:shd w:val="clear" w:fill="FFFFFF"/>
                <w:lang w:val="en-US" w:eastAsia="zh-CN"/>
              </w:rPr>
              <w:t>音乐剧</w:t>
            </w:r>
            <w:r>
              <w:rPr>
                <w:rFonts w:hint="eastAsia" w:asciiTheme="minorEastAsia" w:hAnsiTheme="minorEastAsia" w:eastAsiaTheme="minorEastAsia" w:cstheme="minorEastAsia"/>
                <w:i w:val="0"/>
                <w:iCs w:val="0"/>
                <w:caps w:val="0"/>
                <w:color w:val="222222"/>
                <w:spacing w:val="0"/>
                <w:sz w:val="24"/>
                <w:szCs w:val="24"/>
                <w:shd w:val="clear" w:fill="FFFFFF"/>
              </w:rPr>
              <w:t>《牦牛革命》入选四川省纪念中国人民抗战胜利80周年优秀文艺作品展映</w:t>
            </w:r>
            <w:r>
              <w:rPr>
                <w:rFonts w:hint="eastAsia" w:ascii="仿宋" w:hAnsi="仿宋" w:eastAsia="仿宋" w:cs="仿宋"/>
                <w:i w:val="0"/>
                <w:iCs w:val="0"/>
                <w:caps w:val="0"/>
                <w:color w:val="222222"/>
                <w:spacing w:val="0"/>
                <w:sz w:val="24"/>
                <w:szCs w:val="24"/>
                <w:shd w:val="clear" w:fill="FFFFFF"/>
              </w:rPr>
              <w:t>展</w:t>
            </w:r>
            <w:r>
              <w:rPr>
                <w:rFonts w:hint="eastAsia" w:asciiTheme="minorEastAsia" w:hAnsiTheme="minorEastAsia" w:eastAsiaTheme="minorEastAsia" w:cstheme="minorEastAsia"/>
                <w:i w:val="0"/>
                <w:iCs w:val="0"/>
                <w:caps w:val="0"/>
                <w:color w:val="222222"/>
                <w:spacing w:val="0"/>
                <w:sz w:val="24"/>
                <w:szCs w:val="24"/>
                <w:shd w:val="clear" w:fill="FFFFFF"/>
                <w:lang w:val="en-US" w:eastAsia="zh-CN"/>
              </w:rPr>
              <w:t>播，舞蹈《阳光洒满羌寨》参加“石榴花开•舞动天府”四川省首届民族街舞展演。</w:t>
            </w:r>
          </w:p>
          <w:p w14:paraId="0A47533F">
            <w:pPr>
              <w:pStyle w:val="1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560" w:lineRule="atLeast"/>
              <w:ind w:left="0" w:right="0" w:firstLine="480" w:firstLineChars="200"/>
              <w:jc w:val="left"/>
              <w:textAlignment w:val="auto"/>
              <w:rPr>
                <w:rFonts w:hint="eastAsia" w:asciiTheme="minorEastAsia" w:hAnsiTheme="minorEastAsia" w:eastAsiaTheme="minorEastAsia" w:cstheme="minorEastAsia"/>
                <w:i w:val="0"/>
                <w:iCs w:val="0"/>
                <w:caps w:val="0"/>
                <w:color w:val="222222"/>
                <w:spacing w:val="0"/>
                <w:sz w:val="24"/>
                <w:szCs w:val="24"/>
                <w:shd w:val="clear" w:fill="FFFFFF"/>
                <w:lang w:val="en-US" w:eastAsia="zh-CN"/>
              </w:rPr>
            </w:pPr>
            <w:r>
              <w:rPr>
                <w:rFonts w:hint="eastAsia" w:asciiTheme="minorEastAsia" w:hAnsiTheme="minorEastAsia" w:eastAsiaTheme="minorEastAsia" w:cstheme="minorEastAsia"/>
                <w:i w:val="0"/>
                <w:iCs w:val="0"/>
                <w:caps w:val="0"/>
                <w:color w:val="222222"/>
                <w:spacing w:val="0"/>
                <w:sz w:val="24"/>
                <w:szCs w:val="24"/>
                <w:shd w:val="clear" w:fill="FFFFFF"/>
                <w:lang w:val="en-US" w:eastAsia="zh-CN"/>
              </w:rPr>
              <w:t>3.本年度在晶金隆剧场以及各类露天场地，先后创演了群众工作主题晚会《爱润阿坝》，软硬件支持马尔康市嘉绒锅庄民俗传统系列活动、“民族团结进步活动月”、建军98周年联欢会等各类州级、市级活动近20场次，每场活动均结合当地文化特色与群众需求精心策划节目内容，既保留了经典民族舞蹈的原生态魅力，又结合活动主题融入创新元素。全年地方活动累计吸引观众超2万人次，有效促进了基层文化繁荣与民族团结。与四川爱乐乐团合作开展“青春恰似火，我和我的祖国”浙川青少年文化交流活动，以音乐为纽带，促进浙川两地青少年深度交流。</w:t>
            </w:r>
          </w:p>
          <w:p w14:paraId="10326EF4">
            <w:pPr>
              <w:pStyle w:val="1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560" w:lineRule="atLeast"/>
              <w:ind w:left="0" w:right="0" w:firstLine="480" w:firstLineChars="200"/>
              <w:jc w:val="left"/>
              <w:textAlignment w:val="auto"/>
              <w:rPr>
                <w:rFonts w:hint="eastAsia" w:asciiTheme="minorEastAsia" w:hAnsiTheme="minorEastAsia" w:eastAsiaTheme="minorEastAsia" w:cstheme="minorEastAsia"/>
                <w:i w:val="0"/>
                <w:iCs w:val="0"/>
                <w:caps w:val="0"/>
                <w:color w:val="222222"/>
                <w:spacing w:val="0"/>
                <w:sz w:val="24"/>
                <w:szCs w:val="24"/>
                <w:shd w:val="clear" w:fill="FFFFFF"/>
                <w:lang w:val="en-US" w:eastAsia="zh-CN"/>
              </w:rPr>
            </w:pPr>
            <w:r>
              <w:rPr>
                <w:rFonts w:hint="eastAsia" w:asciiTheme="minorEastAsia" w:hAnsiTheme="minorEastAsia" w:eastAsiaTheme="minorEastAsia" w:cstheme="minorEastAsia"/>
                <w:i w:val="0"/>
                <w:iCs w:val="0"/>
                <w:caps w:val="0"/>
                <w:color w:val="222222"/>
                <w:spacing w:val="0"/>
                <w:sz w:val="24"/>
                <w:szCs w:val="24"/>
                <w:shd w:val="clear" w:fill="FFFFFF"/>
                <w:lang w:val="en-US" w:eastAsia="zh-CN"/>
              </w:rPr>
              <w:t>4.全年围绕“文艺为民”宗旨，深入阿坝州各县（市）开展惠民演出。先后参与州委宣传部牵头的“四下乡”集中示范服务活动，联合四川爱乐乐团组成文艺小分队开展“我和我的祖国”文化惠民演出，以及开展“高原金秋送文化下乡”活动。原计划下乡演出因紧急演出工作中断，全年演出7场次。</w:t>
            </w:r>
          </w:p>
          <w:p w14:paraId="4BB3A38A">
            <w:pPr>
              <w:pStyle w:val="1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560" w:lineRule="atLeast"/>
              <w:ind w:left="0" w:right="0" w:firstLine="480" w:firstLineChars="200"/>
              <w:jc w:val="left"/>
              <w:textAlignment w:val="auto"/>
              <w:rPr>
                <w:rFonts w:hint="eastAsia" w:ascii="仿宋" w:hAnsi="仿宋" w:eastAsia="仿宋" w:cs="仿宋"/>
                <w:i w:val="0"/>
                <w:iCs w:val="0"/>
                <w:caps w:val="0"/>
                <w:color w:val="222222"/>
                <w:spacing w:val="0"/>
                <w:sz w:val="24"/>
                <w:szCs w:val="24"/>
                <w:shd w:val="clear" w:fill="FFFFFF"/>
                <w:lang w:val="en-US" w:eastAsia="zh-CN"/>
              </w:rPr>
            </w:pPr>
            <w:r>
              <w:rPr>
                <w:rFonts w:hint="eastAsia" w:asciiTheme="minorEastAsia" w:hAnsiTheme="minorEastAsia" w:eastAsiaTheme="minorEastAsia" w:cstheme="minorEastAsia"/>
                <w:i w:val="0"/>
                <w:iCs w:val="0"/>
                <w:caps w:val="0"/>
                <w:color w:val="222222"/>
                <w:spacing w:val="0"/>
                <w:sz w:val="24"/>
                <w:szCs w:val="24"/>
                <w:shd w:val="clear" w:fill="FFFFFF"/>
                <w:lang w:val="en-US" w:eastAsia="zh-CN"/>
              </w:rPr>
              <w:t>5.聚焦民族文化与红色历史，推进重点剧目创作。一是持续打磨红色音乐剧《牦牛革命》，先后在北京、马尔康等地公演，通过演绎历史故事与塑造鲜活人物，成为传承革命精神、铸牢中华民族共同体意识的重要载体；二是启动大型原创舞台剧《岷山导江》创作，完成导演组组建工作，组织剧目导演组赴汶川、理县实地采风，完成主要演员选拔及新演员招聘。目前剧目已进入实质性排演阶段，力争打造展现阿坝文明自信的扛鼎之作，同时剧目完成国家艺术基金和四川艺术基金申报；三是围绕主题需求创排节目，全年新增《向着世界放歌》《田野里的歌与舞》等原创作品，其中《向着世界放歌》融合嘉绒锅庄、羌族多声部民歌等非遗元素，先后在“童话公路”自行车赛开幕式、“川超”足球赛场、“八一”联欢会等多个重要场合演出，成为年度代表性节目。</w:t>
            </w:r>
          </w:p>
          <w:p w14:paraId="0E9A3487">
            <w:pPr>
              <w:pStyle w:val="1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560" w:lineRule="atLeast"/>
              <w:ind w:left="0" w:right="0" w:firstLine="480" w:firstLineChars="200"/>
              <w:textAlignment w:val="auto"/>
              <w:rPr>
                <w:rFonts w:hint="default" w:ascii="仿宋" w:hAnsi="仿宋" w:eastAsia="仿宋" w:cs="仿宋"/>
                <w:i w:val="0"/>
                <w:iCs w:val="0"/>
                <w:caps w:val="0"/>
                <w:color w:val="222222"/>
                <w:spacing w:val="0"/>
                <w:sz w:val="24"/>
                <w:szCs w:val="24"/>
                <w:shd w:val="clear" w:fill="FFFFFF"/>
                <w:lang w:val="en-US" w:eastAsia="zh-CN"/>
              </w:rPr>
            </w:pPr>
          </w:p>
          <w:p w14:paraId="3C6455DF">
            <w:pPr>
              <w:keepNext w:val="0"/>
              <w:keepLines w:val="0"/>
              <w:pageBreakBefore w:val="0"/>
              <w:widowControl/>
              <w:suppressLineNumbers w:val="0"/>
              <w:kinsoku/>
              <w:wordWrap/>
              <w:overflowPunct/>
              <w:topLinePunct w:val="0"/>
              <w:autoSpaceDE/>
              <w:autoSpaceDN/>
              <w:bidi w:val="0"/>
              <w:adjustRightInd/>
              <w:snapToGrid/>
              <w:spacing w:afterAutospacing="0" w:line="560" w:lineRule="atLeast"/>
              <w:jc w:val="left"/>
              <w:textAlignment w:val="auto"/>
              <w:outlineLvl w:val="9"/>
              <w:rPr>
                <w:rFonts w:hint="eastAsia" w:ascii="宋体" w:hAnsi="宋体" w:eastAsia="宋体" w:cs="宋体"/>
                <w:i w:val="0"/>
                <w:color w:val="000000"/>
                <w:sz w:val="24"/>
                <w:szCs w:val="24"/>
                <w:u w:val="none"/>
              </w:rPr>
            </w:pPr>
          </w:p>
        </w:tc>
      </w:tr>
      <w:tr w14:paraId="00CC25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gridAfter w:val="1"/>
          <w:wAfter w:w="28" w:type="dxa"/>
          <w:trHeight w:val="9020" w:hRule="atLeast"/>
          <w:jc w:val="center"/>
        </w:trPr>
        <w:tc>
          <w:tcPr>
            <w:tcW w:w="10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0BFF1C">
            <w:pPr>
              <w:keepNext w:val="0"/>
              <w:keepLines w:val="0"/>
              <w:pageBreakBefore w:val="0"/>
              <w:widowControl/>
              <w:kinsoku/>
              <w:wordWrap/>
              <w:overflowPunct/>
              <w:topLinePunct w:val="0"/>
              <w:autoSpaceDE/>
              <w:autoSpaceDN/>
              <w:bidi w:val="0"/>
              <w:adjustRightInd/>
              <w:snapToGrid/>
              <w:spacing w:afterAutospacing="0" w:line="560" w:lineRule="atLeast"/>
              <w:jc w:val="center"/>
              <w:outlineLvl w:val="9"/>
              <w:rPr>
                <w:rFonts w:hint="default" w:ascii="Times New Roman" w:hAnsi="Times New Roman" w:eastAsia="宋体" w:cs="Times New Roman"/>
                <w:i w:val="0"/>
                <w:color w:val="000000"/>
                <w:sz w:val="24"/>
                <w:szCs w:val="24"/>
                <w:u w:val="none"/>
              </w:rPr>
            </w:pPr>
          </w:p>
        </w:tc>
        <w:tc>
          <w:tcPr>
            <w:tcW w:w="289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E88D1A">
            <w:pPr>
              <w:keepNext w:val="0"/>
              <w:keepLines w:val="0"/>
              <w:pageBreakBefore w:val="0"/>
              <w:widowControl/>
              <w:kinsoku/>
              <w:wordWrap/>
              <w:overflowPunct/>
              <w:topLinePunct w:val="0"/>
              <w:autoSpaceDE/>
              <w:autoSpaceDN/>
              <w:bidi w:val="0"/>
              <w:adjustRightInd/>
              <w:snapToGrid/>
              <w:spacing w:afterAutospacing="0" w:line="560" w:lineRule="atLeast"/>
              <w:jc w:val="center"/>
              <w:outlineLvl w:val="9"/>
              <w:rPr>
                <w:rFonts w:hint="eastAsia" w:ascii="Times New Roman" w:hAnsi="Times New Roman" w:eastAsia="宋体" w:cs="Times New Roman"/>
                <w:i w:val="0"/>
                <w:color w:val="000000"/>
                <w:sz w:val="24"/>
                <w:szCs w:val="24"/>
                <w:u w:val="none"/>
                <w:lang w:eastAsia="zh-CN"/>
              </w:rPr>
            </w:pPr>
            <w:r>
              <w:rPr>
                <w:rFonts w:hint="eastAsia" w:eastAsia="宋体" w:cs="Times New Roman"/>
                <w:i w:val="0"/>
                <w:color w:val="000000"/>
                <w:sz w:val="24"/>
                <w:szCs w:val="24"/>
                <w:u w:val="none"/>
                <w:lang w:eastAsia="zh-CN"/>
              </w:rPr>
              <w:t>文化宣传</w:t>
            </w:r>
          </w:p>
        </w:tc>
        <w:tc>
          <w:tcPr>
            <w:tcW w:w="654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4B85601">
            <w:pPr>
              <w:pStyle w:val="1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560" w:lineRule="atLeast"/>
              <w:ind w:left="0" w:right="0" w:firstLine="480" w:firstLineChars="200"/>
              <w:jc w:val="left"/>
              <w:textAlignment w:val="auto"/>
              <w:rPr>
                <w:rFonts w:hint="eastAsia" w:asciiTheme="minorEastAsia" w:hAnsiTheme="minorEastAsia" w:eastAsiaTheme="minorEastAsia" w:cstheme="minorEastAsia"/>
                <w:i w:val="0"/>
                <w:iCs w:val="0"/>
                <w:caps w:val="0"/>
                <w:color w:val="222222"/>
                <w:spacing w:val="0"/>
                <w:sz w:val="24"/>
                <w:szCs w:val="24"/>
                <w:shd w:val="clear" w:fill="FFFFFF"/>
                <w:lang w:val="en-US" w:eastAsia="zh-CN"/>
              </w:rPr>
            </w:pPr>
            <w:r>
              <w:rPr>
                <w:rFonts w:hint="eastAsia" w:asciiTheme="minorEastAsia" w:hAnsiTheme="minorEastAsia" w:eastAsiaTheme="minorEastAsia" w:cstheme="minorEastAsia"/>
                <w:i w:val="0"/>
                <w:iCs w:val="0"/>
                <w:caps w:val="0"/>
                <w:color w:val="222222"/>
                <w:spacing w:val="0"/>
                <w:sz w:val="24"/>
                <w:szCs w:val="24"/>
                <w:shd w:val="clear" w:fill="FFFFFF"/>
                <w:lang w:val="en-US" w:eastAsia="zh-CN"/>
              </w:rPr>
              <w:t>1.第12届成都世界运动会上，我团“藏韵”组合，舞蹈《瓦尔俄足》等节目，应邀参加，在国际性的舞台上，向世界展现阿坝雪山草原之美与开放包容的精神风貌，相关演出获国际嘉宾与现场观众高度赞誉。</w:t>
            </w:r>
          </w:p>
          <w:p w14:paraId="69DCAFDE">
            <w:pPr>
              <w:pStyle w:val="1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560" w:lineRule="atLeast"/>
              <w:ind w:left="0" w:right="0" w:firstLine="480" w:firstLineChars="200"/>
              <w:jc w:val="left"/>
              <w:textAlignment w:val="auto"/>
              <w:rPr>
                <w:rFonts w:hint="eastAsia" w:asciiTheme="minorEastAsia" w:hAnsiTheme="minorEastAsia" w:eastAsiaTheme="minorEastAsia" w:cstheme="minorEastAsia"/>
                <w:i w:val="0"/>
                <w:iCs w:val="0"/>
                <w:caps w:val="0"/>
                <w:color w:val="222222"/>
                <w:spacing w:val="0"/>
                <w:sz w:val="24"/>
                <w:szCs w:val="24"/>
                <w:shd w:val="clear" w:fill="FFFFFF"/>
                <w:lang w:val="en-US" w:eastAsia="zh-CN"/>
              </w:rPr>
            </w:pPr>
            <w:r>
              <w:rPr>
                <w:rFonts w:hint="eastAsia" w:asciiTheme="minorEastAsia" w:hAnsiTheme="minorEastAsia" w:eastAsiaTheme="minorEastAsia" w:cstheme="minorEastAsia"/>
                <w:i w:val="0"/>
                <w:iCs w:val="0"/>
                <w:caps w:val="0"/>
                <w:color w:val="222222"/>
                <w:spacing w:val="0"/>
                <w:sz w:val="24"/>
                <w:szCs w:val="24"/>
                <w:shd w:val="clear" w:fill="FFFFFF"/>
                <w:lang w:val="en-US" w:eastAsia="zh-CN"/>
              </w:rPr>
              <w:t>2.本年度随州文广体旅局先后赴北京、上海两大一线城市开展文旅推介演出，在北京王府井、上海外滩等地标，留下了“天下九寨沟•大美阿坝州”文旅品牌的风姿倩影，音乐剧《牦牛革命》更登陆北京大学百周年纪念讲堂，成为边远山区剧目走进国家最高学府的成功实践；参加第二十届西博会，在阿坝州展馆连续5天开展演出，同时乘风“川超”舞台，助力“体育+文旅”宣传推介，多位面提升阿坝文旅品牌的市场吸引力。</w:t>
            </w:r>
          </w:p>
          <w:p w14:paraId="2CAF2C00">
            <w:pPr>
              <w:keepNext w:val="0"/>
              <w:keepLines w:val="0"/>
              <w:pageBreakBefore w:val="0"/>
              <w:widowControl w:val="0"/>
              <w:kinsoku/>
              <w:wordWrap/>
              <w:overflowPunct/>
              <w:topLinePunct w:val="0"/>
              <w:autoSpaceDE/>
              <w:autoSpaceDN/>
              <w:bidi w:val="0"/>
              <w:adjustRightInd/>
              <w:snapToGrid/>
              <w:spacing w:afterAutospacing="0" w:line="560" w:lineRule="atLeast"/>
              <w:ind w:firstLine="480" w:firstLineChars="200"/>
              <w:textAlignment w:val="auto"/>
              <w:rPr>
                <w:rFonts w:hint="eastAsia" w:ascii="宋体" w:hAnsi="宋体" w:eastAsia="宋体" w:cs="宋体"/>
                <w:b w:val="0"/>
                <w:bCs w:val="0"/>
                <w:sz w:val="24"/>
                <w:szCs w:val="24"/>
                <w:lang w:val="en-US" w:eastAsia="zh-CN"/>
              </w:rPr>
            </w:pPr>
          </w:p>
          <w:p w14:paraId="7857FEAF">
            <w:pPr>
              <w:keepNext w:val="0"/>
              <w:keepLines w:val="0"/>
              <w:pageBreakBefore w:val="0"/>
              <w:widowControl w:val="0"/>
              <w:kinsoku/>
              <w:wordWrap/>
              <w:overflowPunct/>
              <w:topLinePunct w:val="0"/>
              <w:autoSpaceDE/>
              <w:autoSpaceDN/>
              <w:bidi w:val="0"/>
              <w:adjustRightInd/>
              <w:snapToGrid/>
              <w:spacing w:afterAutospacing="0" w:line="560" w:lineRule="atLeast"/>
              <w:ind w:firstLine="480" w:firstLineChars="200"/>
              <w:textAlignment w:val="auto"/>
              <w:rPr>
                <w:rFonts w:hint="eastAsia" w:ascii="宋体" w:hAnsi="宋体" w:eastAsia="宋体" w:cs="宋体"/>
                <w:sz w:val="24"/>
                <w:szCs w:val="24"/>
                <w:lang w:val="en-US" w:eastAsia="zh-CN"/>
              </w:rPr>
            </w:pPr>
          </w:p>
          <w:p w14:paraId="4EE1CAC0">
            <w:pPr>
              <w:keepNext w:val="0"/>
              <w:keepLines w:val="0"/>
              <w:pageBreakBefore w:val="0"/>
              <w:widowControl/>
              <w:kinsoku/>
              <w:wordWrap/>
              <w:overflowPunct/>
              <w:topLinePunct w:val="0"/>
              <w:autoSpaceDE/>
              <w:autoSpaceDN/>
              <w:bidi w:val="0"/>
              <w:adjustRightInd/>
              <w:snapToGrid/>
              <w:spacing w:afterAutospacing="0" w:line="560" w:lineRule="atLeast"/>
              <w:jc w:val="left"/>
              <w:textAlignment w:val="auto"/>
              <w:outlineLvl w:val="9"/>
              <w:rPr>
                <w:rFonts w:hint="eastAsia" w:ascii="宋体" w:hAnsi="宋体" w:eastAsia="宋体" w:cs="宋体"/>
                <w:i w:val="0"/>
                <w:color w:val="000000"/>
                <w:sz w:val="24"/>
                <w:szCs w:val="24"/>
                <w:u w:val="none"/>
              </w:rPr>
            </w:pPr>
          </w:p>
        </w:tc>
      </w:tr>
      <w:tr w14:paraId="6578FD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0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AFA0CB">
            <w:pPr>
              <w:keepNext w:val="0"/>
              <w:keepLines w:val="0"/>
              <w:pageBreakBefore w:val="0"/>
              <w:widowControl/>
              <w:suppressLineNumbers w:val="0"/>
              <w:kinsoku/>
              <w:wordWrap/>
              <w:overflowPunct/>
              <w:topLinePunct w:val="0"/>
              <w:autoSpaceDE/>
              <w:autoSpaceDN/>
              <w:bidi w:val="0"/>
              <w:adjustRightInd/>
              <w:snapToGrid/>
              <w:spacing w:afterAutospacing="0" w:line="560" w:lineRule="atLeast"/>
              <w:jc w:val="center"/>
              <w:textAlignment w:val="center"/>
              <w:outlineLvl w:val="9"/>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年度绩效</w:t>
            </w:r>
          </w:p>
          <w:p w14:paraId="2040C3B7">
            <w:pPr>
              <w:keepNext w:val="0"/>
              <w:keepLines w:val="0"/>
              <w:pageBreakBefore w:val="0"/>
              <w:widowControl/>
              <w:suppressLineNumbers w:val="0"/>
              <w:kinsoku/>
              <w:wordWrap/>
              <w:overflowPunct/>
              <w:topLinePunct w:val="0"/>
              <w:autoSpaceDE/>
              <w:autoSpaceDN/>
              <w:bidi w:val="0"/>
              <w:adjustRightInd/>
              <w:snapToGrid/>
              <w:spacing w:afterAutospacing="0" w:line="560" w:lineRule="atLeas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指标</w:t>
            </w:r>
          </w:p>
        </w:tc>
        <w:tc>
          <w:tcPr>
            <w:tcW w:w="16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F312C">
            <w:pPr>
              <w:keepNext w:val="0"/>
              <w:keepLines w:val="0"/>
              <w:pageBreakBefore w:val="0"/>
              <w:widowControl/>
              <w:suppressLineNumbers w:val="0"/>
              <w:kinsoku/>
              <w:wordWrap/>
              <w:overflowPunct/>
              <w:topLinePunct w:val="0"/>
              <w:autoSpaceDE/>
              <w:autoSpaceDN/>
              <w:bidi w:val="0"/>
              <w:adjustRightInd/>
              <w:snapToGrid/>
              <w:spacing w:afterAutospacing="0" w:line="560" w:lineRule="atLeas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一级指标</w:t>
            </w:r>
          </w:p>
        </w:tc>
        <w:tc>
          <w:tcPr>
            <w:tcW w:w="12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A43A74">
            <w:pPr>
              <w:keepNext w:val="0"/>
              <w:keepLines w:val="0"/>
              <w:pageBreakBefore w:val="0"/>
              <w:widowControl/>
              <w:suppressLineNumbers w:val="0"/>
              <w:kinsoku/>
              <w:wordWrap/>
              <w:overflowPunct/>
              <w:topLinePunct w:val="0"/>
              <w:autoSpaceDE/>
              <w:autoSpaceDN/>
              <w:bidi w:val="0"/>
              <w:adjustRightInd/>
              <w:snapToGrid/>
              <w:spacing w:afterAutospacing="0" w:line="560" w:lineRule="atLeas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二级指标</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E631B">
            <w:pPr>
              <w:keepNext w:val="0"/>
              <w:keepLines w:val="0"/>
              <w:pageBreakBefore w:val="0"/>
              <w:widowControl/>
              <w:suppressLineNumbers w:val="0"/>
              <w:kinsoku/>
              <w:wordWrap/>
              <w:overflowPunct/>
              <w:topLinePunct w:val="0"/>
              <w:autoSpaceDE/>
              <w:autoSpaceDN/>
              <w:bidi w:val="0"/>
              <w:adjustRightInd/>
              <w:snapToGrid/>
              <w:spacing w:afterAutospacing="0" w:line="560" w:lineRule="atLeas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三级指标</w:t>
            </w:r>
          </w:p>
        </w:tc>
        <w:tc>
          <w:tcPr>
            <w:tcW w:w="86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FA6DA0">
            <w:pPr>
              <w:keepNext w:val="0"/>
              <w:keepLines w:val="0"/>
              <w:pageBreakBefore w:val="0"/>
              <w:widowControl/>
              <w:suppressLineNumbers w:val="0"/>
              <w:kinsoku/>
              <w:wordWrap/>
              <w:overflowPunct/>
              <w:topLinePunct w:val="0"/>
              <w:autoSpaceDE/>
              <w:autoSpaceDN/>
              <w:bidi w:val="0"/>
              <w:adjustRightInd/>
              <w:snapToGrid/>
              <w:spacing w:afterAutospacing="0" w:line="560" w:lineRule="atLeast"/>
              <w:jc w:val="center"/>
              <w:textAlignment w:val="center"/>
              <w:outlineLvl w:val="9"/>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绩效指标</w:t>
            </w:r>
          </w:p>
          <w:p w14:paraId="36FDC5F8">
            <w:pPr>
              <w:keepNext w:val="0"/>
              <w:keepLines w:val="0"/>
              <w:pageBreakBefore w:val="0"/>
              <w:widowControl/>
              <w:suppressLineNumbers w:val="0"/>
              <w:kinsoku/>
              <w:wordWrap/>
              <w:overflowPunct/>
              <w:topLinePunct w:val="0"/>
              <w:autoSpaceDE/>
              <w:autoSpaceDN/>
              <w:bidi w:val="0"/>
              <w:adjustRightInd/>
              <w:snapToGrid/>
              <w:spacing w:afterAutospacing="0" w:line="560" w:lineRule="atLeas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性质</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247AC">
            <w:pPr>
              <w:keepNext w:val="0"/>
              <w:keepLines w:val="0"/>
              <w:pageBreakBefore w:val="0"/>
              <w:widowControl/>
              <w:suppressLineNumbers w:val="0"/>
              <w:kinsoku/>
              <w:wordWrap/>
              <w:overflowPunct/>
              <w:topLinePunct w:val="0"/>
              <w:autoSpaceDE/>
              <w:autoSpaceDN/>
              <w:bidi w:val="0"/>
              <w:adjustRightInd/>
              <w:snapToGrid/>
              <w:spacing w:afterAutospacing="0" w:line="560" w:lineRule="atLeas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绩效指标值</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8A6BB">
            <w:pPr>
              <w:keepNext w:val="0"/>
              <w:keepLines w:val="0"/>
              <w:pageBreakBefore w:val="0"/>
              <w:widowControl/>
              <w:suppressLineNumbers w:val="0"/>
              <w:kinsoku/>
              <w:wordWrap/>
              <w:overflowPunct/>
              <w:topLinePunct w:val="0"/>
              <w:autoSpaceDE/>
              <w:autoSpaceDN/>
              <w:bidi w:val="0"/>
              <w:adjustRightInd/>
              <w:snapToGrid/>
              <w:spacing w:afterAutospacing="0" w:line="560" w:lineRule="atLeas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绩效度量单位</w:t>
            </w:r>
          </w:p>
        </w:tc>
        <w:tc>
          <w:tcPr>
            <w:tcW w:w="926" w:type="dxa"/>
            <w:tcBorders>
              <w:top w:val="single" w:color="000000" w:sz="4" w:space="0"/>
              <w:left w:val="single" w:color="000000" w:sz="4" w:space="0"/>
              <w:bottom w:val="single" w:color="000000" w:sz="4" w:space="0"/>
            </w:tcBorders>
            <w:shd w:val="clear" w:color="auto" w:fill="auto"/>
            <w:vAlign w:val="center"/>
          </w:tcPr>
          <w:p w14:paraId="0F0D33CB">
            <w:pPr>
              <w:keepNext w:val="0"/>
              <w:keepLines w:val="0"/>
              <w:pageBreakBefore w:val="0"/>
              <w:widowControl/>
              <w:suppressLineNumbers w:val="0"/>
              <w:kinsoku/>
              <w:wordWrap/>
              <w:overflowPunct/>
              <w:topLinePunct w:val="0"/>
              <w:autoSpaceDE/>
              <w:autoSpaceDN/>
              <w:bidi w:val="0"/>
              <w:adjustRightInd/>
              <w:snapToGrid/>
              <w:spacing w:afterAutospacing="0" w:line="560" w:lineRule="atLeas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权重</w:t>
            </w:r>
          </w:p>
        </w:tc>
        <w:tc>
          <w:tcPr>
            <w:tcW w:w="1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48A71B">
            <w:pPr>
              <w:keepNext w:val="0"/>
              <w:keepLines w:val="0"/>
              <w:pageBreakBefore w:val="0"/>
              <w:widowControl/>
              <w:suppressLineNumbers w:val="0"/>
              <w:kinsoku/>
              <w:wordWrap/>
              <w:overflowPunct/>
              <w:topLinePunct w:val="0"/>
              <w:autoSpaceDE/>
              <w:autoSpaceDN/>
              <w:bidi w:val="0"/>
              <w:adjustRightInd/>
              <w:snapToGrid/>
              <w:spacing w:afterAutospacing="0" w:line="560" w:lineRule="atLeast"/>
              <w:jc w:val="center"/>
              <w:textAlignment w:val="center"/>
              <w:outlineLvl w:val="9"/>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实际完成</w:t>
            </w:r>
          </w:p>
          <w:p w14:paraId="0C5A2FE4">
            <w:pPr>
              <w:keepNext w:val="0"/>
              <w:keepLines w:val="0"/>
              <w:pageBreakBefore w:val="0"/>
              <w:widowControl/>
              <w:suppressLineNumbers w:val="0"/>
              <w:kinsoku/>
              <w:wordWrap/>
              <w:overflowPunct/>
              <w:topLinePunct w:val="0"/>
              <w:autoSpaceDE/>
              <w:autoSpaceDN/>
              <w:bidi w:val="0"/>
              <w:adjustRightInd/>
              <w:snapToGrid/>
              <w:spacing w:afterAutospacing="0" w:line="560" w:lineRule="atLeas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指标值</w:t>
            </w:r>
          </w:p>
        </w:tc>
      </w:tr>
      <w:tr w14:paraId="613978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72" w:hRule="atLeast"/>
          <w:jc w:val="center"/>
        </w:trPr>
        <w:tc>
          <w:tcPr>
            <w:tcW w:w="10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C70911">
            <w:pPr>
              <w:keepNext w:val="0"/>
              <w:keepLines w:val="0"/>
              <w:pageBreakBefore w:val="0"/>
              <w:widowControl/>
              <w:kinsoku/>
              <w:wordWrap/>
              <w:overflowPunct/>
              <w:topLinePunct w:val="0"/>
              <w:autoSpaceDE/>
              <w:autoSpaceDN/>
              <w:bidi w:val="0"/>
              <w:adjustRightInd/>
              <w:snapToGrid/>
              <w:spacing w:afterAutospacing="0" w:line="560" w:lineRule="atLeast"/>
              <w:jc w:val="center"/>
              <w:outlineLvl w:val="9"/>
              <w:rPr>
                <w:rFonts w:hint="default" w:ascii="Times New Roman" w:hAnsi="Times New Roman" w:eastAsia="宋体" w:cs="Times New Roman"/>
                <w:i w:val="0"/>
                <w:color w:val="000000"/>
                <w:sz w:val="24"/>
                <w:szCs w:val="24"/>
                <w:u w:val="none"/>
              </w:rPr>
            </w:pPr>
          </w:p>
        </w:tc>
        <w:tc>
          <w:tcPr>
            <w:tcW w:w="16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024EA8">
            <w:pPr>
              <w:keepNext w:val="0"/>
              <w:keepLines w:val="0"/>
              <w:pageBreakBefore w:val="0"/>
              <w:widowControl/>
              <w:suppressLineNumbers w:val="0"/>
              <w:kinsoku/>
              <w:wordWrap/>
              <w:overflowPunct/>
              <w:topLinePunct w:val="0"/>
              <w:autoSpaceDE/>
              <w:autoSpaceDN/>
              <w:bidi w:val="0"/>
              <w:adjustRightInd/>
              <w:snapToGrid/>
              <w:spacing w:afterAutospacing="0" w:line="560" w:lineRule="atLeast"/>
              <w:jc w:val="center"/>
              <w:textAlignment w:val="center"/>
              <w:outlineLvl w:val="9"/>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年度绩效</w:t>
            </w:r>
          </w:p>
          <w:p w14:paraId="6405CD04">
            <w:pPr>
              <w:keepNext w:val="0"/>
              <w:keepLines w:val="0"/>
              <w:pageBreakBefore w:val="0"/>
              <w:widowControl/>
              <w:suppressLineNumbers w:val="0"/>
              <w:kinsoku/>
              <w:wordWrap/>
              <w:overflowPunct/>
              <w:topLinePunct w:val="0"/>
              <w:autoSpaceDE/>
              <w:autoSpaceDN/>
              <w:bidi w:val="0"/>
              <w:adjustRightInd/>
              <w:snapToGrid/>
              <w:spacing w:afterAutospacing="0" w:line="560" w:lineRule="atLeas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指标</w:t>
            </w:r>
          </w:p>
        </w:tc>
        <w:tc>
          <w:tcPr>
            <w:tcW w:w="12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4741EE">
            <w:pPr>
              <w:keepNext w:val="0"/>
              <w:keepLines w:val="0"/>
              <w:pageBreakBefore w:val="0"/>
              <w:widowControl/>
              <w:suppressLineNumbers w:val="0"/>
              <w:kinsoku/>
              <w:wordWrap/>
              <w:overflowPunct/>
              <w:topLinePunct w:val="0"/>
              <w:autoSpaceDE/>
              <w:autoSpaceDN/>
              <w:bidi w:val="0"/>
              <w:adjustRightInd/>
              <w:snapToGrid/>
              <w:spacing w:afterAutospacing="0" w:line="560" w:lineRule="atLeas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一级指标</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957FE">
            <w:pPr>
              <w:keepNext w:val="0"/>
              <w:keepLines w:val="0"/>
              <w:pageBreakBefore w:val="0"/>
              <w:widowControl/>
              <w:suppressLineNumbers w:val="0"/>
              <w:kinsoku/>
              <w:wordWrap/>
              <w:overflowPunct/>
              <w:topLinePunct w:val="0"/>
              <w:autoSpaceDE/>
              <w:autoSpaceDN/>
              <w:bidi w:val="0"/>
              <w:adjustRightInd/>
              <w:snapToGrid/>
              <w:spacing w:afterAutospacing="0" w:line="560" w:lineRule="atLeast"/>
              <w:jc w:val="center"/>
              <w:textAlignment w:val="center"/>
              <w:outlineLvl w:val="9"/>
              <w:rPr>
                <w:rFonts w:hint="eastAsia" w:ascii="Times New Roman" w:hAnsi="Times New Roman" w:eastAsia="宋体" w:cs="Times New Roman"/>
                <w:i w:val="0"/>
                <w:color w:val="000000"/>
                <w:sz w:val="24"/>
                <w:szCs w:val="24"/>
                <w:u w:val="none"/>
                <w:lang w:eastAsia="zh-CN"/>
              </w:rPr>
            </w:pPr>
            <w:r>
              <w:rPr>
                <w:rFonts w:hint="default" w:ascii="Times New Roman" w:hAnsi="Times New Roman" w:eastAsia="宋体" w:cs="Times New Roman"/>
                <w:i w:val="0"/>
                <w:color w:val="000000"/>
                <w:kern w:val="0"/>
                <w:sz w:val="24"/>
                <w:szCs w:val="24"/>
                <w:u w:val="none"/>
                <w:lang w:val="en-US" w:eastAsia="zh-CN" w:bidi="ar"/>
              </w:rPr>
              <w:t>二级指标</w:t>
            </w:r>
          </w:p>
        </w:tc>
        <w:tc>
          <w:tcPr>
            <w:tcW w:w="86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8C666D">
            <w:pPr>
              <w:keepNext w:val="0"/>
              <w:keepLines w:val="0"/>
              <w:pageBreakBefore w:val="0"/>
              <w:widowControl/>
              <w:suppressLineNumbers w:val="0"/>
              <w:kinsoku/>
              <w:wordWrap/>
              <w:overflowPunct/>
              <w:topLinePunct w:val="0"/>
              <w:autoSpaceDE/>
              <w:autoSpaceDN/>
              <w:bidi w:val="0"/>
              <w:adjustRightInd/>
              <w:snapToGrid/>
              <w:spacing w:afterAutospacing="0" w:line="560" w:lineRule="atLeast"/>
              <w:jc w:val="center"/>
              <w:textAlignment w:val="center"/>
              <w:outlineLvl w:val="9"/>
              <w:rPr>
                <w:rFonts w:hint="eastAsia" w:ascii="Times New Roman" w:hAnsi="Times New Roman" w:eastAsia="宋体" w:cs="Times New Roman"/>
                <w:i w:val="0"/>
                <w:color w:val="000000"/>
                <w:sz w:val="24"/>
                <w:szCs w:val="24"/>
                <w:u w:val="none"/>
                <w:lang w:eastAsia="zh-CN"/>
              </w:rPr>
            </w:pPr>
            <w:r>
              <w:rPr>
                <w:rFonts w:hint="default" w:ascii="Times New Roman" w:hAnsi="Times New Roman" w:eastAsia="宋体" w:cs="Times New Roman"/>
                <w:i w:val="0"/>
                <w:color w:val="000000"/>
                <w:kern w:val="0"/>
                <w:sz w:val="24"/>
                <w:szCs w:val="24"/>
                <w:u w:val="none"/>
                <w:lang w:val="en-US" w:eastAsia="zh-CN" w:bidi="ar"/>
              </w:rPr>
              <w:t>三级指标</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62FF0">
            <w:pPr>
              <w:keepNext w:val="0"/>
              <w:keepLines w:val="0"/>
              <w:pageBreakBefore w:val="0"/>
              <w:widowControl/>
              <w:suppressLineNumbers w:val="0"/>
              <w:kinsoku/>
              <w:wordWrap/>
              <w:overflowPunct/>
              <w:topLinePunct w:val="0"/>
              <w:autoSpaceDE/>
              <w:autoSpaceDN/>
              <w:bidi w:val="0"/>
              <w:adjustRightInd/>
              <w:snapToGrid/>
              <w:spacing w:afterAutospacing="0" w:line="560" w:lineRule="atLeast"/>
              <w:jc w:val="center"/>
              <w:textAlignment w:val="center"/>
              <w:outlineLvl w:val="9"/>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绩效指标</w:t>
            </w:r>
          </w:p>
          <w:p w14:paraId="7C540813">
            <w:pPr>
              <w:keepNext w:val="0"/>
              <w:keepLines w:val="0"/>
              <w:pageBreakBefore w:val="0"/>
              <w:widowControl/>
              <w:suppressLineNumbers w:val="0"/>
              <w:kinsoku/>
              <w:wordWrap/>
              <w:overflowPunct/>
              <w:topLinePunct w:val="0"/>
              <w:autoSpaceDE/>
              <w:autoSpaceDN/>
              <w:bidi w:val="0"/>
              <w:adjustRightInd/>
              <w:snapToGrid/>
              <w:spacing w:afterAutospacing="0" w:line="560" w:lineRule="atLeast"/>
              <w:jc w:val="center"/>
              <w:textAlignment w:val="center"/>
              <w:outlineLvl w:val="9"/>
              <w:rPr>
                <w:rFonts w:hint="default" w:ascii="Times New Roman" w:hAnsi="Times New Roman" w:eastAsia="宋体" w:cs="Times New Roman"/>
                <w:i w:val="0"/>
                <w:color w:val="000000"/>
                <w:sz w:val="24"/>
                <w:szCs w:val="24"/>
                <w:u w:val="none"/>
                <w:lang w:val="en-US"/>
              </w:rPr>
            </w:pPr>
            <w:r>
              <w:rPr>
                <w:rFonts w:hint="default" w:ascii="Times New Roman" w:hAnsi="Times New Roman" w:eastAsia="宋体" w:cs="Times New Roman"/>
                <w:i w:val="0"/>
                <w:color w:val="000000"/>
                <w:kern w:val="0"/>
                <w:sz w:val="24"/>
                <w:szCs w:val="24"/>
                <w:u w:val="none"/>
                <w:lang w:val="en-US" w:eastAsia="zh-CN" w:bidi="ar"/>
              </w:rPr>
              <w:t>性质</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8EF3A">
            <w:pPr>
              <w:keepNext w:val="0"/>
              <w:keepLines w:val="0"/>
              <w:pageBreakBefore w:val="0"/>
              <w:widowControl/>
              <w:suppressLineNumbers w:val="0"/>
              <w:kinsoku/>
              <w:wordWrap/>
              <w:overflowPunct/>
              <w:topLinePunct w:val="0"/>
              <w:autoSpaceDE/>
              <w:autoSpaceDN/>
              <w:bidi w:val="0"/>
              <w:adjustRightInd/>
              <w:snapToGrid/>
              <w:spacing w:afterAutospacing="0" w:line="560" w:lineRule="atLeast"/>
              <w:jc w:val="center"/>
              <w:textAlignment w:val="center"/>
              <w:outlineLvl w:val="9"/>
              <w:rPr>
                <w:rFonts w:hint="eastAsia" w:ascii="Times New Roman" w:hAnsi="Times New Roman" w:eastAsia="宋体" w:cs="Times New Roman"/>
                <w:i w:val="0"/>
                <w:color w:val="000000"/>
                <w:sz w:val="24"/>
                <w:szCs w:val="24"/>
                <w:u w:val="none"/>
                <w:lang w:eastAsia="zh-CN"/>
              </w:rPr>
            </w:pPr>
            <w:r>
              <w:rPr>
                <w:rFonts w:hint="default" w:ascii="Times New Roman" w:hAnsi="Times New Roman" w:eastAsia="宋体" w:cs="Times New Roman"/>
                <w:i w:val="0"/>
                <w:color w:val="000000"/>
                <w:kern w:val="0"/>
                <w:sz w:val="24"/>
                <w:szCs w:val="24"/>
                <w:u w:val="none"/>
                <w:lang w:val="en-US" w:eastAsia="zh-CN" w:bidi="ar"/>
              </w:rPr>
              <w:t>绩效指标值</w:t>
            </w: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BC1DC">
            <w:pPr>
              <w:keepNext w:val="0"/>
              <w:keepLines w:val="0"/>
              <w:pageBreakBefore w:val="0"/>
              <w:widowControl/>
              <w:suppressLineNumbers w:val="0"/>
              <w:kinsoku/>
              <w:wordWrap/>
              <w:overflowPunct/>
              <w:topLinePunct w:val="0"/>
              <w:autoSpaceDE/>
              <w:autoSpaceDN/>
              <w:bidi w:val="0"/>
              <w:adjustRightInd/>
              <w:snapToGrid/>
              <w:spacing w:afterAutospacing="0" w:line="560" w:lineRule="atLeast"/>
              <w:jc w:val="center"/>
              <w:textAlignment w:val="center"/>
              <w:outlineLvl w:val="9"/>
              <w:rPr>
                <w:rFonts w:hint="default" w:ascii="Times New Roman" w:hAnsi="Times New Roman" w:eastAsia="宋体" w:cs="Times New Roman"/>
                <w:i w:val="0"/>
                <w:color w:val="000000"/>
                <w:sz w:val="24"/>
                <w:szCs w:val="24"/>
                <w:u w:val="none"/>
                <w:lang w:val="en-US" w:eastAsia="zh-CN"/>
              </w:rPr>
            </w:pPr>
            <w:r>
              <w:rPr>
                <w:rFonts w:hint="default" w:ascii="Times New Roman" w:hAnsi="Times New Roman" w:eastAsia="宋体" w:cs="Times New Roman"/>
                <w:i w:val="0"/>
                <w:color w:val="000000"/>
                <w:kern w:val="0"/>
                <w:sz w:val="24"/>
                <w:szCs w:val="24"/>
                <w:u w:val="none"/>
                <w:lang w:val="en-US" w:eastAsia="zh-CN" w:bidi="ar"/>
              </w:rPr>
              <w:t>绩效度量单位</w:t>
            </w:r>
          </w:p>
        </w:tc>
        <w:tc>
          <w:tcPr>
            <w:tcW w:w="1027" w:type="dxa"/>
            <w:gridSpan w:val="2"/>
            <w:tcBorders>
              <w:left w:val="single" w:color="000000" w:sz="4" w:space="0"/>
              <w:bottom w:val="single" w:color="000000" w:sz="4" w:space="0"/>
              <w:right w:val="single" w:color="000000" w:sz="4" w:space="0"/>
            </w:tcBorders>
            <w:shd w:val="clear" w:color="auto" w:fill="auto"/>
            <w:vAlign w:val="center"/>
          </w:tcPr>
          <w:p w14:paraId="43F1522E">
            <w:pPr>
              <w:keepNext w:val="0"/>
              <w:keepLines w:val="0"/>
              <w:pageBreakBefore w:val="0"/>
              <w:widowControl/>
              <w:suppressLineNumbers w:val="0"/>
              <w:kinsoku/>
              <w:wordWrap/>
              <w:overflowPunct/>
              <w:topLinePunct w:val="0"/>
              <w:autoSpaceDE/>
              <w:autoSpaceDN/>
              <w:bidi w:val="0"/>
              <w:adjustRightInd/>
              <w:snapToGrid/>
              <w:spacing w:afterAutospacing="0" w:line="560" w:lineRule="atLeast"/>
              <w:jc w:val="center"/>
              <w:textAlignment w:val="center"/>
              <w:outlineLvl w:val="9"/>
              <w:rPr>
                <w:rFonts w:hint="default" w:ascii="Times New Roman" w:hAnsi="Times New Roman" w:eastAsia="宋体" w:cs="Times New Roman"/>
                <w:i w:val="0"/>
                <w:color w:val="000000"/>
                <w:sz w:val="24"/>
                <w:szCs w:val="24"/>
                <w:u w:val="none"/>
                <w:lang w:val="en-US" w:eastAsia="zh-CN"/>
              </w:rPr>
            </w:pPr>
            <w:r>
              <w:rPr>
                <w:rFonts w:hint="default" w:ascii="Times New Roman" w:hAnsi="Times New Roman" w:eastAsia="宋体" w:cs="Times New Roman"/>
                <w:i w:val="0"/>
                <w:color w:val="000000"/>
                <w:kern w:val="0"/>
                <w:sz w:val="24"/>
                <w:szCs w:val="24"/>
                <w:u w:val="none"/>
                <w:lang w:val="en-US" w:eastAsia="zh-CN" w:bidi="ar"/>
              </w:rPr>
              <w:t>权重</w:t>
            </w:r>
          </w:p>
        </w:tc>
      </w:tr>
      <w:tr w14:paraId="7FFD18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75" w:hRule="atLeast"/>
          <w:jc w:val="center"/>
        </w:trPr>
        <w:tc>
          <w:tcPr>
            <w:tcW w:w="10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A7C123">
            <w:pPr>
              <w:keepNext w:val="0"/>
              <w:keepLines w:val="0"/>
              <w:pageBreakBefore w:val="0"/>
              <w:widowControl/>
              <w:kinsoku/>
              <w:wordWrap/>
              <w:overflowPunct/>
              <w:topLinePunct w:val="0"/>
              <w:autoSpaceDE/>
              <w:autoSpaceDN/>
              <w:bidi w:val="0"/>
              <w:adjustRightInd/>
              <w:snapToGrid/>
              <w:spacing w:afterAutospacing="0" w:line="560" w:lineRule="atLeast"/>
              <w:jc w:val="center"/>
              <w:outlineLvl w:val="9"/>
              <w:rPr>
                <w:rFonts w:hint="default" w:ascii="Times New Roman" w:hAnsi="Times New Roman" w:eastAsia="宋体" w:cs="Times New Roman"/>
                <w:i w:val="0"/>
                <w:color w:val="000000"/>
                <w:sz w:val="24"/>
                <w:szCs w:val="24"/>
                <w:u w:val="none"/>
              </w:rPr>
            </w:pPr>
          </w:p>
        </w:tc>
        <w:tc>
          <w:tcPr>
            <w:tcW w:w="1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F81AF0">
            <w:pPr>
              <w:keepNext w:val="0"/>
              <w:keepLines w:val="0"/>
              <w:pageBreakBefore w:val="0"/>
              <w:widowControl/>
              <w:kinsoku/>
              <w:wordWrap/>
              <w:overflowPunct/>
              <w:topLinePunct w:val="0"/>
              <w:autoSpaceDE/>
              <w:autoSpaceDN/>
              <w:bidi w:val="0"/>
              <w:adjustRightInd/>
              <w:snapToGrid/>
              <w:spacing w:afterAutospacing="0" w:line="560" w:lineRule="atLeast"/>
              <w:jc w:val="center"/>
              <w:outlineLvl w:val="9"/>
              <w:rPr>
                <w:rFonts w:hint="default" w:ascii="Times New Roman" w:hAnsi="Times New Roman" w:eastAsia="宋体" w:cs="Times New Roman"/>
                <w:i w:val="0"/>
                <w:color w:val="000000"/>
                <w:sz w:val="24"/>
                <w:szCs w:val="24"/>
                <w:u w:val="none"/>
              </w:rPr>
            </w:pPr>
          </w:p>
        </w:tc>
        <w:tc>
          <w:tcPr>
            <w:tcW w:w="127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37F46E">
            <w:pPr>
              <w:keepNext w:val="0"/>
              <w:keepLines w:val="0"/>
              <w:pageBreakBefore w:val="0"/>
              <w:widowControl/>
              <w:suppressLineNumbers w:val="0"/>
              <w:kinsoku/>
              <w:wordWrap/>
              <w:overflowPunct/>
              <w:topLinePunct w:val="0"/>
              <w:autoSpaceDE/>
              <w:autoSpaceDN/>
              <w:bidi w:val="0"/>
              <w:adjustRightInd/>
              <w:snapToGrid/>
              <w:spacing w:afterAutospacing="0" w:line="560" w:lineRule="atLeast"/>
              <w:jc w:val="center"/>
              <w:textAlignment w:val="center"/>
              <w:outlineLvl w:val="9"/>
              <w:rPr>
                <w:rFonts w:hint="eastAsia" w:ascii="Times New Roman" w:hAnsi="Times New Roman" w:eastAsia="宋体" w:cs="Times New Roman"/>
                <w:i w:val="0"/>
                <w:color w:val="000000"/>
                <w:sz w:val="24"/>
                <w:szCs w:val="24"/>
                <w:u w:val="none"/>
                <w:lang w:eastAsia="zh-CN"/>
              </w:rPr>
            </w:pPr>
            <w:r>
              <w:rPr>
                <w:rFonts w:hint="default" w:ascii="Times New Roman" w:hAnsi="Times New Roman" w:eastAsia="宋体" w:cs="Times New Roman"/>
                <w:i w:val="0"/>
                <w:color w:val="000000"/>
                <w:kern w:val="0"/>
                <w:sz w:val="24"/>
                <w:szCs w:val="24"/>
                <w:u w:val="none"/>
                <w:lang w:val="en-US" w:eastAsia="zh-CN" w:bidi="ar"/>
              </w:rPr>
              <w:t>产出指标</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D58D1">
            <w:pPr>
              <w:keepNext w:val="0"/>
              <w:keepLines w:val="0"/>
              <w:pageBreakBefore w:val="0"/>
              <w:widowControl/>
              <w:suppressLineNumbers w:val="0"/>
              <w:kinsoku/>
              <w:wordWrap/>
              <w:overflowPunct/>
              <w:topLinePunct w:val="0"/>
              <w:autoSpaceDE/>
              <w:autoSpaceDN/>
              <w:bidi w:val="0"/>
              <w:adjustRightInd/>
              <w:snapToGrid/>
              <w:spacing w:afterAutospacing="0" w:line="560" w:lineRule="atLeast"/>
              <w:jc w:val="center"/>
              <w:textAlignment w:val="center"/>
              <w:outlineLvl w:val="9"/>
              <w:rPr>
                <w:rFonts w:hint="default" w:ascii="Times New Roman" w:hAnsi="Times New Roman" w:eastAsia="宋体" w:cs="Times New Roman"/>
                <w:i w:val="0"/>
                <w:color w:val="000000"/>
                <w:sz w:val="24"/>
                <w:szCs w:val="24"/>
                <w:u w:val="none"/>
                <w:lang w:val="en-US" w:eastAsia="zh-CN"/>
              </w:rPr>
            </w:pPr>
            <w:r>
              <w:rPr>
                <w:rFonts w:hint="default" w:ascii="Times New Roman" w:hAnsi="Times New Roman" w:eastAsia="宋体" w:cs="Times New Roman"/>
                <w:i w:val="0"/>
                <w:color w:val="000000"/>
                <w:kern w:val="0"/>
                <w:sz w:val="24"/>
                <w:szCs w:val="24"/>
                <w:u w:val="none"/>
                <w:lang w:val="en-US" w:eastAsia="zh-CN" w:bidi="ar"/>
              </w:rPr>
              <w:t>数量指标</w:t>
            </w:r>
          </w:p>
        </w:tc>
        <w:tc>
          <w:tcPr>
            <w:tcW w:w="86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50D8A9">
            <w:pPr>
              <w:keepNext w:val="0"/>
              <w:keepLines w:val="0"/>
              <w:pageBreakBefore w:val="0"/>
              <w:widowControl/>
              <w:suppressLineNumbers w:val="0"/>
              <w:kinsoku/>
              <w:wordWrap/>
              <w:overflowPunct/>
              <w:topLinePunct w:val="0"/>
              <w:autoSpaceDE/>
              <w:autoSpaceDN/>
              <w:bidi w:val="0"/>
              <w:adjustRightInd/>
              <w:snapToGrid/>
              <w:spacing w:afterAutospacing="0" w:line="560" w:lineRule="atLeast"/>
              <w:jc w:val="center"/>
              <w:textAlignment w:val="center"/>
              <w:outlineLvl w:val="9"/>
              <w:rPr>
                <w:rFonts w:hint="default" w:ascii="Times New Roman" w:hAnsi="Times New Roman" w:eastAsia="宋体" w:cs="Times New Roman"/>
                <w:i w:val="0"/>
                <w:color w:val="000000"/>
                <w:sz w:val="24"/>
                <w:szCs w:val="24"/>
                <w:u w:val="none"/>
              </w:rPr>
            </w:pPr>
            <w:r>
              <w:rPr>
                <w:rFonts w:hint="eastAsia" w:eastAsia="宋体" w:cs="Times New Roman"/>
                <w:i w:val="0"/>
                <w:color w:val="000000"/>
                <w:sz w:val="24"/>
                <w:szCs w:val="24"/>
                <w:u w:val="none"/>
                <w:lang w:eastAsia="zh-CN"/>
              </w:rPr>
              <w:t>单位项目数</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61AD2">
            <w:pPr>
              <w:keepNext w:val="0"/>
              <w:keepLines w:val="0"/>
              <w:pageBreakBefore w:val="0"/>
              <w:widowControl/>
              <w:suppressLineNumbers w:val="0"/>
              <w:kinsoku/>
              <w:wordWrap/>
              <w:overflowPunct/>
              <w:topLinePunct w:val="0"/>
              <w:autoSpaceDE/>
              <w:autoSpaceDN/>
              <w:bidi w:val="0"/>
              <w:adjustRightInd/>
              <w:snapToGrid/>
              <w:spacing w:afterAutospacing="0" w:line="560" w:lineRule="atLeast"/>
              <w:jc w:val="center"/>
              <w:textAlignment w:val="center"/>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eastAsia="zh-CN"/>
              </w:rPr>
              <w:t>≥</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4CEFDA">
            <w:pPr>
              <w:keepNext w:val="0"/>
              <w:keepLines w:val="0"/>
              <w:pageBreakBefore w:val="0"/>
              <w:widowControl/>
              <w:suppressLineNumbers w:val="0"/>
              <w:kinsoku/>
              <w:wordWrap/>
              <w:overflowPunct/>
              <w:topLinePunct w:val="0"/>
              <w:autoSpaceDE/>
              <w:autoSpaceDN/>
              <w:bidi w:val="0"/>
              <w:adjustRightInd/>
              <w:snapToGrid/>
              <w:spacing w:afterAutospacing="0" w:line="560" w:lineRule="atLeast"/>
              <w:jc w:val="center"/>
              <w:textAlignment w:val="center"/>
              <w:outlineLvl w:val="9"/>
              <w:rPr>
                <w:rFonts w:hint="default" w:ascii="Times New Roman" w:hAnsi="Times New Roman" w:eastAsia="宋体" w:cs="Times New Roman"/>
                <w:i w:val="0"/>
                <w:color w:val="000000"/>
                <w:sz w:val="24"/>
                <w:szCs w:val="24"/>
                <w:u w:val="none"/>
              </w:rPr>
            </w:pPr>
            <w:r>
              <w:rPr>
                <w:rFonts w:hint="eastAsia" w:eastAsia="宋体" w:cs="Times New Roman"/>
                <w:i w:val="0"/>
                <w:color w:val="000000"/>
                <w:kern w:val="0"/>
                <w:sz w:val="24"/>
                <w:szCs w:val="24"/>
                <w:u w:val="none"/>
                <w:lang w:val="en-US" w:eastAsia="zh-CN" w:bidi="ar"/>
              </w:rPr>
              <w:t>8</w:t>
            </w: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8B079E">
            <w:pPr>
              <w:keepNext w:val="0"/>
              <w:keepLines w:val="0"/>
              <w:pageBreakBefore w:val="0"/>
              <w:widowControl/>
              <w:suppressLineNumbers w:val="0"/>
              <w:kinsoku/>
              <w:wordWrap/>
              <w:overflowPunct/>
              <w:topLinePunct w:val="0"/>
              <w:autoSpaceDE/>
              <w:autoSpaceDN/>
              <w:bidi w:val="0"/>
              <w:adjustRightInd/>
              <w:snapToGrid/>
              <w:spacing w:afterAutospacing="0" w:line="560" w:lineRule="atLeast"/>
              <w:jc w:val="center"/>
              <w:textAlignment w:val="center"/>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eastAsia="zh-CN"/>
              </w:rPr>
              <w:t>项</w:t>
            </w:r>
          </w:p>
        </w:tc>
        <w:tc>
          <w:tcPr>
            <w:tcW w:w="1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43D9E1">
            <w:pPr>
              <w:keepNext w:val="0"/>
              <w:keepLines w:val="0"/>
              <w:pageBreakBefore w:val="0"/>
              <w:widowControl/>
              <w:suppressLineNumbers w:val="0"/>
              <w:kinsoku/>
              <w:wordWrap/>
              <w:overflowPunct/>
              <w:topLinePunct w:val="0"/>
              <w:autoSpaceDE/>
              <w:autoSpaceDN/>
              <w:bidi w:val="0"/>
              <w:adjustRightInd/>
              <w:snapToGrid/>
              <w:spacing w:afterAutospacing="0" w:line="560" w:lineRule="atLeast"/>
              <w:jc w:val="center"/>
              <w:textAlignment w:val="center"/>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15%</w:t>
            </w:r>
          </w:p>
        </w:tc>
      </w:tr>
      <w:tr w14:paraId="707FDF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265" w:hRule="atLeast"/>
          <w:jc w:val="center"/>
        </w:trPr>
        <w:tc>
          <w:tcPr>
            <w:tcW w:w="10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53C0BB">
            <w:pPr>
              <w:keepNext w:val="0"/>
              <w:keepLines w:val="0"/>
              <w:pageBreakBefore w:val="0"/>
              <w:widowControl/>
              <w:kinsoku/>
              <w:wordWrap/>
              <w:overflowPunct/>
              <w:topLinePunct w:val="0"/>
              <w:autoSpaceDE/>
              <w:autoSpaceDN/>
              <w:bidi w:val="0"/>
              <w:adjustRightInd/>
              <w:snapToGrid/>
              <w:spacing w:afterAutospacing="0" w:line="560" w:lineRule="atLeast"/>
              <w:jc w:val="center"/>
              <w:outlineLvl w:val="9"/>
              <w:rPr>
                <w:rFonts w:hint="default" w:ascii="Times New Roman" w:hAnsi="Times New Roman" w:eastAsia="宋体" w:cs="Times New Roman"/>
                <w:i w:val="0"/>
                <w:color w:val="000000"/>
                <w:sz w:val="24"/>
                <w:szCs w:val="24"/>
                <w:u w:val="none"/>
              </w:rPr>
            </w:pPr>
          </w:p>
        </w:tc>
        <w:tc>
          <w:tcPr>
            <w:tcW w:w="1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15B2B1">
            <w:pPr>
              <w:keepNext w:val="0"/>
              <w:keepLines w:val="0"/>
              <w:pageBreakBefore w:val="0"/>
              <w:widowControl/>
              <w:kinsoku/>
              <w:wordWrap/>
              <w:overflowPunct/>
              <w:topLinePunct w:val="0"/>
              <w:autoSpaceDE/>
              <w:autoSpaceDN/>
              <w:bidi w:val="0"/>
              <w:adjustRightInd/>
              <w:snapToGrid/>
              <w:spacing w:afterAutospacing="0" w:line="560" w:lineRule="atLeast"/>
              <w:jc w:val="center"/>
              <w:outlineLvl w:val="9"/>
              <w:rPr>
                <w:rFonts w:hint="default" w:ascii="Times New Roman" w:hAnsi="Times New Roman" w:eastAsia="宋体" w:cs="Times New Roman"/>
                <w:i w:val="0"/>
                <w:color w:val="000000"/>
                <w:sz w:val="24"/>
                <w:szCs w:val="24"/>
                <w:u w:val="none"/>
              </w:rPr>
            </w:pPr>
          </w:p>
        </w:tc>
        <w:tc>
          <w:tcPr>
            <w:tcW w:w="127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A48038">
            <w:pPr>
              <w:keepNext w:val="0"/>
              <w:keepLines w:val="0"/>
              <w:pageBreakBefore w:val="0"/>
              <w:widowControl/>
              <w:kinsoku/>
              <w:wordWrap/>
              <w:overflowPunct/>
              <w:topLinePunct w:val="0"/>
              <w:autoSpaceDE/>
              <w:autoSpaceDN/>
              <w:bidi w:val="0"/>
              <w:adjustRightInd/>
              <w:snapToGrid/>
              <w:spacing w:afterAutospacing="0" w:line="560" w:lineRule="atLeast"/>
              <w:jc w:val="center"/>
              <w:outlineLvl w:val="9"/>
              <w:rPr>
                <w:rFonts w:hint="default" w:ascii="Times New Roman" w:hAnsi="Times New Roman" w:eastAsia="宋体" w:cs="Times New Roman"/>
                <w:i w:val="0"/>
                <w:color w:val="000000"/>
                <w:sz w:val="24"/>
                <w:szCs w:val="24"/>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8938D">
            <w:pPr>
              <w:keepNext w:val="0"/>
              <w:keepLines w:val="0"/>
              <w:pageBreakBefore w:val="0"/>
              <w:widowControl/>
              <w:suppressLineNumbers w:val="0"/>
              <w:kinsoku/>
              <w:wordWrap/>
              <w:overflowPunct/>
              <w:topLinePunct w:val="0"/>
              <w:autoSpaceDE/>
              <w:autoSpaceDN/>
              <w:bidi w:val="0"/>
              <w:adjustRightInd/>
              <w:snapToGrid/>
              <w:spacing w:afterAutospacing="0" w:line="560" w:lineRule="atLeast"/>
              <w:jc w:val="center"/>
              <w:textAlignment w:val="center"/>
              <w:outlineLvl w:val="9"/>
              <w:rPr>
                <w:rFonts w:hint="eastAsia" w:ascii="Times New Roman" w:hAnsi="Times New Roman" w:eastAsia="宋体" w:cs="Times New Roman"/>
                <w:i w:val="0"/>
                <w:color w:val="000000"/>
                <w:sz w:val="24"/>
                <w:szCs w:val="24"/>
                <w:u w:val="none"/>
                <w:lang w:eastAsia="zh-CN"/>
              </w:rPr>
            </w:pPr>
            <w:r>
              <w:rPr>
                <w:rFonts w:hint="default" w:ascii="Times New Roman" w:hAnsi="Times New Roman" w:eastAsia="宋体" w:cs="Times New Roman"/>
                <w:i w:val="0"/>
                <w:color w:val="000000"/>
                <w:kern w:val="0"/>
                <w:sz w:val="24"/>
                <w:szCs w:val="24"/>
                <w:u w:val="none"/>
                <w:lang w:val="en-US" w:eastAsia="zh-CN" w:bidi="ar"/>
              </w:rPr>
              <w:t>质量指标</w:t>
            </w:r>
          </w:p>
        </w:tc>
        <w:tc>
          <w:tcPr>
            <w:tcW w:w="86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E6037C">
            <w:pPr>
              <w:keepNext w:val="0"/>
              <w:keepLines w:val="0"/>
              <w:pageBreakBefore w:val="0"/>
              <w:widowControl/>
              <w:kinsoku/>
              <w:wordWrap/>
              <w:overflowPunct/>
              <w:topLinePunct w:val="0"/>
              <w:autoSpaceDE/>
              <w:autoSpaceDN/>
              <w:bidi w:val="0"/>
              <w:adjustRightInd/>
              <w:snapToGrid/>
              <w:spacing w:afterAutospacing="0" w:line="560" w:lineRule="atLeast"/>
              <w:jc w:val="center"/>
              <w:outlineLvl w:val="9"/>
              <w:rPr>
                <w:rFonts w:hint="eastAsia" w:ascii="Times New Roman" w:hAnsi="Times New Roman" w:eastAsia="宋体" w:cs="Times New Roman"/>
                <w:i w:val="0"/>
                <w:color w:val="000000"/>
                <w:sz w:val="24"/>
                <w:szCs w:val="24"/>
                <w:u w:val="none"/>
                <w:lang w:eastAsia="zh-CN"/>
              </w:rPr>
            </w:pPr>
            <w:r>
              <w:rPr>
                <w:rFonts w:hint="eastAsia" w:eastAsia="宋体" w:cs="Times New Roman"/>
                <w:i w:val="0"/>
                <w:color w:val="000000"/>
                <w:sz w:val="24"/>
                <w:szCs w:val="24"/>
                <w:u w:val="none"/>
                <w:lang w:val="en-US" w:eastAsia="zh-CN"/>
              </w:rPr>
              <w:t>安全生产2025年歌舞团文艺演出等相关工作</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D8A93">
            <w:pPr>
              <w:keepNext w:val="0"/>
              <w:keepLines w:val="0"/>
              <w:pageBreakBefore w:val="0"/>
              <w:widowControl/>
              <w:kinsoku/>
              <w:wordWrap/>
              <w:overflowPunct/>
              <w:topLinePunct w:val="0"/>
              <w:autoSpaceDE/>
              <w:autoSpaceDN/>
              <w:bidi w:val="0"/>
              <w:adjustRightInd/>
              <w:snapToGrid/>
              <w:spacing w:afterAutospacing="0" w:line="560" w:lineRule="atLeast"/>
              <w:jc w:val="center"/>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eastAsia="zh-CN"/>
              </w:rPr>
              <w:t>≥</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E3357">
            <w:pPr>
              <w:keepNext w:val="0"/>
              <w:keepLines w:val="0"/>
              <w:pageBreakBefore w:val="0"/>
              <w:widowControl/>
              <w:kinsoku/>
              <w:wordWrap/>
              <w:overflowPunct/>
              <w:topLinePunct w:val="0"/>
              <w:autoSpaceDE/>
              <w:autoSpaceDN/>
              <w:bidi w:val="0"/>
              <w:adjustRightInd/>
              <w:snapToGrid/>
              <w:spacing w:afterAutospacing="0" w:line="560" w:lineRule="atLeast"/>
              <w:jc w:val="center"/>
              <w:outlineLvl w:val="9"/>
              <w:rPr>
                <w:rFonts w:hint="default" w:ascii="Times New Roman" w:hAnsi="Times New Roman" w:eastAsia="宋体" w:cs="Times New Roman"/>
                <w:i w:val="0"/>
                <w:color w:val="000000"/>
                <w:sz w:val="24"/>
                <w:szCs w:val="24"/>
                <w:u w:val="none"/>
              </w:rPr>
            </w:pPr>
            <w:r>
              <w:rPr>
                <w:rFonts w:hint="eastAsia" w:eastAsia="宋体" w:cs="Times New Roman"/>
                <w:i w:val="0"/>
                <w:color w:val="000000"/>
                <w:sz w:val="24"/>
                <w:szCs w:val="24"/>
                <w:u w:val="none"/>
                <w:lang w:val="en-US" w:eastAsia="zh-CN"/>
              </w:rPr>
              <w:t>100</w:t>
            </w: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3BECE1">
            <w:pPr>
              <w:keepNext w:val="0"/>
              <w:keepLines w:val="0"/>
              <w:pageBreakBefore w:val="0"/>
              <w:widowControl/>
              <w:kinsoku/>
              <w:wordWrap/>
              <w:overflowPunct/>
              <w:topLinePunct w:val="0"/>
              <w:autoSpaceDE/>
              <w:autoSpaceDN/>
              <w:bidi w:val="0"/>
              <w:adjustRightInd/>
              <w:snapToGrid/>
              <w:spacing w:afterAutospacing="0" w:line="560" w:lineRule="atLeast"/>
              <w:jc w:val="center"/>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w:t>
            </w:r>
          </w:p>
        </w:tc>
        <w:tc>
          <w:tcPr>
            <w:tcW w:w="1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E8CFB6">
            <w:pPr>
              <w:keepNext w:val="0"/>
              <w:keepLines w:val="0"/>
              <w:pageBreakBefore w:val="0"/>
              <w:widowControl/>
              <w:kinsoku/>
              <w:wordWrap/>
              <w:overflowPunct/>
              <w:topLinePunct w:val="0"/>
              <w:autoSpaceDE/>
              <w:autoSpaceDN/>
              <w:bidi w:val="0"/>
              <w:adjustRightInd/>
              <w:snapToGrid/>
              <w:spacing w:afterAutospacing="0" w:line="560" w:lineRule="atLeast"/>
              <w:jc w:val="center"/>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15%</w:t>
            </w:r>
          </w:p>
        </w:tc>
      </w:tr>
      <w:tr w14:paraId="542DD1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535" w:hRule="atLeast"/>
          <w:jc w:val="center"/>
        </w:trPr>
        <w:tc>
          <w:tcPr>
            <w:tcW w:w="10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E38BA7">
            <w:pPr>
              <w:keepNext w:val="0"/>
              <w:keepLines w:val="0"/>
              <w:pageBreakBefore w:val="0"/>
              <w:widowControl/>
              <w:kinsoku/>
              <w:wordWrap/>
              <w:overflowPunct/>
              <w:topLinePunct w:val="0"/>
              <w:autoSpaceDE/>
              <w:autoSpaceDN/>
              <w:bidi w:val="0"/>
              <w:adjustRightInd/>
              <w:snapToGrid/>
              <w:spacing w:afterAutospacing="0" w:line="560" w:lineRule="atLeast"/>
              <w:jc w:val="center"/>
              <w:outlineLvl w:val="9"/>
              <w:rPr>
                <w:rFonts w:hint="default" w:ascii="Times New Roman" w:hAnsi="Times New Roman" w:eastAsia="宋体" w:cs="Times New Roman"/>
                <w:i w:val="0"/>
                <w:color w:val="000000"/>
                <w:sz w:val="24"/>
                <w:szCs w:val="24"/>
                <w:u w:val="none"/>
              </w:rPr>
            </w:pPr>
          </w:p>
        </w:tc>
        <w:tc>
          <w:tcPr>
            <w:tcW w:w="1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9AE2EE">
            <w:pPr>
              <w:keepNext w:val="0"/>
              <w:keepLines w:val="0"/>
              <w:pageBreakBefore w:val="0"/>
              <w:widowControl/>
              <w:kinsoku/>
              <w:wordWrap/>
              <w:overflowPunct/>
              <w:topLinePunct w:val="0"/>
              <w:autoSpaceDE/>
              <w:autoSpaceDN/>
              <w:bidi w:val="0"/>
              <w:adjustRightInd/>
              <w:snapToGrid/>
              <w:spacing w:afterAutospacing="0" w:line="560" w:lineRule="atLeast"/>
              <w:jc w:val="center"/>
              <w:outlineLvl w:val="9"/>
              <w:rPr>
                <w:rFonts w:hint="default" w:ascii="Times New Roman" w:hAnsi="Times New Roman" w:eastAsia="宋体" w:cs="Times New Roman"/>
                <w:i w:val="0"/>
                <w:color w:val="000000"/>
                <w:sz w:val="24"/>
                <w:szCs w:val="24"/>
                <w:u w:val="none"/>
              </w:rPr>
            </w:pPr>
          </w:p>
        </w:tc>
        <w:tc>
          <w:tcPr>
            <w:tcW w:w="1273" w:type="dxa"/>
            <w:gridSpan w:val="2"/>
            <w:vMerge w:val="continue"/>
            <w:tcBorders>
              <w:top w:val="single" w:color="000000" w:sz="4" w:space="0"/>
              <w:left w:val="single" w:color="000000" w:sz="4" w:space="0"/>
              <w:right w:val="single" w:color="000000" w:sz="4" w:space="0"/>
            </w:tcBorders>
            <w:shd w:val="clear" w:color="auto" w:fill="auto"/>
            <w:vAlign w:val="center"/>
          </w:tcPr>
          <w:p w14:paraId="2AA36C80">
            <w:pPr>
              <w:keepNext w:val="0"/>
              <w:keepLines w:val="0"/>
              <w:pageBreakBefore w:val="0"/>
              <w:widowControl/>
              <w:kinsoku/>
              <w:wordWrap/>
              <w:overflowPunct/>
              <w:topLinePunct w:val="0"/>
              <w:autoSpaceDE/>
              <w:autoSpaceDN/>
              <w:bidi w:val="0"/>
              <w:adjustRightInd/>
              <w:snapToGrid/>
              <w:spacing w:afterAutospacing="0" w:line="560" w:lineRule="atLeast"/>
              <w:jc w:val="center"/>
              <w:outlineLvl w:val="9"/>
              <w:rPr>
                <w:rFonts w:hint="default" w:ascii="Times New Roman" w:hAnsi="Times New Roman" w:eastAsia="宋体" w:cs="Times New Roman"/>
                <w:i w:val="0"/>
                <w:color w:val="000000"/>
                <w:sz w:val="24"/>
                <w:szCs w:val="24"/>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AE0D5">
            <w:pPr>
              <w:keepNext w:val="0"/>
              <w:keepLines w:val="0"/>
              <w:pageBreakBefore w:val="0"/>
              <w:widowControl/>
              <w:suppressLineNumbers w:val="0"/>
              <w:kinsoku/>
              <w:wordWrap/>
              <w:overflowPunct/>
              <w:topLinePunct w:val="0"/>
              <w:autoSpaceDE/>
              <w:autoSpaceDN/>
              <w:bidi w:val="0"/>
              <w:adjustRightInd/>
              <w:snapToGrid/>
              <w:spacing w:afterAutospacing="0" w:line="560" w:lineRule="atLeast"/>
              <w:jc w:val="center"/>
              <w:textAlignment w:val="center"/>
              <w:outlineLvl w:val="9"/>
              <w:rPr>
                <w:rFonts w:hint="eastAsia" w:ascii="Times New Roman" w:hAnsi="Times New Roman" w:eastAsia="宋体" w:cs="Times New Roman"/>
                <w:i w:val="0"/>
                <w:color w:val="000000"/>
                <w:sz w:val="24"/>
                <w:szCs w:val="24"/>
                <w:u w:val="none"/>
                <w:lang w:eastAsia="zh-CN"/>
              </w:rPr>
            </w:pPr>
            <w:r>
              <w:rPr>
                <w:rFonts w:hint="default" w:ascii="Times New Roman" w:hAnsi="Times New Roman" w:eastAsia="宋体" w:cs="Times New Roman"/>
                <w:i w:val="0"/>
                <w:color w:val="000000"/>
                <w:kern w:val="0"/>
                <w:sz w:val="24"/>
                <w:szCs w:val="24"/>
                <w:u w:val="none"/>
                <w:lang w:val="en-US" w:eastAsia="zh-CN" w:bidi="ar"/>
              </w:rPr>
              <w:t>时效指标</w:t>
            </w:r>
          </w:p>
        </w:tc>
        <w:tc>
          <w:tcPr>
            <w:tcW w:w="86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927041">
            <w:pPr>
              <w:keepNext w:val="0"/>
              <w:keepLines w:val="0"/>
              <w:pageBreakBefore w:val="0"/>
              <w:widowControl/>
              <w:kinsoku/>
              <w:wordWrap/>
              <w:overflowPunct/>
              <w:topLinePunct w:val="0"/>
              <w:autoSpaceDE/>
              <w:autoSpaceDN/>
              <w:bidi w:val="0"/>
              <w:adjustRightInd/>
              <w:snapToGrid/>
              <w:spacing w:afterAutospacing="0" w:line="560" w:lineRule="atLeast"/>
              <w:jc w:val="center"/>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eastAsia="zh-CN"/>
              </w:rPr>
              <w:t>及时完成</w:t>
            </w:r>
            <w:r>
              <w:rPr>
                <w:rFonts w:hint="eastAsia" w:eastAsia="宋体" w:cs="Times New Roman"/>
                <w:i w:val="0"/>
                <w:color w:val="000000"/>
                <w:sz w:val="24"/>
                <w:szCs w:val="24"/>
                <w:u w:val="none"/>
                <w:lang w:val="en-US" w:eastAsia="zh-CN"/>
              </w:rPr>
              <w:t>2025年</w:t>
            </w:r>
            <w:r>
              <w:rPr>
                <w:rFonts w:hint="eastAsia" w:eastAsia="宋体" w:cs="Times New Roman"/>
                <w:i w:val="0"/>
                <w:color w:val="000000"/>
                <w:sz w:val="24"/>
                <w:szCs w:val="24"/>
                <w:u w:val="none"/>
                <w:lang w:eastAsia="zh-CN"/>
              </w:rPr>
              <w:t>文艺演出及文艺作品创作</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8A3522">
            <w:pPr>
              <w:keepNext w:val="0"/>
              <w:keepLines w:val="0"/>
              <w:pageBreakBefore w:val="0"/>
              <w:widowControl/>
              <w:kinsoku/>
              <w:wordWrap/>
              <w:overflowPunct/>
              <w:topLinePunct w:val="0"/>
              <w:autoSpaceDE/>
              <w:autoSpaceDN/>
              <w:bidi w:val="0"/>
              <w:adjustRightInd/>
              <w:snapToGrid/>
              <w:spacing w:afterAutospacing="0" w:line="560" w:lineRule="atLeast"/>
              <w:jc w:val="center"/>
              <w:outlineLvl w:val="9"/>
              <w:rPr>
                <w:rFonts w:hint="default" w:ascii="Times New Roman" w:hAnsi="Times New Roman" w:eastAsia="宋体" w:cs="Times New Roman"/>
                <w:i w:val="0"/>
                <w:color w:val="000000"/>
                <w:sz w:val="24"/>
                <w:szCs w:val="24"/>
                <w:u w:val="none"/>
                <w:lang w:val="en-US"/>
              </w:rPr>
            </w:pPr>
            <w:r>
              <w:rPr>
                <w:rFonts w:hint="eastAsia" w:eastAsia="宋体" w:cs="Times New Roman"/>
                <w:i w:val="0"/>
                <w:color w:val="000000"/>
                <w:sz w:val="24"/>
                <w:szCs w:val="24"/>
                <w:u w:val="none"/>
                <w:lang w:eastAsia="zh-CN"/>
              </w:rPr>
              <w:t>≥</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4A183">
            <w:pPr>
              <w:keepNext w:val="0"/>
              <w:keepLines w:val="0"/>
              <w:pageBreakBefore w:val="0"/>
              <w:widowControl/>
              <w:kinsoku/>
              <w:wordWrap/>
              <w:overflowPunct/>
              <w:topLinePunct w:val="0"/>
              <w:autoSpaceDE/>
              <w:autoSpaceDN/>
              <w:bidi w:val="0"/>
              <w:adjustRightInd/>
              <w:snapToGrid/>
              <w:spacing w:afterAutospacing="0" w:line="560" w:lineRule="atLeast"/>
              <w:jc w:val="center"/>
              <w:outlineLvl w:val="9"/>
              <w:rPr>
                <w:rFonts w:hint="eastAsia"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90</w:t>
            </w: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36540">
            <w:pPr>
              <w:keepNext w:val="0"/>
              <w:keepLines w:val="0"/>
              <w:pageBreakBefore w:val="0"/>
              <w:widowControl/>
              <w:kinsoku/>
              <w:wordWrap/>
              <w:overflowPunct/>
              <w:topLinePunct w:val="0"/>
              <w:autoSpaceDE/>
              <w:autoSpaceDN/>
              <w:bidi w:val="0"/>
              <w:adjustRightInd/>
              <w:snapToGrid/>
              <w:spacing w:afterAutospacing="0" w:line="560" w:lineRule="atLeast"/>
              <w:jc w:val="center"/>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w:t>
            </w:r>
          </w:p>
        </w:tc>
        <w:tc>
          <w:tcPr>
            <w:tcW w:w="1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308A63">
            <w:pPr>
              <w:keepNext w:val="0"/>
              <w:keepLines w:val="0"/>
              <w:pageBreakBefore w:val="0"/>
              <w:widowControl/>
              <w:kinsoku/>
              <w:wordWrap/>
              <w:overflowPunct/>
              <w:topLinePunct w:val="0"/>
              <w:autoSpaceDE/>
              <w:autoSpaceDN/>
              <w:bidi w:val="0"/>
              <w:adjustRightInd/>
              <w:snapToGrid/>
              <w:spacing w:afterAutospacing="0" w:line="560" w:lineRule="atLeast"/>
              <w:jc w:val="center"/>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10%</w:t>
            </w:r>
          </w:p>
        </w:tc>
      </w:tr>
      <w:tr w14:paraId="1B1B48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20" w:hRule="atLeast"/>
          <w:jc w:val="center"/>
        </w:trPr>
        <w:tc>
          <w:tcPr>
            <w:tcW w:w="10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A9983A">
            <w:pPr>
              <w:keepNext w:val="0"/>
              <w:keepLines w:val="0"/>
              <w:pageBreakBefore w:val="0"/>
              <w:widowControl/>
              <w:kinsoku/>
              <w:wordWrap/>
              <w:overflowPunct/>
              <w:topLinePunct w:val="0"/>
              <w:autoSpaceDE/>
              <w:autoSpaceDN/>
              <w:bidi w:val="0"/>
              <w:adjustRightInd/>
              <w:snapToGrid/>
              <w:spacing w:afterAutospacing="0" w:line="560" w:lineRule="atLeast"/>
              <w:jc w:val="center"/>
              <w:outlineLvl w:val="9"/>
              <w:rPr>
                <w:rFonts w:hint="default" w:ascii="Times New Roman" w:hAnsi="Times New Roman" w:eastAsia="宋体" w:cs="Times New Roman"/>
                <w:i w:val="0"/>
                <w:color w:val="000000"/>
                <w:sz w:val="24"/>
                <w:szCs w:val="24"/>
                <w:u w:val="none"/>
              </w:rPr>
            </w:pPr>
          </w:p>
        </w:tc>
        <w:tc>
          <w:tcPr>
            <w:tcW w:w="1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FCDCD5">
            <w:pPr>
              <w:keepNext w:val="0"/>
              <w:keepLines w:val="0"/>
              <w:pageBreakBefore w:val="0"/>
              <w:widowControl/>
              <w:kinsoku/>
              <w:wordWrap/>
              <w:overflowPunct/>
              <w:topLinePunct w:val="0"/>
              <w:autoSpaceDE/>
              <w:autoSpaceDN/>
              <w:bidi w:val="0"/>
              <w:adjustRightInd/>
              <w:snapToGrid/>
              <w:spacing w:afterAutospacing="0" w:line="560" w:lineRule="atLeast"/>
              <w:jc w:val="center"/>
              <w:outlineLvl w:val="9"/>
              <w:rPr>
                <w:rFonts w:hint="default" w:ascii="Times New Roman" w:hAnsi="Times New Roman" w:eastAsia="宋体" w:cs="Times New Roman"/>
                <w:i w:val="0"/>
                <w:color w:val="000000"/>
                <w:sz w:val="24"/>
                <w:szCs w:val="24"/>
                <w:u w:val="none"/>
              </w:rPr>
            </w:pPr>
          </w:p>
        </w:tc>
        <w:tc>
          <w:tcPr>
            <w:tcW w:w="127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36EE01">
            <w:pPr>
              <w:keepNext w:val="0"/>
              <w:keepLines w:val="0"/>
              <w:pageBreakBefore w:val="0"/>
              <w:widowControl/>
              <w:suppressLineNumbers w:val="0"/>
              <w:kinsoku/>
              <w:wordWrap/>
              <w:overflowPunct/>
              <w:topLinePunct w:val="0"/>
              <w:autoSpaceDE/>
              <w:autoSpaceDN/>
              <w:bidi w:val="0"/>
              <w:adjustRightInd/>
              <w:snapToGrid/>
              <w:spacing w:afterAutospacing="0" w:line="560" w:lineRule="atLeast"/>
              <w:jc w:val="center"/>
              <w:textAlignment w:val="center"/>
              <w:outlineLvl w:val="9"/>
              <w:rPr>
                <w:rFonts w:hint="eastAsia" w:ascii="Times New Roman" w:hAnsi="Times New Roman" w:eastAsia="宋体" w:cs="Times New Roman"/>
                <w:i w:val="0"/>
                <w:color w:val="000000"/>
                <w:sz w:val="24"/>
                <w:szCs w:val="24"/>
                <w:u w:val="none"/>
                <w:lang w:val="en-US" w:eastAsia="zh-CN"/>
              </w:rPr>
            </w:pPr>
            <w:r>
              <w:rPr>
                <w:rFonts w:hint="default" w:ascii="Times New Roman" w:hAnsi="Times New Roman" w:eastAsia="宋体" w:cs="Times New Roman"/>
                <w:i w:val="0"/>
                <w:color w:val="000000"/>
                <w:kern w:val="0"/>
                <w:sz w:val="24"/>
                <w:szCs w:val="24"/>
                <w:u w:val="none"/>
                <w:lang w:val="en-US" w:eastAsia="zh-CN" w:bidi="ar"/>
              </w:rPr>
              <w:t>效益指标</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DAC22">
            <w:pPr>
              <w:keepNext w:val="0"/>
              <w:keepLines w:val="0"/>
              <w:pageBreakBefore w:val="0"/>
              <w:widowControl/>
              <w:suppressLineNumbers w:val="0"/>
              <w:kinsoku/>
              <w:wordWrap/>
              <w:overflowPunct/>
              <w:topLinePunct w:val="0"/>
              <w:autoSpaceDE/>
              <w:autoSpaceDN/>
              <w:bidi w:val="0"/>
              <w:adjustRightInd/>
              <w:snapToGrid/>
              <w:spacing w:afterAutospacing="0" w:line="560" w:lineRule="atLeast"/>
              <w:jc w:val="center"/>
              <w:textAlignment w:val="center"/>
              <w:outlineLvl w:val="9"/>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社会效益</w:t>
            </w:r>
          </w:p>
          <w:p w14:paraId="79F8DFCE">
            <w:pPr>
              <w:keepNext w:val="0"/>
              <w:keepLines w:val="0"/>
              <w:pageBreakBefore w:val="0"/>
              <w:widowControl/>
              <w:suppressLineNumbers w:val="0"/>
              <w:kinsoku/>
              <w:wordWrap/>
              <w:overflowPunct/>
              <w:topLinePunct w:val="0"/>
              <w:autoSpaceDE/>
              <w:autoSpaceDN/>
              <w:bidi w:val="0"/>
              <w:adjustRightInd/>
              <w:snapToGrid/>
              <w:spacing w:afterAutospacing="0" w:line="560" w:lineRule="atLeast"/>
              <w:jc w:val="center"/>
              <w:textAlignment w:val="center"/>
              <w:outlineLvl w:val="9"/>
              <w:rPr>
                <w:rFonts w:hint="eastAsia" w:ascii="Times New Roman" w:hAnsi="Times New Roman" w:eastAsia="宋体" w:cs="Times New Roman"/>
                <w:i w:val="0"/>
                <w:color w:val="000000"/>
                <w:sz w:val="24"/>
                <w:szCs w:val="24"/>
                <w:u w:val="none"/>
                <w:lang w:eastAsia="zh-CN"/>
              </w:rPr>
            </w:pPr>
            <w:r>
              <w:rPr>
                <w:rFonts w:hint="default" w:ascii="Times New Roman" w:hAnsi="Times New Roman" w:eastAsia="宋体" w:cs="Times New Roman"/>
                <w:i w:val="0"/>
                <w:color w:val="000000"/>
                <w:kern w:val="0"/>
                <w:sz w:val="24"/>
                <w:szCs w:val="24"/>
                <w:u w:val="none"/>
                <w:lang w:val="en-US" w:eastAsia="zh-CN" w:bidi="ar"/>
              </w:rPr>
              <w:t>指标</w:t>
            </w:r>
          </w:p>
        </w:tc>
        <w:tc>
          <w:tcPr>
            <w:tcW w:w="86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D6B325">
            <w:pPr>
              <w:keepNext w:val="0"/>
              <w:keepLines w:val="0"/>
              <w:pageBreakBefore w:val="0"/>
              <w:widowControl/>
              <w:kinsoku/>
              <w:wordWrap/>
              <w:overflowPunct/>
              <w:topLinePunct w:val="0"/>
              <w:autoSpaceDE/>
              <w:autoSpaceDN/>
              <w:bidi w:val="0"/>
              <w:adjustRightInd/>
              <w:snapToGrid/>
              <w:spacing w:afterAutospacing="0" w:line="560" w:lineRule="atLeast"/>
              <w:jc w:val="center"/>
              <w:outlineLvl w:val="9"/>
              <w:rPr>
                <w:rFonts w:hint="eastAsia" w:ascii="Times New Roman" w:hAnsi="Times New Roman" w:eastAsia="宋体" w:cs="Times New Roman"/>
                <w:i w:val="0"/>
                <w:color w:val="000000"/>
                <w:sz w:val="24"/>
                <w:szCs w:val="24"/>
                <w:u w:val="none"/>
                <w:lang w:eastAsia="zh-CN"/>
              </w:rPr>
            </w:pPr>
            <w:r>
              <w:rPr>
                <w:rFonts w:hint="eastAsia" w:eastAsia="宋体" w:cs="Times New Roman"/>
                <w:i w:val="0"/>
                <w:color w:val="000000"/>
                <w:sz w:val="24"/>
                <w:szCs w:val="24"/>
                <w:u w:val="none"/>
                <w:lang w:eastAsia="zh-CN"/>
              </w:rPr>
              <w:t>丰富广大群众文化生活增加幸福感</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C518E">
            <w:pPr>
              <w:keepNext w:val="0"/>
              <w:keepLines w:val="0"/>
              <w:pageBreakBefore w:val="0"/>
              <w:widowControl/>
              <w:kinsoku/>
              <w:wordWrap/>
              <w:overflowPunct/>
              <w:topLinePunct w:val="0"/>
              <w:autoSpaceDE/>
              <w:autoSpaceDN/>
              <w:bidi w:val="0"/>
              <w:adjustRightInd/>
              <w:snapToGrid/>
              <w:spacing w:afterAutospacing="0" w:line="560" w:lineRule="atLeast"/>
              <w:jc w:val="center"/>
              <w:outlineLvl w:val="9"/>
              <w:rPr>
                <w:rFonts w:hint="eastAsia" w:ascii="Times New Roman" w:hAnsi="Times New Roman" w:eastAsia="宋体" w:cs="Times New Roman"/>
                <w:i w:val="0"/>
                <w:color w:val="000000"/>
                <w:sz w:val="24"/>
                <w:szCs w:val="24"/>
                <w:u w:val="none"/>
                <w:lang w:eastAsia="zh-CN"/>
              </w:rPr>
            </w:pPr>
            <w:r>
              <w:rPr>
                <w:rFonts w:hint="eastAsia" w:eastAsia="宋体" w:cs="Times New Roman"/>
                <w:i w:val="0"/>
                <w:color w:val="000000"/>
                <w:sz w:val="24"/>
                <w:szCs w:val="24"/>
                <w:u w:val="none"/>
                <w:lang w:eastAsia="zh-CN"/>
              </w:rPr>
              <w:t>≥</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7A589">
            <w:pPr>
              <w:keepNext w:val="0"/>
              <w:keepLines w:val="0"/>
              <w:pageBreakBefore w:val="0"/>
              <w:widowControl/>
              <w:kinsoku/>
              <w:wordWrap/>
              <w:overflowPunct/>
              <w:topLinePunct w:val="0"/>
              <w:autoSpaceDE/>
              <w:autoSpaceDN/>
              <w:bidi w:val="0"/>
              <w:adjustRightInd/>
              <w:snapToGrid/>
              <w:spacing w:afterAutospacing="0" w:line="560" w:lineRule="atLeast"/>
              <w:jc w:val="center"/>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85</w:t>
            </w: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FF2CDE">
            <w:pPr>
              <w:keepNext w:val="0"/>
              <w:keepLines w:val="0"/>
              <w:pageBreakBefore w:val="0"/>
              <w:widowControl/>
              <w:kinsoku/>
              <w:wordWrap/>
              <w:overflowPunct/>
              <w:topLinePunct w:val="0"/>
              <w:autoSpaceDE/>
              <w:autoSpaceDN/>
              <w:bidi w:val="0"/>
              <w:adjustRightInd/>
              <w:snapToGrid/>
              <w:spacing w:afterAutospacing="0" w:line="560" w:lineRule="atLeast"/>
              <w:jc w:val="center"/>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w:t>
            </w:r>
          </w:p>
        </w:tc>
        <w:tc>
          <w:tcPr>
            <w:tcW w:w="1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B72D4A">
            <w:pPr>
              <w:keepNext w:val="0"/>
              <w:keepLines w:val="0"/>
              <w:pageBreakBefore w:val="0"/>
              <w:widowControl/>
              <w:kinsoku/>
              <w:wordWrap/>
              <w:overflowPunct/>
              <w:topLinePunct w:val="0"/>
              <w:autoSpaceDE/>
              <w:autoSpaceDN/>
              <w:bidi w:val="0"/>
              <w:adjustRightInd/>
              <w:snapToGrid/>
              <w:spacing w:afterAutospacing="0" w:line="560" w:lineRule="atLeast"/>
              <w:jc w:val="center"/>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10%</w:t>
            </w:r>
          </w:p>
        </w:tc>
      </w:tr>
      <w:tr w14:paraId="593387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78" w:hRule="atLeast"/>
          <w:jc w:val="center"/>
        </w:trPr>
        <w:tc>
          <w:tcPr>
            <w:tcW w:w="10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1C28C0">
            <w:pPr>
              <w:keepNext w:val="0"/>
              <w:keepLines w:val="0"/>
              <w:pageBreakBefore w:val="0"/>
              <w:widowControl/>
              <w:kinsoku/>
              <w:wordWrap/>
              <w:overflowPunct/>
              <w:topLinePunct w:val="0"/>
              <w:autoSpaceDE/>
              <w:autoSpaceDN/>
              <w:bidi w:val="0"/>
              <w:adjustRightInd/>
              <w:snapToGrid/>
              <w:spacing w:afterAutospacing="0" w:line="560" w:lineRule="atLeast"/>
              <w:jc w:val="center"/>
              <w:outlineLvl w:val="9"/>
              <w:rPr>
                <w:rFonts w:hint="default" w:ascii="Times New Roman" w:hAnsi="Times New Roman" w:eastAsia="宋体" w:cs="Times New Roman"/>
                <w:i w:val="0"/>
                <w:color w:val="000000"/>
                <w:sz w:val="24"/>
                <w:szCs w:val="24"/>
                <w:u w:val="none"/>
              </w:rPr>
            </w:pPr>
          </w:p>
        </w:tc>
        <w:tc>
          <w:tcPr>
            <w:tcW w:w="1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8521B9">
            <w:pPr>
              <w:keepNext w:val="0"/>
              <w:keepLines w:val="0"/>
              <w:pageBreakBefore w:val="0"/>
              <w:widowControl/>
              <w:kinsoku/>
              <w:wordWrap/>
              <w:overflowPunct/>
              <w:topLinePunct w:val="0"/>
              <w:autoSpaceDE/>
              <w:autoSpaceDN/>
              <w:bidi w:val="0"/>
              <w:adjustRightInd/>
              <w:snapToGrid/>
              <w:spacing w:afterAutospacing="0" w:line="560" w:lineRule="atLeast"/>
              <w:jc w:val="center"/>
              <w:outlineLvl w:val="9"/>
              <w:rPr>
                <w:rFonts w:hint="default" w:ascii="Times New Roman" w:hAnsi="Times New Roman" w:eastAsia="宋体" w:cs="Times New Roman"/>
                <w:i w:val="0"/>
                <w:color w:val="000000"/>
                <w:sz w:val="24"/>
                <w:szCs w:val="24"/>
                <w:u w:val="none"/>
              </w:rPr>
            </w:pPr>
          </w:p>
        </w:tc>
        <w:tc>
          <w:tcPr>
            <w:tcW w:w="127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7B1268">
            <w:pPr>
              <w:keepNext w:val="0"/>
              <w:keepLines w:val="0"/>
              <w:pageBreakBefore w:val="0"/>
              <w:widowControl/>
              <w:kinsoku/>
              <w:wordWrap/>
              <w:overflowPunct/>
              <w:topLinePunct w:val="0"/>
              <w:autoSpaceDE/>
              <w:autoSpaceDN/>
              <w:bidi w:val="0"/>
              <w:adjustRightInd/>
              <w:snapToGrid/>
              <w:spacing w:afterAutospacing="0" w:line="560" w:lineRule="atLeast"/>
              <w:jc w:val="center"/>
              <w:outlineLvl w:val="9"/>
              <w:rPr>
                <w:rFonts w:hint="default" w:ascii="Times New Roman" w:hAnsi="Times New Roman" w:eastAsia="宋体" w:cs="Times New Roman"/>
                <w:i w:val="0"/>
                <w:color w:val="000000"/>
                <w:sz w:val="24"/>
                <w:szCs w:val="24"/>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F385E">
            <w:pPr>
              <w:keepNext w:val="0"/>
              <w:keepLines w:val="0"/>
              <w:pageBreakBefore w:val="0"/>
              <w:widowControl/>
              <w:suppressLineNumbers w:val="0"/>
              <w:kinsoku/>
              <w:wordWrap/>
              <w:overflowPunct/>
              <w:topLinePunct w:val="0"/>
              <w:autoSpaceDE/>
              <w:autoSpaceDN/>
              <w:bidi w:val="0"/>
              <w:adjustRightInd/>
              <w:snapToGrid/>
              <w:spacing w:afterAutospacing="0" w:line="560" w:lineRule="atLeast"/>
              <w:jc w:val="center"/>
              <w:textAlignment w:val="center"/>
              <w:outlineLvl w:val="9"/>
              <w:rPr>
                <w:rFonts w:hint="eastAsia" w:ascii="Times New Roman" w:hAnsi="Times New Roman" w:eastAsia="宋体" w:cs="Times New Roman"/>
                <w:i w:val="0"/>
                <w:color w:val="000000"/>
                <w:sz w:val="24"/>
                <w:szCs w:val="24"/>
                <w:u w:val="none"/>
                <w:lang w:eastAsia="zh-CN"/>
              </w:rPr>
            </w:pPr>
            <w:r>
              <w:rPr>
                <w:rFonts w:hint="eastAsia" w:eastAsia="宋体" w:cs="Times New Roman"/>
                <w:i w:val="0"/>
                <w:color w:val="000000"/>
                <w:sz w:val="24"/>
                <w:szCs w:val="24"/>
                <w:u w:val="none"/>
                <w:lang w:val="en-US" w:eastAsia="zh-CN"/>
              </w:rPr>
              <w:t>可持续影响指标</w:t>
            </w:r>
          </w:p>
        </w:tc>
        <w:tc>
          <w:tcPr>
            <w:tcW w:w="86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DED9F4">
            <w:pPr>
              <w:keepNext w:val="0"/>
              <w:keepLines w:val="0"/>
              <w:pageBreakBefore w:val="0"/>
              <w:widowControl/>
              <w:kinsoku/>
              <w:wordWrap/>
              <w:overflowPunct/>
              <w:topLinePunct w:val="0"/>
              <w:autoSpaceDE/>
              <w:autoSpaceDN/>
              <w:bidi w:val="0"/>
              <w:adjustRightInd/>
              <w:snapToGrid/>
              <w:spacing w:afterAutospacing="0" w:line="560" w:lineRule="atLeast"/>
              <w:jc w:val="center"/>
              <w:outlineLvl w:val="9"/>
              <w:rPr>
                <w:rFonts w:hint="default" w:ascii="Times New Roman" w:hAnsi="Times New Roman" w:eastAsia="宋体" w:cs="Times New Roman"/>
                <w:i w:val="0"/>
                <w:color w:val="000000"/>
                <w:sz w:val="24"/>
                <w:szCs w:val="24"/>
                <w:u w:val="none"/>
              </w:rPr>
            </w:pPr>
            <w:r>
              <w:rPr>
                <w:rFonts w:hint="eastAsia" w:eastAsia="宋体" w:cs="Times New Roman"/>
                <w:i w:val="0"/>
                <w:color w:val="000000"/>
                <w:sz w:val="24"/>
                <w:szCs w:val="24"/>
                <w:u w:val="none"/>
                <w:lang w:eastAsia="zh-CN"/>
              </w:rPr>
              <w:t>文化保护宣传力度</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4F946">
            <w:pPr>
              <w:keepNext w:val="0"/>
              <w:keepLines w:val="0"/>
              <w:pageBreakBefore w:val="0"/>
              <w:widowControl/>
              <w:kinsoku/>
              <w:wordWrap/>
              <w:overflowPunct/>
              <w:topLinePunct w:val="0"/>
              <w:autoSpaceDE/>
              <w:autoSpaceDN/>
              <w:bidi w:val="0"/>
              <w:adjustRightInd/>
              <w:snapToGrid/>
              <w:spacing w:afterAutospacing="0" w:line="560" w:lineRule="atLeast"/>
              <w:jc w:val="center"/>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eastAsia="zh-CN"/>
              </w:rPr>
              <w:t>定性</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3D010">
            <w:pPr>
              <w:keepNext w:val="0"/>
              <w:keepLines w:val="0"/>
              <w:pageBreakBefore w:val="0"/>
              <w:widowControl/>
              <w:kinsoku/>
              <w:wordWrap/>
              <w:overflowPunct/>
              <w:topLinePunct w:val="0"/>
              <w:autoSpaceDE/>
              <w:autoSpaceDN/>
              <w:bidi w:val="0"/>
              <w:adjustRightInd/>
              <w:snapToGrid/>
              <w:spacing w:afterAutospacing="0" w:line="560" w:lineRule="atLeast"/>
              <w:jc w:val="center"/>
              <w:outlineLvl w:val="9"/>
              <w:rPr>
                <w:rFonts w:hint="default" w:ascii="Times New Roman" w:hAnsi="Times New Roman" w:eastAsia="宋体" w:cs="Times New Roman"/>
                <w:i w:val="0"/>
                <w:color w:val="000000"/>
                <w:sz w:val="24"/>
                <w:szCs w:val="24"/>
                <w:u w:val="none"/>
              </w:rPr>
            </w:pPr>
            <w:r>
              <w:rPr>
                <w:rFonts w:hint="eastAsia" w:eastAsia="宋体" w:cs="Times New Roman"/>
                <w:i w:val="0"/>
                <w:color w:val="000000"/>
                <w:sz w:val="24"/>
                <w:szCs w:val="24"/>
                <w:u w:val="none"/>
                <w:lang w:eastAsia="zh-CN"/>
              </w:rPr>
              <w:t>成效显著</w:t>
            </w: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E05AC4">
            <w:pPr>
              <w:keepNext w:val="0"/>
              <w:keepLines w:val="0"/>
              <w:pageBreakBefore w:val="0"/>
              <w:widowControl/>
              <w:kinsoku/>
              <w:wordWrap/>
              <w:overflowPunct/>
              <w:topLinePunct w:val="0"/>
              <w:autoSpaceDE/>
              <w:autoSpaceDN/>
              <w:bidi w:val="0"/>
              <w:adjustRightInd/>
              <w:snapToGrid/>
              <w:spacing w:afterAutospacing="0" w:line="560" w:lineRule="atLeast"/>
              <w:jc w:val="center"/>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eastAsia="zh-CN"/>
              </w:rPr>
              <w:t>项</w:t>
            </w:r>
          </w:p>
        </w:tc>
        <w:tc>
          <w:tcPr>
            <w:tcW w:w="1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FC9943">
            <w:pPr>
              <w:keepNext w:val="0"/>
              <w:keepLines w:val="0"/>
              <w:pageBreakBefore w:val="0"/>
              <w:widowControl/>
              <w:kinsoku/>
              <w:wordWrap/>
              <w:overflowPunct/>
              <w:topLinePunct w:val="0"/>
              <w:autoSpaceDE/>
              <w:autoSpaceDN/>
              <w:bidi w:val="0"/>
              <w:adjustRightInd/>
              <w:snapToGrid/>
              <w:spacing w:afterAutospacing="0" w:line="560" w:lineRule="atLeast"/>
              <w:jc w:val="center"/>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10%</w:t>
            </w:r>
          </w:p>
        </w:tc>
      </w:tr>
    </w:tbl>
    <w:p w14:paraId="39765017">
      <w:pPr>
        <w:pStyle w:val="6"/>
        <w:pageBreakBefore w:val="0"/>
        <w:kinsoku/>
        <w:wordWrap/>
        <w:overflowPunct/>
        <w:topLinePunct w:val="0"/>
        <w:bidi w:val="0"/>
        <w:spacing w:line="560" w:lineRule="atLeast"/>
        <w:rPr>
          <w:rFonts w:hint="eastAsia" w:ascii="Times New Roman" w:hAnsi="Times New Roman" w:cs="宋体"/>
          <w:color w:val="FF0000"/>
          <w:kern w:val="0"/>
          <w:sz w:val="32"/>
          <w:szCs w:val="32"/>
          <w:highlight w:val="yellow"/>
          <w:shd w:val="clear" w:color="auto" w:fill="FFFFFF"/>
          <w:lang w:val="zh-CN"/>
        </w:rPr>
      </w:pPr>
    </w:p>
    <w:p w14:paraId="1ED98E4E">
      <w:pPr>
        <w:pageBreakBefore w:val="0"/>
        <w:kinsoku/>
        <w:wordWrap/>
        <w:overflowPunct/>
        <w:topLinePunct w:val="0"/>
        <w:bidi w:val="0"/>
        <w:spacing w:line="560" w:lineRule="atLeast"/>
        <w:rPr>
          <w:rFonts w:hint="eastAsia" w:ascii="Times New Roman" w:hAnsi="Times New Roman" w:eastAsia="黑体" w:cs="黑体"/>
          <w:color w:val="auto"/>
          <w:kern w:val="0"/>
          <w:sz w:val="32"/>
          <w:szCs w:val="32"/>
          <w:highlight w:val="none"/>
          <w:shd w:val="clear" w:color="auto" w:fill="FFFFFF"/>
          <w:lang w:val="zh-CN"/>
        </w:rPr>
      </w:pPr>
      <w:r>
        <w:rPr>
          <w:rFonts w:hint="eastAsia" w:ascii="Times New Roman" w:hAnsi="Times New Roman" w:eastAsia="黑体" w:cs="黑体"/>
          <w:color w:val="auto"/>
          <w:kern w:val="0"/>
          <w:sz w:val="32"/>
          <w:szCs w:val="32"/>
          <w:highlight w:val="none"/>
          <w:shd w:val="clear" w:color="auto" w:fill="FFFFFF"/>
          <w:lang w:val="zh-CN"/>
        </w:rPr>
        <w:br w:type="page"/>
      </w:r>
    </w:p>
    <w:p w14:paraId="09835892">
      <w:pPr>
        <w:pStyle w:val="6"/>
        <w:pageBreakBefore w:val="0"/>
        <w:kinsoku/>
        <w:wordWrap/>
        <w:overflowPunct/>
        <w:topLinePunct w:val="0"/>
        <w:bidi w:val="0"/>
        <w:spacing w:line="560" w:lineRule="atLeast"/>
        <w:rPr>
          <w:rFonts w:hint="eastAsia"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kern w:val="0"/>
          <w:sz w:val="32"/>
          <w:szCs w:val="32"/>
          <w:highlight w:val="none"/>
          <w:shd w:val="clear" w:color="auto" w:fill="FFFFFF"/>
          <w:lang w:val="zh-CN"/>
        </w:rPr>
        <w:t>附件</w:t>
      </w:r>
      <w:r>
        <w:rPr>
          <w:rFonts w:hint="eastAsia" w:ascii="Times New Roman" w:hAnsi="Times New Roman" w:eastAsia="黑体" w:cs="黑体"/>
          <w:color w:val="auto"/>
          <w:kern w:val="0"/>
          <w:sz w:val="32"/>
          <w:szCs w:val="32"/>
          <w:highlight w:val="none"/>
          <w:shd w:val="clear" w:color="auto" w:fill="FFFFFF"/>
          <w:lang w:val="en-US" w:eastAsia="zh-CN"/>
        </w:rPr>
        <w:t>2</w:t>
      </w:r>
      <w:r>
        <w:rPr>
          <w:rFonts w:hint="eastAsia" w:ascii="Times New Roman" w:eastAsia="黑体" w:cs="黑体"/>
          <w:color w:val="auto"/>
          <w:kern w:val="0"/>
          <w:sz w:val="32"/>
          <w:szCs w:val="32"/>
          <w:highlight w:val="none"/>
          <w:shd w:val="clear" w:color="auto" w:fill="FFFFFF"/>
          <w:lang w:val="en-US" w:eastAsia="zh-CN"/>
        </w:rPr>
        <w:t>：</w:t>
      </w:r>
    </w:p>
    <w:p w14:paraId="0A7D0BB0">
      <w:pPr>
        <w:pStyle w:val="37"/>
        <w:keepNext w:val="0"/>
        <w:keepLines w:val="0"/>
        <w:pageBreakBefore w:val="0"/>
        <w:widowControl w:val="0"/>
        <w:kinsoku/>
        <w:wordWrap/>
        <w:overflowPunct/>
        <w:topLinePunct w:val="0"/>
        <w:autoSpaceDE/>
        <w:autoSpaceDN/>
        <w:bidi w:val="0"/>
        <w:spacing w:line="560" w:lineRule="atLeast"/>
        <w:ind w:left="0" w:leftChars="0"/>
        <w:jc w:val="center"/>
        <w:textAlignment w:val="auto"/>
        <w:rPr>
          <w:rFonts w:hint="eastAsia" w:ascii="Times New Roman" w:hAnsi="Times New Roman" w:eastAsia="方正小标宋简体" w:cs="方正小标宋简体"/>
          <w:color w:val="auto"/>
          <w:kern w:val="2"/>
          <w:sz w:val="44"/>
          <w:szCs w:val="44"/>
          <w:highlight w:val="none"/>
          <w:lang w:val="en-US" w:eastAsia="zh-CN"/>
        </w:rPr>
      </w:pPr>
    </w:p>
    <w:p w14:paraId="64D1D74D">
      <w:pPr>
        <w:pStyle w:val="37"/>
        <w:pageBreakBefore w:val="0"/>
        <w:kinsoku/>
        <w:wordWrap/>
        <w:overflowPunct/>
        <w:topLinePunct w:val="0"/>
        <w:bidi w:val="0"/>
        <w:spacing w:line="560" w:lineRule="atLeast"/>
        <w:jc w:val="center"/>
        <w:rPr>
          <w:rFonts w:hint="eastAsia" w:ascii="Times New Roman" w:hAnsi="Times New Roman" w:eastAsia="方正小标宋简体"/>
          <w:color w:val="auto"/>
          <w:kern w:val="2"/>
          <w:sz w:val="44"/>
          <w:szCs w:val="44"/>
          <w:lang w:val="en-US"/>
        </w:rPr>
      </w:pPr>
      <w:bookmarkStart w:id="47" w:name="_Toc15396618"/>
      <w:r>
        <w:rPr>
          <w:rFonts w:hint="eastAsia" w:ascii="Times New Roman" w:hAnsi="Times New Roman" w:eastAsia="方正小标宋简体"/>
          <w:color w:val="auto"/>
          <w:kern w:val="2"/>
          <w:sz w:val="44"/>
          <w:szCs w:val="44"/>
          <w:lang w:val="en-US"/>
        </w:rPr>
        <w:t>阿坝州民族歌舞团</w:t>
      </w:r>
    </w:p>
    <w:p w14:paraId="715878DA">
      <w:pPr>
        <w:pStyle w:val="37"/>
        <w:pageBreakBefore w:val="0"/>
        <w:kinsoku/>
        <w:wordWrap/>
        <w:overflowPunct/>
        <w:topLinePunct w:val="0"/>
        <w:bidi w:val="0"/>
        <w:spacing w:line="560" w:lineRule="atLeast"/>
        <w:jc w:val="center"/>
        <w:rPr>
          <w:rFonts w:ascii="Times New Roman" w:hAnsi="Times New Roman" w:eastAsia="方正小标宋简体"/>
          <w:color w:val="auto"/>
          <w:kern w:val="2"/>
          <w:sz w:val="44"/>
          <w:szCs w:val="44"/>
          <w:lang w:val="en-US"/>
        </w:rPr>
      </w:pPr>
      <w:r>
        <w:rPr>
          <w:rFonts w:hint="eastAsia" w:ascii="Times New Roman" w:hAnsi="Times New Roman" w:eastAsia="方正小标宋简体"/>
          <w:color w:val="auto"/>
          <w:kern w:val="2"/>
          <w:sz w:val="44"/>
          <w:szCs w:val="44"/>
          <w:lang w:val="en-US"/>
        </w:rPr>
        <w:t>关于2025年《牦牛革命》北京大学演出剧场服务费项目</w:t>
      </w:r>
      <w:r>
        <w:rPr>
          <w:rFonts w:ascii="Times New Roman" w:hAnsi="Times New Roman" w:eastAsia="方正小标宋简体"/>
          <w:color w:val="auto"/>
          <w:kern w:val="2"/>
          <w:sz w:val="44"/>
          <w:szCs w:val="44"/>
          <w:lang w:val="en-US"/>
        </w:rPr>
        <w:t>绩效自评报告</w:t>
      </w:r>
    </w:p>
    <w:p w14:paraId="6697DCEC">
      <w:pPr>
        <w:pageBreakBefore w:val="0"/>
        <w:kinsoku/>
        <w:wordWrap/>
        <w:overflowPunct/>
        <w:topLinePunct w:val="0"/>
        <w:bidi w:val="0"/>
        <w:adjustRightInd w:val="0"/>
        <w:snapToGrid w:val="0"/>
        <w:spacing w:line="560" w:lineRule="atLeast"/>
        <w:rPr>
          <w:rFonts w:hint="eastAsia" w:ascii="仿宋" w:hAnsi="仿宋" w:eastAsia="仿宋" w:cs="仿宋"/>
          <w:color w:val="000000"/>
          <w:sz w:val="32"/>
          <w:szCs w:val="32"/>
        </w:rPr>
      </w:pPr>
    </w:p>
    <w:p w14:paraId="47ABC1D6">
      <w:pPr>
        <w:pageBreakBefore w:val="0"/>
        <w:kinsoku/>
        <w:wordWrap/>
        <w:overflowPunct/>
        <w:topLinePunct w:val="0"/>
        <w:autoSpaceDE/>
        <w:autoSpaceDN/>
        <w:bidi w:val="0"/>
        <w:adjustRightInd w:val="0"/>
        <w:snapToGrid w:val="0"/>
        <w:spacing w:line="560" w:lineRule="atLeast"/>
        <w:ind w:firstLine="640" w:firstLineChars="200"/>
        <w:rPr>
          <w:rFonts w:eastAsia="黑体"/>
          <w:sz w:val="32"/>
          <w:szCs w:val="32"/>
          <w:lang w:val="zh-CN"/>
        </w:rPr>
      </w:pPr>
      <w:r>
        <w:rPr>
          <w:rFonts w:eastAsia="黑体"/>
          <w:sz w:val="32"/>
          <w:szCs w:val="32"/>
        </w:rPr>
        <w:t>一、</w:t>
      </w:r>
      <w:r>
        <w:rPr>
          <w:rFonts w:eastAsia="黑体"/>
          <w:sz w:val="32"/>
          <w:szCs w:val="32"/>
          <w:lang w:val="zh-CN"/>
        </w:rPr>
        <w:t>项目概况</w:t>
      </w:r>
    </w:p>
    <w:p w14:paraId="1906E647">
      <w:pPr>
        <w:pageBreakBefore w:val="0"/>
        <w:widowControl/>
        <w:kinsoku/>
        <w:wordWrap/>
        <w:overflowPunct/>
        <w:topLinePunct w:val="0"/>
        <w:autoSpaceDE/>
        <w:autoSpaceDN/>
        <w:bidi w:val="0"/>
        <w:adjustRightInd w:val="0"/>
        <w:snapToGrid w:val="0"/>
        <w:spacing w:line="560" w:lineRule="atLeast"/>
        <w:ind w:firstLine="321" w:firstLineChars="100"/>
        <w:contextualSpacing/>
        <w:jc w:val="left"/>
        <w:rPr>
          <w:rFonts w:hint="eastAsia" w:ascii="楷体" w:hAnsi="楷体" w:eastAsia="楷体" w:cs="楷体"/>
          <w:b/>
          <w:sz w:val="32"/>
          <w:szCs w:val="32"/>
          <w:lang w:val="zh-CN"/>
        </w:rPr>
      </w:pPr>
      <w:r>
        <w:rPr>
          <w:rFonts w:hint="eastAsia" w:ascii="楷体" w:hAnsi="楷体" w:eastAsia="楷体" w:cs="楷体"/>
          <w:b/>
          <w:sz w:val="32"/>
          <w:szCs w:val="32"/>
          <w:lang w:val="zh-CN"/>
        </w:rPr>
        <w:t>（一）设立背景及基本情况</w:t>
      </w:r>
    </w:p>
    <w:p w14:paraId="332C8FF0">
      <w:pPr>
        <w:pageBreakBefore w:val="0"/>
        <w:widowControl/>
        <w:kinsoku/>
        <w:wordWrap/>
        <w:overflowPunct/>
        <w:topLinePunct w:val="0"/>
        <w:autoSpaceDE/>
        <w:autoSpaceDN/>
        <w:bidi w:val="0"/>
        <w:adjustRightInd w:val="0"/>
        <w:snapToGrid w:val="0"/>
        <w:spacing w:line="560" w:lineRule="atLeast"/>
        <w:ind w:firstLine="640" w:firstLineChars="200"/>
        <w:contextualSpacing/>
        <w:rPr>
          <w:rFonts w:hint="eastAsia" w:ascii="仿宋" w:hAnsi="仿宋" w:eastAsia="仿宋" w:cs="仿宋"/>
          <w:b/>
          <w:sz w:val="32"/>
          <w:szCs w:val="32"/>
          <w:lang w:val="zh-CN"/>
        </w:rPr>
      </w:pPr>
      <w:r>
        <w:rPr>
          <w:rFonts w:hint="eastAsia" w:ascii="仿宋" w:hAnsi="仿宋" w:eastAsia="仿宋" w:cs="仿宋"/>
          <w:sz w:val="32"/>
          <w:szCs w:val="32"/>
        </w:rPr>
        <w:t>2025年4月28日在北京大学百周年纪念讲堂演出剧目《牦牛革命》，</w:t>
      </w:r>
      <w:r>
        <w:rPr>
          <w:rFonts w:hint="eastAsia" w:ascii="仿宋" w:hAnsi="仿宋" w:eastAsia="仿宋" w:cs="仿宋"/>
          <w:color w:val="1F2329"/>
          <w:sz w:val="32"/>
          <w:szCs w:val="32"/>
        </w:rPr>
        <w:t>以音乐剧形式在北大这一顶尖学府再现 “牦牛革命” 历史，让长征精神、雪山草地精神可看可感。展现阿坝各族群众倾其所有支援红军的军民鱼水情，铸牢中华民族共同体意识。</w:t>
      </w:r>
      <w:r>
        <w:rPr>
          <w:rFonts w:hint="eastAsia" w:ascii="仿宋" w:hAnsi="仿宋" w:eastAsia="仿宋" w:cs="仿宋"/>
          <w:sz w:val="32"/>
          <w:szCs w:val="32"/>
        </w:rPr>
        <w:t xml:space="preserve"> </w:t>
      </w:r>
      <w:r>
        <w:rPr>
          <w:rFonts w:hint="eastAsia" w:ascii="仿宋" w:hAnsi="仿宋" w:eastAsia="仿宋" w:cs="仿宋"/>
          <w:color w:val="1F2329"/>
          <w:sz w:val="32"/>
          <w:szCs w:val="32"/>
        </w:rPr>
        <w:t>推动阿坝红色文化走出高原，走进国家最高学府。提升《牦牛革命》与阿坝红色文旅的全国知名度。填补高校红色艺术展演的地域空白，让边远民族地区的优秀红色文艺作品获得更广泛传播。以音乐剧这一青年喜爱的艺术形式，让红色历史更具感染力与传播力，适配高校美育与思政教育需求。搭建民族文化与高校文化交流的桥梁，促进藏羌民族艺术与主流文化的融合传播。</w:t>
      </w:r>
      <w:r>
        <w:rPr>
          <w:rFonts w:hint="eastAsia" w:ascii="仿宋" w:hAnsi="仿宋" w:eastAsia="仿宋" w:cs="仿宋"/>
          <w:sz w:val="32"/>
          <w:szCs w:val="32"/>
        </w:rPr>
        <w:t>北大百周年纪念讲堂为国家级专业演出场地，此次演出需支付剧场租赁费29.8万元，项目资金来源为国家艺术基金；</w:t>
      </w:r>
      <w:r>
        <w:rPr>
          <w:rFonts w:hint="eastAsia" w:ascii="仿宋" w:hAnsi="仿宋" w:eastAsia="仿宋" w:cs="仿宋"/>
          <w:bCs/>
          <w:sz w:val="32"/>
          <w:szCs w:val="32"/>
        </w:rPr>
        <w:t>单位职能为</w:t>
      </w:r>
      <w:r>
        <w:rPr>
          <w:rFonts w:hint="eastAsia" w:ascii="仿宋" w:hAnsi="仿宋" w:eastAsia="仿宋" w:cs="仿宋"/>
          <w:kern w:val="0"/>
          <w:sz w:val="32"/>
          <w:szCs w:val="32"/>
          <w:shd w:val="clear" w:color="auto" w:fill="FFFFFF"/>
          <w:lang w:val="zh-CN"/>
        </w:rPr>
        <w:t>创作演出优秀民族歌舞剧目，为群众服务，舞台艺术作品创作，演出艺术普及推广，艺术创作表演人才培养</w:t>
      </w:r>
      <w:r>
        <w:rPr>
          <w:rFonts w:hint="eastAsia" w:ascii="仿宋" w:hAnsi="仿宋" w:eastAsia="仿宋" w:cs="仿宋"/>
          <w:kern w:val="0"/>
          <w:sz w:val="32"/>
          <w:szCs w:val="32"/>
          <w:shd w:val="clear" w:color="auto" w:fill="FFFFFF"/>
        </w:rPr>
        <w:t>.</w:t>
      </w:r>
    </w:p>
    <w:p w14:paraId="6D6863FD">
      <w:pPr>
        <w:pageBreakBefore w:val="0"/>
        <w:widowControl/>
        <w:numPr>
          <w:ilvl w:val="0"/>
          <w:numId w:val="6"/>
        </w:numPr>
        <w:kinsoku/>
        <w:wordWrap/>
        <w:overflowPunct/>
        <w:topLinePunct w:val="0"/>
        <w:autoSpaceDE/>
        <w:autoSpaceDN/>
        <w:bidi w:val="0"/>
        <w:adjustRightInd w:val="0"/>
        <w:snapToGrid w:val="0"/>
        <w:spacing w:line="560" w:lineRule="atLeast"/>
        <w:ind w:firstLine="321" w:firstLineChars="100"/>
        <w:contextualSpacing/>
        <w:rPr>
          <w:rFonts w:hint="eastAsia" w:ascii="楷体" w:hAnsi="楷体" w:eastAsia="楷体" w:cs="楷体"/>
          <w:b/>
          <w:sz w:val="32"/>
          <w:szCs w:val="32"/>
        </w:rPr>
      </w:pPr>
      <w:r>
        <w:rPr>
          <w:rFonts w:hint="eastAsia" w:ascii="楷体" w:hAnsi="楷体" w:eastAsia="楷体" w:cs="楷体"/>
          <w:b/>
          <w:sz w:val="32"/>
          <w:szCs w:val="32"/>
        </w:rPr>
        <w:t>实施目的及支持方向</w:t>
      </w:r>
    </w:p>
    <w:p w14:paraId="5397FE1B">
      <w:pPr>
        <w:pageBreakBefore w:val="0"/>
        <w:widowControl/>
        <w:kinsoku/>
        <w:wordWrap/>
        <w:overflowPunct/>
        <w:topLinePunct w:val="0"/>
        <w:autoSpaceDE/>
        <w:autoSpaceDN/>
        <w:bidi w:val="0"/>
        <w:adjustRightInd w:val="0"/>
        <w:snapToGrid w:val="0"/>
        <w:spacing w:line="560" w:lineRule="atLeast"/>
        <w:ind w:firstLine="640" w:firstLineChars="200"/>
        <w:contextualSpacing/>
        <w:rPr>
          <w:rFonts w:hint="eastAsia" w:ascii="仿宋" w:hAnsi="仿宋" w:eastAsia="仿宋" w:cs="仿宋"/>
          <w:sz w:val="32"/>
          <w:szCs w:val="32"/>
          <w:lang w:val="zh-CN"/>
        </w:rPr>
      </w:pPr>
      <w:r>
        <w:rPr>
          <w:rFonts w:hint="eastAsia" w:ascii="仿宋" w:hAnsi="仿宋" w:eastAsia="仿宋" w:cs="仿宋"/>
          <w:sz w:val="32"/>
          <w:szCs w:val="32"/>
        </w:rPr>
        <w:t>依托北大平台，以红色音乐剧为载体，实现四大核心目标：传承红色基因向北大青年师生再现“牦牛革命”历史与雪山草地精神，强化思政教育，筑牢青年理想信念。借助北大影响力，提升《牦牛革命》及阿坝红色文化知名度，打造特色红色文化IP。作为阿坝北京推介核心环节，联动文旅资源，吸引青年关注阿坝，推动革命老区振兴。落实高雅艺术进校园政策，丰富师生文化生活，搭建民族文化与高校文化交流桥梁。规范使用专项经费，保障演出各环节有序推进，彰显项目精品定位与品牌价值。围绕四大维度，保障演出顺利实施、价值落地：剧场服务费：支付北大百周年纪念讲堂租赁及配套服务29.8万元，应对演出突发情协调讲堂场地交付与调度，配合完成装拆台、彩排等工作。提供灯光、音响等技术调试与维护，保障演出声画质量。落实安保、消防工作，保障人员安全与演出秩序。进行北大校内渠道宣传，组织师生观看，扩大校内影响力。联动阿坝文旅及北京媒体，提升演出与阿坝文旅全国关注度。现场设置宣传物料，强化文化传播与文旅推介效果。</w:t>
      </w:r>
    </w:p>
    <w:p w14:paraId="4E78A8AF">
      <w:pPr>
        <w:pageBreakBefore w:val="0"/>
        <w:widowControl/>
        <w:numPr>
          <w:ilvl w:val="0"/>
          <w:numId w:val="6"/>
        </w:numPr>
        <w:kinsoku/>
        <w:wordWrap/>
        <w:overflowPunct/>
        <w:topLinePunct w:val="0"/>
        <w:autoSpaceDE/>
        <w:autoSpaceDN/>
        <w:bidi w:val="0"/>
        <w:adjustRightInd w:val="0"/>
        <w:snapToGrid w:val="0"/>
        <w:spacing w:line="560" w:lineRule="atLeast"/>
        <w:ind w:firstLine="321" w:firstLineChars="100"/>
        <w:contextualSpacing/>
        <w:jc w:val="left"/>
        <w:rPr>
          <w:rFonts w:eastAsia="楷体_GB2312"/>
          <w:b/>
          <w:sz w:val="32"/>
          <w:szCs w:val="32"/>
          <w:lang w:val="zh-CN"/>
        </w:rPr>
      </w:pPr>
      <w:r>
        <w:rPr>
          <w:rFonts w:eastAsia="楷体_GB2312"/>
          <w:b/>
          <w:sz w:val="32"/>
          <w:szCs w:val="32"/>
        </w:rPr>
        <w:t>预算安排及分配管理</w:t>
      </w:r>
    </w:p>
    <w:p w14:paraId="0A8D46DB">
      <w:pPr>
        <w:pageBreakBefore w:val="0"/>
        <w:widowControl/>
        <w:kinsoku/>
        <w:wordWrap/>
        <w:overflowPunct/>
        <w:topLinePunct w:val="0"/>
        <w:autoSpaceDE/>
        <w:autoSpaceDN/>
        <w:bidi w:val="0"/>
        <w:adjustRightInd w:val="0"/>
        <w:snapToGrid w:val="0"/>
        <w:spacing w:line="560" w:lineRule="atLeast"/>
        <w:ind w:firstLine="640" w:firstLineChars="200"/>
        <w:contextualSpacing/>
        <w:rPr>
          <w:rFonts w:hint="eastAsia" w:ascii="仿宋" w:hAnsi="仿宋" w:eastAsia="仿宋" w:cs="仿宋"/>
          <w:sz w:val="32"/>
          <w:szCs w:val="32"/>
        </w:rPr>
      </w:pPr>
      <w:r>
        <w:rPr>
          <w:rFonts w:hint="eastAsia" w:ascii="仿宋" w:hAnsi="仿宋" w:eastAsia="仿宋" w:cs="仿宋"/>
          <w:sz w:val="32"/>
          <w:szCs w:val="32"/>
        </w:rPr>
        <w:t>剧场服务费29.8万元，资金来源为国家艺术基金，2025年支付28.9万元，资金支付率100%。</w:t>
      </w:r>
    </w:p>
    <w:p w14:paraId="5EE0E697">
      <w:pPr>
        <w:pageBreakBefore w:val="0"/>
        <w:numPr>
          <w:ilvl w:val="0"/>
          <w:numId w:val="6"/>
        </w:numPr>
        <w:kinsoku/>
        <w:wordWrap/>
        <w:overflowPunct/>
        <w:topLinePunct w:val="0"/>
        <w:autoSpaceDE/>
        <w:autoSpaceDN/>
        <w:bidi w:val="0"/>
        <w:adjustRightInd w:val="0"/>
        <w:snapToGrid w:val="0"/>
        <w:spacing w:line="560" w:lineRule="atLeast"/>
        <w:ind w:firstLine="321" w:firstLineChars="100"/>
        <w:rPr>
          <w:rFonts w:eastAsia="楷体_GB2312"/>
          <w:b/>
          <w:sz w:val="32"/>
          <w:szCs w:val="32"/>
          <w:lang w:val="zh-CN"/>
        </w:rPr>
      </w:pPr>
      <w:r>
        <w:rPr>
          <w:rFonts w:eastAsia="楷体_GB2312"/>
          <w:b/>
          <w:sz w:val="32"/>
          <w:szCs w:val="32"/>
          <w:lang w:val="zh-CN"/>
        </w:rPr>
        <w:t>项目绩效目标设置</w:t>
      </w:r>
    </w:p>
    <w:p w14:paraId="79A9D386">
      <w:pPr>
        <w:pStyle w:val="2"/>
        <w:pageBreakBefore w:val="0"/>
        <w:kinsoku/>
        <w:wordWrap/>
        <w:overflowPunct/>
        <w:topLinePunct w:val="0"/>
        <w:autoSpaceDE/>
        <w:autoSpaceDN/>
        <w:bidi w:val="0"/>
        <w:spacing w:line="560" w:lineRule="atLeast"/>
        <w:jc w:val="center"/>
        <w:rPr>
          <w:rFonts w:hint="eastAsia" w:ascii="仿宋" w:hAnsi="仿宋" w:eastAsia="仿宋" w:cs="仿宋"/>
          <w:sz w:val="28"/>
          <w:szCs w:val="28"/>
        </w:rPr>
      </w:pP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2025年《牦牛革命》北京大学演出剧场服务费项目绩效目标表</w:t>
      </w:r>
    </w:p>
    <w:tbl>
      <w:tblPr>
        <w:tblStyle w:val="19"/>
        <w:tblW w:w="9016" w:type="dxa"/>
        <w:tblInd w:w="96" w:type="dxa"/>
        <w:tblLayout w:type="autofit"/>
        <w:tblCellMar>
          <w:top w:w="0" w:type="dxa"/>
          <w:left w:w="108" w:type="dxa"/>
          <w:bottom w:w="0" w:type="dxa"/>
          <w:right w:w="108" w:type="dxa"/>
        </w:tblCellMar>
      </w:tblPr>
      <w:tblGrid>
        <w:gridCol w:w="1283"/>
        <w:gridCol w:w="1283"/>
        <w:gridCol w:w="2599"/>
        <w:gridCol w:w="1283"/>
        <w:gridCol w:w="1283"/>
        <w:gridCol w:w="1285"/>
      </w:tblGrid>
      <w:tr w14:paraId="4BEE6C77">
        <w:tblPrEx>
          <w:tblCellMar>
            <w:top w:w="0" w:type="dxa"/>
            <w:left w:w="108" w:type="dxa"/>
            <w:bottom w:w="0" w:type="dxa"/>
            <w:right w:w="108" w:type="dxa"/>
          </w:tblCellMar>
        </w:tblPrEx>
        <w:trPr>
          <w:trHeight w:val="646" w:hRule="atLeast"/>
        </w:trPr>
        <w:tc>
          <w:tcPr>
            <w:tcW w:w="1283" w:type="dxa"/>
            <w:tcBorders>
              <w:top w:val="single" w:color="000000" w:sz="4" w:space="0"/>
              <w:left w:val="single" w:color="000000" w:sz="4" w:space="0"/>
              <w:bottom w:val="single" w:color="000000" w:sz="4" w:space="0"/>
              <w:right w:val="single" w:color="000000" w:sz="4" w:space="0"/>
            </w:tcBorders>
            <w:noWrap w:val="0"/>
            <w:vAlign w:val="center"/>
          </w:tcPr>
          <w:p w14:paraId="2FCA1C31">
            <w:pPr>
              <w:pageBreakBefore w:val="0"/>
              <w:widowControl/>
              <w:kinsoku/>
              <w:wordWrap/>
              <w:overflowPunct/>
              <w:topLinePunct w:val="0"/>
              <w:autoSpaceDE/>
              <w:autoSpaceDN/>
              <w:bidi w:val="0"/>
              <w:spacing w:line="560" w:lineRule="atLeast"/>
              <w:jc w:val="center"/>
              <w:textAlignment w:val="center"/>
              <w:rPr>
                <w:rFonts w:hint="eastAsia" w:ascii="宋体" w:hAnsi="宋体" w:eastAsia="宋体" w:cs="宋体"/>
                <w:color w:val="000000"/>
                <w:sz w:val="18"/>
                <w:szCs w:val="18"/>
              </w:rPr>
            </w:pPr>
            <w:r>
              <w:rPr>
                <w:rFonts w:hint="eastAsia" w:ascii="宋体" w:hAnsi="宋体" w:eastAsia="宋体" w:cs="宋体"/>
                <w:color w:val="000000"/>
                <w:kern w:val="0"/>
                <w:sz w:val="18"/>
                <w:szCs w:val="18"/>
                <w:lang w:bidi="ar"/>
              </w:rPr>
              <w:t>一级指标</w:t>
            </w:r>
          </w:p>
        </w:tc>
        <w:tc>
          <w:tcPr>
            <w:tcW w:w="1283" w:type="dxa"/>
            <w:tcBorders>
              <w:top w:val="single" w:color="000000" w:sz="4" w:space="0"/>
              <w:left w:val="single" w:color="000000" w:sz="4" w:space="0"/>
              <w:bottom w:val="single" w:color="000000" w:sz="4" w:space="0"/>
              <w:right w:val="single" w:color="000000" w:sz="4" w:space="0"/>
            </w:tcBorders>
            <w:noWrap w:val="0"/>
            <w:vAlign w:val="center"/>
          </w:tcPr>
          <w:p w14:paraId="43EA108C">
            <w:pPr>
              <w:pageBreakBefore w:val="0"/>
              <w:widowControl/>
              <w:kinsoku/>
              <w:wordWrap/>
              <w:overflowPunct/>
              <w:topLinePunct w:val="0"/>
              <w:autoSpaceDE/>
              <w:autoSpaceDN/>
              <w:bidi w:val="0"/>
              <w:spacing w:line="560" w:lineRule="atLeast"/>
              <w:jc w:val="center"/>
              <w:textAlignment w:val="center"/>
              <w:rPr>
                <w:rFonts w:hint="eastAsia" w:ascii="宋体" w:hAnsi="宋体" w:eastAsia="宋体" w:cs="宋体"/>
                <w:color w:val="000000"/>
                <w:sz w:val="18"/>
                <w:szCs w:val="18"/>
              </w:rPr>
            </w:pPr>
            <w:r>
              <w:rPr>
                <w:rFonts w:hint="eastAsia" w:ascii="宋体" w:hAnsi="宋体" w:eastAsia="宋体" w:cs="宋体"/>
                <w:color w:val="000000"/>
                <w:kern w:val="0"/>
                <w:sz w:val="18"/>
                <w:szCs w:val="18"/>
                <w:lang w:bidi="ar"/>
              </w:rPr>
              <w:t>二级指标</w:t>
            </w:r>
          </w:p>
        </w:tc>
        <w:tc>
          <w:tcPr>
            <w:tcW w:w="2599" w:type="dxa"/>
            <w:tcBorders>
              <w:top w:val="single" w:color="000000" w:sz="4" w:space="0"/>
              <w:left w:val="single" w:color="000000" w:sz="4" w:space="0"/>
              <w:bottom w:val="single" w:color="000000" w:sz="4" w:space="0"/>
              <w:right w:val="single" w:color="000000" w:sz="4" w:space="0"/>
            </w:tcBorders>
            <w:noWrap w:val="0"/>
            <w:vAlign w:val="center"/>
          </w:tcPr>
          <w:p w14:paraId="44672812">
            <w:pPr>
              <w:pageBreakBefore w:val="0"/>
              <w:widowControl/>
              <w:kinsoku/>
              <w:wordWrap/>
              <w:overflowPunct/>
              <w:topLinePunct w:val="0"/>
              <w:autoSpaceDE/>
              <w:autoSpaceDN/>
              <w:bidi w:val="0"/>
              <w:spacing w:line="560" w:lineRule="atLeast"/>
              <w:jc w:val="center"/>
              <w:textAlignment w:val="center"/>
              <w:rPr>
                <w:rFonts w:hint="eastAsia" w:ascii="宋体" w:hAnsi="宋体" w:eastAsia="宋体" w:cs="宋体"/>
                <w:color w:val="000000"/>
                <w:sz w:val="18"/>
                <w:szCs w:val="18"/>
              </w:rPr>
            </w:pPr>
            <w:r>
              <w:rPr>
                <w:rFonts w:hint="eastAsia" w:ascii="宋体" w:hAnsi="宋体" w:eastAsia="宋体" w:cs="宋体"/>
                <w:color w:val="000000"/>
                <w:kern w:val="0"/>
                <w:sz w:val="18"/>
                <w:szCs w:val="18"/>
                <w:lang w:bidi="ar"/>
              </w:rPr>
              <w:t>三级指标</w:t>
            </w:r>
          </w:p>
        </w:tc>
        <w:tc>
          <w:tcPr>
            <w:tcW w:w="1283" w:type="dxa"/>
            <w:tcBorders>
              <w:top w:val="single" w:color="000000" w:sz="4" w:space="0"/>
              <w:left w:val="single" w:color="000000" w:sz="4" w:space="0"/>
              <w:bottom w:val="single" w:color="000000" w:sz="4" w:space="0"/>
              <w:right w:val="single" w:color="000000" w:sz="4" w:space="0"/>
            </w:tcBorders>
            <w:noWrap w:val="0"/>
            <w:vAlign w:val="center"/>
          </w:tcPr>
          <w:p w14:paraId="14DC1AB4">
            <w:pPr>
              <w:pageBreakBefore w:val="0"/>
              <w:widowControl/>
              <w:kinsoku/>
              <w:wordWrap/>
              <w:overflowPunct/>
              <w:topLinePunct w:val="0"/>
              <w:autoSpaceDE/>
              <w:autoSpaceDN/>
              <w:bidi w:val="0"/>
              <w:spacing w:line="560" w:lineRule="atLeast"/>
              <w:jc w:val="center"/>
              <w:textAlignment w:val="center"/>
              <w:rPr>
                <w:rFonts w:hint="eastAsia" w:ascii="宋体" w:hAnsi="宋体" w:eastAsia="宋体" w:cs="宋体"/>
                <w:color w:val="000000"/>
                <w:sz w:val="18"/>
                <w:szCs w:val="18"/>
              </w:rPr>
            </w:pPr>
            <w:r>
              <w:rPr>
                <w:rFonts w:hint="eastAsia" w:ascii="宋体" w:hAnsi="宋体" w:eastAsia="宋体" w:cs="宋体"/>
                <w:color w:val="000000"/>
                <w:kern w:val="0"/>
                <w:sz w:val="18"/>
                <w:szCs w:val="18"/>
                <w:lang w:bidi="ar"/>
              </w:rPr>
              <w:t>指标性质</w:t>
            </w:r>
          </w:p>
        </w:tc>
        <w:tc>
          <w:tcPr>
            <w:tcW w:w="1283" w:type="dxa"/>
            <w:tcBorders>
              <w:top w:val="single" w:color="000000" w:sz="4" w:space="0"/>
              <w:left w:val="single" w:color="000000" w:sz="4" w:space="0"/>
              <w:bottom w:val="single" w:color="000000" w:sz="4" w:space="0"/>
              <w:right w:val="single" w:color="000000" w:sz="4" w:space="0"/>
            </w:tcBorders>
            <w:noWrap w:val="0"/>
            <w:vAlign w:val="center"/>
          </w:tcPr>
          <w:p w14:paraId="039834BA">
            <w:pPr>
              <w:pageBreakBefore w:val="0"/>
              <w:widowControl/>
              <w:kinsoku/>
              <w:wordWrap/>
              <w:overflowPunct/>
              <w:topLinePunct w:val="0"/>
              <w:autoSpaceDE/>
              <w:autoSpaceDN/>
              <w:bidi w:val="0"/>
              <w:spacing w:line="560" w:lineRule="atLeast"/>
              <w:jc w:val="center"/>
              <w:textAlignment w:val="center"/>
              <w:rPr>
                <w:rFonts w:hint="eastAsia" w:ascii="宋体" w:hAnsi="宋体" w:eastAsia="宋体" w:cs="宋体"/>
                <w:color w:val="000000"/>
                <w:sz w:val="18"/>
                <w:szCs w:val="18"/>
              </w:rPr>
            </w:pPr>
            <w:r>
              <w:rPr>
                <w:rFonts w:hint="eastAsia" w:ascii="宋体" w:hAnsi="宋体" w:eastAsia="宋体" w:cs="宋体"/>
                <w:color w:val="000000"/>
                <w:kern w:val="0"/>
                <w:sz w:val="18"/>
                <w:szCs w:val="18"/>
                <w:lang w:bidi="ar"/>
              </w:rPr>
              <w:t>指标值</w:t>
            </w:r>
          </w:p>
        </w:tc>
        <w:tc>
          <w:tcPr>
            <w:tcW w:w="1285" w:type="dxa"/>
            <w:tcBorders>
              <w:top w:val="single" w:color="000000" w:sz="4" w:space="0"/>
              <w:left w:val="single" w:color="000000" w:sz="4" w:space="0"/>
              <w:bottom w:val="single" w:color="000000" w:sz="4" w:space="0"/>
              <w:right w:val="single" w:color="000000" w:sz="4" w:space="0"/>
            </w:tcBorders>
            <w:noWrap w:val="0"/>
            <w:vAlign w:val="center"/>
          </w:tcPr>
          <w:p w14:paraId="36EF043D">
            <w:pPr>
              <w:pageBreakBefore w:val="0"/>
              <w:widowControl/>
              <w:kinsoku/>
              <w:wordWrap/>
              <w:overflowPunct/>
              <w:topLinePunct w:val="0"/>
              <w:autoSpaceDE/>
              <w:autoSpaceDN/>
              <w:bidi w:val="0"/>
              <w:spacing w:line="560" w:lineRule="atLeast"/>
              <w:jc w:val="center"/>
              <w:textAlignment w:val="center"/>
              <w:rPr>
                <w:rFonts w:hint="eastAsia" w:ascii="宋体" w:hAnsi="宋体" w:eastAsia="宋体" w:cs="宋体"/>
                <w:color w:val="000000"/>
                <w:sz w:val="18"/>
                <w:szCs w:val="18"/>
              </w:rPr>
            </w:pPr>
            <w:r>
              <w:rPr>
                <w:rFonts w:hint="eastAsia" w:ascii="宋体" w:hAnsi="宋体" w:eastAsia="宋体" w:cs="宋体"/>
                <w:color w:val="000000"/>
                <w:kern w:val="0"/>
                <w:sz w:val="18"/>
                <w:szCs w:val="18"/>
                <w:lang w:bidi="ar"/>
              </w:rPr>
              <w:t>度量单位</w:t>
            </w:r>
          </w:p>
        </w:tc>
      </w:tr>
      <w:tr w14:paraId="26051E81">
        <w:tblPrEx>
          <w:tblCellMar>
            <w:top w:w="0" w:type="dxa"/>
            <w:left w:w="108" w:type="dxa"/>
            <w:bottom w:w="0" w:type="dxa"/>
            <w:right w:w="108" w:type="dxa"/>
          </w:tblCellMar>
        </w:tblPrEx>
        <w:trPr>
          <w:trHeight w:val="464" w:hRule="atLeast"/>
        </w:trPr>
        <w:tc>
          <w:tcPr>
            <w:tcW w:w="1283" w:type="dxa"/>
            <w:vMerge w:val="restart"/>
            <w:tcBorders>
              <w:top w:val="single" w:color="000000" w:sz="4" w:space="0"/>
              <w:left w:val="single" w:color="000000" w:sz="4" w:space="0"/>
              <w:bottom w:val="single" w:color="000000" w:sz="4" w:space="0"/>
              <w:right w:val="single" w:color="000000" w:sz="4" w:space="0"/>
            </w:tcBorders>
            <w:noWrap w:val="0"/>
            <w:vAlign w:val="center"/>
          </w:tcPr>
          <w:p w14:paraId="2E5E160E">
            <w:pPr>
              <w:pageBreakBefore w:val="0"/>
              <w:widowControl/>
              <w:kinsoku/>
              <w:wordWrap/>
              <w:overflowPunct/>
              <w:topLinePunct w:val="0"/>
              <w:autoSpaceDE/>
              <w:autoSpaceDN/>
              <w:bidi w:val="0"/>
              <w:spacing w:line="560" w:lineRule="atLeast"/>
              <w:jc w:val="center"/>
              <w:textAlignment w:val="center"/>
              <w:rPr>
                <w:rFonts w:hint="eastAsia" w:ascii="宋体" w:hAnsi="宋体" w:eastAsia="宋体" w:cs="宋体"/>
                <w:color w:val="000000"/>
                <w:sz w:val="18"/>
                <w:szCs w:val="18"/>
              </w:rPr>
            </w:pPr>
            <w:r>
              <w:rPr>
                <w:rFonts w:hint="eastAsia" w:ascii="宋体" w:hAnsi="宋体" w:eastAsia="宋体" w:cs="宋体"/>
                <w:color w:val="000000"/>
                <w:kern w:val="0"/>
                <w:sz w:val="18"/>
                <w:szCs w:val="18"/>
                <w:lang w:bidi="ar"/>
              </w:rPr>
              <w:t>产出指标</w:t>
            </w:r>
          </w:p>
        </w:tc>
        <w:tc>
          <w:tcPr>
            <w:tcW w:w="1283" w:type="dxa"/>
            <w:vMerge w:val="restart"/>
            <w:tcBorders>
              <w:top w:val="single" w:color="000000" w:sz="4" w:space="0"/>
              <w:left w:val="single" w:color="000000" w:sz="4" w:space="0"/>
              <w:bottom w:val="single" w:color="000000" w:sz="4" w:space="0"/>
              <w:right w:val="single" w:color="000000" w:sz="4" w:space="0"/>
            </w:tcBorders>
            <w:noWrap w:val="0"/>
            <w:vAlign w:val="center"/>
          </w:tcPr>
          <w:p w14:paraId="72133F58">
            <w:pPr>
              <w:pageBreakBefore w:val="0"/>
              <w:widowControl/>
              <w:kinsoku/>
              <w:wordWrap/>
              <w:overflowPunct/>
              <w:topLinePunct w:val="0"/>
              <w:autoSpaceDE/>
              <w:autoSpaceDN/>
              <w:bidi w:val="0"/>
              <w:spacing w:line="560" w:lineRule="atLeast"/>
              <w:jc w:val="center"/>
              <w:textAlignment w:val="center"/>
              <w:rPr>
                <w:rFonts w:hint="eastAsia" w:ascii="宋体" w:hAnsi="宋体" w:eastAsia="宋体" w:cs="宋体"/>
                <w:color w:val="000000"/>
                <w:sz w:val="18"/>
                <w:szCs w:val="18"/>
              </w:rPr>
            </w:pPr>
            <w:r>
              <w:rPr>
                <w:rFonts w:hint="eastAsia" w:ascii="宋体" w:hAnsi="宋体" w:eastAsia="宋体" w:cs="宋体"/>
                <w:color w:val="000000"/>
                <w:kern w:val="0"/>
                <w:sz w:val="18"/>
                <w:szCs w:val="18"/>
                <w:lang w:bidi="ar"/>
              </w:rPr>
              <w:t>数量指标</w:t>
            </w:r>
          </w:p>
        </w:tc>
        <w:tc>
          <w:tcPr>
            <w:tcW w:w="2599" w:type="dxa"/>
            <w:tcBorders>
              <w:top w:val="single" w:color="000000" w:sz="4" w:space="0"/>
              <w:left w:val="single" w:color="000000" w:sz="4" w:space="0"/>
              <w:bottom w:val="single" w:color="000000" w:sz="4" w:space="0"/>
              <w:right w:val="single" w:color="000000" w:sz="4" w:space="0"/>
            </w:tcBorders>
            <w:noWrap w:val="0"/>
            <w:vAlign w:val="center"/>
          </w:tcPr>
          <w:p w14:paraId="6C569517">
            <w:pPr>
              <w:pageBreakBefore w:val="0"/>
              <w:widowControl/>
              <w:kinsoku/>
              <w:wordWrap/>
              <w:overflowPunct/>
              <w:topLinePunct w:val="0"/>
              <w:autoSpaceDE/>
              <w:autoSpaceDN/>
              <w:bidi w:val="0"/>
              <w:spacing w:line="560" w:lineRule="atLeast"/>
              <w:jc w:val="center"/>
              <w:textAlignment w:val="center"/>
              <w:rPr>
                <w:rFonts w:hint="eastAsia" w:ascii="宋体" w:hAnsi="宋体" w:eastAsia="宋体" w:cs="宋体"/>
                <w:color w:val="000000"/>
                <w:sz w:val="18"/>
                <w:szCs w:val="18"/>
              </w:rPr>
            </w:pPr>
            <w:r>
              <w:rPr>
                <w:rFonts w:hint="eastAsia" w:ascii="宋体" w:hAnsi="宋体" w:eastAsia="宋体" w:cs="宋体"/>
                <w:color w:val="000000"/>
                <w:kern w:val="0"/>
                <w:sz w:val="18"/>
                <w:szCs w:val="18"/>
                <w:lang w:bidi="ar"/>
              </w:rPr>
              <w:t>完成北京大学牦牛革命演出</w:t>
            </w:r>
          </w:p>
        </w:tc>
        <w:tc>
          <w:tcPr>
            <w:tcW w:w="1283" w:type="dxa"/>
            <w:tcBorders>
              <w:top w:val="single" w:color="000000" w:sz="4" w:space="0"/>
              <w:left w:val="single" w:color="000000" w:sz="4" w:space="0"/>
              <w:bottom w:val="single" w:color="000000" w:sz="4" w:space="0"/>
              <w:right w:val="single" w:color="000000" w:sz="4" w:space="0"/>
            </w:tcBorders>
            <w:noWrap w:val="0"/>
            <w:vAlign w:val="center"/>
          </w:tcPr>
          <w:p w14:paraId="2E585E8B">
            <w:pPr>
              <w:pageBreakBefore w:val="0"/>
              <w:widowControl/>
              <w:kinsoku/>
              <w:wordWrap/>
              <w:overflowPunct/>
              <w:topLinePunct w:val="0"/>
              <w:autoSpaceDE/>
              <w:autoSpaceDN/>
              <w:bidi w:val="0"/>
              <w:spacing w:line="560" w:lineRule="atLeast"/>
              <w:jc w:val="center"/>
              <w:textAlignment w:val="center"/>
              <w:rPr>
                <w:rFonts w:hint="eastAsia" w:ascii="宋体" w:hAnsi="宋体" w:eastAsia="宋体" w:cs="宋体"/>
                <w:color w:val="000000"/>
                <w:sz w:val="18"/>
                <w:szCs w:val="18"/>
              </w:rPr>
            </w:pPr>
            <w:r>
              <w:rPr>
                <w:rFonts w:hint="eastAsia" w:ascii="宋体" w:hAnsi="宋体" w:eastAsia="宋体" w:cs="宋体"/>
                <w:color w:val="000000"/>
                <w:kern w:val="0"/>
                <w:sz w:val="18"/>
                <w:szCs w:val="18"/>
                <w:lang w:bidi="ar"/>
              </w:rPr>
              <w:t>＝</w:t>
            </w:r>
          </w:p>
        </w:tc>
        <w:tc>
          <w:tcPr>
            <w:tcW w:w="1283" w:type="dxa"/>
            <w:tcBorders>
              <w:top w:val="single" w:color="000000" w:sz="4" w:space="0"/>
              <w:left w:val="single" w:color="000000" w:sz="4" w:space="0"/>
              <w:bottom w:val="single" w:color="000000" w:sz="4" w:space="0"/>
              <w:right w:val="single" w:color="000000" w:sz="4" w:space="0"/>
            </w:tcBorders>
            <w:noWrap w:val="0"/>
            <w:vAlign w:val="center"/>
          </w:tcPr>
          <w:p w14:paraId="1F83EFF0">
            <w:pPr>
              <w:pageBreakBefore w:val="0"/>
              <w:widowControl/>
              <w:kinsoku/>
              <w:wordWrap/>
              <w:overflowPunct/>
              <w:topLinePunct w:val="0"/>
              <w:autoSpaceDE/>
              <w:autoSpaceDN/>
              <w:bidi w:val="0"/>
              <w:spacing w:line="560" w:lineRule="atLeast"/>
              <w:jc w:val="center"/>
              <w:textAlignment w:val="center"/>
              <w:rPr>
                <w:rFonts w:hint="eastAsia" w:ascii="宋体" w:hAnsi="宋体" w:eastAsia="宋体" w:cs="宋体"/>
                <w:color w:val="000000"/>
                <w:sz w:val="18"/>
                <w:szCs w:val="18"/>
              </w:rPr>
            </w:pPr>
            <w:r>
              <w:rPr>
                <w:rFonts w:hint="eastAsia" w:ascii="宋体" w:hAnsi="宋体" w:eastAsia="宋体" w:cs="宋体"/>
                <w:color w:val="000000"/>
                <w:kern w:val="0"/>
                <w:sz w:val="18"/>
                <w:szCs w:val="18"/>
                <w:lang w:bidi="ar"/>
              </w:rPr>
              <w:t>1</w:t>
            </w:r>
          </w:p>
        </w:tc>
        <w:tc>
          <w:tcPr>
            <w:tcW w:w="1285" w:type="dxa"/>
            <w:tcBorders>
              <w:top w:val="single" w:color="000000" w:sz="4" w:space="0"/>
              <w:left w:val="single" w:color="000000" w:sz="4" w:space="0"/>
              <w:bottom w:val="single" w:color="000000" w:sz="4" w:space="0"/>
              <w:right w:val="single" w:color="000000" w:sz="4" w:space="0"/>
            </w:tcBorders>
            <w:noWrap w:val="0"/>
            <w:vAlign w:val="center"/>
          </w:tcPr>
          <w:p w14:paraId="3884C253">
            <w:pPr>
              <w:pageBreakBefore w:val="0"/>
              <w:widowControl/>
              <w:kinsoku/>
              <w:wordWrap/>
              <w:overflowPunct/>
              <w:topLinePunct w:val="0"/>
              <w:autoSpaceDE/>
              <w:autoSpaceDN/>
              <w:bidi w:val="0"/>
              <w:spacing w:line="560" w:lineRule="atLeast"/>
              <w:jc w:val="center"/>
              <w:textAlignment w:val="center"/>
              <w:rPr>
                <w:rFonts w:hint="eastAsia" w:ascii="宋体" w:hAnsi="宋体" w:eastAsia="宋体" w:cs="宋体"/>
                <w:color w:val="000000"/>
                <w:sz w:val="18"/>
                <w:szCs w:val="18"/>
              </w:rPr>
            </w:pPr>
            <w:r>
              <w:rPr>
                <w:rFonts w:hint="eastAsia" w:ascii="宋体" w:hAnsi="宋体" w:eastAsia="宋体" w:cs="宋体"/>
                <w:color w:val="000000"/>
                <w:kern w:val="0"/>
                <w:sz w:val="18"/>
                <w:szCs w:val="18"/>
                <w:lang w:bidi="ar"/>
              </w:rPr>
              <w:t>场</w:t>
            </w:r>
          </w:p>
        </w:tc>
      </w:tr>
      <w:tr w14:paraId="5432B1B7">
        <w:tblPrEx>
          <w:tblCellMar>
            <w:top w:w="0" w:type="dxa"/>
            <w:left w:w="108" w:type="dxa"/>
            <w:bottom w:w="0" w:type="dxa"/>
            <w:right w:w="108" w:type="dxa"/>
          </w:tblCellMar>
        </w:tblPrEx>
        <w:trPr>
          <w:trHeight w:val="464" w:hRule="atLeast"/>
        </w:trPr>
        <w:tc>
          <w:tcPr>
            <w:tcW w:w="12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B67F16D">
            <w:pPr>
              <w:pageBreakBefore w:val="0"/>
              <w:kinsoku/>
              <w:wordWrap/>
              <w:overflowPunct/>
              <w:topLinePunct w:val="0"/>
              <w:autoSpaceDE/>
              <w:autoSpaceDN/>
              <w:bidi w:val="0"/>
              <w:spacing w:line="560" w:lineRule="atLeast"/>
              <w:jc w:val="center"/>
              <w:rPr>
                <w:rFonts w:hint="eastAsia" w:ascii="宋体" w:hAnsi="宋体" w:eastAsia="宋体" w:cs="宋体"/>
                <w:color w:val="000000"/>
                <w:sz w:val="18"/>
                <w:szCs w:val="18"/>
              </w:rPr>
            </w:pPr>
          </w:p>
        </w:tc>
        <w:tc>
          <w:tcPr>
            <w:tcW w:w="12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1CE48B6">
            <w:pPr>
              <w:pageBreakBefore w:val="0"/>
              <w:kinsoku/>
              <w:wordWrap/>
              <w:overflowPunct/>
              <w:topLinePunct w:val="0"/>
              <w:autoSpaceDE/>
              <w:autoSpaceDN/>
              <w:bidi w:val="0"/>
              <w:spacing w:line="560" w:lineRule="atLeast"/>
              <w:jc w:val="center"/>
              <w:rPr>
                <w:rFonts w:hint="eastAsia" w:ascii="宋体" w:hAnsi="宋体" w:eastAsia="宋体" w:cs="宋体"/>
                <w:color w:val="000000"/>
                <w:sz w:val="18"/>
                <w:szCs w:val="18"/>
              </w:rPr>
            </w:pPr>
          </w:p>
        </w:tc>
        <w:tc>
          <w:tcPr>
            <w:tcW w:w="2599" w:type="dxa"/>
            <w:tcBorders>
              <w:top w:val="single" w:color="000000" w:sz="4" w:space="0"/>
              <w:left w:val="single" w:color="000000" w:sz="4" w:space="0"/>
              <w:bottom w:val="single" w:color="000000" w:sz="4" w:space="0"/>
              <w:right w:val="single" w:color="000000" w:sz="4" w:space="0"/>
            </w:tcBorders>
            <w:noWrap w:val="0"/>
            <w:vAlign w:val="center"/>
          </w:tcPr>
          <w:p w14:paraId="44EFE577">
            <w:pPr>
              <w:pageBreakBefore w:val="0"/>
              <w:widowControl/>
              <w:kinsoku/>
              <w:wordWrap/>
              <w:overflowPunct/>
              <w:topLinePunct w:val="0"/>
              <w:autoSpaceDE/>
              <w:autoSpaceDN/>
              <w:bidi w:val="0"/>
              <w:spacing w:line="560" w:lineRule="atLeast"/>
              <w:jc w:val="center"/>
              <w:textAlignment w:val="center"/>
              <w:rPr>
                <w:rFonts w:hint="eastAsia" w:ascii="宋体" w:hAnsi="宋体" w:eastAsia="宋体" w:cs="宋体"/>
                <w:color w:val="000000"/>
                <w:sz w:val="18"/>
                <w:szCs w:val="18"/>
              </w:rPr>
            </w:pPr>
            <w:r>
              <w:rPr>
                <w:rFonts w:hint="eastAsia" w:ascii="宋体" w:hAnsi="宋体" w:eastAsia="宋体" w:cs="宋体"/>
                <w:color w:val="000000"/>
                <w:kern w:val="0"/>
                <w:sz w:val="18"/>
                <w:szCs w:val="18"/>
                <w:lang w:bidi="ar"/>
              </w:rPr>
              <w:t>完成演出舞台拆台</w:t>
            </w:r>
          </w:p>
        </w:tc>
        <w:tc>
          <w:tcPr>
            <w:tcW w:w="1283" w:type="dxa"/>
            <w:tcBorders>
              <w:top w:val="single" w:color="000000" w:sz="4" w:space="0"/>
              <w:left w:val="single" w:color="000000" w:sz="4" w:space="0"/>
              <w:bottom w:val="single" w:color="000000" w:sz="4" w:space="0"/>
              <w:right w:val="single" w:color="000000" w:sz="4" w:space="0"/>
            </w:tcBorders>
            <w:noWrap w:val="0"/>
            <w:vAlign w:val="center"/>
          </w:tcPr>
          <w:p w14:paraId="0576B960">
            <w:pPr>
              <w:pageBreakBefore w:val="0"/>
              <w:widowControl/>
              <w:kinsoku/>
              <w:wordWrap/>
              <w:overflowPunct/>
              <w:topLinePunct w:val="0"/>
              <w:autoSpaceDE/>
              <w:autoSpaceDN/>
              <w:bidi w:val="0"/>
              <w:spacing w:line="560" w:lineRule="atLeast"/>
              <w:jc w:val="center"/>
              <w:textAlignment w:val="center"/>
              <w:rPr>
                <w:rFonts w:hint="eastAsia" w:ascii="宋体" w:hAnsi="宋体" w:eastAsia="宋体" w:cs="宋体"/>
                <w:color w:val="000000"/>
                <w:sz w:val="18"/>
                <w:szCs w:val="18"/>
              </w:rPr>
            </w:pPr>
            <w:r>
              <w:rPr>
                <w:rFonts w:hint="eastAsia" w:ascii="宋体" w:hAnsi="宋体" w:eastAsia="宋体" w:cs="宋体"/>
                <w:color w:val="000000"/>
                <w:kern w:val="0"/>
                <w:sz w:val="18"/>
                <w:szCs w:val="18"/>
                <w:lang w:bidi="ar"/>
              </w:rPr>
              <w:t>＝</w:t>
            </w:r>
          </w:p>
        </w:tc>
        <w:tc>
          <w:tcPr>
            <w:tcW w:w="1283" w:type="dxa"/>
            <w:tcBorders>
              <w:top w:val="single" w:color="000000" w:sz="4" w:space="0"/>
              <w:left w:val="single" w:color="000000" w:sz="4" w:space="0"/>
              <w:bottom w:val="single" w:color="000000" w:sz="4" w:space="0"/>
              <w:right w:val="single" w:color="000000" w:sz="4" w:space="0"/>
            </w:tcBorders>
            <w:noWrap w:val="0"/>
            <w:vAlign w:val="center"/>
          </w:tcPr>
          <w:p w14:paraId="2C7F0223">
            <w:pPr>
              <w:pageBreakBefore w:val="0"/>
              <w:widowControl/>
              <w:kinsoku/>
              <w:wordWrap/>
              <w:overflowPunct/>
              <w:topLinePunct w:val="0"/>
              <w:autoSpaceDE/>
              <w:autoSpaceDN/>
              <w:bidi w:val="0"/>
              <w:spacing w:line="560" w:lineRule="atLeast"/>
              <w:jc w:val="center"/>
              <w:textAlignment w:val="center"/>
              <w:rPr>
                <w:rFonts w:hint="eastAsia" w:ascii="宋体" w:hAnsi="宋体" w:eastAsia="宋体" w:cs="宋体"/>
                <w:color w:val="000000"/>
                <w:sz w:val="18"/>
                <w:szCs w:val="18"/>
              </w:rPr>
            </w:pPr>
            <w:r>
              <w:rPr>
                <w:rFonts w:hint="eastAsia" w:ascii="宋体" w:hAnsi="宋体" w:eastAsia="宋体" w:cs="宋体"/>
                <w:color w:val="000000"/>
                <w:kern w:val="0"/>
                <w:sz w:val="18"/>
                <w:szCs w:val="18"/>
                <w:lang w:bidi="ar"/>
              </w:rPr>
              <w:t>1</w:t>
            </w:r>
          </w:p>
        </w:tc>
        <w:tc>
          <w:tcPr>
            <w:tcW w:w="1285" w:type="dxa"/>
            <w:tcBorders>
              <w:top w:val="single" w:color="000000" w:sz="4" w:space="0"/>
              <w:left w:val="single" w:color="000000" w:sz="4" w:space="0"/>
              <w:bottom w:val="single" w:color="000000" w:sz="4" w:space="0"/>
              <w:right w:val="single" w:color="000000" w:sz="4" w:space="0"/>
            </w:tcBorders>
            <w:noWrap w:val="0"/>
            <w:vAlign w:val="center"/>
          </w:tcPr>
          <w:p w14:paraId="07BA78CD">
            <w:pPr>
              <w:pageBreakBefore w:val="0"/>
              <w:widowControl/>
              <w:kinsoku/>
              <w:wordWrap/>
              <w:overflowPunct/>
              <w:topLinePunct w:val="0"/>
              <w:autoSpaceDE/>
              <w:autoSpaceDN/>
              <w:bidi w:val="0"/>
              <w:spacing w:line="560" w:lineRule="atLeast"/>
              <w:jc w:val="center"/>
              <w:textAlignment w:val="center"/>
              <w:rPr>
                <w:rFonts w:hint="eastAsia" w:ascii="宋体" w:hAnsi="宋体" w:eastAsia="宋体" w:cs="宋体"/>
                <w:color w:val="000000"/>
                <w:sz w:val="18"/>
                <w:szCs w:val="18"/>
              </w:rPr>
            </w:pPr>
            <w:r>
              <w:rPr>
                <w:rFonts w:hint="eastAsia" w:ascii="宋体" w:hAnsi="宋体" w:eastAsia="宋体" w:cs="宋体"/>
                <w:color w:val="000000"/>
                <w:kern w:val="0"/>
                <w:sz w:val="18"/>
                <w:szCs w:val="18"/>
                <w:lang w:bidi="ar"/>
              </w:rPr>
              <w:t>次</w:t>
            </w:r>
          </w:p>
        </w:tc>
      </w:tr>
      <w:tr w14:paraId="31346FA2">
        <w:tblPrEx>
          <w:tblCellMar>
            <w:top w:w="0" w:type="dxa"/>
            <w:left w:w="108" w:type="dxa"/>
            <w:bottom w:w="0" w:type="dxa"/>
            <w:right w:w="108" w:type="dxa"/>
          </w:tblCellMar>
        </w:tblPrEx>
        <w:trPr>
          <w:trHeight w:val="464" w:hRule="atLeast"/>
        </w:trPr>
        <w:tc>
          <w:tcPr>
            <w:tcW w:w="12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BBD9BAC">
            <w:pPr>
              <w:pageBreakBefore w:val="0"/>
              <w:kinsoku/>
              <w:wordWrap/>
              <w:overflowPunct/>
              <w:topLinePunct w:val="0"/>
              <w:autoSpaceDE/>
              <w:autoSpaceDN/>
              <w:bidi w:val="0"/>
              <w:spacing w:line="560" w:lineRule="atLeast"/>
              <w:jc w:val="center"/>
              <w:rPr>
                <w:rFonts w:hint="eastAsia" w:ascii="宋体" w:hAnsi="宋体" w:eastAsia="宋体" w:cs="宋体"/>
                <w:color w:val="000000"/>
                <w:sz w:val="18"/>
                <w:szCs w:val="18"/>
              </w:rPr>
            </w:pPr>
          </w:p>
        </w:tc>
        <w:tc>
          <w:tcPr>
            <w:tcW w:w="12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BD505DF">
            <w:pPr>
              <w:pageBreakBefore w:val="0"/>
              <w:kinsoku/>
              <w:wordWrap/>
              <w:overflowPunct/>
              <w:topLinePunct w:val="0"/>
              <w:autoSpaceDE/>
              <w:autoSpaceDN/>
              <w:bidi w:val="0"/>
              <w:spacing w:line="560" w:lineRule="atLeast"/>
              <w:jc w:val="center"/>
              <w:rPr>
                <w:rFonts w:hint="eastAsia" w:ascii="宋体" w:hAnsi="宋体" w:eastAsia="宋体" w:cs="宋体"/>
                <w:color w:val="000000"/>
                <w:sz w:val="18"/>
                <w:szCs w:val="18"/>
              </w:rPr>
            </w:pPr>
          </w:p>
        </w:tc>
        <w:tc>
          <w:tcPr>
            <w:tcW w:w="2599" w:type="dxa"/>
            <w:tcBorders>
              <w:top w:val="single" w:color="000000" w:sz="4" w:space="0"/>
              <w:left w:val="single" w:color="000000" w:sz="4" w:space="0"/>
              <w:bottom w:val="single" w:color="000000" w:sz="4" w:space="0"/>
              <w:right w:val="single" w:color="000000" w:sz="4" w:space="0"/>
            </w:tcBorders>
            <w:noWrap w:val="0"/>
            <w:vAlign w:val="center"/>
          </w:tcPr>
          <w:p w14:paraId="2A5CBE77">
            <w:pPr>
              <w:pageBreakBefore w:val="0"/>
              <w:widowControl/>
              <w:kinsoku/>
              <w:wordWrap/>
              <w:overflowPunct/>
              <w:topLinePunct w:val="0"/>
              <w:autoSpaceDE/>
              <w:autoSpaceDN/>
              <w:bidi w:val="0"/>
              <w:spacing w:line="560" w:lineRule="atLeast"/>
              <w:jc w:val="center"/>
              <w:textAlignment w:val="center"/>
              <w:rPr>
                <w:rFonts w:hint="eastAsia" w:ascii="宋体" w:hAnsi="宋体" w:eastAsia="宋体" w:cs="宋体"/>
                <w:color w:val="000000"/>
                <w:sz w:val="18"/>
                <w:szCs w:val="18"/>
              </w:rPr>
            </w:pPr>
            <w:r>
              <w:rPr>
                <w:rFonts w:hint="eastAsia" w:ascii="宋体" w:hAnsi="宋体" w:eastAsia="宋体" w:cs="宋体"/>
                <w:color w:val="000000"/>
                <w:kern w:val="0"/>
                <w:sz w:val="18"/>
                <w:szCs w:val="18"/>
                <w:lang w:bidi="ar"/>
              </w:rPr>
              <w:t>完成演出舞台装台</w:t>
            </w:r>
          </w:p>
        </w:tc>
        <w:tc>
          <w:tcPr>
            <w:tcW w:w="1283" w:type="dxa"/>
            <w:tcBorders>
              <w:top w:val="single" w:color="000000" w:sz="4" w:space="0"/>
              <w:left w:val="single" w:color="000000" w:sz="4" w:space="0"/>
              <w:bottom w:val="single" w:color="000000" w:sz="4" w:space="0"/>
              <w:right w:val="single" w:color="000000" w:sz="4" w:space="0"/>
            </w:tcBorders>
            <w:noWrap w:val="0"/>
            <w:vAlign w:val="center"/>
          </w:tcPr>
          <w:p w14:paraId="348E130F">
            <w:pPr>
              <w:pageBreakBefore w:val="0"/>
              <w:widowControl/>
              <w:kinsoku/>
              <w:wordWrap/>
              <w:overflowPunct/>
              <w:topLinePunct w:val="0"/>
              <w:autoSpaceDE/>
              <w:autoSpaceDN/>
              <w:bidi w:val="0"/>
              <w:spacing w:line="560" w:lineRule="atLeast"/>
              <w:jc w:val="center"/>
              <w:textAlignment w:val="center"/>
              <w:rPr>
                <w:rFonts w:hint="eastAsia" w:ascii="宋体" w:hAnsi="宋体" w:eastAsia="宋体" w:cs="宋体"/>
                <w:color w:val="000000"/>
                <w:sz w:val="18"/>
                <w:szCs w:val="18"/>
              </w:rPr>
            </w:pPr>
            <w:r>
              <w:rPr>
                <w:rFonts w:hint="eastAsia" w:ascii="宋体" w:hAnsi="宋体" w:eastAsia="宋体" w:cs="宋体"/>
                <w:color w:val="000000"/>
                <w:kern w:val="0"/>
                <w:sz w:val="18"/>
                <w:szCs w:val="18"/>
                <w:lang w:bidi="ar"/>
              </w:rPr>
              <w:t>＝</w:t>
            </w:r>
          </w:p>
        </w:tc>
        <w:tc>
          <w:tcPr>
            <w:tcW w:w="1283" w:type="dxa"/>
            <w:tcBorders>
              <w:top w:val="single" w:color="000000" w:sz="4" w:space="0"/>
              <w:left w:val="single" w:color="000000" w:sz="4" w:space="0"/>
              <w:bottom w:val="single" w:color="000000" w:sz="4" w:space="0"/>
              <w:right w:val="single" w:color="000000" w:sz="4" w:space="0"/>
            </w:tcBorders>
            <w:noWrap w:val="0"/>
            <w:vAlign w:val="center"/>
          </w:tcPr>
          <w:p w14:paraId="10806BD5">
            <w:pPr>
              <w:pageBreakBefore w:val="0"/>
              <w:widowControl/>
              <w:kinsoku/>
              <w:wordWrap/>
              <w:overflowPunct/>
              <w:topLinePunct w:val="0"/>
              <w:autoSpaceDE/>
              <w:autoSpaceDN/>
              <w:bidi w:val="0"/>
              <w:spacing w:line="560" w:lineRule="atLeast"/>
              <w:jc w:val="center"/>
              <w:textAlignment w:val="center"/>
              <w:rPr>
                <w:rFonts w:hint="eastAsia" w:ascii="宋体" w:hAnsi="宋体" w:eastAsia="宋体" w:cs="宋体"/>
                <w:color w:val="000000"/>
                <w:sz w:val="18"/>
                <w:szCs w:val="18"/>
              </w:rPr>
            </w:pPr>
            <w:r>
              <w:rPr>
                <w:rFonts w:hint="eastAsia" w:ascii="宋体" w:hAnsi="宋体" w:eastAsia="宋体" w:cs="宋体"/>
                <w:color w:val="000000"/>
                <w:kern w:val="0"/>
                <w:sz w:val="18"/>
                <w:szCs w:val="18"/>
                <w:lang w:bidi="ar"/>
              </w:rPr>
              <w:t>1</w:t>
            </w:r>
          </w:p>
        </w:tc>
        <w:tc>
          <w:tcPr>
            <w:tcW w:w="1285" w:type="dxa"/>
            <w:tcBorders>
              <w:top w:val="single" w:color="000000" w:sz="4" w:space="0"/>
              <w:left w:val="single" w:color="000000" w:sz="4" w:space="0"/>
              <w:bottom w:val="single" w:color="000000" w:sz="4" w:space="0"/>
              <w:right w:val="single" w:color="000000" w:sz="4" w:space="0"/>
            </w:tcBorders>
            <w:noWrap w:val="0"/>
            <w:vAlign w:val="center"/>
          </w:tcPr>
          <w:p w14:paraId="12E1979A">
            <w:pPr>
              <w:pageBreakBefore w:val="0"/>
              <w:widowControl/>
              <w:kinsoku/>
              <w:wordWrap/>
              <w:overflowPunct/>
              <w:topLinePunct w:val="0"/>
              <w:autoSpaceDE/>
              <w:autoSpaceDN/>
              <w:bidi w:val="0"/>
              <w:spacing w:line="560" w:lineRule="atLeast"/>
              <w:jc w:val="center"/>
              <w:textAlignment w:val="center"/>
              <w:rPr>
                <w:rFonts w:hint="eastAsia" w:ascii="宋体" w:hAnsi="宋体" w:eastAsia="宋体" w:cs="宋体"/>
                <w:color w:val="000000"/>
                <w:sz w:val="18"/>
                <w:szCs w:val="18"/>
              </w:rPr>
            </w:pPr>
            <w:r>
              <w:rPr>
                <w:rFonts w:hint="eastAsia" w:ascii="宋体" w:hAnsi="宋体" w:eastAsia="宋体" w:cs="宋体"/>
                <w:color w:val="000000"/>
                <w:kern w:val="0"/>
                <w:sz w:val="18"/>
                <w:szCs w:val="18"/>
                <w:lang w:bidi="ar"/>
              </w:rPr>
              <w:t>次</w:t>
            </w:r>
          </w:p>
        </w:tc>
      </w:tr>
      <w:tr w14:paraId="65766608">
        <w:tblPrEx>
          <w:tblCellMar>
            <w:top w:w="0" w:type="dxa"/>
            <w:left w:w="108" w:type="dxa"/>
            <w:bottom w:w="0" w:type="dxa"/>
            <w:right w:w="108" w:type="dxa"/>
          </w:tblCellMar>
        </w:tblPrEx>
        <w:trPr>
          <w:trHeight w:val="464" w:hRule="atLeast"/>
        </w:trPr>
        <w:tc>
          <w:tcPr>
            <w:tcW w:w="12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2FA2C0C">
            <w:pPr>
              <w:pageBreakBefore w:val="0"/>
              <w:kinsoku/>
              <w:wordWrap/>
              <w:overflowPunct/>
              <w:topLinePunct w:val="0"/>
              <w:autoSpaceDE/>
              <w:autoSpaceDN/>
              <w:bidi w:val="0"/>
              <w:spacing w:line="560" w:lineRule="atLeast"/>
              <w:jc w:val="center"/>
              <w:rPr>
                <w:rFonts w:hint="eastAsia" w:ascii="宋体" w:hAnsi="宋体" w:eastAsia="宋体" w:cs="宋体"/>
                <w:color w:val="000000"/>
                <w:sz w:val="18"/>
                <w:szCs w:val="18"/>
              </w:rPr>
            </w:pPr>
          </w:p>
        </w:tc>
        <w:tc>
          <w:tcPr>
            <w:tcW w:w="1283" w:type="dxa"/>
            <w:tcBorders>
              <w:top w:val="single" w:color="000000" w:sz="4" w:space="0"/>
              <w:left w:val="single" w:color="000000" w:sz="4" w:space="0"/>
              <w:bottom w:val="single" w:color="000000" w:sz="4" w:space="0"/>
              <w:right w:val="single" w:color="000000" w:sz="4" w:space="0"/>
            </w:tcBorders>
            <w:noWrap w:val="0"/>
            <w:vAlign w:val="center"/>
          </w:tcPr>
          <w:p w14:paraId="6AAEAB7D">
            <w:pPr>
              <w:pageBreakBefore w:val="0"/>
              <w:widowControl/>
              <w:kinsoku/>
              <w:wordWrap/>
              <w:overflowPunct/>
              <w:topLinePunct w:val="0"/>
              <w:autoSpaceDE/>
              <w:autoSpaceDN/>
              <w:bidi w:val="0"/>
              <w:spacing w:line="560" w:lineRule="atLeast"/>
              <w:jc w:val="center"/>
              <w:textAlignment w:val="center"/>
              <w:rPr>
                <w:rFonts w:hint="eastAsia" w:ascii="宋体" w:hAnsi="宋体" w:eastAsia="宋体" w:cs="宋体"/>
                <w:color w:val="000000"/>
                <w:sz w:val="18"/>
                <w:szCs w:val="18"/>
              </w:rPr>
            </w:pPr>
            <w:r>
              <w:rPr>
                <w:rFonts w:hint="eastAsia" w:ascii="宋体" w:hAnsi="宋体" w:eastAsia="宋体" w:cs="宋体"/>
                <w:color w:val="000000"/>
                <w:kern w:val="0"/>
                <w:sz w:val="18"/>
                <w:szCs w:val="18"/>
                <w:lang w:bidi="ar"/>
              </w:rPr>
              <w:t>质量指标</w:t>
            </w:r>
          </w:p>
        </w:tc>
        <w:tc>
          <w:tcPr>
            <w:tcW w:w="2599" w:type="dxa"/>
            <w:tcBorders>
              <w:top w:val="single" w:color="000000" w:sz="4" w:space="0"/>
              <w:left w:val="single" w:color="000000" w:sz="4" w:space="0"/>
              <w:bottom w:val="single" w:color="000000" w:sz="4" w:space="0"/>
              <w:right w:val="single" w:color="000000" w:sz="4" w:space="0"/>
            </w:tcBorders>
            <w:noWrap w:val="0"/>
            <w:vAlign w:val="center"/>
          </w:tcPr>
          <w:p w14:paraId="69BC9891">
            <w:pPr>
              <w:pageBreakBefore w:val="0"/>
              <w:widowControl/>
              <w:kinsoku/>
              <w:wordWrap/>
              <w:overflowPunct/>
              <w:topLinePunct w:val="0"/>
              <w:autoSpaceDE/>
              <w:autoSpaceDN/>
              <w:bidi w:val="0"/>
              <w:spacing w:line="560" w:lineRule="atLeast"/>
              <w:jc w:val="center"/>
              <w:textAlignment w:val="center"/>
              <w:rPr>
                <w:rFonts w:hint="eastAsia" w:ascii="宋体" w:hAnsi="宋体" w:eastAsia="宋体" w:cs="宋体"/>
                <w:color w:val="000000"/>
                <w:sz w:val="18"/>
                <w:szCs w:val="18"/>
              </w:rPr>
            </w:pPr>
            <w:r>
              <w:rPr>
                <w:rFonts w:hint="eastAsia" w:ascii="宋体" w:hAnsi="宋体" w:eastAsia="宋体" w:cs="宋体"/>
                <w:color w:val="000000"/>
                <w:kern w:val="0"/>
                <w:sz w:val="18"/>
                <w:szCs w:val="18"/>
                <w:lang w:bidi="ar"/>
              </w:rPr>
              <w:t>演出舞台装台合格率</w:t>
            </w:r>
          </w:p>
        </w:tc>
        <w:tc>
          <w:tcPr>
            <w:tcW w:w="1283" w:type="dxa"/>
            <w:tcBorders>
              <w:top w:val="single" w:color="000000" w:sz="4" w:space="0"/>
              <w:left w:val="single" w:color="000000" w:sz="4" w:space="0"/>
              <w:bottom w:val="single" w:color="000000" w:sz="4" w:space="0"/>
              <w:right w:val="single" w:color="000000" w:sz="4" w:space="0"/>
            </w:tcBorders>
            <w:noWrap w:val="0"/>
            <w:vAlign w:val="center"/>
          </w:tcPr>
          <w:p w14:paraId="4B754C73">
            <w:pPr>
              <w:pageBreakBefore w:val="0"/>
              <w:widowControl/>
              <w:kinsoku/>
              <w:wordWrap/>
              <w:overflowPunct/>
              <w:topLinePunct w:val="0"/>
              <w:autoSpaceDE/>
              <w:autoSpaceDN/>
              <w:bidi w:val="0"/>
              <w:spacing w:line="560" w:lineRule="atLeast"/>
              <w:jc w:val="center"/>
              <w:textAlignment w:val="center"/>
              <w:rPr>
                <w:rFonts w:hint="eastAsia" w:ascii="宋体" w:hAnsi="宋体" w:eastAsia="宋体" w:cs="宋体"/>
                <w:color w:val="000000"/>
                <w:sz w:val="18"/>
                <w:szCs w:val="18"/>
              </w:rPr>
            </w:pPr>
            <w:r>
              <w:rPr>
                <w:rFonts w:hint="eastAsia" w:ascii="宋体" w:hAnsi="宋体" w:eastAsia="宋体" w:cs="宋体"/>
                <w:color w:val="000000"/>
                <w:kern w:val="0"/>
                <w:sz w:val="18"/>
                <w:szCs w:val="18"/>
                <w:lang w:bidi="ar"/>
              </w:rPr>
              <w:t>＝</w:t>
            </w:r>
          </w:p>
        </w:tc>
        <w:tc>
          <w:tcPr>
            <w:tcW w:w="1283" w:type="dxa"/>
            <w:tcBorders>
              <w:top w:val="single" w:color="000000" w:sz="4" w:space="0"/>
              <w:left w:val="single" w:color="000000" w:sz="4" w:space="0"/>
              <w:bottom w:val="single" w:color="000000" w:sz="4" w:space="0"/>
              <w:right w:val="single" w:color="000000" w:sz="4" w:space="0"/>
            </w:tcBorders>
            <w:noWrap w:val="0"/>
            <w:vAlign w:val="center"/>
          </w:tcPr>
          <w:p w14:paraId="0810B655">
            <w:pPr>
              <w:pageBreakBefore w:val="0"/>
              <w:widowControl/>
              <w:kinsoku/>
              <w:wordWrap/>
              <w:overflowPunct/>
              <w:topLinePunct w:val="0"/>
              <w:autoSpaceDE/>
              <w:autoSpaceDN/>
              <w:bidi w:val="0"/>
              <w:spacing w:line="560" w:lineRule="atLeast"/>
              <w:jc w:val="center"/>
              <w:textAlignment w:val="center"/>
              <w:rPr>
                <w:rFonts w:hint="eastAsia" w:ascii="宋体" w:hAnsi="宋体" w:eastAsia="宋体" w:cs="宋体"/>
                <w:color w:val="000000"/>
                <w:sz w:val="18"/>
                <w:szCs w:val="18"/>
              </w:rPr>
            </w:pPr>
            <w:r>
              <w:rPr>
                <w:rFonts w:hint="eastAsia" w:ascii="宋体" w:hAnsi="宋体" w:eastAsia="宋体" w:cs="宋体"/>
                <w:color w:val="000000"/>
                <w:kern w:val="0"/>
                <w:sz w:val="18"/>
                <w:szCs w:val="18"/>
                <w:lang w:bidi="ar"/>
              </w:rPr>
              <w:t>100</w:t>
            </w:r>
          </w:p>
        </w:tc>
        <w:tc>
          <w:tcPr>
            <w:tcW w:w="1285" w:type="dxa"/>
            <w:tcBorders>
              <w:top w:val="single" w:color="000000" w:sz="4" w:space="0"/>
              <w:left w:val="single" w:color="000000" w:sz="4" w:space="0"/>
              <w:bottom w:val="single" w:color="000000" w:sz="4" w:space="0"/>
              <w:right w:val="single" w:color="000000" w:sz="4" w:space="0"/>
            </w:tcBorders>
            <w:noWrap w:val="0"/>
            <w:vAlign w:val="center"/>
          </w:tcPr>
          <w:p w14:paraId="5D0FC9D1">
            <w:pPr>
              <w:pageBreakBefore w:val="0"/>
              <w:widowControl/>
              <w:kinsoku/>
              <w:wordWrap/>
              <w:overflowPunct/>
              <w:topLinePunct w:val="0"/>
              <w:autoSpaceDE/>
              <w:autoSpaceDN/>
              <w:bidi w:val="0"/>
              <w:spacing w:line="560" w:lineRule="atLeast"/>
              <w:jc w:val="center"/>
              <w:textAlignment w:val="center"/>
              <w:rPr>
                <w:rFonts w:hint="eastAsia" w:ascii="宋体" w:hAnsi="宋体" w:eastAsia="宋体" w:cs="宋体"/>
                <w:color w:val="000000"/>
                <w:sz w:val="18"/>
                <w:szCs w:val="18"/>
              </w:rPr>
            </w:pPr>
            <w:r>
              <w:rPr>
                <w:rFonts w:hint="eastAsia" w:ascii="宋体" w:hAnsi="宋体" w:eastAsia="宋体" w:cs="宋体"/>
                <w:color w:val="000000"/>
                <w:kern w:val="0"/>
                <w:sz w:val="18"/>
                <w:szCs w:val="18"/>
                <w:lang w:bidi="ar"/>
              </w:rPr>
              <w:t>%</w:t>
            </w:r>
          </w:p>
        </w:tc>
      </w:tr>
      <w:tr w14:paraId="2148A600">
        <w:tblPrEx>
          <w:tblCellMar>
            <w:top w:w="0" w:type="dxa"/>
            <w:left w:w="108" w:type="dxa"/>
            <w:bottom w:w="0" w:type="dxa"/>
            <w:right w:w="108" w:type="dxa"/>
          </w:tblCellMar>
        </w:tblPrEx>
        <w:trPr>
          <w:trHeight w:val="895" w:hRule="atLeast"/>
        </w:trPr>
        <w:tc>
          <w:tcPr>
            <w:tcW w:w="1283" w:type="dxa"/>
            <w:tcBorders>
              <w:top w:val="single" w:color="000000" w:sz="4" w:space="0"/>
              <w:left w:val="single" w:color="000000" w:sz="4" w:space="0"/>
              <w:bottom w:val="single" w:color="000000" w:sz="4" w:space="0"/>
              <w:right w:val="single" w:color="000000" w:sz="4" w:space="0"/>
            </w:tcBorders>
            <w:noWrap w:val="0"/>
            <w:vAlign w:val="center"/>
          </w:tcPr>
          <w:p w14:paraId="2EB296E7">
            <w:pPr>
              <w:pageBreakBefore w:val="0"/>
              <w:widowControl/>
              <w:kinsoku/>
              <w:wordWrap/>
              <w:overflowPunct/>
              <w:topLinePunct w:val="0"/>
              <w:autoSpaceDE/>
              <w:autoSpaceDN/>
              <w:bidi w:val="0"/>
              <w:spacing w:line="560" w:lineRule="atLeast"/>
              <w:jc w:val="center"/>
              <w:textAlignment w:val="center"/>
              <w:rPr>
                <w:rFonts w:hint="eastAsia" w:ascii="宋体" w:hAnsi="宋体" w:eastAsia="宋体" w:cs="宋体"/>
                <w:color w:val="000000"/>
                <w:sz w:val="18"/>
                <w:szCs w:val="18"/>
              </w:rPr>
            </w:pPr>
            <w:r>
              <w:rPr>
                <w:rFonts w:hint="eastAsia" w:ascii="宋体" w:hAnsi="宋体" w:eastAsia="宋体" w:cs="宋体"/>
                <w:color w:val="000000"/>
                <w:kern w:val="0"/>
                <w:sz w:val="18"/>
                <w:szCs w:val="18"/>
                <w:lang w:bidi="ar"/>
              </w:rPr>
              <w:t>效益指标</w:t>
            </w:r>
          </w:p>
        </w:tc>
        <w:tc>
          <w:tcPr>
            <w:tcW w:w="1283" w:type="dxa"/>
            <w:tcBorders>
              <w:top w:val="single" w:color="000000" w:sz="4" w:space="0"/>
              <w:left w:val="single" w:color="000000" w:sz="4" w:space="0"/>
              <w:bottom w:val="single" w:color="000000" w:sz="4" w:space="0"/>
              <w:right w:val="single" w:color="000000" w:sz="4" w:space="0"/>
            </w:tcBorders>
            <w:noWrap w:val="0"/>
            <w:vAlign w:val="center"/>
          </w:tcPr>
          <w:p w14:paraId="234061DC">
            <w:pPr>
              <w:pageBreakBefore w:val="0"/>
              <w:widowControl/>
              <w:kinsoku/>
              <w:wordWrap/>
              <w:overflowPunct/>
              <w:topLinePunct w:val="0"/>
              <w:autoSpaceDE/>
              <w:autoSpaceDN/>
              <w:bidi w:val="0"/>
              <w:spacing w:line="560" w:lineRule="atLeast"/>
              <w:jc w:val="center"/>
              <w:textAlignment w:val="center"/>
              <w:rPr>
                <w:rFonts w:hint="eastAsia" w:ascii="宋体" w:hAnsi="宋体" w:eastAsia="宋体" w:cs="宋体"/>
                <w:color w:val="000000"/>
                <w:sz w:val="18"/>
                <w:szCs w:val="18"/>
              </w:rPr>
            </w:pPr>
            <w:r>
              <w:rPr>
                <w:rFonts w:hint="eastAsia" w:ascii="宋体" w:hAnsi="宋体" w:eastAsia="宋体" w:cs="宋体"/>
                <w:color w:val="000000"/>
                <w:kern w:val="0"/>
                <w:sz w:val="18"/>
                <w:szCs w:val="18"/>
                <w:lang w:bidi="ar"/>
              </w:rPr>
              <w:t>社会效益指标</w:t>
            </w:r>
          </w:p>
        </w:tc>
        <w:tc>
          <w:tcPr>
            <w:tcW w:w="2599" w:type="dxa"/>
            <w:tcBorders>
              <w:top w:val="single" w:color="000000" w:sz="4" w:space="0"/>
              <w:left w:val="single" w:color="000000" w:sz="4" w:space="0"/>
              <w:bottom w:val="single" w:color="000000" w:sz="4" w:space="0"/>
              <w:right w:val="single" w:color="000000" w:sz="4" w:space="0"/>
            </w:tcBorders>
            <w:noWrap w:val="0"/>
            <w:vAlign w:val="center"/>
          </w:tcPr>
          <w:p w14:paraId="10521CC7">
            <w:pPr>
              <w:pageBreakBefore w:val="0"/>
              <w:widowControl/>
              <w:kinsoku/>
              <w:wordWrap/>
              <w:overflowPunct/>
              <w:topLinePunct w:val="0"/>
              <w:autoSpaceDE/>
              <w:autoSpaceDN/>
              <w:bidi w:val="0"/>
              <w:spacing w:line="560" w:lineRule="atLeast"/>
              <w:jc w:val="center"/>
              <w:textAlignment w:val="center"/>
              <w:rPr>
                <w:rFonts w:hint="eastAsia" w:ascii="宋体" w:hAnsi="宋体" w:eastAsia="宋体" w:cs="宋体"/>
                <w:color w:val="000000"/>
                <w:sz w:val="18"/>
                <w:szCs w:val="18"/>
              </w:rPr>
            </w:pPr>
            <w:r>
              <w:rPr>
                <w:rFonts w:hint="eastAsia" w:ascii="宋体" w:hAnsi="宋体" w:eastAsia="宋体" w:cs="宋体"/>
                <w:color w:val="000000"/>
                <w:kern w:val="0"/>
                <w:sz w:val="18"/>
                <w:szCs w:val="18"/>
                <w:lang w:bidi="ar"/>
              </w:rPr>
              <w:t>推广民族文化，让更多的人了解牦牛革命的伟大事迹</w:t>
            </w:r>
          </w:p>
        </w:tc>
        <w:tc>
          <w:tcPr>
            <w:tcW w:w="1283" w:type="dxa"/>
            <w:tcBorders>
              <w:top w:val="single" w:color="000000" w:sz="4" w:space="0"/>
              <w:left w:val="single" w:color="000000" w:sz="4" w:space="0"/>
              <w:bottom w:val="single" w:color="000000" w:sz="4" w:space="0"/>
              <w:right w:val="single" w:color="000000" w:sz="4" w:space="0"/>
            </w:tcBorders>
            <w:noWrap w:val="0"/>
            <w:vAlign w:val="center"/>
          </w:tcPr>
          <w:p w14:paraId="749BA114">
            <w:pPr>
              <w:pageBreakBefore w:val="0"/>
              <w:widowControl/>
              <w:kinsoku/>
              <w:wordWrap/>
              <w:overflowPunct/>
              <w:topLinePunct w:val="0"/>
              <w:autoSpaceDE/>
              <w:autoSpaceDN/>
              <w:bidi w:val="0"/>
              <w:spacing w:line="560" w:lineRule="atLeast"/>
              <w:jc w:val="center"/>
              <w:textAlignment w:val="center"/>
              <w:rPr>
                <w:rFonts w:hint="eastAsia" w:ascii="宋体" w:hAnsi="宋体" w:eastAsia="宋体" w:cs="宋体"/>
                <w:color w:val="000000"/>
                <w:sz w:val="18"/>
                <w:szCs w:val="18"/>
              </w:rPr>
            </w:pPr>
            <w:r>
              <w:rPr>
                <w:rFonts w:hint="eastAsia" w:ascii="宋体" w:hAnsi="宋体" w:eastAsia="宋体" w:cs="宋体"/>
                <w:color w:val="000000"/>
                <w:kern w:val="0"/>
                <w:sz w:val="18"/>
                <w:szCs w:val="18"/>
                <w:lang w:bidi="ar"/>
              </w:rPr>
              <w:t>定性</w:t>
            </w:r>
          </w:p>
        </w:tc>
        <w:tc>
          <w:tcPr>
            <w:tcW w:w="1283" w:type="dxa"/>
            <w:tcBorders>
              <w:top w:val="single" w:color="000000" w:sz="4" w:space="0"/>
              <w:left w:val="single" w:color="000000" w:sz="4" w:space="0"/>
              <w:bottom w:val="single" w:color="000000" w:sz="4" w:space="0"/>
              <w:right w:val="single" w:color="000000" w:sz="4" w:space="0"/>
            </w:tcBorders>
            <w:noWrap w:val="0"/>
            <w:vAlign w:val="center"/>
          </w:tcPr>
          <w:p w14:paraId="74781C6A">
            <w:pPr>
              <w:pageBreakBefore w:val="0"/>
              <w:widowControl/>
              <w:kinsoku/>
              <w:wordWrap/>
              <w:overflowPunct/>
              <w:topLinePunct w:val="0"/>
              <w:autoSpaceDE/>
              <w:autoSpaceDN/>
              <w:bidi w:val="0"/>
              <w:spacing w:line="560" w:lineRule="atLeast"/>
              <w:jc w:val="center"/>
              <w:textAlignment w:val="center"/>
              <w:rPr>
                <w:rFonts w:hint="eastAsia" w:ascii="宋体" w:hAnsi="宋体" w:eastAsia="宋体" w:cs="宋体"/>
                <w:color w:val="000000"/>
                <w:sz w:val="18"/>
                <w:szCs w:val="18"/>
              </w:rPr>
            </w:pPr>
            <w:r>
              <w:rPr>
                <w:rFonts w:hint="eastAsia" w:ascii="宋体" w:hAnsi="宋体" w:eastAsia="宋体" w:cs="宋体"/>
                <w:color w:val="000000"/>
                <w:kern w:val="0"/>
                <w:sz w:val="18"/>
                <w:szCs w:val="18"/>
                <w:lang w:bidi="ar"/>
              </w:rPr>
              <w:t>效果显著</w:t>
            </w:r>
          </w:p>
        </w:tc>
        <w:tc>
          <w:tcPr>
            <w:tcW w:w="1285" w:type="dxa"/>
            <w:tcBorders>
              <w:top w:val="single" w:color="000000" w:sz="4" w:space="0"/>
              <w:left w:val="single" w:color="000000" w:sz="4" w:space="0"/>
              <w:bottom w:val="single" w:color="000000" w:sz="4" w:space="0"/>
              <w:right w:val="single" w:color="000000" w:sz="4" w:space="0"/>
            </w:tcBorders>
            <w:noWrap w:val="0"/>
            <w:vAlign w:val="center"/>
          </w:tcPr>
          <w:p w14:paraId="1531BB9E">
            <w:pPr>
              <w:pageBreakBefore w:val="0"/>
              <w:kinsoku/>
              <w:wordWrap/>
              <w:overflowPunct/>
              <w:topLinePunct w:val="0"/>
              <w:autoSpaceDE/>
              <w:autoSpaceDN/>
              <w:bidi w:val="0"/>
              <w:spacing w:line="560" w:lineRule="atLeast"/>
              <w:jc w:val="center"/>
              <w:rPr>
                <w:rFonts w:hint="eastAsia" w:ascii="宋体" w:hAnsi="宋体" w:eastAsia="宋体" w:cs="宋体"/>
                <w:color w:val="000000"/>
                <w:sz w:val="18"/>
                <w:szCs w:val="18"/>
              </w:rPr>
            </w:pPr>
          </w:p>
        </w:tc>
      </w:tr>
      <w:tr w14:paraId="6CCF4DB1">
        <w:tblPrEx>
          <w:tblCellMar>
            <w:top w:w="0" w:type="dxa"/>
            <w:left w:w="108" w:type="dxa"/>
            <w:bottom w:w="0" w:type="dxa"/>
            <w:right w:w="108" w:type="dxa"/>
          </w:tblCellMar>
        </w:tblPrEx>
        <w:trPr>
          <w:trHeight w:val="718" w:hRule="atLeast"/>
        </w:trPr>
        <w:tc>
          <w:tcPr>
            <w:tcW w:w="1283" w:type="dxa"/>
            <w:tcBorders>
              <w:top w:val="single" w:color="000000" w:sz="4" w:space="0"/>
              <w:left w:val="single" w:color="000000" w:sz="4" w:space="0"/>
              <w:bottom w:val="single" w:color="000000" w:sz="4" w:space="0"/>
              <w:right w:val="single" w:color="000000" w:sz="4" w:space="0"/>
            </w:tcBorders>
            <w:noWrap w:val="0"/>
            <w:vAlign w:val="center"/>
          </w:tcPr>
          <w:p w14:paraId="7BDFAAC7">
            <w:pPr>
              <w:pageBreakBefore w:val="0"/>
              <w:widowControl/>
              <w:kinsoku/>
              <w:wordWrap/>
              <w:overflowPunct/>
              <w:topLinePunct w:val="0"/>
              <w:autoSpaceDE/>
              <w:autoSpaceDN/>
              <w:bidi w:val="0"/>
              <w:spacing w:line="560" w:lineRule="atLeast"/>
              <w:jc w:val="center"/>
              <w:textAlignment w:val="center"/>
              <w:rPr>
                <w:rFonts w:hint="eastAsia" w:ascii="宋体" w:hAnsi="宋体" w:eastAsia="宋体" w:cs="宋体"/>
                <w:color w:val="000000"/>
                <w:sz w:val="18"/>
                <w:szCs w:val="18"/>
              </w:rPr>
            </w:pPr>
            <w:r>
              <w:rPr>
                <w:rFonts w:hint="eastAsia" w:ascii="宋体" w:hAnsi="宋体" w:eastAsia="宋体" w:cs="宋体"/>
                <w:color w:val="000000"/>
                <w:kern w:val="0"/>
                <w:sz w:val="18"/>
                <w:szCs w:val="18"/>
                <w:lang w:bidi="ar"/>
              </w:rPr>
              <w:t>满意度指标</w:t>
            </w:r>
          </w:p>
        </w:tc>
        <w:tc>
          <w:tcPr>
            <w:tcW w:w="1283" w:type="dxa"/>
            <w:tcBorders>
              <w:top w:val="single" w:color="000000" w:sz="4" w:space="0"/>
              <w:left w:val="single" w:color="000000" w:sz="4" w:space="0"/>
              <w:bottom w:val="single" w:color="000000" w:sz="4" w:space="0"/>
              <w:right w:val="single" w:color="000000" w:sz="4" w:space="0"/>
            </w:tcBorders>
            <w:noWrap w:val="0"/>
            <w:vAlign w:val="center"/>
          </w:tcPr>
          <w:p w14:paraId="49168918">
            <w:pPr>
              <w:pageBreakBefore w:val="0"/>
              <w:widowControl/>
              <w:kinsoku/>
              <w:wordWrap/>
              <w:overflowPunct/>
              <w:topLinePunct w:val="0"/>
              <w:autoSpaceDE/>
              <w:autoSpaceDN/>
              <w:bidi w:val="0"/>
              <w:spacing w:line="560" w:lineRule="atLeast"/>
              <w:jc w:val="center"/>
              <w:textAlignment w:val="center"/>
              <w:rPr>
                <w:rFonts w:hint="eastAsia" w:ascii="宋体" w:hAnsi="宋体" w:eastAsia="宋体" w:cs="宋体"/>
                <w:color w:val="000000"/>
                <w:sz w:val="18"/>
                <w:szCs w:val="18"/>
              </w:rPr>
            </w:pPr>
            <w:r>
              <w:rPr>
                <w:rFonts w:hint="eastAsia" w:ascii="宋体" w:hAnsi="宋体" w:eastAsia="宋体" w:cs="宋体"/>
                <w:color w:val="000000"/>
                <w:kern w:val="0"/>
                <w:sz w:val="18"/>
                <w:szCs w:val="18"/>
                <w:lang w:bidi="ar"/>
              </w:rPr>
              <w:t>服务对象满意度指标</w:t>
            </w:r>
          </w:p>
        </w:tc>
        <w:tc>
          <w:tcPr>
            <w:tcW w:w="2599" w:type="dxa"/>
            <w:tcBorders>
              <w:top w:val="single" w:color="000000" w:sz="4" w:space="0"/>
              <w:left w:val="single" w:color="000000" w:sz="4" w:space="0"/>
              <w:bottom w:val="single" w:color="000000" w:sz="4" w:space="0"/>
              <w:right w:val="single" w:color="000000" w:sz="4" w:space="0"/>
            </w:tcBorders>
            <w:noWrap w:val="0"/>
            <w:vAlign w:val="center"/>
          </w:tcPr>
          <w:p w14:paraId="164A4B53">
            <w:pPr>
              <w:pageBreakBefore w:val="0"/>
              <w:widowControl/>
              <w:kinsoku/>
              <w:wordWrap/>
              <w:overflowPunct/>
              <w:topLinePunct w:val="0"/>
              <w:autoSpaceDE/>
              <w:autoSpaceDN/>
              <w:bidi w:val="0"/>
              <w:spacing w:line="560" w:lineRule="atLeast"/>
              <w:jc w:val="center"/>
              <w:textAlignment w:val="center"/>
              <w:rPr>
                <w:rFonts w:hint="eastAsia" w:ascii="宋体" w:hAnsi="宋体" w:eastAsia="宋体" w:cs="宋体"/>
                <w:color w:val="000000"/>
                <w:sz w:val="18"/>
                <w:szCs w:val="18"/>
              </w:rPr>
            </w:pPr>
            <w:r>
              <w:rPr>
                <w:rFonts w:hint="eastAsia" w:ascii="宋体" w:hAnsi="宋体" w:eastAsia="宋体" w:cs="宋体"/>
                <w:color w:val="000000"/>
                <w:kern w:val="0"/>
                <w:sz w:val="18"/>
                <w:szCs w:val="18"/>
                <w:lang w:bidi="ar"/>
              </w:rPr>
              <w:t>观看群众满意度</w:t>
            </w:r>
          </w:p>
        </w:tc>
        <w:tc>
          <w:tcPr>
            <w:tcW w:w="1283" w:type="dxa"/>
            <w:tcBorders>
              <w:top w:val="single" w:color="000000" w:sz="4" w:space="0"/>
              <w:left w:val="single" w:color="000000" w:sz="4" w:space="0"/>
              <w:bottom w:val="single" w:color="000000" w:sz="4" w:space="0"/>
              <w:right w:val="single" w:color="000000" w:sz="4" w:space="0"/>
            </w:tcBorders>
            <w:noWrap w:val="0"/>
            <w:vAlign w:val="center"/>
          </w:tcPr>
          <w:p w14:paraId="7F314C51">
            <w:pPr>
              <w:pageBreakBefore w:val="0"/>
              <w:widowControl/>
              <w:kinsoku/>
              <w:wordWrap/>
              <w:overflowPunct/>
              <w:topLinePunct w:val="0"/>
              <w:autoSpaceDE/>
              <w:autoSpaceDN/>
              <w:bidi w:val="0"/>
              <w:spacing w:line="560" w:lineRule="atLeast"/>
              <w:jc w:val="center"/>
              <w:textAlignment w:val="center"/>
              <w:rPr>
                <w:rFonts w:hint="eastAsia" w:ascii="宋体" w:hAnsi="宋体" w:eastAsia="宋体" w:cs="宋体"/>
                <w:color w:val="000000"/>
                <w:sz w:val="18"/>
                <w:szCs w:val="18"/>
              </w:rPr>
            </w:pPr>
            <w:r>
              <w:rPr>
                <w:rFonts w:hint="eastAsia" w:ascii="宋体" w:hAnsi="宋体" w:eastAsia="宋体" w:cs="宋体"/>
                <w:color w:val="000000"/>
                <w:kern w:val="0"/>
                <w:sz w:val="18"/>
                <w:szCs w:val="18"/>
                <w:lang w:bidi="ar"/>
              </w:rPr>
              <w:t>≥</w:t>
            </w:r>
          </w:p>
        </w:tc>
        <w:tc>
          <w:tcPr>
            <w:tcW w:w="1283" w:type="dxa"/>
            <w:tcBorders>
              <w:top w:val="single" w:color="000000" w:sz="4" w:space="0"/>
              <w:left w:val="single" w:color="000000" w:sz="4" w:space="0"/>
              <w:bottom w:val="single" w:color="000000" w:sz="4" w:space="0"/>
              <w:right w:val="single" w:color="000000" w:sz="4" w:space="0"/>
            </w:tcBorders>
            <w:noWrap w:val="0"/>
            <w:vAlign w:val="center"/>
          </w:tcPr>
          <w:p w14:paraId="447269F1">
            <w:pPr>
              <w:pageBreakBefore w:val="0"/>
              <w:widowControl/>
              <w:kinsoku/>
              <w:wordWrap/>
              <w:overflowPunct/>
              <w:topLinePunct w:val="0"/>
              <w:autoSpaceDE/>
              <w:autoSpaceDN/>
              <w:bidi w:val="0"/>
              <w:spacing w:line="560" w:lineRule="atLeast"/>
              <w:jc w:val="center"/>
              <w:textAlignment w:val="center"/>
              <w:rPr>
                <w:rFonts w:hint="eastAsia" w:ascii="宋体" w:hAnsi="宋体" w:eastAsia="宋体" w:cs="宋体"/>
                <w:color w:val="000000"/>
                <w:sz w:val="18"/>
                <w:szCs w:val="18"/>
              </w:rPr>
            </w:pPr>
            <w:r>
              <w:rPr>
                <w:rFonts w:hint="eastAsia" w:ascii="宋体" w:hAnsi="宋体" w:eastAsia="宋体" w:cs="宋体"/>
                <w:color w:val="000000"/>
                <w:kern w:val="0"/>
                <w:sz w:val="18"/>
                <w:szCs w:val="18"/>
                <w:lang w:bidi="ar"/>
              </w:rPr>
              <w:t>80</w:t>
            </w:r>
          </w:p>
        </w:tc>
        <w:tc>
          <w:tcPr>
            <w:tcW w:w="1285" w:type="dxa"/>
            <w:tcBorders>
              <w:top w:val="single" w:color="000000" w:sz="4" w:space="0"/>
              <w:left w:val="single" w:color="000000" w:sz="4" w:space="0"/>
              <w:bottom w:val="single" w:color="000000" w:sz="4" w:space="0"/>
              <w:right w:val="single" w:color="000000" w:sz="4" w:space="0"/>
            </w:tcBorders>
            <w:noWrap w:val="0"/>
            <w:vAlign w:val="center"/>
          </w:tcPr>
          <w:p w14:paraId="52C0E0B0">
            <w:pPr>
              <w:pageBreakBefore w:val="0"/>
              <w:widowControl/>
              <w:kinsoku/>
              <w:wordWrap/>
              <w:overflowPunct/>
              <w:topLinePunct w:val="0"/>
              <w:autoSpaceDE/>
              <w:autoSpaceDN/>
              <w:bidi w:val="0"/>
              <w:spacing w:line="560" w:lineRule="atLeast"/>
              <w:jc w:val="center"/>
              <w:textAlignment w:val="center"/>
              <w:rPr>
                <w:rFonts w:hint="eastAsia" w:ascii="宋体" w:hAnsi="宋体" w:eastAsia="宋体" w:cs="宋体"/>
                <w:color w:val="000000"/>
                <w:sz w:val="18"/>
                <w:szCs w:val="18"/>
              </w:rPr>
            </w:pPr>
            <w:r>
              <w:rPr>
                <w:rFonts w:hint="eastAsia" w:ascii="宋体" w:hAnsi="宋体" w:eastAsia="宋体" w:cs="宋体"/>
                <w:color w:val="000000"/>
                <w:kern w:val="0"/>
                <w:sz w:val="18"/>
                <w:szCs w:val="18"/>
                <w:lang w:bidi="ar"/>
              </w:rPr>
              <w:t>%</w:t>
            </w:r>
          </w:p>
        </w:tc>
      </w:tr>
      <w:tr w14:paraId="0E73B280">
        <w:tblPrEx>
          <w:tblCellMar>
            <w:top w:w="0" w:type="dxa"/>
            <w:left w:w="108" w:type="dxa"/>
            <w:bottom w:w="0" w:type="dxa"/>
            <w:right w:w="108" w:type="dxa"/>
          </w:tblCellMar>
        </w:tblPrEx>
        <w:trPr>
          <w:trHeight w:val="729" w:hRule="atLeast"/>
        </w:trPr>
        <w:tc>
          <w:tcPr>
            <w:tcW w:w="1283" w:type="dxa"/>
            <w:tcBorders>
              <w:top w:val="single" w:color="000000" w:sz="4" w:space="0"/>
              <w:left w:val="single" w:color="000000" w:sz="4" w:space="0"/>
              <w:bottom w:val="single" w:color="000000" w:sz="4" w:space="0"/>
              <w:right w:val="single" w:color="000000" w:sz="4" w:space="0"/>
            </w:tcBorders>
            <w:noWrap w:val="0"/>
            <w:vAlign w:val="center"/>
          </w:tcPr>
          <w:p w14:paraId="016CAEFE">
            <w:pPr>
              <w:pageBreakBefore w:val="0"/>
              <w:widowControl/>
              <w:kinsoku/>
              <w:wordWrap/>
              <w:overflowPunct/>
              <w:topLinePunct w:val="0"/>
              <w:autoSpaceDE/>
              <w:autoSpaceDN/>
              <w:bidi w:val="0"/>
              <w:spacing w:line="560" w:lineRule="atLeast"/>
              <w:jc w:val="center"/>
              <w:textAlignment w:val="center"/>
              <w:rPr>
                <w:rFonts w:hint="eastAsia" w:ascii="宋体" w:hAnsi="宋体" w:eastAsia="宋体" w:cs="宋体"/>
                <w:color w:val="000000"/>
                <w:sz w:val="18"/>
                <w:szCs w:val="18"/>
              </w:rPr>
            </w:pPr>
            <w:r>
              <w:rPr>
                <w:rFonts w:hint="eastAsia" w:ascii="宋体" w:hAnsi="宋体" w:eastAsia="宋体" w:cs="宋体"/>
                <w:color w:val="000000"/>
                <w:kern w:val="0"/>
                <w:sz w:val="18"/>
                <w:szCs w:val="18"/>
                <w:lang w:bidi="ar"/>
              </w:rPr>
              <w:t>成本指标</w:t>
            </w:r>
          </w:p>
        </w:tc>
        <w:tc>
          <w:tcPr>
            <w:tcW w:w="1283" w:type="dxa"/>
            <w:tcBorders>
              <w:top w:val="single" w:color="000000" w:sz="4" w:space="0"/>
              <w:left w:val="single" w:color="000000" w:sz="4" w:space="0"/>
              <w:bottom w:val="single" w:color="000000" w:sz="4" w:space="0"/>
              <w:right w:val="single" w:color="000000" w:sz="4" w:space="0"/>
            </w:tcBorders>
            <w:noWrap w:val="0"/>
            <w:vAlign w:val="center"/>
          </w:tcPr>
          <w:p w14:paraId="7987D38A">
            <w:pPr>
              <w:pageBreakBefore w:val="0"/>
              <w:widowControl/>
              <w:kinsoku/>
              <w:wordWrap/>
              <w:overflowPunct/>
              <w:topLinePunct w:val="0"/>
              <w:autoSpaceDE/>
              <w:autoSpaceDN/>
              <w:bidi w:val="0"/>
              <w:spacing w:line="560" w:lineRule="atLeast"/>
              <w:jc w:val="center"/>
              <w:textAlignment w:val="center"/>
              <w:rPr>
                <w:rFonts w:hint="eastAsia" w:ascii="宋体" w:hAnsi="宋体" w:eastAsia="宋体" w:cs="宋体"/>
                <w:color w:val="000000"/>
                <w:sz w:val="18"/>
                <w:szCs w:val="18"/>
              </w:rPr>
            </w:pPr>
            <w:r>
              <w:rPr>
                <w:rFonts w:hint="eastAsia" w:ascii="宋体" w:hAnsi="宋体" w:eastAsia="宋体" w:cs="宋体"/>
                <w:color w:val="000000"/>
                <w:kern w:val="0"/>
                <w:sz w:val="18"/>
                <w:szCs w:val="18"/>
                <w:lang w:bidi="ar"/>
              </w:rPr>
              <w:t>经济成本指标</w:t>
            </w:r>
          </w:p>
        </w:tc>
        <w:tc>
          <w:tcPr>
            <w:tcW w:w="2599" w:type="dxa"/>
            <w:tcBorders>
              <w:top w:val="single" w:color="000000" w:sz="4" w:space="0"/>
              <w:left w:val="single" w:color="000000" w:sz="4" w:space="0"/>
              <w:bottom w:val="single" w:color="000000" w:sz="4" w:space="0"/>
              <w:right w:val="single" w:color="000000" w:sz="4" w:space="0"/>
            </w:tcBorders>
            <w:noWrap w:val="0"/>
            <w:vAlign w:val="center"/>
          </w:tcPr>
          <w:p w14:paraId="4659B75F">
            <w:pPr>
              <w:pageBreakBefore w:val="0"/>
              <w:widowControl/>
              <w:kinsoku/>
              <w:wordWrap/>
              <w:overflowPunct/>
              <w:topLinePunct w:val="0"/>
              <w:autoSpaceDE/>
              <w:autoSpaceDN/>
              <w:bidi w:val="0"/>
              <w:spacing w:line="560" w:lineRule="atLeast"/>
              <w:jc w:val="center"/>
              <w:textAlignment w:val="center"/>
              <w:rPr>
                <w:rFonts w:hint="eastAsia" w:ascii="宋体" w:hAnsi="宋体" w:eastAsia="宋体" w:cs="宋体"/>
                <w:color w:val="000000"/>
                <w:sz w:val="18"/>
                <w:szCs w:val="18"/>
              </w:rPr>
            </w:pPr>
            <w:r>
              <w:rPr>
                <w:rFonts w:hint="eastAsia" w:ascii="宋体" w:hAnsi="宋体" w:eastAsia="宋体" w:cs="宋体"/>
                <w:color w:val="000000"/>
                <w:kern w:val="0"/>
                <w:sz w:val="18"/>
                <w:szCs w:val="18"/>
                <w:lang w:bidi="ar"/>
              </w:rPr>
              <w:t>项目总价</w:t>
            </w:r>
          </w:p>
        </w:tc>
        <w:tc>
          <w:tcPr>
            <w:tcW w:w="1283" w:type="dxa"/>
            <w:tcBorders>
              <w:top w:val="single" w:color="000000" w:sz="4" w:space="0"/>
              <w:left w:val="single" w:color="000000" w:sz="4" w:space="0"/>
              <w:bottom w:val="single" w:color="000000" w:sz="4" w:space="0"/>
              <w:right w:val="single" w:color="000000" w:sz="4" w:space="0"/>
            </w:tcBorders>
            <w:noWrap w:val="0"/>
            <w:vAlign w:val="center"/>
          </w:tcPr>
          <w:p w14:paraId="573A4781">
            <w:pPr>
              <w:pageBreakBefore w:val="0"/>
              <w:widowControl/>
              <w:kinsoku/>
              <w:wordWrap/>
              <w:overflowPunct/>
              <w:topLinePunct w:val="0"/>
              <w:autoSpaceDE/>
              <w:autoSpaceDN/>
              <w:bidi w:val="0"/>
              <w:spacing w:line="560" w:lineRule="atLeast"/>
              <w:jc w:val="center"/>
              <w:textAlignment w:val="center"/>
              <w:rPr>
                <w:rFonts w:hint="eastAsia" w:ascii="宋体" w:hAnsi="宋体" w:eastAsia="宋体" w:cs="宋体"/>
                <w:color w:val="000000"/>
                <w:sz w:val="18"/>
                <w:szCs w:val="18"/>
              </w:rPr>
            </w:pPr>
            <w:r>
              <w:rPr>
                <w:rFonts w:hint="eastAsia" w:ascii="宋体" w:hAnsi="宋体" w:eastAsia="宋体" w:cs="宋体"/>
                <w:color w:val="000000"/>
                <w:kern w:val="0"/>
                <w:sz w:val="18"/>
                <w:szCs w:val="18"/>
                <w:lang w:bidi="ar"/>
              </w:rPr>
              <w:t>＝</w:t>
            </w:r>
          </w:p>
        </w:tc>
        <w:tc>
          <w:tcPr>
            <w:tcW w:w="1283" w:type="dxa"/>
            <w:tcBorders>
              <w:top w:val="single" w:color="000000" w:sz="4" w:space="0"/>
              <w:left w:val="single" w:color="000000" w:sz="4" w:space="0"/>
              <w:bottom w:val="single" w:color="000000" w:sz="4" w:space="0"/>
              <w:right w:val="single" w:color="000000" w:sz="4" w:space="0"/>
            </w:tcBorders>
            <w:noWrap w:val="0"/>
            <w:vAlign w:val="center"/>
          </w:tcPr>
          <w:p w14:paraId="7B499A78">
            <w:pPr>
              <w:pageBreakBefore w:val="0"/>
              <w:widowControl/>
              <w:kinsoku/>
              <w:wordWrap/>
              <w:overflowPunct/>
              <w:topLinePunct w:val="0"/>
              <w:autoSpaceDE/>
              <w:autoSpaceDN/>
              <w:bidi w:val="0"/>
              <w:spacing w:line="560" w:lineRule="atLeast"/>
              <w:jc w:val="center"/>
              <w:textAlignment w:val="center"/>
              <w:rPr>
                <w:rFonts w:hint="eastAsia" w:ascii="宋体" w:hAnsi="宋体" w:eastAsia="宋体" w:cs="宋体"/>
                <w:color w:val="000000"/>
                <w:sz w:val="18"/>
                <w:szCs w:val="18"/>
              </w:rPr>
            </w:pPr>
            <w:r>
              <w:rPr>
                <w:rFonts w:hint="eastAsia" w:ascii="宋体" w:hAnsi="宋体" w:eastAsia="宋体" w:cs="宋体"/>
                <w:color w:val="000000"/>
                <w:kern w:val="0"/>
                <w:sz w:val="18"/>
                <w:szCs w:val="18"/>
                <w:lang w:bidi="ar"/>
              </w:rPr>
              <w:t>29.8</w:t>
            </w:r>
          </w:p>
        </w:tc>
        <w:tc>
          <w:tcPr>
            <w:tcW w:w="1285" w:type="dxa"/>
            <w:tcBorders>
              <w:top w:val="single" w:color="000000" w:sz="4" w:space="0"/>
              <w:left w:val="single" w:color="000000" w:sz="4" w:space="0"/>
              <w:bottom w:val="single" w:color="000000" w:sz="4" w:space="0"/>
              <w:right w:val="single" w:color="000000" w:sz="4" w:space="0"/>
            </w:tcBorders>
            <w:noWrap w:val="0"/>
            <w:vAlign w:val="center"/>
          </w:tcPr>
          <w:p w14:paraId="6CA9EA65">
            <w:pPr>
              <w:pageBreakBefore w:val="0"/>
              <w:widowControl/>
              <w:kinsoku/>
              <w:wordWrap/>
              <w:overflowPunct/>
              <w:topLinePunct w:val="0"/>
              <w:autoSpaceDE/>
              <w:autoSpaceDN/>
              <w:bidi w:val="0"/>
              <w:spacing w:line="560" w:lineRule="atLeast"/>
              <w:jc w:val="center"/>
              <w:textAlignment w:val="center"/>
              <w:rPr>
                <w:rFonts w:hint="eastAsia" w:ascii="宋体" w:hAnsi="宋体" w:eastAsia="宋体" w:cs="宋体"/>
                <w:color w:val="000000"/>
                <w:sz w:val="18"/>
                <w:szCs w:val="18"/>
              </w:rPr>
            </w:pPr>
            <w:r>
              <w:rPr>
                <w:rFonts w:hint="eastAsia" w:ascii="宋体" w:hAnsi="宋体" w:eastAsia="宋体" w:cs="宋体"/>
                <w:color w:val="000000"/>
                <w:kern w:val="0"/>
                <w:sz w:val="18"/>
                <w:szCs w:val="18"/>
                <w:lang w:bidi="ar"/>
              </w:rPr>
              <w:t>万元</w:t>
            </w:r>
          </w:p>
        </w:tc>
      </w:tr>
    </w:tbl>
    <w:p w14:paraId="5F59F1D1">
      <w:pPr>
        <w:pageBreakBefore w:val="0"/>
        <w:kinsoku/>
        <w:wordWrap/>
        <w:overflowPunct/>
        <w:topLinePunct w:val="0"/>
        <w:autoSpaceDE/>
        <w:autoSpaceDN/>
        <w:bidi w:val="0"/>
        <w:spacing w:line="560" w:lineRule="atLeast"/>
        <w:rPr>
          <w:lang w:val="zh-CN"/>
        </w:rPr>
      </w:pPr>
    </w:p>
    <w:p w14:paraId="1F299C0A">
      <w:pPr>
        <w:pageBreakBefore w:val="0"/>
        <w:kinsoku/>
        <w:wordWrap/>
        <w:overflowPunct/>
        <w:topLinePunct w:val="0"/>
        <w:autoSpaceDE/>
        <w:autoSpaceDN/>
        <w:bidi w:val="0"/>
        <w:adjustRightInd w:val="0"/>
        <w:snapToGrid w:val="0"/>
        <w:spacing w:line="560" w:lineRule="atLeast"/>
        <w:ind w:firstLine="640" w:firstLineChars="200"/>
        <w:rPr>
          <w:rFonts w:eastAsia="黑体"/>
          <w:sz w:val="32"/>
          <w:szCs w:val="32"/>
        </w:rPr>
      </w:pPr>
    </w:p>
    <w:p w14:paraId="7D91C74A">
      <w:pPr>
        <w:pageBreakBefore w:val="0"/>
        <w:kinsoku/>
        <w:wordWrap/>
        <w:overflowPunct/>
        <w:topLinePunct w:val="0"/>
        <w:autoSpaceDE/>
        <w:autoSpaceDN/>
        <w:bidi w:val="0"/>
        <w:adjustRightInd w:val="0"/>
        <w:snapToGrid w:val="0"/>
        <w:spacing w:line="560" w:lineRule="atLeast"/>
        <w:ind w:firstLine="640" w:firstLineChars="200"/>
        <w:rPr>
          <w:rFonts w:eastAsia="黑体"/>
          <w:sz w:val="32"/>
          <w:szCs w:val="32"/>
        </w:rPr>
      </w:pPr>
      <w:r>
        <w:rPr>
          <w:rFonts w:eastAsia="黑体"/>
          <w:sz w:val="32"/>
          <w:szCs w:val="32"/>
        </w:rPr>
        <w:t>二、评价实施</w:t>
      </w:r>
    </w:p>
    <w:p w14:paraId="08BD0A50">
      <w:pPr>
        <w:pageBreakBefore w:val="0"/>
        <w:kinsoku/>
        <w:wordWrap/>
        <w:overflowPunct/>
        <w:topLinePunct w:val="0"/>
        <w:autoSpaceDE/>
        <w:autoSpaceDN/>
        <w:bidi w:val="0"/>
        <w:adjustRightInd w:val="0"/>
        <w:snapToGrid w:val="0"/>
        <w:spacing w:line="560" w:lineRule="atLeast"/>
        <w:ind w:firstLine="643" w:firstLineChars="200"/>
        <w:rPr>
          <w:rFonts w:eastAsia="楷体_GB2312"/>
          <w:b/>
          <w:sz w:val="32"/>
          <w:szCs w:val="32"/>
          <w:lang w:val="zh-CN"/>
        </w:rPr>
      </w:pPr>
      <w:r>
        <w:rPr>
          <w:rFonts w:eastAsia="楷体_GB2312"/>
          <w:b/>
          <w:sz w:val="32"/>
          <w:szCs w:val="32"/>
          <w:lang w:val="zh-CN"/>
        </w:rPr>
        <w:t>（一）评价目的</w:t>
      </w:r>
    </w:p>
    <w:p w14:paraId="6D4DAAFB">
      <w:pPr>
        <w:pageBreakBefore w:val="0"/>
        <w:kinsoku/>
        <w:wordWrap/>
        <w:overflowPunct/>
        <w:topLinePunct w:val="0"/>
        <w:autoSpaceDE/>
        <w:autoSpaceDN/>
        <w:bidi w:val="0"/>
        <w:adjustRightInd w:val="0"/>
        <w:snapToGrid w:val="0"/>
        <w:spacing w:line="560" w:lineRule="atLeast"/>
        <w:ind w:firstLine="640" w:firstLineChars="200"/>
        <w:rPr>
          <w:rFonts w:hint="eastAsia" w:ascii="仿宋" w:hAnsi="仿宋" w:eastAsia="仿宋" w:cs="仿宋"/>
          <w:sz w:val="32"/>
          <w:szCs w:val="32"/>
        </w:rPr>
      </w:pPr>
      <w:r>
        <w:rPr>
          <w:rFonts w:hint="eastAsia" w:ascii="仿宋" w:hAnsi="仿宋" w:eastAsia="仿宋" w:cs="仿宋"/>
          <w:kern w:val="0"/>
          <w:sz w:val="32"/>
          <w:szCs w:val="32"/>
          <w:lang w:bidi="ar"/>
        </w:rPr>
        <w:t>全面评估本次北大演出目标达成情况，核查实施目的、支持方向及预算执行的落地效果。规范管理：排查预算使用、流程执行中的不足，完善经费管理、流程衔接等相关机制，提升项目管理水平。总结演出实施中的经验与问题，为后续《牦牛革命》巡演及高校展演提供参考，提升项目质量与成效。确保项目资金使用合规、绩效达标，落实专款专用要求，接受监督，保障项目公益价值与品牌价值落地。</w:t>
      </w:r>
    </w:p>
    <w:p w14:paraId="65E02B53">
      <w:pPr>
        <w:pageBreakBefore w:val="0"/>
        <w:kinsoku/>
        <w:wordWrap/>
        <w:overflowPunct/>
        <w:topLinePunct w:val="0"/>
        <w:autoSpaceDE/>
        <w:autoSpaceDN/>
        <w:bidi w:val="0"/>
        <w:adjustRightInd w:val="0"/>
        <w:snapToGrid w:val="0"/>
        <w:spacing w:line="560" w:lineRule="atLeast"/>
        <w:ind w:firstLine="643" w:firstLineChars="200"/>
        <w:rPr>
          <w:rFonts w:hint="eastAsia" w:ascii="Times New Roman" w:hAnsi="Times New Roman" w:eastAsia="楷体_GB2312" w:cs="Times New Roman"/>
          <w:b/>
          <w:sz w:val="32"/>
          <w:szCs w:val="32"/>
          <w:lang w:val="zh-CN"/>
        </w:rPr>
      </w:pPr>
      <w:r>
        <w:rPr>
          <w:rFonts w:hint="eastAsia" w:ascii="Times New Roman" w:hAnsi="Times New Roman" w:eastAsia="楷体_GB2312" w:cs="Times New Roman"/>
          <w:b/>
          <w:sz w:val="32"/>
          <w:szCs w:val="32"/>
          <w:lang w:val="zh-CN"/>
        </w:rPr>
        <w:t>（二）</w:t>
      </w:r>
      <w:r>
        <w:rPr>
          <w:rFonts w:ascii="Times New Roman" w:hAnsi="Times New Roman" w:eastAsia="楷体_GB2312" w:cs="Times New Roman"/>
          <w:b/>
          <w:sz w:val="32"/>
          <w:szCs w:val="32"/>
          <w:lang w:val="zh-CN"/>
        </w:rPr>
        <w:t>预设问题及评价重点</w:t>
      </w:r>
    </w:p>
    <w:p w14:paraId="7BBA90D1">
      <w:pPr>
        <w:pageBreakBefore w:val="0"/>
        <w:numPr>
          <w:ilvl w:val="0"/>
          <w:numId w:val="0"/>
        </w:numPr>
        <w:kinsoku/>
        <w:wordWrap/>
        <w:overflowPunct/>
        <w:topLinePunct w:val="0"/>
        <w:autoSpaceDE/>
        <w:autoSpaceDN/>
        <w:bidi w:val="0"/>
        <w:adjustRightInd w:val="0"/>
        <w:snapToGrid w:val="0"/>
        <w:spacing w:line="560" w:lineRule="atLeast"/>
        <w:ind w:firstLine="640" w:firstLineChars="200"/>
        <w:rPr>
          <w:rFonts w:hint="eastAsia" w:ascii="仿宋" w:hAnsi="仿宋" w:eastAsia="仿宋" w:cs="仿宋"/>
          <w:b w:val="0"/>
          <w:bCs/>
          <w:sz w:val="32"/>
          <w:szCs w:val="32"/>
          <w:lang w:val="zh-CN"/>
        </w:rPr>
      </w:pPr>
      <w:r>
        <w:rPr>
          <w:rFonts w:hint="eastAsia" w:ascii="仿宋" w:hAnsi="仿宋" w:eastAsia="仿宋" w:cs="仿宋"/>
          <w:b w:val="0"/>
          <w:bCs/>
          <w:sz w:val="32"/>
          <w:szCs w:val="32"/>
          <w:lang w:val="zh-CN"/>
        </w:rPr>
        <w:t>按照绩效评价指标体系，对资金支出使用全过程及其实施效果进行综合评价和判断。</w:t>
      </w:r>
    </w:p>
    <w:p w14:paraId="6ACC6AEA">
      <w:pPr>
        <w:pageBreakBefore w:val="0"/>
        <w:kinsoku/>
        <w:wordWrap/>
        <w:overflowPunct/>
        <w:topLinePunct w:val="0"/>
        <w:autoSpaceDE/>
        <w:autoSpaceDN/>
        <w:bidi w:val="0"/>
        <w:adjustRightInd w:val="0"/>
        <w:snapToGrid w:val="0"/>
        <w:spacing w:line="560" w:lineRule="atLeast"/>
        <w:ind w:firstLine="643" w:firstLineChars="200"/>
        <w:rPr>
          <w:rFonts w:hint="eastAsia" w:ascii="Times New Roman" w:hAnsi="Times New Roman" w:eastAsia="楷体_GB2312" w:cs="Times New Roman"/>
          <w:b/>
          <w:sz w:val="32"/>
          <w:szCs w:val="32"/>
          <w:lang w:val="zh-CN"/>
        </w:rPr>
      </w:pPr>
      <w:r>
        <w:rPr>
          <w:rFonts w:hint="eastAsia" w:ascii="Times New Roman" w:hAnsi="Times New Roman" w:eastAsia="楷体_GB2312" w:cs="Times New Roman"/>
          <w:b/>
          <w:sz w:val="32"/>
          <w:szCs w:val="32"/>
          <w:lang w:val="zh-CN"/>
        </w:rPr>
        <w:t>（三）评价选点</w:t>
      </w:r>
    </w:p>
    <w:p w14:paraId="085F6803">
      <w:pPr>
        <w:pStyle w:val="2"/>
        <w:pageBreakBefore w:val="0"/>
        <w:kinsoku/>
        <w:wordWrap/>
        <w:overflowPunct/>
        <w:topLinePunct w:val="0"/>
        <w:autoSpaceDE/>
        <w:autoSpaceDN/>
        <w:bidi w:val="0"/>
        <w:spacing w:line="560" w:lineRule="atLeast"/>
        <w:rPr>
          <w:rFonts w:hint="eastAsia" w:ascii="仿宋" w:hAnsi="仿宋" w:eastAsia="仿宋"/>
          <w:sz w:val="32"/>
          <w:szCs w:val="32"/>
          <w:lang w:val="zh-CN"/>
        </w:rPr>
      </w:pPr>
      <w:r>
        <w:rPr>
          <w:rFonts w:hint="eastAsia"/>
          <w:lang w:val="zh-CN"/>
        </w:rPr>
        <w:t xml:space="preserve"> </w:t>
      </w:r>
      <w:r>
        <w:rPr>
          <w:lang w:val="zh-CN"/>
        </w:rPr>
        <w:t xml:space="preserve">       </w:t>
      </w:r>
      <w:r>
        <w:rPr>
          <w:rFonts w:ascii="仿宋" w:hAnsi="仿宋" w:eastAsia="仿宋"/>
          <w:sz w:val="32"/>
          <w:szCs w:val="32"/>
          <w:lang w:val="zh-CN"/>
        </w:rPr>
        <w:t xml:space="preserve">     </w:t>
      </w:r>
      <w:r>
        <w:rPr>
          <w:rFonts w:hint="eastAsia" w:ascii="仿宋" w:hAnsi="仿宋" w:eastAsia="仿宋"/>
          <w:b w:val="0"/>
          <w:bCs/>
          <w:sz w:val="32"/>
          <w:szCs w:val="32"/>
          <w:lang w:val="zh-CN"/>
        </w:rPr>
        <w:t>无</w:t>
      </w:r>
    </w:p>
    <w:p w14:paraId="2E14760F">
      <w:pPr>
        <w:pageBreakBefore w:val="0"/>
        <w:kinsoku/>
        <w:wordWrap/>
        <w:overflowPunct/>
        <w:topLinePunct w:val="0"/>
        <w:autoSpaceDE/>
        <w:autoSpaceDN/>
        <w:bidi w:val="0"/>
        <w:adjustRightInd w:val="0"/>
        <w:snapToGrid w:val="0"/>
        <w:spacing w:line="560" w:lineRule="atLeast"/>
        <w:ind w:firstLine="643" w:firstLineChars="200"/>
        <w:rPr>
          <w:rFonts w:hint="eastAsia" w:ascii="Times New Roman" w:hAnsi="Times New Roman" w:eastAsia="楷体_GB2312" w:cs="Times New Roman"/>
          <w:b/>
          <w:sz w:val="32"/>
          <w:szCs w:val="32"/>
          <w:lang w:val="zh-CN"/>
        </w:rPr>
      </w:pPr>
      <w:r>
        <w:rPr>
          <w:rFonts w:hint="eastAsia" w:ascii="Times New Roman" w:hAnsi="Times New Roman" w:eastAsia="楷体_GB2312" w:cs="Times New Roman"/>
          <w:b/>
          <w:sz w:val="32"/>
          <w:szCs w:val="32"/>
          <w:lang w:val="zh-CN"/>
        </w:rPr>
        <w:t>（四）评价方法</w:t>
      </w:r>
    </w:p>
    <w:p w14:paraId="00C66ADC">
      <w:pPr>
        <w:pageBreakBefore w:val="0"/>
        <w:kinsoku/>
        <w:wordWrap/>
        <w:overflowPunct/>
        <w:topLinePunct w:val="0"/>
        <w:autoSpaceDE/>
        <w:autoSpaceDN/>
        <w:bidi w:val="0"/>
        <w:spacing w:line="560" w:lineRule="atLeast"/>
        <w:ind w:firstLine="960" w:firstLineChars="300"/>
        <w:rPr>
          <w:rFonts w:hint="eastAsia" w:ascii="仿宋" w:hAnsi="仿宋" w:eastAsia="仿宋" w:cs="仿宋"/>
          <w:sz w:val="32"/>
          <w:szCs w:val="32"/>
        </w:rPr>
      </w:pPr>
      <w:r>
        <w:rPr>
          <w:rFonts w:hint="eastAsia" w:ascii="仿宋" w:hAnsi="仿宋" w:eastAsia="仿宋" w:cs="仿宋"/>
          <w:sz w:val="32"/>
          <w:szCs w:val="32"/>
        </w:rPr>
        <w:t>该项目用单位自评法进行评价（项目绩效自评）。</w:t>
      </w:r>
    </w:p>
    <w:p w14:paraId="4ED6EFDD">
      <w:pPr>
        <w:pageBreakBefore w:val="0"/>
        <w:kinsoku/>
        <w:wordWrap/>
        <w:overflowPunct/>
        <w:topLinePunct w:val="0"/>
        <w:autoSpaceDE/>
        <w:autoSpaceDN/>
        <w:bidi w:val="0"/>
        <w:adjustRightInd w:val="0"/>
        <w:snapToGrid w:val="0"/>
        <w:spacing w:line="560" w:lineRule="atLeast"/>
        <w:ind w:firstLine="643" w:firstLineChars="200"/>
        <w:rPr>
          <w:rFonts w:hint="eastAsia" w:ascii="Times New Roman" w:hAnsi="Times New Roman" w:eastAsia="楷体_GB2312" w:cs="Times New Roman"/>
          <w:b/>
          <w:sz w:val="32"/>
          <w:szCs w:val="32"/>
          <w:lang w:val="zh-CN"/>
        </w:rPr>
      </w:pPr>
      <w:r>
        <w:rPr>
          <w:rFonts w:hint="eastAsia" w:ascii="Times New Roman" w:hAnsi="Times New Roman" w:eastAsia="楷体_GB2312" w:cs="Times New Roman"/>
          <w:b/>
          <w:sz w:val="32"/>
          <w:szCs w:val="32"/>
          <w:lang w:val="zh-CN"/>
        </w:rPr>
        <w:t>（五）评价组织</w:t>
      </w:r>
    </w:p>
    <w:p w14:paraId="3B0C45AB">
      <w:pPr>
        <w:pStyle w:val="18"/>
        <w:pageBreakBefore w:val="0"/>
        <w:widowControl/>
        <w:shd w:val="clear" w:color="auto" w:fill="FFFFFF"/>
        <w:kinsoku/>
        <w:wordWrap/>
        <w:overflowPunct/>
        <w:topLinePunct w:val="0"/>
        <w:autoSpaceDE/>
        <w:autoSpaceDN/>
        <w:bidi w:val="0"/>
        <w:spacing w:line="560" w:lineRule="atLeast"/>
        <w:ind w:firstLine="320" w:firstLineChars="100"/>
        <w:rPr>
          <w:rFonts w:hint="eastAsia"/>
        </w:rPr>
      </w:pPr>
      <w:r>
        <w:rPr>
          <w:rFonts w:hint="eastAsia" w:ascii="仿宋" w:hAnsi="仿宋" w:eastAsia="仿宋" w:cs="微软雅黑"/>
          <w:sz w:val="32"/>
          <w:shd w:val="clear" w:color="auto" w:fill="FFFFFF"/>
        </w:rPr>
        <w:t>我单位成立了以团长为组长、分管领导为副组长，相关科室负责人为成员的自评领导小组。通过查阅资料和实地走访对项目完成情况和满意度进行自评。</w:t>
      </w:r>
      <w:r>
        <w:rPr>
          <w:rFonts w:hint="eastAsia"/>
        </w:rPr>
        <w:t xml:space="preserve"> </w:t>
      </w:r>
    </w:p>
    <w:p w14:paraId="3F3D49BE">
      <w:pPr>
        <w:pageBreakBefore w:val="0"/>
        <w:kinsoku/>
        <w:wordWrap/>
        <w:overflowPunct/>
        <w:topLinePunct w:val="0"/>
        <w:autoSpaceDE/>
        <w:autoSpaceDN/>
        <w:bidi w:val="0"/>
        <w:adjustRightInd w:val="0"/>
        <w:snapToGrid w:val="0"/>
        <w:spacing w:line="560" w:lineRule="atLeast"/>
        <w:ind w:firstLine="640" w:firstLineChars="200"/>
        <w:rPr>
          <w:sz w:val="32"/>
          <w:szCs w:val="32"/>
          <w:lang w:val="zh-CN"/>
        </w:rPr>
      </w:pPr>
      <w:r>
        <w:rPr>
          <w:rFonts w:eastAsia="黑体"/>
          <w:sz w:val="32"/>
          <w:szCs w:val="32"/>
        </w:rPr>
        <w:t>三、绩效分析</w:t>
      </w:r>
      <w:r>
        <w:rPr>
          <w:sz w:val="32"/>
          <w:szCs w:val="32"/>
          <w:lang w:val="zh-CN"/>
        </w:rPr>
        <w:tab/>
      </w:r>
    </w:p>
    <w:p w14:paraId="56579F39">
      <w:pPr>
        <w:pStyle w:val="4"/>
        <w:pageBreakBefore w:val="0"/>
        <w:widowControl/>
        <w:kinsoku/>
        <w:wordWrap/>
        <w:overflowPunct/>
        <w:topLinePunct w:val="0"/>
        <w:autoSpaceDE/>
        <w:autoSpaceDN/>
        <w:bidi w:val="0"/>
        <w:spacing w:line="560" w:lineRule="atLeast"/>
        <w:ind w:firstLine="643" w:firstLineChars="200"/>
        <w:rPr>
          <w:rFonts w:ascii="楷体" w:hAnsi="楷体" w:eastAsia="楷体" w:cs="楷体"/>
          <w:sz w:val="32"/>
          <w:szCs w:val="32"/>
        </w:rPr>
      </w:pPr>
      <w:r>
        <w:rPr>
          <w:rFonts w:ascii="楷体" w:hAnsi="楷体" w:eastAsia="楷体" w:cs="楷体"/>
          <w:sz w:val="32"/>
          <w:szCs w:val="32"/>
        </w:rPr>
        <w:t>（一）通用指标绩效分析</w:t>
      </w:r>
    </w:p>
    <w:p w14:paraId="36AECA95">
      <w:pPr>
        <w:pageBreakBefore w:val="0"/>
        <w:widowControl/>
        <w:kinsoku/>
        <w:wordWrap/>
        <w:overflowPunct/>
        <w:topLinePunct w:val="0"/>
        <w:autoSpaceDE/>
        <w:autoSpaceDN/>
        <w:bidi w:val="0"/>
        <w:spacing w:line="560" w:lineRule="atLeast"/>
        <w:ind w:firstLine="643" w:firstLineChars="200"/>
        <w:jc w:val="left"/>
        <w:rPr>
          <w:rFonts w:hint="eastAsia" w:ascii="仿宋" w:hAnsi="仿宋" w:eastAsia="仿宋" w:cs="仿宋"/>
          <w:sz w:val="32"/>
          <w:szCs w:val="32"/>
        </w:rPr>
      </w:pPr>
      <w:r>
        <w:rPr>
          <w:rFonts w:hint="eastAsia" w:ascii="仿宋" w:hAnsi="仿宋" w:eastAsia="仿宋" w:cs="仿宋"/>
          <w:b/>
          <w:bCs/>
          <w:kern w:val="0"/>
          <w:sz w:val="32"/>
          <w:szCs w:val="32"/>
          <w:lang w:bidi="ar"/>
        </w:rPr>
        <w:t>1.项目决策</w:t>
      </w:r>
      <w:r>
        <w:rPr>
          <w:rFonts w:hint="eastAsia" w:ascii="仿宋" w:hAnsi="仿宋" w:eastAsia="仿宋" w:cs="仿宋"/>
          <w:kern w:val="0"/>
          <w:sz w:val="32"/>
          <w:szCs w:val="32"/>
          <w:lang w:bidi="ar"/>
        </w:rPr>
        <w:t>：本次项目决策符合国家红色文化传播、高雅艺术进校园相关政策要求，经过充分论证，规划合理，资金投向与项目实施目的高度契合，决策程序合规。</w:t>
      </w:r>
    </w:p>
    <w:p w14:paraId="0D12CD15">
      <w:pPr>
        <w:pageBreakBefore w:val="0"/>
        <w:widowControl/>
        <w:kinsoku/>
        <w:wordWrap/>
        <w:overflowPunct/>
        <w:topLinePunct w:val="0"/>
        <w:autoSpaceDE/>
        <w:autoSpaceDN/>
        <w:bidi w:val="0"/>
        <w:spacing w:line="560" w:lineRule="atLeast"/>
        <w:ind w:firstLine="643" w:firstLineChars="200"/>
        <w:jc w:val="left"/>
        <w:rPr>
          <w:rFonts w:hint="eastAsia" w:ascii="仿宋" w:hAnsi="仿宋" w:eastAsia="仿宋" w:cs="仿宋"/>
          <w:sz w:val="32"/>
          <w:szCs w:val="32"/>
        </w:rPr>
      </w:pPr>
      <w:r>
        <w:rPr>
          <w:rFonts w:hint="eastAsia" w:ascii="仿宋" w:hAnsi="仿宋" w:eastAsia="仿宋" w:cs="仿宋"/>
          <w:b/>
          <w:bCs/>
          <w:kern w:val="0"/>
          <w:sz w:val="32"/>
          <w:szCs w:val="32"/>
          <w:lang w:bidi="ar"/>
        </w:rPr>
        <w:t>2.项目管理：</w:t>
      </w:r>
      <w:r>
        <w:rPr>
          <w:rFonts w:hint="eastAsia" w:ascii="仿宋" w:hAnsi="仿宋" w:eastAsia="仿宋" w:cs="仿宋"/>
          <w:kern w:val="0"/>
          <w:sz w:val="32"/>
          <w:szCs w:val="32"/>
          <w:lang w:bidi="ar"/>
        </w:rPr>
        <w:t>项目实施过程中，严格执行单位财务管理制度、项目管理制度，资金分配规范，建立了有效的绩效监管机制，确保项目有序推进。</w:t>
      </w:r>
    </w:p>
    <w:p w14:paraId="1CE1AB31">
      <w:pPr>
        <w:pageBreakBefore w:val="0"/>
        <w:widowControl/>
        <w:kinsoku/>
        <w:wordWrap/>
        <w:overflowPunct/>
        <w:topLinePunct w:val="0"/>
        <w:autoSpaceDE/>
        <w:autoSpaceDN/>
        <w:bidi w:val="0"/>
        <w:spacing w:line="560" w:lineRule="atLeast"/>
        <w:ind w:firstLine="643" w:firstLineChars="200"/>
        <w:jc w:val="left"/>
        <w:rPr>
          <w:rFonts w:hint="eastAsia" w:ascii="仿宋" w:hAnsi="仿宋" w:eastAsia="仿宋" w:cs="仿宋"/>
          <w:sz w:val="32"/>
          <w:szCs w:val="32"/>
        </w:rPr>
      </w:pPr>
      <w:r>
        <w:rPr>
          <w:rFonts w:hint="eastAsia" w:ascii="仿宋" w:hAnsi="仿宋" w:eastAsia="仿宋" w:cs="仿宋"/>
          <w:b/>
          <w:bCs/>
          <w:kern w:val="0"/>
          <w:sz w:val="32"/>
          <w:szCs w:val="32"/>
          <w:lang w:bidi="ar"/>
        </w:rPr>
        <w:t>3.项目实施：</w:t>
      </w:r>
      <w:r>
        <w:rPr>
          <w:rFonts w:hint="eastAsia" w:ascii="仿宋" w:hAnsi="仿宋" w:eastAsia="仿宋" w:cs="仿宋"/>
          <w:kern w:val="0"/>
          <w:sz w:val="32"/>
          <w:szCs w:val="32"/>
          <w:lang w:bidi="ar"/>
        </w:rPr>
        <w:t>项目预算总额29.8万元，实际支付28.9万元，支付率100%，预算执行规范；资金全部用于剧场租赁及配套服务，专款专用，无挪用、截留、挤占等情况，资金使用合理高效。</w:t>
      </w:r>
    </w:p>
    <w:p w14:paraId="54B4186B">
      <w:pPr>
        <w:pageBreakBefore w:val="0"/>
        <w:widowControl/>
        <w:kinsoku/>
        <w:wordWrap/>
        <w:overflowPunct/>
        <w:topLinePunct w:val="0"/>
        <w:autoSpaceDE/>
        <w:autoSpaceDN/>
        <w:bidi w:val="0"/>
        <w:spacing w:line="560" w:lineRule="atLeast"/>
        <w:ind w:firstLine="643" w:firstLineChars="200"/>
        <w:jc w:val="left"/>
        <w:rPr>
          <w:rFonts w:hint="eastAsia" w:ascii="仿宋" w:hAnsi="仿宋" w:eastAsia="仿宋" w:cs="仿宋"/>
          <w:sz w:val="32"/>
          <w:szCs w:val="32"/>
        </w:rPr>
      </w:pPr>
      <w:r>
        <w:rPr>
          <w:rFonts w:hint="eastAsia" w:ascii="仿宋" w:hAnsi="仿宋" w:eastAsia="仿宋" w:cs="仿宋"/>
          <w:b/>
          <w:bCs/>
          <w:kern w:val="0"/>
          <w:sz w:val="32"/>
          <w:szCs w:val="32"/>
          <w:lang w:bidi="ar"/>
        </w:rPr>
        <w:t>4.项目结果：</w:t>
      </w:r>
      <w:r>
        <w:rPr>
          <w:rFonts w:hint="eastAsia" w:ascii="仿宋" w:hAnsi="仿宋" w:eastAsia="仿宋" w:cs="仿宋"/>
          <w:kern w:val="0"/>
          <w:sz w:val="32"/>
          <w:szCs w:val="32"/>
          <w:lang w:bidi="ar"/>
        </w:rPr>
        <w:t>项目按计划完成1场演出、1次装台、1次拆台，装台合率100%，全部达成预设数量、质量指标；演出按时完成，无延误情况，完成时效达标。</w:t>
      </w:r>
    </w:p>
    <w:p w14:paraId="399762B3">
      <w:pPr>
        <w:pStyle w:val="4"/>
        <w:pageBreakBefore w:val="0"/>
        <w:widowControl/>
        <w:kinsoku/>
        <w:wordWrap/>
        <w:overflowPunct/>
        <w:topLinePunct w:val="0"/>
        <w:autoSpaceDE/>
        <w:autoSpaceDN/>
        <w:bidi w:val="0"/>
        <w:spacing w:line="560" w:lineRule="atLeast"/>
        <w:ind w:firstLine="643" w:firstLineChars="200"/>
        <w:rPr>
          <w:rFonts w:ascii="楷体" w:hAnsi="楷体" w:eastAsia="楷体" w:cs="楷体"/>
          <w:sz w:val="32"/>
          <w:szCs w:val="32"/>
        </w:rPr>
      </w:pPr>
      <w:r>
        <w:rPr>
          <w:rFonts w:ascii="楷体" w:hAnsi="楷体" w:eastAsia="楷体" w:cs="楷体"/>
          <w:sz w:val="32"/>
          <w:szCs w:val="32"/>
        </w:rPr>
        <w:t>（二）专用指标绩效分析</w:t>
      </w:r>
    </w:p>
    <w:p w14:paraId="36A62D9B">
      <w:pPr>
        <w:pageBreakBefore w:val="0"/>
        <w:widowControl/>
        <w:kinsoku/>
        <w:wordWrap/>
        <w:overflowPunct/>
        <w:topLinePunct w:val="0"/>
        <w:autoSpaceDE/>
        <w:autoSpaceDN/>
        <w:bidi w:val="0"/>
        <w:spacing w:before="100" w:beforeAutospacing="1" w:after="100" w:afterAutospacing="1" w:line="560" w:lineRule="atLeast"/>
        <w:ind w:firstLine="643" w:firstLineChars="200"/>
        <w:jc w:val="left"/>
        <w:rPr>
          <w:rFonts w:hint="eastAsia" w:ascii="仿宋" w:hAnsi="仿宋" w:eastAsia="仿宋" w:cs="仿宋"/>
          <w:sz w:val="32"/>
          <w:szCs w:val="32"/>
        </w:rPr>
      </w:pPr>
      <w:r>
        <w:rPr>
          <w:rFonts w:hint="eastAsia" w:ascii="楷体" w:hAnsi="楷体" w:eastAsia="楷体" w:cs="楷体"/>
          <w:b/>
          <w:bCs/>
          <w:sz w:val="32"/>
          <w:szCs w:val="32"/>
        </w:rPr>
        <w:t>1.产业发展类</w:t>
      </w:r>
      <w:r>
        <w:rPr>
          <w:rFonts w:hint="eastAsia" w:ascii="楷体" w:hAnsi="楷体" w:eastAsia="楷体" w:cs="楷体"/>
          <w:b/>
          <w:bCs/>
          <w:sz w:val="32"/>
          <w:szCs w:val="32"/>
          <w:lang w:eastAsia="zh-CN"/>
        </w:rPr>
        <w:t>：</w:t>
      </w:r>
      <w:r>
        <w:rPr>
          <w:rFonts w:hint="eastAsia" w:ascii="仿宋" w:hAnsi="仿宋" w:eastAsia="仿宋" w:cs="仿宋"/>
          <w:kern w:val="0"/>
          <w:sz w:val="32"/>
          <w:szCs w:val="32"/>
          <w:lang w:bidi="ar"/>
        </w:rPr>
        <w:t>项目实施符合国家艺术基金支持方向，符合阿坝州红色文化传播、民族艺术推广的工作部署，符合单位职能定位，各项工作开展贴合项目预设目标。通过本次北大演出，有效提升了《牦牛革命》剧目及阿坝红色文化的全国影响力，为后续巡演及高校展演奠定了良好基础，推动红色文化与民族艺术持续传播，成长性良好。项目预算编制科学合理，资金使用规范，在保障演出品质的前提下，严格控制成本，无浪费、超支情况，经济性达标。无浪费、超支情况，以合理投入实现舞台效果提升、演出保障增强的目标，资金使用性价比高，经济效益与社会效益兼顾。</w:t>
      </w:r>
    </w:p>
    <w:p w14:paraId="2DAC1CA3">
      <w:pPr>
        <w:pageBreakBefore w:val="0"/>
        <w:kinsoku/>
        <w:wordWrap/>
        <w:overflowPunct/>
        <w:topLinePunct w:val="0"/>
        <w:autoSpaceDE/>
        <w:autoSpaceDN/>
        <w:bidi w:val="0"/>
        <w:spacing w:line="560" w:lineRule="atLeast"/>
        <w:ind w:firstLine="643" w:firstLineChars="200"/>
        <w:jc w:val="left"/>
        <w:rPr>
          <w:rFonts w:eastAsia="楷体_GB2312"/>
        </w:rPr>
      </w:pPr>
      <w:r>
        <w:rPr>
          <w:rFonts w:hint="eastAsia" w:ascii="楷体" w:hAnsi="楷体" w:eastAsia="楷体" w:cs="楷体"/>
          <w:b/>
          <w:bCs/>
          <w:sz w:val="32"/>
          <w:szCs w:val="32"/>
        </w:rPr>
        <w:t>2.</w:t>
      </w:r>
      <w:r>
        <w:rPr>
          <w:rFonts w:hint="eastAsia" w:ascii="楷体" w:hAnsi="楷体" w:eastAsia="楷体" w:cs="楷体"/>
          <w:b/>
          <w:bCs/>
          <w:sz w:val="32"/>
          <w:szCs w:val="32"/>
          <w:lang w:val="zh-CN"/>
        </w:rPr>
        <w:t>民生保障</w:t>
      </w:r>
      <w:r>
        <w:rPr>
          <w:rFonts w:hint="eastAsia" w:ascii="楷体" w:hAnsi="楷体" w:eastAsia="楷体" w:cs="楷体"/>
          <w:b/>
          <w:bCs/>
          <w:sz w:val="32"/>
          <w:szCs w:val="32"/>
        </w:rPr>
        <w:t>类：</w:t>
      </w:r>
      <w:r>
        <w:rPr>
          <w:rFonts w:hint="eastAsia" w:ascii="楷体" w:hAnsi="楷体" w:eastAsia="楷体" w:cs="楷体"/>
          <w:sz w:val="32"/>
          <w:szCs w:val="32"/>
        </w:rPr>
        <w:t>无</w:t>
      </w:r>
    </w:p>
    <w:p w14:paraId="194F53AB">
      <w:pPr>
        <w:pageBreakBefore w:val="0"/>
        <w:kinsoku/>
        <w:wordWrap/>
        <w:overflowPunct/>
        <w:topLinePunct w:val="0"/>
        <w:autoSpaceDE/>
        <w:autoSpaceDN/>
        <w:bidi w:val="0"/>
        <w:spacing w:line="560" w:lineRule="atLeast"/>
        <w:ind w:firstLine="643" w:firstLineChars="200"/>
        <w:jc w:val="left"/>
        <w:rPr>
          <w:rFonts w:hint="eastAsia" w:ascii="楷体" w:hAnsi="楷体" w:eastAsia="楷体" w:cs="楷体"/>
          <w:b/>
          <w:bCs/>
          <w:sz w:val="32"/>
          <w:szCs w:val="32"/>
        </w:rPr>
      </w:pPr>
      <w:r>
        <w:rPr>
          <w:rFonts w:hint="eastAsia" w:ascii="楷体" w:hAnsi="楷体" w:eastAsia="楷体" w:cs="楷体"/>
          <w:b/>
          <w:bCs/>
          <w:sz w:val="32"/>
          <w:szCs w:val="32"/>
        </w:rPr>
        <w:t>3.基础设施类：</w:t>
      </w:r>
      <w:r>
        <w:rPr>
          <w:rFonts w:hint="eastAsia" w:ascii="楷体" w:hAnsi="楷体" w:eastAsia="楷体" w:cs="楷体"/>
          <w:b w:val="0"/>
          <w:bCs w:val="0"/>
          <w:sz w:val="32"/>
          <w:szCs w:val="32"/>
        </w:rPr>
        <w:t>无</w:t>
      </w:r>
    </w:p>
    <w:p w14:paraId="573A6974">
      <w:pPr>
        <w:pageBreakBefore w:val="0"/>
        <w:kinsoku/>
        <w:wordWrap/>
        <w:overflowPunct/>
        <w:topLinePunct w:val="0"/>
        <w:autoSpaceDE/>
        <w:autoSpaceDN/>
        <w:bidi w:val="0"/>
        <w:spacing w:line="560" w:lineRule="atLeast"/>
        <w:ind w:firstLine="643" w:firstLineChars="200"/>
        <w:jc w:val="left"/>
        <w:rPr>
          <w:rFonts w:hint="eastAsia" w:ascii="楷体" w:hAnsi="楷体" w:eastAsia="楷体" w:cs="楷体"/>
          <w:b/>
          <w:bCs/>
          <w:sz w:val="32"/>
          <w:szCs w:val="32"/>
        </w:rPr>
      </w:pPr>
      <w:r>
        <w:rPr>
          <w:rFonts w:hint="eastAsia" w:ascii="楷体" w:hAnsi="楷体" w:eastAsia="楷体" w:cs="楷体"/>
          <w:b/>
          <w:bCs/>
          <w:sz w:val="32"/>
          <w:szCs w:val="32"/>
        </w:rPr>
        <w:t>4.</w:t>
      </w:r>
      <w:r>
        <w:rPr>
          <w:rFonts w:hint="eastAsia" w:ascii="楷体" w:hAnsi="楷体" w:eastAsia="楷体" w:cs="楷体"/>
          <w:b/>
          <w:bCs/>
          <w:sz w:val="32"/>
          <w:szCs w:val="32"/>
          <w:lang w:val="zh-CN"/>
        </w:rPr>
        <w:t>行政运转</w:t>
      </w:r>
      <w:r>
        <w:rPr>
          <w:rFonts w:hint="eastAsia" w:ascii="楷体" w:hAnsi="楷体" w:eastAsia="楷体" w:cs="楷体"/>
          <w:b/>
          <w:bCs/>
          <w:sz w:val="32"/>
          <w:szCs w:val="32"/>
        </w:rPr>
        <w:t>类：</w:t>
      </w:r>
      <w:r>
        <w:rPr>
          <w:rFonts w:hint="eastAsia" w:ascii="楷体" w:hAnsi="楷体" w:eastAsia="楷体" w:cs="楷体"/>
          <w:b w:val="0"/>
          <w:bCs w:val="0"/>
          <w:sz w:val="32"/>
          <w:szCs w:val="32"/>
        </w:rPr>
        <w:t>无</w:t>
      </w:r>
    </w:p>
    <w:p w14:paraId="096593C3">
      <w:pPr>
        <w:pStyle w:val="4"/>
        <w:pageBreakBefore w:val="0"/>
        <w:widowControl/>
        <w:numPr>
          <w:ilvl w:val="0"/>
          <w:numId w:val="7"/>
        </w:numPr>
        <w:kinsoku/>
        <w:wordWrap/>
        <w:overflowPunct/>
        <w:topLinePunct w:val="0"/>
        <w:autoSpaceDE/>
        <w:autoSpaceDN/>
        <w:bidi w:val="0"/>
        <w:spacing w:line="560" w:lineRule="atLeast"/>
        <w:rPr>
          <w:rFonts w:ascii="楷体" w:hAnsi="楷体" w:eastAsia="楷体" w:cs="楷体"/>
          <w:sz w:val="32"/>
          <w:szCs w:val="32"/>
        </w:rPr>
      </w:pPr>
      <w:r>
        <w:rPr>
          <w:rFonts w:ascii="楷体" w:hAnsi="楷体" w:eastAsia="楷体" w:cs="楷体"/>
          <w:sz w:val="32"/>
          <w:szCs w:val="32"/>
        </w:rPr>
        <w:t>个性指标绩效分析</w:t>
      </w:r>
    </w:p>
    <w:p w14:paraId="222686E3">
      <w:pPr>
        <w:pStyle w:val="4"/>
        <w:pageBreakBefore w:val="0"/>
        <w:widowControl/>
        <w:kinsoku/>
        <w:wordWrap/>
        <w:overflowPunct/>
        <w:topLinePunct w:val="0"/>
        <w:autoSpaceDE/>
        <w:autoSpaceDN/>
        <w:bidi w:val="0"/>
        <w:spacing w:line="560" w:lineRule="atLeast"/>
        <w:ind w:firstLine="640" w:firstLineChars="200"/>
        <w:rPr>
          <w:rFonts w:ascii="仿宋" w:hAnsi="仿宋" w:eastAsia="仿宋" w:cs="仿宋"/>
          <w:b w:val="0"/>
          <w:bCs w:val="0"/>
          <w:sz w:val="32"/>
          <w:szCs w:val="32"/>
        </w:rPr>
      </w:pPr>
      <w:r>
        <w:rPr>
          <w:rFonts w:ascii="仿宋" w:hAnsi="仿宋" w:eastAsia="仿宋" w:cs="仿宋"/>
          <w:b w:val="0"/>
          <w:bCs w:val="0"/>
          <w:sz w:val="32"/>
          <w:szCs w:val="32"/>
          <w:lang w:bidi="ar"/>
        </w:rPr>
        <w:t>红色文化传播覆盖率：通过校内宣传、媒体报道、现场展示等多种形式，覆盖北大师生及北京各界群众，传播效果良好，达成预设传播目标。民族文化融合成效：演出融入藏羌民族艺术元素，搭建了民族文化与高校文化的交流桥梁，促进了民族艺术与主流文化的融合，成效显著。</w:t>
      </w:r>
    </w:p>
    <w:p w14:paraId="255A5BE0">
      <w:pPr>
        <w:pStyle w:val="3"/>
        <w:pageBreakBefore w:val="0"/>
        <w:widowControl/>
        <w:numPr>
          <w:ilvl w:val="0"/>
          <w:numId w:val="8"/>
        </w:numPr>
        <w:kinsoku/>
        <w:wordWrap/>
        <w:overflowPunct/>
        <w:topLinePunct w:val="0"/>
        <w:autoSpaceDE/>
        <w:autoSpaceDN/>
        <w:bidi w:val="0"/>
        <w:spacing w:line="560" w:lineRule="atLeast"/>
        <w:ind w:firstLine="321" w:firstLineChars="100"/>
        <w:rPr>
          <w:rFonts w:hint="eastAsia" w:ascii="黑体" w:hAnsi="黑体" w:eastAsia="黑体" w:cs="黑体"/>
          <w:sz w:val="32"/>
          <w:szCs w:val="32"/>
        </w:rPr>
      </w:pPr>
      <w:r>
        <w:rPr>
          <w:rFonts w:hint="eastAsia" w:ascii="黑体" w:hAnsi="黑体" w:eastAsia="黑体" w:cs="黑体"/>
          <w:sz w:val="32"/>
          <w:szCs w:val="32"/>
        </w:rPr>
        <w:t>评价结论</w:t>
      </w:r>
    </w:p>
    <w:p w14:paraId="7AA6A8C2">
      <w:pPr>
        <w:pStyle w:val="3"/>
        <w:pageBreakBefore w:val="0"/>
        <w:widowControl/>
        <w:numPr>
          <w:ilvl w:val="0"/>
          <w:numId w:val="0"/>
        </w:numPr>
        <w:kinsoku/>
        <w:wordWrap/>
        <w:overflowPunct/>
        <w:topLinePunct w:val="0"/>
        <w:autoSpaceDE/>
        <w:autoSpaceDN/>
        <w:bidi w:val="0"/>
        <w:spacing w:line="560" w:lineRule="atLeast"/>
        <w:ind w:firstLine="640" w:firstLineChars="200"/>
        <w:rPr>
          <w:rFonts w:hint="eastAsia" w:ascii="仿宋" w:hAnsi="仿宋" w:eastAsia="仿宋" w:cs="仿宋"/>
          <w:b w:val="0"/>
          <w:bCs w:val="0"/>
          <w:sz w:val="32"/>
          <w:szCs w:val="32"/>
        </w:rPr>
      </w:pPr>
      <w:r>
        <w:rPr>
          <w:rFonts w:hint="eastAsia" w:ascii="仿宋" w:hAnsi="仿宋" w:eastAsia="仿宋" w:cs="仿宋"/>
          <w:b w:val="0"/>
          <w:bCs w:val="0"/>
          <w:kern w:val="0"/>
          <w:sz w:val="32"/>
          <w:szCs w:val="32"/>
          <w:lang w:bidi="ar"/>
        </w:rPr>
        <w:t>2025年《牦牛革命》北京大学演出剧场服务费项目绩效自评综合得分为96分（满分100分）。项目整体实施规范，严格按照预设目标、预算及流程推进，顺利完成了1场演出及相关配套工作，各项绩效指标基本达成；资金使用合规、专款专用，预算执行率100%；有效实现了红色基因传承、红色文化传播、文旅推介及文化融合的核心目标，社会效益显著，达到了项目设立的预期效果。同时，项目实施过程中也存在部分细节问题，需在后续工作中加以改进完善。</w:t>
      </w:r>
    </w:p>
    <w:p w14:paraId="4EB05509">
      <w:pPr>
        <w:pStyle w:val="3"/>
        <w:pageBreakBefore w:val="0"/>
        <w:widowControl/>
        <w:numPr>
          <w:ilvl w:val="0"/>
          <w:numId w:val="8"/>
        </w:numPr>
        <w:kinsoku/>
        <w:wordWrap/>
        <w:overflowPunct/>
        <w:topLinePunct w:val="0"/>
        <w:autoSpaceDE/>
        <w:autoSpaceDN/>
        <w:bidi w:val="0"/>
        <w:spacing w:line="560" w:lineRule="atLeast"/>
        <w:ind w:firstLine="321" w:firstLineChars="100"/>
        <w:rPr>
          <w:rFonts w:hint="eastAsia" w:ascii="黑体" w:hAnsi="黑体" w:eastAsia="黑体" w:cs="黑体"/>
          <w:sz w:val="32"/>
          <w:szCs w:val="32"/>
        </w:rPr>
      </w:pPr>
      <w:r>
        <w:rPr>
          <w:rFonts w:hint="eastAsia" w:ascii="黑体" w:hAnsi="黑体" w:eastAsia="黑体" w:cs="黑体"/>
          <w:sz w:val="32"/>
          <w:szCs w:val="32"/>
        </w:rPr>
        <w:t>存在主要问题</w:t>
      </w:r>
    </w:p>
    <w:p w14:paraId="3D8587BB">
      <w:pPr>
        <w:rPr>
          <w:rFonts w:hint="default" w:eastAsia="黑体"/>
          <w:lang w:val="en-US" w:eastAsia="zh-CN"/>
        </w:rPr>
      </w:pPr>
      <w:r>
        <w:rPr>
          <w:rFonts w:hint="eastAsia" w:ascii="黑体" w:hAnsi="黑体" w:eastAsia="黑体" w:cs="黑体"/>
          <w:sz w:val="32"/>
          <w:szCs w:val="32"/>
          <w:lang w:val="en-US" w:eastAsia="zh-CN"/>
        </w:rPr>
        <w:t xml:space="preserve">       </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无</w:t>
      </w:r>
    </w:p>
    <w:p w14:paraId="57559DF6">
      <w:pPr>
        <w:pageBreakBefore w:val="0"/>
        <w:kinsoku/>
        <w:wordWrap/>
        <w:overflowPunct/>
        <w:topLinePunct w:val="0"/>
        <w:autoSpaceDE/>
        <w:autoSpaceDN/>
        <w:bidi w:val="0"/>
        <w:spacing w:line="560" w:lineRule="atLeast"/>
        <w:rPr>
          <w:rFonts w:hint="eastAsia" w:ascii="仿宋" w:hAnsi="仿宋" w:eastAsia="仿宋" w:cs="仿宋"/>
          <w:sz w:val="32"/>
          <w:szCs w:val="32"/>
        </w:rPr>
      </w:pPr>
      <w:r>
        <w:rPr>
          <w:rFonts w:hint="eastAsia"/>
        </w:rPr>
        <w:t xml:space="preserve"> </w:t>
      </w:r>
      <w:r>
        <w:rPr>
          <w:rFonts w:hint="eastAsia" w:ascii="仿宋" w:hAnsi="仿宋" w:eastAsia="仿宋" w:cs="仿宋"/>
          <w:sz w:val="32"/>
          <w:szCs w:val="32"/>
        </w:rPr>
        <w:t xml:space="preserve">  </w:t>
      </w:r>
    </w:p>
    <w:p w14:paraId="2ABA173F">
      <w:pPr>
        <w:pageBreakBefore w:val="0"/>
        <w:kinsoku/>
        <w:wordWrap/>
        <w:overflowPunct/>
        <w:topLinePunct w:val="0"/>
        <w:autoSpaceDE/>
        <w:autoSpaceDN/>
        <w:bidi w:val="0"/>
        <w:spacing w:line="560" w:lineRule="atLeast"/>
        <w:rPr>
          <w:rFonts w:hint="eastAsia" w:ascii="仿宋" w:hAnsi="仿宋" w:eastAsia="仿宋" w:cs="仿宋"/>
          <w:sz w:val="32"/>
          <w:szCs w:val="32"/>
        </w:rPr>
      </w:pPr>
    </w:p>
    <w:p w14:paraId="5A4A6C85">
      <w:pPr>
        <w:pageBreakBefore w:val="0"/>
        <w:kinsoku/>
        <w:wordWrap/>
        <w:overflowPunct/>
        <w:topLinePunct w:val="0"/>
        <w:autoSpaceDE/>
        <w:autoSpaceDN/>
        <w:bidi w:val="0"/>
        <w:spacing w:line="560" w:lineRule="atLeas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 </w:t>
      </w:r>
    </w:p>
    <w:tbl>
      <w:tblPr>
        <w:tblStyle w:val="19"/>
        <w:tblW w:w="938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32"/>
        <w:gridCol w:w="833"/>
        <w:gridCol w:w="833"/>
        <w:gridCol w:w="1322"/>
        <w:gridCol w:w="830"/>
        <w:gridCol w:w="536"/>
        <w:gridCol w:w="831"/>
        <w:gridCol w:w="839"/>
        <w:gridCol w:w="831"/>
        <w:gridCol w:w="831"/>
        <w:gridCol w:w="862"/>
      </w:tblGrid>
      <w:tr w14:paraId="6E033B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55" w:hRule="atLeast"/>
        </w:trPr>
        <w:tc>
          <w:tcPr>
            <w:tcW w:w="9380" w:type="dxa"/>
            <w:gridSpan w:val="11"/>
            <w:tcBorders>
              <w:top w:val="single" w:color="000000" w:sz="4" w:space="0"/>
              <w:left w:val="single" w:color="000000" w:sz="4" w:space="0"/>
              <w:bottom w:val="single" w:color="000000" w:sz="4" w:space="0"/>
              <w:right w:val="single" w:color="000000" w:sz="4" w:space="0"/>
            </w:tcBorders>
            <w:shd w:val="clear" w:color="auto" w:fill="FFFFFF"/>
            <w:vAlign w:val="center"/>
          </w:tcPr>
          <w:p w14:paraId="66963F33">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44989F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0" w:hRule="atLeast"/>
        </w:trPr>
        <w:tc>
          <w:tcPr>
            <w:tcW w:w="1678"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6E87869">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项目名称</w:t>
            </w:r>
          </w:p>
        </w:tc>
        <w:tc>
          <w:tcPr>
            <w:tcW w:w="7702"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62CAA749">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51320025T000013860894-2025年《牦牛革命》北京大学演出剧场服务费</w:t>
            </w:r>
          </w:p>
        </w:tc>
      </w:tr>
      <w:tr w14:paraId="656DC2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678"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37331D1">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主管部门</w:t>
            </w:r>
          </w:p>
        </w:tc>
        <w:tc>
          <w:tcPr>
            <w:tcW w:w="4311"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6E50AEF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州文广旅局部门</w:t>
            </w:r>
          </w:p>
        </w:tc>
        <w:tc>
          <w:tcPr>
            <w:tcW w:w="840" w:type="dxa"/>
            <w:tcBorders>
              <w:top w:val="nil"/>
              <w:left w:val="nil"/>
              <w:bottom w:val="nil"/>
              <w:right w:val="nil"/>
            </w:tcBorders>
            <w:shd w:val="clear" w:color="auto" w:fill="FFFFFF"/>
            <w:vAlign w:val="center"/>
          </w:tcPr>
          <w:p w14:paraId="2FFCAA47">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实施单位 （盖章）</w:t>
            </w:r>
          </w:p>
        </w:tc>
        <w:tc>
          <w:tcPr>
            <w:tcW w:w="255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EC717D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州民族歌舞团</w:t>
            </w:r>
          </w:p>
        </w:tc>
      </w:tr>
      <w:tr w14:paraId="272F35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95" w:hRule="atLeast"/>
        </w:trPr>
        <w:tc>
          <w:tcPr>
            <w:tcW w:w="83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CC8B330">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项目基本情况</w:t>
            </w:r>
          </w:p>
        </w:tc>
        <w:tc>
          <w:tcPr>
            <w:tcW w:w="83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06DCA7A">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1.项目年度目标完成情况</w:t>
            </w:r>
          </w:p>
        </w:tc>
        <w:tc>
          <w:tcPr>
            <w:tcW w:w="4311"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5276294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项目年度目标</w:t>
            </w:r>
          </w:p>
        </w:tc>
        <w:tc>
          <w:tcPr>
            <w:tcW w:w="3391"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010E12A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年度目标完成情况</w:t>
            </w:r>
          </w:p>
        </w:tc>
      </w:tr>
      <w:tr w14:paraId="5D1A03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85" w:hRule="atLeast"/>
        </w:trPr>
        <w:tc>
          <w:tcPr>
            <w:tcW w:w="83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08EB34B">
            <w:pPr>
              <w:rPr>
                <w:rFonts w:hint="eastAsia" w:ascii="宋体" w:hAnsi="宋体" w:eastAsia="宋体" w:cs="宋体"/>
                <w:i w:val="0"/>
                <w:iCs w:val="0"/>
                <w:color w:val="000000"/>
                <w:sz w:val="16"/>
                <w:szCs w:val="16"/>
                <w:u w:val="none"/>
              </w:rPr>
            </w:pPr>
          </w:p>
        </w:tc>
        <w:tc>
          <w:tcPr>
            <w:tcW w:w="83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6E83826">
            <w:pPr>
              <w:rPr>
                <w:rFonts w:hint="eastAsia" w:ascii="宋体" w:hAnsi="宋体" w:eastAsia="宋体" w:cs="宋体"/>
                <w:i w:val="0"/>
                <w:iCs w:val="0"/>
                <w:color w:val="000000"/>
                <w:sz w:val="16"/>
                <w:szCs w:val="16"/>
                <w:u w:val="none"/>
              </w:rPr>
            </w:pPr>
          </w:p>
        </w:tc>
        <w:tc>
          <w:tcPr>
            <w:tcW w:w="4311"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67EDBCF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完成2025年在北京大学演出《牦牛革命》工作，支付剧场租赁费29.8万元。</w:t>
            </w:r>
          </w:p>
        </w:tc>
        <w:tc>
          <w:tcPr>
            <w:tcW w:w="3391"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61F8484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完成2025年在北京大学演出《牦牛革命》工作，支付剧场租赁费29.8万元。</w:t>
            </w:r>
          </w:p>
        </w:tc>
      </w:tr>
      <w:tr w14:paraId="0E7383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2" w:hRule="atLeast"/>
        </w:trPr>
        <w:tc>
          <w:tcPr>
            <w:tcW w:w="83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F618ED4">
            <w:pPr>
              <w:rPr>
                <w:rFonts w:hint="eastAsia" w:ascii="宋体" w:hAnsi="宋体" w:eastAsia="宋体" w:cs="宋体"/>
                <w:i w:val="0"/>
                <w:iCs w:val="0"/>
                <w:color w:val="000000"/>
                <w:sz w:val="16"/>
                <w:szCs w:val="16"/>
                <w:u w:val="none"/>
              </w:rPr>
            </w:pPr>
          </w:p>
        </w:tc>
        <w:tc>
          <w:tcPr>
            <w:tcW w:w="8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3E9D3E">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2.项目实施内容及过程概述</w:t>
            </w:r>
          </w:p>
        </w:tc>
        <w:tc>
          <w:tcPr>
            <w:tcW w:w="7702"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3EEA4569">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传承红色文化，弘扬革命精神，2025年我单位赴北京大学开展《牦牛革命》演出工作，通过歌舞，情景演绎等艺术形式，生动再现革命战争年代，当地各族群众在中国共产党的领导下，以牦牛为重要运输载体，踊跃支援前线，保障物资供给，坚守革命信念，共同抵御艰险的光辉历程。演出聚焦军民同心，民族团结，艰苦奋斗的精神内核，还原了高原地区艰苦斗争的场景，展现各族人民坚定不移跟党走，众志成城，支援革命的家国情怀与奉献精神，兼具历史厚重感与艺术感染力。演出既是一次民族团结教育实践，也是引导广大师生铭记红色历史，传承革命基因，进一步坚定理想信念，凝聚奋进力量。</w:t>
            </w:r>
          </w:p>
        </w:tc>
      </w:tr>
      <w:tr w14:paraId="5D39C6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trPr>
        <w:tc>
          <w:tcPr>
            <w:tcW w:w="83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7F05A3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预算执行情况（10分）</w:t>
            </w:r>
          </w:p>
        </w:tc>
        <w:tc>
          <w:tcPr>
            <w:tcW w:w="8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93DCE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年度预算数（万元）</w:t>
            </w:r>
          </w:p>
        </w:tc>
        <w:tc>
          <w:tcPr>
            <w:tcW w:w="8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A9124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年初预算</w:t>
            </w:r>
          </w:p>
        </w:tc>
        <w:tc>
          <w:tcPr>
            <w:tcW w:w="13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F7572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调整后预算数</w:t>
            </w:r>
          </w:p>
        </w:tc>
        <w:tc>
          <w:tcPr>
            <w:tcW w:w="2135"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6DA1B0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预算执行数</w:t>
            </w:r>
          </w:p>
        </w:tc>
        <w:tc>
          <w:tcPr>
            <w:tcW w:w="8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C920D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预算执行率</w:t>
            </w:r>
          </w:p>
        </w:tc>
        <w:tc>
          <w:tcPr>
            <w:tcW w:w="8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2B719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权重</w:t>
            </w:r>
          </w:p>
        </w:tc>
        <w:tc>
          <w:tcPr>
            <w:tcW w:w="8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A1F59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得分</w:t>
            </w:r>
          </w:p>
        </w:tc>
        <w:tc>
          <w:tcPr>
            <w:tcW w:w="8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B355F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原因</w:t>
            </w:r>
          </w:p>
        </w:tc>
      </w:tr>
      <w:tr w14:paraId="0302AB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30" w:hRule="atLeast"/>
        </w:trPr>
        <w:tc>
          <w:tcPr>
            <w:tcW w:w="83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811C67A">
            <w:pPr>
              <w:jc w:val="center"/>
              <w:rPr>
                <w:rFonts w:hint="eastAsia" w:ascii="宋体" w:hAnsi="宋体" w:eastAsia="宋体" w:cs="宋体"/>
                <w:i w:val="0"/>
                <w:iCs w:val="0"/>
                <w:color w:val="000000"/>
                <w:sz w:val="16"/>
                <w:szCs w:val="16"/>
                <w:u w:val="none"/>
              </w:rPr>
            </w:pPr>
          </w:p>
        </w:tc>
        <w:tc>
          <w:tcPr>
            <w:tcW w:w="8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88E05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总额</w:t>
            </w:r>
          </w:p>
        </w:tc>
        <w:tc>
          <w:tcPr>
            <w:tcW w:w="8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8F22F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0.00</w:t>
            </w:r>
          </w:p>
        </w:tc>
        <w:tc>
          <w:tcPr>
            <w:tcW w:w="13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F4432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29.80</w:t>
            </w:r>
          </w:p>
        </w:tc>
        <w:tc>
          <w:tcPr>
            <w:tcW w:w="2135"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83F8F1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29.80</w:t>
            </w:r>
          </w:p>
        </w:tc>
        <w:tc>
          <w:tcPr>
            <w:tcW w:w="8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5683D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100.00%</w:t>
            </w:r>
          </w:p>
        </w:tc>
        <w:tc>
          <w:tcPr>
            <w:tcW w:w="8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4B584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10</w:t>
            </w:r>
          </w:p>
        </w:tc>
        <w:tc>
          <w:tcPr>
            <w:tcW w:w="8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436D8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10</w:t>
            </w:r>
          </w:p>
        </w:tc>
        <w:tc>
          <w:tcPr>
            <w:tcW w:w="87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62CEAC2">
            <w:pPr>
              <w:rPr>
                <w:rFonts w:hint="eastAsia" w:ascii="宋体" w:hAnsi="宋体" w:eastAsia="宋体" w:cs="宋体"/>
                <w:i w:val="0"/>
                <w:iCs w:val="0"/>
                <w:color w:val="000000"/>
                <w:sz w:val="16"/>
                <w:szCs w:val="16"/>
                <w:u w:val="none"/>
              </w:rPr>
            </w:pPr>
          </w:p>
        </w:tc>
      </w:tr>
      <w:tr w14:paraId="2B3960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4" w:hRule="atLeast"/>
        </w:trPr>
        <w:tc>
          <w:tcPr>
            <w:tcW w:w="83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2ED6410">
            <w:pPr>
              <w:jc w:val="center"/>
              <w:rPr>
                <w:rFonts w:hint="eastAsia" w:ascii="宋体" w:hAnsi="宋体" w:eastAsia="宋体" w:cs="宋体"/>
                <w:i w:val="0"/>
                <w:iCs w:val="0"/>
                <w:color w:val="000000"/>
                <w:sz w:val="16"/>
                <w:szCs w:val="16"/>
                <w:u w:val="none"/>
              </w:rPr>
            </w:pPr>
          </w:p>
        </w:tc>
        <w:tc>
          <w:tcPr>
            <w:tcW w:w="8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59F24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其中：财政资金</w:t>
            </w:r>
          </w:p>
        </w:tc>
        <w:tc>
          <w:tcPr>
            <w:tcW w:w="8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E2E50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0.00</w:t>
            </w:r>
          </w:p>
        </w:tc>
        <w:tc>
          <w:tcPr>
            <w:tcW w:w="13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30996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0.00</w:t>
            </w:r>
          </w:p>
        </w:tc>
        <w:tc>
          <w:tcPr>
            <w:tcW w:w="2135"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EA7D75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0.00</w:t>
            </w:r>
          </w:p>
        </w:tc>
        <w:tc>
          <w:tcPr>
            <w:tcW w:w="8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F3816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0.00%</w:t>
            </w:r>
          </w:p>
        </w:tc>
        <w:tc>
          <w:tcPr>
            <w:tcW w:w="8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C964E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w:t>
            </w:r>
          </w:p>
        </w:tc>
        <w:tc>
          <w:tcPr>
            <w:tcW w:w="8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0A265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w:t>
            </w:r>
          </w:p>
        </w:tc>
        <w:tc>
          <w:tcPr>
            <w:tcW w:w="8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ED30672">
            <w:pPr>
              <w:rPr>
                <w:rFonts w:hint="eastAsia" w:ascii="宋体" w:hAnsi="宋体" w:eastAsia="宋体" w:cs="宋体"/>
                <w:i w:val="0"/>
                <w:iCs w:val="0"/>
                <w:color w:val="000000"/>
                <w:sz w:val="16"/>
                <w:szCs w:val="16"/>
                <w:u w:val="none"/>
              </w:rPr>
            </w:pPr>
          </w:p>
        </w:tc>
      </w:tr>
      <w:tr w14:paraId="5D96BB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83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329C68F">
            <w:pPr>
              <w:jc w:val="center"/>
              <w:rPr>
                <w:rFonts w:hint="eastAsia" w:ascii="宋体" w:hAnsi="宋体" w:eastAsia="宋体" w:cs="宋体"/>
                <w:i w:val="0"/>
                <w:iCs w:val="0"/>
                <w:color w:val="000000"/>
                <w:sz w:val="16"/>
                <w:szCs w:val="16"/>
                <w:u w:val="none"/>
              </w:rPr>
            </w:pPr>
          </w:p>
        </w:tc>
        <w:tc>
          <w:tcPr>
            <w:tcW w:w="8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398CB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财政专户管理资金</w:t>
            </w:r>
          </w:p>
        </w:tc>
        <w:tc>
          <w:tcPr>
            <w:tcW w:w="8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B62DA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0.00</w:t>
            </w:r>
          </w:p>
        </w:tc>
        <w:tc>
          <w:tcPr>
            <w:tcW w:w="13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D06E1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0.00</w:t>
            </w:r>
          </w:p>
        </w:tc>
        <w:tc>
          <w:tcPr>
            <w:tcW w:w="2135"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8B10C6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0.00</w:t>
            </w:r>
          </w:p>
        </w:tc>
        <w:tc>
          <w:tcPr>
            <w:tcW w:w="8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56C77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0.00%</w:t>
            </w:r>
          </w:p>
        </w:tc>
        <w:tc>
          <w:tcPr>
            <w:tcW w:w="8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E3397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w:t>
            </w:r>
          </w:p>
        </w:tc>
        <w:tc>
          <w:tcPr>
            <w:tcW w:w="8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B5739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w:t>
            </w:r>
          </w:p>
        </w:tc>
        <w:tc>
          <w:tcPr>
            <w:tcW w:w="8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002A276">
            <w:pPr>
              <w:rPr>
                <w:rFonts w:hint="eastAsia" w:ascii="宋体" w:hAnsi="宋体" w:eastAsia="宋体" w:cs="宋体"/>
                <w:i w:val="0"/>
                <w:iCs w:val="0"/>
                <w:color w:val="000000"/>
                <w:sz w:val="16"/>
                <w:szCs w:val="16"/>
                <w:u w:val="none"/>
              </w:rPr>
            </w:pPr>
          </w:p>
        </w:tc>
      </w:tr>
      <w:tr w14:paraId="0B61CE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39" w:hRule="atLeast"/>
        </w:trPr>
        <w:tc>
          <w:tcPr>
            <w:tcW w:w="83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652E314">
            <w:pPr>
              <w:jc w:val="center"/>
              <w:rPr>
                <w:rFonts w:hint="eastAsia" w:ascii="宋体" w:hAnsi="宋体" w:eastAsia="宋体" w:cs="宋体"/>
                <w:i w:val="0"/>
                <w:iCs w:val="0"/>
                <w:color w:val="000000"/>
                <w:sz w:val="16"/>
                <w:szCs w:val="16"/>
                <w:u w:val="none"/>
              </w:rPr>
            </w:pPr>
          </w:p>
        </w:tc>
        <w:tc>
          <w:tcPr>
            <w:tcW w:w="8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4F558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单位资金</w:t>
            </w:r>
          </w:p>
        </w:tc>
        <w:tc>
          <w:tcPr>
            <w:tcW w:w="8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34D05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0.00</w:t>
            </w:r>
          </w:p>
        </w:tc>
        <w:tc>
          <w:tcPr>
            <w:tcW w:w="13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B9760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29.80</w:t>
            </w:r>
          </w:p>
        </w:tc>
        <w:tc>
          <w:tcPr>
            <w:tcW w:w="2135"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A498D0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29.80</w:t>
            </w:r>
          </w:p>
        </w:tc>
        <w:tc>
          <w:tcPr>
            <w:tcW w:w="8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48C2D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100.00%</w:t>
            </w:r>
          </w:p>
        </w:tc>
        <w:tc>
          <w:tcPr>
            <w:tcW w:w="8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5E1B6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w:t>
            </w:r>
          </w:p>
        </w:tc>
        <w:tc>
          <w:tcPr>
            <w:tcW w:w="8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ED3CE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w:t>
            </w:r>
          </w:p>
        </w:tc>
        <w:tc>
          <w:tcPr>
            <w:tcW w:w="8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6D9F0C0">
            <w:pPr>
              <w:rPr>
                <w:rFonts w:hint="eastAsia" w:ascii="宋体" w:hAnsi="宋体" w:eastAsia="宋体" w:cs="宋体"/>
                <w:i w:val="0"/>
                <w:iCs w:val="0"/>
                <w:color w:val="000000"/>
                <w:sz w:val="16"/>
                <w:szCs w:val="16"/>
                <w:u w:val="none"/>
              </w:rPr>
            </w:pPr>
          </w:p>
        </w:tc>
      </w:tr>
      <w:tr w14:paraId="754625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83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67F4194">
            <w:pPr>
              <w:jc w:val="center"/>
              <w:rPr>
                <w:rFonts w:hint="eastAsia" w:ascii="宋体" w:hAnsi="宋体" w:eastAsia="宋体" w:cs="宋体"/>
                <w:i w:val="0"/>
                <w:iCs w:val="0"/>
                <w:color w:val="000000"/>
                <w:sz w:val="16"/>
                <w:szCs w:val="16"/>
                <w:u w:val="none"/>
              </w:rPr>
            </w:pPr>
          </w:p>
        </w:tc>
        <w:tc>
          <w:tcPr>
            <w:tcW w:w="8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F4470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其他资金</w:t>
            </w:r>
          </w:p>
        </w:tc>
        <w:tc>
          <w:tcPr>
            <w:tcW w:w="8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0D8221">
            <w:pPr>
              <w:jc w:val="center"/>
              <w:rPr>
                <w:rFonts w:hint="eastAsia" w:ascii="宋体" w:hAnsi="宋体" w:eastAsia="宋体" w:cs="宋体"/>
                <w:i w:val="0"/>
                <w:iCs w:val="0"/>
                <w:color w:val="000000"/>
                <w:sz w:val="16"/>
                <w:szCs w:val="16"/>
                <w:u w:val="none"/>
              </w:rPr>
            </w:pPr>
          </w:p>
        </w:tc>
        <w:tc>
          <w:tcPr>
            <w:tcW w:w="13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B09986">
            <w:pPr>
              <w:jc w:val="center"/>
              <w:rPr>
                <w:rFonts w:hint="eastAsia" w:ascii="宋体" w:hAnsi="宋体" w:eastAsia="宋体" w:cs="宋体"/>
                <w:i w:val="0"/>
                <w:iCs w:val="0"/>
                <w:color w:val="000000"/>
                <w:sz w:val="16"/>
                <w:szCs w:val="16"/>
                <w:u w:val="none"/>
              </w:rPr>
            </w:pPr>
          </w:p>
        </w:tc>
        <w:tc>
          <w:tcPr>
            <w:tcW w:w="2135"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BB8422B">
            <w:pPr>
              <w:jc w:val="center"/>
              <w:rPr>
                <w:rFonts w:hint="eastAsia" w:ascii="宋体" w:hAnsi="宋体" w:eastAsia="宋体" w:cs="宋体"/>
                <w:i w:val="0"/>
                <w:iCs w:val="0"/>
                <w:color w:val="000000"/>
                <w:sz w:val="16"/>
                <w:szCs w:val="16"/>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E3A742">
            <w:pPr>
              <w:jc w:val="center"/>
              <w:rPr>
                <w:rFonts w:hint="eastAsia" w:ascii="宋体" w:hAnsi="宋体" w:eastAsia="宋体" w:cs="宋体"/>
                <w:i w:val="0"/>
                <w:iCs w:val="0"/>
                <w:color w:val="000000"/>
                <w:sz w:val="16"/>
                <w:szCs w:val="16"/>
                <w:u w:val="none"/>
              </w:rPr>
            </w:pPr>
          </w:p>
        </w:tc>
        <w:tc>
          <w:tcPr>
            <w:tcW w:w="8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428D5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w:t>
            </w:r>
          </w:p>
        </w:tc>
        <w:tc>
          <w:tcPr>
            <w:tcW w:w="8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9AAFC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w:t>
            </w:r>
          </w:p>
        </w:tc>
        <w:tc>
          <w:tcPr>
            <w:tcW w:w="8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2A3C967">
            <w:pPr>
              <w:rPr>
                <w:rFonts w:hint="eastAsia" w:ascii="宋体" w:hAnsi="宋体" w:eastAsia="宋体" w:cs="宋体"/>
                <w:i w:val="0"/>
                <w:iCs w:val="0"/>
                <w:color w:val="000000"/>
                <w:sz w:val="16"/>
                <w:szCs w:val="16"/>
                <w:u w:val="none"/>
              </w:rPr>
            </w:pPr>
          </w:p>
        </w:tc>
      </w:tr>
      <w:tr w14:paraId="4C9E38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83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3994CB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绩效指标（90分）</w:t>
            </w:r>
          </w:p>
        </w:tc>
        <w:tc>
          <w:tcPr>
            <w:tcW w:w="8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80EE9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一级指标</w:t>
            </w:r>
          </w:p>
        </w:tc>
        <w:tc>
          <w:tcPr>
            <w:tcW w:w="8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B358D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二级指标</w:t>
            </w:r>
          </w:p>
        </w:tc>
        <w:tc>
          <w:tcPr>
            <w:tcW w:w="13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ED4DF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三级指标</w:t>
            </w:r>
          </w:p>
        </w:tc>
        <w:tc>
          <w:tcPr>
            <w:tcW w:w="8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5D577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指标性质</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8D3EA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指标值</w:t>
            </w:r>
          </w:p>
        </w:tc>
        <w:tc>
          <w:tcPr>
            <w:tcW w:w="8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E9E66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度量单位</w:t>
            </w:r>
          </w:p>
        </w:tc>
        <w:tc>
          <w:tcPr>
            <w:tcW w:w="8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0E410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完成值</w:t>
            </w:r>
          </w:p>
        </w:tc>
        <w:tc>
          <w:tcPr>
            <w:tcW w:w="8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FC78A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权重</w:t>
            </w:r>
          </w:p>
        </w:tc>
        <w:tc>
          <w:tcPr>
            <w:tcW w:w="8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29FF6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得分</w:t>
            </w:r>
          </w:p>
        </w:tc>
        <w:tc>
          <w:tcPr>
            <w:tcW w:w="8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8D34E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未完成原因分析</w:t>
            </w:r>
          </w:p>
        </w:tc>
      </w:tr>
      <w:tr w14:paraId="218569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83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D03B977">
            <w:pPr>
              <w:jc w:val="center"/>
              <w:rPr>
                <w:rFonts w:hint="eastAsia" w:ascii="宋体" w:hAnsi="宋体" w:eastAsia="宋体" w:cs="宋体"/>
                <w:i w:val="0"/>
                <w:iCs w:val="0"/>
                <w:color w:val="000000"/>
                <w:sz w:val="16"/>
                <w:szCs w:val="16"/>
                <w:u w:val="none"/>
              </w:rPr>
            </w:pPr>
          </w:p>
        </w:tc>
        <w:tc>
          <w:tcPr>
            <w:tcW w:w="83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1A1380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产出指标</w:t>
            </w:r>
          </w:p>
        </w:tc>
        <w:tc>
          <w:tcPr>
            <w:tcW w:w="83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A258F4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数量指标</w:t>
            </w:r>
          </w:p>
        </w:tc>
        <w:tc>
          <w:tcPr>
            <w:tcW w:w="13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827C6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完成北京大学牦牛革命演出</w:t>
            </w:r>
          </w:p>
        </w:tc>
        <w:tc>
          <w:tcPr>
            <w:tcW w:w="8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673FA0">
            <w:pPr>
              <w:keepNext w:val="0"/>
              <w:keepLines w:val="0"/>
              <w:widowControl/>
              <w:suppressLineNumbers w:val="0"/>
              <w:jc w:val="center"/>
              <w:textAlignment w:val="center"/>
              <w:rPr>
                <w:rFonts w:hint="default" w:ascii="宋体" w:hAnsi="宋体" w:eastAsia="宋体" w:cs="宋体"/>
                <w:i w:val="0"/>
                <w:iCs w:val="0"/>
                <w:color w:val="000000"/>
                <w:sz w:val="16"/>
                <w:szCs w:val="16"/>
                <w:u w:val="none"/>
                <w:lang w:val="en-US" w:eastAsia="zh-CN"/>
              </w:rPr>
            </w:pPr>
            <w:r>
              <w:rPr>
                <w:rFonts w:hint="eastAsia" w:ascii="宋体" w:hAnsi="宋体" w:eastAsia="宋体" w:cs="宋体"/>
                <w:i w:val="0"/>
                <w:iCs w:val="0"/>
                <w:color w:val="000000"/>
                <w:sz w:val="16"/>
                <w:szCs w:val="16"/>
                <w:u w:val="none"/>
                <w:lang w:val="en-US" w:eastAsia="zh-CN"/>
              </w:rPr>
              <w:t>=</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E983D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8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A2CA1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场</w:t>
            </w:r>
          </w:p>
        </w:tc>
        <w:tc>
          <w:tcPr>
            <w:tcW w:w="8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A0699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1场</w:t>
            </w:r>
          </w:p>
        </w:tc>
        <w:tc>
          <w:tcPr>
            <w:tcW w:w="8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B22FE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10</w:t>
            </w:r>
          </w:p>
        </w:tc>
        <w:tc>
          <w:tcPr>
            <w:tcW w:w="8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2D5A3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10</w:t>
            </w:r>
          </w:p>
        </w:tc>
        <w:tc>
          <w:tcPr>
            <w:tcW w:w="8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42877C">
            <w:pPr>
              <w:jc w:val="center"/>
              <w:rPr>
                <w:rFonts w:hint="eastAsia" w:ascii="宋体" w:hAnsi="宋体" w:eastAsia="宋体" w:cs="宋体"/>
                <w:i w:val="0"/>
                <w:iCs w:val="0"/>
                <w:color w:val="000000"/>
                <w:sz w:val="16"/>
                <w:szCs w:val="16"/>
                <w:u w:val="none"/>
              </w:rPr>
            </w:pPr>
          </w:p>
        </w:tc>
      </w:tr>
      <w:tr w14:paraId="185B67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83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4D29E3A">
            <w:pPr>
              <w:jc w:val="center"/>
              <w:rPr>
                <w:rFonts w:hint="eastAsia" w:ascii="宋体" w:hAnsi="宋体" w:eastAsia="宋体" w:cs="宋体"/>
                <w:i w:val="0"/>
                <w:iCs w:val="0"/>
                <w:color w:val="000000"/>
                <w:sz w:val="16"/>
                <w:szCs w:val="16"/>
                <w:u w:val="none"/>
              </w:rPr>
            </w:pPr>
          </w:p>
        </w:tc>
        <w:tc>
          <w:tcPr>
            <w:tcW w:w="83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01C32D7">
            <w:pPr>
              <w:jc w:val="center"/>
              <w:rPr>
                <w:rFonts w:hint="eastAsia" w:ascii="宋体" w:hAnsi="宋体" w:eastAsia="宋体" w:cs="宋体"/>
                <w:i w:val="0"/>
                <w:iCs w:val="0"/>
                <w:color w:val="000000"/>
                <w:sz w:val="16"/>
                <w:szCs w:val="16"/>
                <w:u w:val="none"/>
              </w:rPr>
            </w:pPr>
          </w:p>
        </w:tc>
        <w:tc>
          <w:tcPr>
            <w:tcW w:w="83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75476FA">
            <w:pPr>
              <w:jc w:val="center"/>
              <w:rPr>
                <w:rFonts w:hint="eastAsia" w:ascii="宋体" w:hAnsi="宋体" w:eastAsia="宋体" w:cs="宋体"/>
                <w:i w:val="0"/>
                <w:iCs w:val="0"/>
                <w:color w:val="000000"/>
                <w:sz w:val="16"/>
                <w:szCs w:val="16"/>
                <w:u w:val="none"/>
              </w:rPr>
            </w:pPr>
          </w:p>
        </w:tc>
        <w:tc>
          <w:tcPr>
            <w:tcW w:w="13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5812E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完成演出舞台拆台</w:t>
            </w:r>
          </w:p>
        </w:tc>
        <w:tc>
          <w:tcPr>
            <w:tcW w:w="8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CBD7B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sz w:val="16"/>
                <w:szCs w:val="16"/>
                <w:u w:val="none"/>
                <w:lang w:val="en-US" w:eastAsia="zh-CN"/>
              </w:rPr>
              <w:t>=</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0F8E7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8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6AB5F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次</w:t>
            </w:r>
          </w:p>
        </w:tc>
        <w:tc>
          <w:tcPr>
            <w:tcW w:w="8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B754A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1次</w:t>
            </w:r>
          </w:p>
        </w:tc>
        <w:tc>
          <w:tcPr>
            <w:tcW w:w="8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EF4EA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10</w:t>
            </w:r>
          </w:p>
        </w:tc>
        <w:tc>
          <w:tcPr>
            <w:tcW w:w="8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D9098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10</w:t>
            </w:r>
          </w:p>
        </w:tc>
        <w:tc>
          <w:tcPr>
            <w:tcW w:w="8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DAD679">
            <w:pPr>
              <w:jc w:val="center"/>
              <w:rPr>
                <w:rFonts w:hint="eastAsia" w:ascii="宋体" w:hAnsi="宋体" w:eastAsia="宋体" w:cs="宋体"/>
                <w:i w:val="0"/>
                <w:iCs w:val="0"/>
                <w:color w:val="000000"/>
                <w:sz w:val="16"/>
                <w:szCs w:val="16"/>
                <w:u w:val="none"/>
              </w:rPr>
            </w:pPr>
          </w:p>
        </w:tc>
      </w:tr>
      <w:tr w14:paraId="0A0071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83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E429AA3">
            <w:pPr>
              <w:jc w:val="center"/>
              <w:rPr>
                <w:rFonts w:hint="eastAsia" w:ascii="宋体" w:hAnsi="宋体" w:eastAsia="宋体" w:cs="宋体"/>
                <w:i w:val="0"/>
                <w:iCs w:val="0"/>
                <w:color w:val="000000"/>
                <w:sz w:val="16"/>
                <w:szCs w:val="16"/>
                <w:u w:val="none"/>
              </w:rPr>
            </w:pPr>
          </w:p>
        </w:tc>
        <w:tc>
          <w:tcPr>
            <w:tcW w:w="83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E69AE8E">
            <w:pPr>
              <w:jc w:val="center"/>
              <w:rPr>
                <w:rFonts w:hint="eastAsia" w:ascii="宋体" w:hAnsi="宋体" w:eastAsia="宋体" w:cs="宋体"/>
                <w:i w:val="0"/>
                <w:iCs w:val="0"/>
                <w:color w:val="000000"/>
                <w:sz w:val="16"/>
                <w:szCs w:val="16"/>
                <w:u w:val="none"/>
              </w:rPr>
            </w:pPr>
          </w:p>
        </w:tc>
        <w:tc>
          <w:tcPr>
            <w:tcW w:w="83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F51C19A">
            <w:pPr>
              <w:jc w:val="center"/>
              <w:rPr>
                <w:rFonts w:hint="eastAsia" w:ascii="宋体" w:hAnsi="宋体" w:eastAsia="宋体" w:cs="宋体"/>
                <w:i w:val="0"/>
                <w:iCs w:val="0"/>
                <w:color w:val="000000"/>
                <w:sz w:val="16"/>
                <w:szCs w:val="16"/>
                <w:u w:val="none"/>
              </w:rPr>
            </w:pPr>
          </w:p>
        </w:tc>
        <w:tc>
          <w:tcPr>
            <w:tcW w:w="13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90C56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完成演出舞台装台</w:t>
            </w:r>
          </w:p>
        </w:tc>
        <w:tc>
          <w:tcPr>
            <w:tcW w:w="8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1A4CF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sz w:val="16"/>
                <w:szCs w:val="16"/>
                <w:u w:val="none"/>
                <w:lang w:val="en-US" w:eastAsia="zh-CN"/>
              </w:rPr>
              <w:t>=</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10563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8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D876A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次</w:t>
            </w:r>
          </w:p>
        </w:tc>
        <w:tc>
          <w:tcPr>
            <w:tcW w:w="8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83100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1次</w:t>
            </w:r>
          </w:p>
        </w:tc>
        <w:tc>
          <w:tcPr>
            <w:tcW w:w="8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0CF5F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10</w:t>
            </w:r>
          </w:p>
        </w:tc>
        <w:tc>
          <w:tcPr>
            <w:tcW w:w="8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6E58F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10</w:t>
            </w:r>
          </w:p>
        </w:tc>
        <w:tc>
          <w:tcPr>
            <w:tcW w:w="8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D0E427">
            <w:pPr>
              <w:jc w:val="center"/>
              <w:rPr>
                <w:rFonts w:hint="eastAsia" w:ascii="宋体" w:hAnsi="宋体" w:eastAsia="宋体" w:cs="宋体"/>
                <w:i w:val="0"/>
                <w:iCs w:val="0"/>
                <w:color w:val="000000"/>
                <w:sz w:val="16"/>
                <w:szCs w:val="16"/>
                <w:u w:val="none"/>
              </w:rPr>
            </w:pPr>
          </w:p>
        </w:tc>
      </w:tr>
      <w:tr w14:paraId="512360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83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E850D9D">
            <w:pPr>
              <w:jc w:val="center"/>
              <w:rPr>
                <w:rFonts w:hint="eastAsia" w:ascii="宋体" w:hAnsi="宋体" w:eastAsia="宋体" w:cs="宋体"/>
                <w:i w:val="0"/>
                <w:iCs w:val="0"/>
                <w:color w:val="000000"/>
                <w:sz w:val="16"/>
                <w:szCs w:val="16"/>
                <w:u w:val="none"/>
              </w:rPr>
            </w:pPr>
          </w:p>
        </w:tc>
        <w:tc>
          <w:tcPr>
            <w:tcW w:w="83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A7EDF1E">
            <w:pPr>
              <w:jc w:val="center"/>
              <w:rPr>
                <w:rFonts w:hint="eastAsia" w:ascii="宋体" w:hAnsi="宋体" w:eastAsia="宋体" w:cs="宋体"/>
                <w:i w:val="0"/>
                <w:iCs w:val="0"/>
                <w:color w:val="000000"/>
                <w:sz w:val="16"/>
                <w:szCs w:val="16"/>
                <w:u w:val="none"/>
              </w:rPr>
            </w:pPr>
          </w:p>
        </w:tc>
        <w:tc>
          <w:tcPr>
            <w:tcW w:w="8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788E9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质量指标</w:t>
            </w:r>
          </w:p>
        </w:tc>
        <w:tc>
          <w:tcPr>
            <w:tcW w:w="13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A7FA4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演出舞台装台合格率</w:t>
            </w:r>
          </w:p>
        </w:tc>
        <w:tc>
          <w:tcPr>
            <w:tcW w:w="8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A067B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sz w:val="16"/>
                <w:szCs w:val="16"/>
                <w:u w:val="none"/>
                <w:lang w:val="en-US" w:eastAsia="zh-CN"/>
              </w:rPr>
              <w:t>=</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3988E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100</w:t>
            </w:r>
          </w:p>
        </w:tc>
        <w:tc>
          <w:tcPr>
            <w:tcW w:w="8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69944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w:t>
            </w:r>
          </w:p>
        </w:tc>
        <w:tc>
          <w:tcPr>
            <w:tcW w:w="8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23EF4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100%</w:t>
            </w:r>
          </w:p>
        </w:tc>
        <w:tc>
          <w:tcPr>
            <w:tcW w:w="8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AF8EA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10</w:t>
            </w:r>
          </w:p>
        </w:tc>
        <w:tc>
          <w:tcPr>
            <w:tcW w:w="8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BD7EB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10</w:t>
            </w:r>
          </w:p>
        </w:tc>
        <w:tc>
          <w:tcPr>
            <w:tcW w:w="8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86AB7B">
            <w:pPr>
              <w:jc w:val="center"/>
              <w:rPr>
                <w:rFonts w:hint="eastAsia" w:ascii="宋体" w:hAnsi="宋体" w:eastAsia="宋体" w:cs="宋体"/>
                <w:i w:val="0"/>
                <w:iCs w:val="0"/>
                <w:color w:val="000000"/>
                <w:sz w:val="16"/>
                <w:szCs w:val="16"/>
                <w:u w:val="none"/>
              </w:rPr>
            </w:pPr>
          </w:p>
        </w:tc>
      </w:tr>
      <w:tr w14:paraId="2FB95E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83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6AA7A03">
            <w:pPr>
              <w:jc w:val="center"/>
              <w:rPr>
                <w:rFonts w:hint="eastAsia" w:ascii="宋体" w:hAnsi="宋体" w:eastAsia="宋体" w:cs="宋体"/>
                <w:i w:val="0"/>
                <w:iCs w:val="0"/>
                <w:color w:val="000000"/>
                <w:sz w:val="16"/>
                <w:szCs w:val="16"/>
                <w:u w:val="none"/>
              </w:rPr>
            </w:pPr>
          </w:p>
        </w:tc>
        <w:tc>
          <w:tcPr>
            <w:tcW w:w="8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42B7B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效益指标</w:t>
            </w:r>
          </w:p>
        </w:tc>
        <w:tc>
          <w:tcPr>
            <w:tcW w:w="8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7B9A2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社会效益指标</w:t>
            </w:r>
          </w:p>
        </w:tc>
        <w:tc>
          <w:tcPr>
            <w:tcW w:w="13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48C20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推广民族文化，让更多的人了解牦牛革命的伟大事迹</w:t>
            </w:r>
          </w:p>
        </w:tc>
        <w:tc>
          <w:tcPr>
            <w:tcW w:w="8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46FFF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定性</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3A4E9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效果显著</w:t>
            </w:r>
          </w:p>
        </w:tc>
        <w:tc>
          <w:tcPr>
            <w:tcW w:w="8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FF15DF">
            <w:pPr>
              <w:jc w:val="center"/>
              <w:rPr>
                <w:rFonts w:hint="eastAsia" w:ascii="宋体" w:hAnsi="宋体" w:eastAsia="宋体" w:cs="宋体"/>
                <w:i w:val="0"/>
                <w:iCs w:val="0"/>
                <w:color w:val="000000"/>
                <w:sz w:val="16"/>
                <w:szCs w:val="16"/>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F3F3C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效果显著</w:t>
            </w:r>
          </w:p>
        </w:tc>
        <w:tc>
          <w:tcPr>
            <w:tcW w:w="8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4C1CC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20</w:t>
            </w:r>
          </w:p>
        </w:tc>
        <w:tc>
          <w:tcPr>
            <w:tcW w:w="8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9AD8C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16</w:t>
            </w:r>
          </w:p>
        </w:tc>
        <w:tc>
          <w:tcPr>
            <w:tcW w:w="8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C16F5E">
            <w:pPr>
              <w:jc w:val="center"/>
              <w:rPr>
                <w:rFonts w:hint="eastAsia" w:ascii="宋体" w:hAnsi="宋体" w:eastAsia="宋体" w:cs="宋体"/>
                <w:i w:val="0"/>
                <w:iCs w:val="0"/>
                <w:color w:val="000000"/>
                <w:sz w:val="16"/>
                <w:szCs w:val="16"/>
                <w:u w:val="none"/>
              </w:rPr>
            </w:pPr>
          </w:p>
        </w:tc>
      </w:tr>
      <w:tr w14:paraId="49AD94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83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572F77E">
            <w:pPr>
              <w:jc w:val="center"/>
              <w:rPr>
                <w:rFonts w:hint="eastAsia" w:ascii="宋体" w:hAnsi="宋体" w:eastAsia="宋体" w:cs="宋体"/>
                <w:i w:val="0"/>
                <w:iCs w:val="0"/>
                <w:color w:val="000000"/>
                <w:sz w:val="16"/>
                <w:szCs w:val="16"/>
                <w:u w:val="none"/>
              </w:rPr>
            </w:pPr>
          </w:p>
        </w:tc>
        <w:tc>
          <w:tcPr>
            <w:tcW w:w="8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3133D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满意度指标</w:t>
            </w:r>
          </w:p>
        </w:tc>
        <w:tc>
          <w:tcPr>
            <w:tcW w:w="8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33ADD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服务对象满意度指标</w:t>
            </w:r>
          </w:p>
        </w:tc>
        <w:tc>
          <w:tcPr>
            <w:tcW w:w="13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68535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观看群众满意度</w:t>
            </w:r>
          </w:p>
        </w:tc>
        <w:tc>
          <w:tcPr>
            <w:tcW w:w="8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199B5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64765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80</w:t>
            </w:r>
          </w:p>
        </w:tc>
        <w:tc>
          <w:tcPr>
            <w:tcW w:w="8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E4021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w:t>
            </w:r>
          </w:p>
        </w:tc>
        <w:tc>
          <w:tcPr>
            <w:tcW w:w="8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8C3DB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80%</w:t>
            </w:r>
          </w:p>
        </w:tc>
        <w:tc>
          <w:tcPr>
            <w:tcW w:w="8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03A51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10</w:t>
            </w:r>
          </w:p>
        </w:tc>
        <w:tc>
          <w:tcPr>
            <w:tcW w:w="8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889B0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10</w:t>
            </w:r>
          </w:p>
        </w:tc>
        <w:tc>
          <w:tcPr>
            <w:tcW w:w="8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D39403">
            <w:pPr>
              <w:jc w:val="center"/>
              <w:rPr>
                <w:rFonts w:hint="eastAsia" w:ascii="宋体" w:hAnsi="宋体" w:eastAsia="宋体" w:cs="宋体"/>
                <w:i w:val="0"/>
                <w:iCs w:val="0"/>
                <w:color w:val="000000"/>
                <w:sz w:val="16"/>
                <w:szCs w:val="16"/>
                <w:u w:val="none"/>
              </w:rPr>
            </w:pPr>
          </w:p>
        </w:tc>
      </w:tr>
      <w:tr w14:paraId="12DE9C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83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C09B50B">
            <w:pPr>
              <w:jc w:val="center"/>
              <w:rPr>
                <w:rFonts w:hint="eastAsia" w:ascii="宋体" w:hAnsi="宋体" w:eastAsia="宋体" w:cs="宋体"/>
                <w:i w:val="0"/>
                <w:iCs w:val="0"/>
                <w:color w:val="000000"/>
                <w:sz w:val="16"/>
                <w:szCs w:val="16"/>
                <w:u w:val="none"/>
              </w:rPr>
            </w:pPr>
          </w:p>
        </w:tc>
        <w:tc>
          <w:tcPr>
            <w:tcW w:w="8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E97D3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成本指标</w:t>
            </w:r>
          </w:p>
        </w:tc>
        <w:tc>
          <w:tcPr>
            <w:tcW w:w="8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EDAF4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经济成本指标</w:t>
            </w:r>
          </w:p>
        </w:tc>
        <w:tc>
          <w:tcPr>
            <w:tcW w:w="13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3A623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项目总价</w:t>
            </w:r>
          </w:p>
        </w:tc>
        <w:tc>
          <w:tcPr>
            <w:tcW w:w="8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B8218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sz w:val="16"/>
                <w:szCs w:val="16"/>
                <w:u w:val="none"/>
                <w:lang w:val="en-US" w:eastAsia="zh-CN"/>
              </w:rPr>
              <w:t>=</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F40C9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29.8</w:t>
            </w:r>
          </w:p>
        </w:tc>
        <w:tc>
          <w:tcPr>
            <w:tcW w:w="8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BC558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万元</w:t>
            </w:r>
          </w:p>
        </w:tc>
        <w:tc>
          <w:tcPr>
            <w:tcW w:w="8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148F1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29.8万元</w:t>
            </w:r>
          </w:p>
        </w:tc>
        <w:tc>
          <w:tcPr>
            <w:tcW w:w="8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7AAA5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20</w:t>
            </w:r>
          </w:p>
        </w:tc>
        <w:tc>
          <w:tcPr>
            <w:tcW w:w="8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8034F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20</w:t>
            </w:r>
          </w:p>
        </w:tc>
        <w:tc>
          <w:tcPr>
            <w:tcW w:w="8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5E0609">
            <w:pPr>
              <w:jc w:val="center"/>
              <w:rPr>
                <w:rFonts w:hint="eastAsia" w:ascii="宋体" w:hAnsi="宋体" w:eastAsia="宋体" w:cs="宋体"/>
                <w:i w:val="0"/>
                <w:iCs w:val="0"/>
                <w:color w:val="000000"/>
                <w:sz w:val="16"/>
                <w:szCs w:val="16"/>
                <w:u w:val="none"/>
              </w:rPr>
            </w:pPr>
          </w:p>
        </w:tc>
      </w:tr>
      <w:tr w14:paraId="621503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829"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3EAC769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合计</w:t>
            </w:r>
          </w:p>
        </w:tc>
        <w:tc>
          <w:tcPr>
            <w:tcW w:w="8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5F55C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100</w:t>
            </w:r>
          </w:p>
        </w:tc>
        <w:tc>
          <w:tcPr>
            <w:tcW w:w="8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CF868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96</w:t>
            </w:r>
          </w:p>
        </w:tc>
        <w:tc>
          <w:tcPr>
            <w:tcW w:w="8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DBC4A5">
            <w:pPr>
              <w:rPr>
                <w:rFonts w:hint="eastAsia" w:ascii="宋体" w:hAnsi="宋体" w:eastAsia="宋体" w:cs="宋体"/>
                <w:i w:val="0"/>
                <w:iCs w:val="0"/>
                <w:color w:val="000000"/>
                <w:sz w:val="16"/>
                <w:szCs w:val="16"/>
                <w:u w:val="none"/>
              </w:rPr>
            </w:pPr>
          </w:p>
        </w:tc>
      </w:tr>
      <w:tr w14:paraId="0060F9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8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E016C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评价结论</w:t>
            </w:r>
          </w:p>
        </w:tc>
        <w:tc>
          <w:tcPr>
            <w:tcW w:w="8541" w:type="dxa"/>
            <w:gridSpan w:val="10"/>
            <w:tcBorders>
              <w:top w:val="single" w:color="000000" w:sz="4" w:space="0"/>
              <w:left w:val="single" w:color="000000" w:sz="4" w:space="0"/>
              <w:bottom w:val="single" w:color="000000" w:sz="4" w:space="0"/>
              <w:right w:val="single" w:color="000000" w:sz="4" w:space="0"/>
            </w:tcBorders>
            <w:shd w:val="clear" w:color="auto" w:fill="FFFFFF"/>
            <w:vAlign w:val="center"/>
          </w:tcPr>
          <w:p w14:paraId="1A627370">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本次“牦牛革命”主题演出圆满完成，思想政治引领与红色教育成效显著，有效增强师生爱国情怀与民族共同体意识，自评得分96分。</w:t>
            </w:r>
          </w:p>
        </w:tc>
      </w:tr>
      <w:tr w14:paraId="7C8EFD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8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844EF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存在问题</w:t>
            </w:r>
          </w:p>
        </w:tc>
        <w:tc>
          <w:tcPr>
            <w:tcW w:w="8541" w:type="dxa"/>
            <w:gridSpan w:val="10"/>
            <w:tcBorders>
              <w:top w:val="single" w:color="000000" w:sz="4" w:space="0"/>
              <w:left w:val="single" w:color="000000" w:sz="4" w:space="0"/>
              <w:bottom w:val="single" w:color="000000" w:sz="4" w:space="0"/>
              <w:right w:val="single" w:color="000000" w:sz="4" w:space="0"/>
            </w:tcBorders>
            <w:shd w:val="clear" w:color="auto" w:fill="FFFFFF"/>
            <w:vAlign w:val="center"/>
          </w:tcPr>
          <w:p w14:paraId="74B503C2">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线上观看渠道较少与互动形式较少，演出传播效果未实现最大化。</w:t>
            </w:r>
          </w:p>
        </w:tc>
      </w:tr>
      <w:tr w14:paraId="594940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8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F6003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改进措施</w:t>
            </w:r>
          </w:p>
        </w:tc>
        <w:tc>
          <w:tcPr>
            <w:tcW w:w="8541" w:type="dxa"/>
            <w:gridSpan w:val="10"/>
            <w:tcBorders>
              <w:top w:val="single" w:color="000000" w:sz="4" w:space="0"/>
              <w:left w:val="single" w:color="000000" w:sz="4" w:space="0"/>
              <w:bottom w:val="single" w:color="000000" w:sz="4" w:space="0"/>
              <w:right w:val="single" w:color="000000" w:sz="4" w:space="0"/>
            </w:tcBorders>
            <w:shd w:val="clear" w:color="auto" w:fill="FFFFFF"/>
            <w:vAlign w:val="center"/>
          </w:tcPr>
          <w:p w14:paraId="5376152A">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拓展线上传播渠道，丰富观看与互动形式，提升演出传播力与影响力。</w:t>
            </w:r>
          </w:p>
        </w:tc>
      </w:tr>
      <w:tr w14:paraId="27DDF3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4693"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73265C02">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项目负责人：陈晓东</w:t>
            </w:r>
          </w:p>
        </w:tc>
        <w:tc>
          <w:tcPr>
            <w:tcW w:w="4687"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033F59CE">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财务负责人：杨芳</w:t>
            </w:r>
          </w:p>
        </w:tc>
      </w:tr>
    </w:tbl>
    <w:p w14:paraId="0C733274">
      <w:pPr>
        <w:pageBreakBefore w:val="0"/>
        <w:kinsoku/>
        <w:wordWrap/>
        <w:overflowPunct/>
        <w:topLinePunct w:val="0"/>
        <w:autoSpaceDE/>
        <w:autoSpaceDN/>
        <w:bidi w:val="0"/>
        <w:spacing w:line="560" w:lineRule="atLeast"/>
      </w:pPr>
      <w:r>
        <w:rPr>
          <w:rFonts w:hint="eastAsia" w:asciiTheme="minorEastAsia" w:hAnsiTheme="minorEastAsia" w:eastAsiaTheme="minorEastAsia" w:cstheme="minorEastAsia"/>
          <w:sz w:val="21"/>
          <w:szCs w:val="21"/>
        </w:rPr>
        <w:t xml:space="preserve">  </w:t>
      </w:r>
      <w:r>
        <w:rPr>
          <w:rFonts w:hint="eastAsia" w:asciiTheme="minorEastAsia" w:hAnsiTheme="minorEastAsia" w:eastAsiaTheme="minorEastAsia" w:cstheme="minorEastAsia"/>
          <w:sz w:val="21"/>
          <w:szCs w:val="21"/>
          <w:lang w:val="en-US" w:eastAsia="zh-CN"/>
        </w:rPr>
        <w:t xml:space="preserve">  </w:t>
      </w:r>
    </w:p>
    <w:p w14:paraId="3E0A631E">
      <w:pPr>
        <w:keepNext w:val="0"/>
        <w:keepLines w:val="0"/>
        <w:pageBreakBefore w:val="0"/>
        <w:kinsoku/>
        <w:wordWrap/>
        <w:overflowPunct/>
        <w:topLinePunct w:val="0"/>
        <w:autoSpaceDE/>
        <w:autoSpaceDN/>
        <w:bidi w:val="0"/>
        <w:spacing w:line="560" w:lineRule="atLeast"/>
        <w:jc w:val="left"/>
        <w:textAlignment w:val="auto"/>
        <w:outlineLvl w:val="0"/>
        <w:rPr>
          <w:rFonts w:hint="eastAsia" w:ascii="Times New Roman" w:hAnsi="Times New Roman" w:eastAsia="黑体" w:cs="黑体"/>
          <w:color w:val="auto"/>
          <w:sz w:val="32"/>
          <w:szCs w:val="32"/>
          <w:highlight w:val="none"/>
        </w:rPr>
      </w:pPr>
    </w:p>
    <w:p w14:paraId="10F423ED">
      <w:pPr>
        <w:keepNext w:val="0"/>
        <w:keepLines w:val="0"/>
        <w:pageBreakBefore w:val="0"/>
        <w:kinsoku/>
        <w:wordWrap/>
        <w:overflowPunct/>
        <w:topLinePunct w:val="0"/>
        <w:autoSpaceDE/>
        <w:autoSpaceDN/>
        <w:bidi w:val="0"/>
        <w:spacing w:line="560" w:lineRule="atLeast"/>
        <w:jc w:val="left"/>
        <w:textAlignment w:val="auto"/>
        <w:outlineLvl w:val="0"/>
        <w:rPr>
          <w:rFonts w:hint="eastAsia" w:ascii="Times New Roman" w:hAnsi="Times New Roman" w:eastAsia="黑体" w:cs="黑体"/>
          <w:color w:val="auto"/>
          <w:sz w:val="32"/>
          <w:szCs w:val="32"/>
          <w:highlight w:val="none"/>
        </w:rPr>
      </w:pPr>
    </w:p>
    <w:p w14:paraId="6B30EE0E">
      <w:pPr>
        <w:keepNext w:val="0"/>
        <w:keepLines w:val="0"/>
        <w:pageBreakBefore w:val="0"/>
        <w:kinsoku/>
        <w:wordWrap/>
        <w:overflowPunct/>
        <w:topLinePunct w:val="0"/>
        <w:autoSpaceDE/>
        <w:autoSpaceDN/>
        <w:bidi w:val="0"/>
        <w:spacing w:line="560" w:lineRule="atLeast"/>
        <w:jc w:val="left"/>
        <w:textAlignment w:val="auto"/>
        <w:outlineLvl w:val="0"/>
        <w:rPr>
          <w:rFonts w:hint="eastAsia" w:ascii="Times New Roman" w:hAnsi="Times New Roman" w:eastAsia="黑体" w:cs="黑体"/>
          <w:color w:val="auto"/>
          <w:sz w:val="32"/>
          <w:szCs w:val="32"/>
          <w:highlight w:val="none"/>
        </w:rPr>
      </w:pPr>
    </w:p>
    <w:p w14:paraId="49CBE6E9">
      <w:pPr>
        <w:keepNext w:val="0"/>
        <w:keepLines w:val="0"/>
        <w:pageBreakBefore w:val="0"/>
        <w:kinsoku/>
        <w:wordWrap/>
        <w:overflowPunct/>
        <w:topLinePunct w:val="0"/>
        <w:autoSpaceDE/>
        <w:autoSpaceDN/>
        <w:bidi w:val="0"/>
        <w:spacing w:line="560" w:lineRule="atLeast"/>
        <w:jc w:val="left"/>
        <w:textAlignment w:val="auto"/>
        <w:outlineLvl w:val="0"/>
        <w:rPr>
          <w:rFonts w:hint="eastAsia" w:ascii="Times New Roman" w:hAnsi="Times New Roman" w:eastAsia="黑体" w:cs="黑体"/>
          <w:color w:val="auto"/>
          <w:sz w:val="32"/>
          <w:szCs w:val="32"/>
          <w:highlight w:val="none"/>
        </w:rPr>
      </w:pPr>
    </w:p>
    <w:p w14:paraId="293C7CDC">
      <w:pPr>
        <w:keepNext w:val="0"/>
        <w:keepLines w:val="0"/>
        <w:pageBreakBefore w:val="0"/>
        <w:kinsoku/>
        <w:wordWrap/>
        <w:overflowPunct/>
        <w:topLinePunct w:val="0"/>
        <w:autoSpaceDE/>
        <w:autoSpaceDN/>
        <w:bidi w:val="0"/>
        <w:spacing w:line="560" w:lineRule="atLeast"/>
        <w:jc w:val="left"/>
        <w:textAlignment w:val="auto"/>
        <w:outlineLvl w:val="0"/>
        <w:rPr>
          <w:rFonts w:hint="eastAsia" w:ascii="Times New Roman" w:hAnsi="Times New Roman" w:eastAsia="黑体" w:cs="黑体"/>
          <w:color w:val="auto"/>
          <w:sz w:val="32"/>
          <w:szCs w:val="32"/>
          <w:highlight w:val="none"/>
        </w:rPr>
      </w:pPr>
    </w:p>
    <w:p w14:paraId="112FAF9F">
      <w:pPr>
        <w:keepNext w:val="0"/>
        <w:keepLines w:val="0"/>
        <w:pageBreakBefore w:val="0"/>
        <w:kinsoku/>
        <w:wordWrap/>
        <w:overflowPunct/>
        <w:topLinePunct w:val="0"/>
        <w:autoSpaceDE/>
        <w:autoSpaceDN/>
        <w:bidi w:val="0"/>
        <w:spacing w:line="560" w:lineRule="atLeast"/>
        <w:jc w:val="left"/>
        <w:textAlignment w:val="auto"/>
        <w:outlineLvl w:val="0"/>
        <w:rPr>
          <w:rFonts w:hint="eastAsia" w:ascii="Times New Roman" w:hAnsi="Times New Roman" w:eastAsia="黑体" w:cs="黑体"/>
          <w:color w:val="auto"/>
          <w:sz w:val="32"/>
          <w:szCs w:val="32"/>
          <w:highlight w:val="none"/>
        </w:rPr>
      </w:pPr>
    </w:p>
    <w:p w14:paraId="6C79D934">
      <w:pPr>
        <w:keepNext w:val="0"/>
        <w:keepLines w:val="0"/>
        <w:pageBreakBefore w:val="0"/>
        <w:kinsoku/>
        <w:wordWrap/>
        <w:overflowPunct/>
        <w:topLinePunct w:val="0"/>
        <w:autoSpaceDE/>
        <w:autoSpaceDN/>
        <w:bidi w:val="0"/>
        <w:spacing w:line="560" w:lineRule="atLeast"/>
        <w:jc w:val="left"/>
        <w:textAlignment w:val="auto"/>
        <w:outlineLvl w:val="0"/>
        <w:rPr>
          <w:rFonts w:hint="eastAsia" w:ascii="Times New Roman" w:hAnsi="Times New Roman" w:eastAsia="黑体" w:cs="黑体"/>
          <w:color w:val="auto"/>
          <w:sz w:val="32"/>
          <w:szCs w:val="32"/>
          <w:highlight w:val="none"/>
        </w:rPr>
      </w:pPr>
    </w:p>
    <w:p w14:paraId="3B60429D">
      <w:pPr>
        <w:keepNext w:val="0"/>
        <w:keepLines w:val="0"/>
        <w:pageBreakBefore w:val="0"/>
        <w:kinsoku/>
        <w:wordWrap/>
        <w:overflowPunct/>
        <w:topLinePunct w:val="0"/>
        <w:autoSpaceDE/>
        <w:autoSpaceDN/>
        <w:bidi w:val="0"/>
        <w:spacing w:line="560" w:lineRule="atLeast"/>
        <w:jc w:val="left"/>
        <w:textAlignment w:val="auto"/>
        <w:outlineLvl w:val="0"/>
        <w:rPr>
          <w:rFonts w:hint="eastAsia" w:ascii="Times New Roman" w:hAnsi="Times New Roman" w:eastAsia="黑体" w:cs="黑体"/>
          <w:color w:val="auto"/>
          <w:sz w:val="32"/>
          <w:szCs w:val="32"/>
          <w:highlight w:val="none"/>
        </w:rPr>
      </w:pPr>
    </w:p>
    <w:p w14:paraId="7816265C">
      <w:pPr>
        <w:keepNext w:val="0"/>
        <w:keepLines w:val="0"/>
        <w:pageBreakBefore w:val="0"/>
        <w:kinsoku/>
        <w:wordWrap/>
        <w:overflowPunct/>
        <w:topLinePunct w:val="0"/>
        <w:autoSpaceDE/>
        <w:autoSpaceDN/>
        <w:bidi w:val="0"/>
        <w:spacing w:line="560" w:lineRule="atLeast"/>
        <w:jc w:val="left"/>
        <w:textAlignment w:val="auto"/>
        <w:outlineLvl w:val="0"/>
        <w:rPr>
          <w:lang w:val="zh-CN"/>
        </w:rPr>
      </w:pPr>
      <w:r>
        <w:rPr>
          <w:rFonts w:hint="eastAsia" w:ascii="Times New Roman" w:hAnsi="Times New Roman" w:eastAsia="黑体" w:cs="黑体"/>
          <w:color w:val="auto"/>
          <w:sz w:val="32"/>
          <w:szCs w:val="32"/>
          <w:highlight w:val="none"/>
        </w:rPr>
        <w:t>附件</w:t>
      </w:r>
      <w:r>
        <w:rPr>
          <w:rFonts w:hint="eastAsia" w:ascii="Times New Roman" w:hAnsi="Times New Roman" w:eastAsia="黑体" w:cs="黑体"/>
          <w:color w:val="auto"/>
          <w:sz w:val="32"/>
          <w:szCs w:val="32"/>
          <w:highlight w:val="none"/>
          <w:lang w:val="en-US" w:eastAsia="zh-CN"/>
        </w:rPr>
        <w:t>3</w:t>
      </w:r>
    </w:p>
    <w:p w14:paraId="0E4ADBE3">
      <w:pPr>
        <w:widowControl w:val="0"/>
        <w:spacing w:line="578" w:lineRule="exact"/>
        <w:jc w:val="center"/>
        <w:rPr>
          <w:rFonts w:hint="eastAsia" w:ascii="Times New Roman" w:hAnsi="Times New Roman" w:eastAsia="方正小标宋简体" w:cs="Times New Roman"/>
          <w:color w:val="auto"/>
          <w:kern w:val="2"/>
          <w:sz w:val="44"/>
          <w:szCs w:val="44"/>
          <w:lang w:val="en-US" w:eastAsia="zh-CN" w:bidi="ar-SA"/>
        </w:rPr>
      </w:pPr>
    </w:p>
    <w:p w14:paraId="52657E37">
      <w:pPr>
        <w:widowControl w:val="0"/>
        <w:spacing w:line="578" w:lineRule="exact"/>
        <w:jc w:val="center"/>
        <w:rPr>
          <w:rFonts w:hint="eastAsia" w:ascii="Times New Roman" w:hAnsi="Times New Roman" w:eastAsia="方正小标宋简体" w:cs="Times New Roman"/>
          <w:color w:val="auto"/>
          <w:kern w:val="2"/>
          <w:sz w:val="44"/>
          <w:szCs w:val="44"/>
          <w:lang w:val="en-US" w:eastAsia="zh-CN" w:bidi="ar-SA"/>
        </w:rPr>
      </w:pPr>
      <w:r>
        <w:rPr>
          <w:rFonts w:hint="eastAsia" w:ascii="Times New Roman" w:hAnsi="Times New Roman" w:eastAsia="方正小标宋简体" w:cs="Times New Roman"/>
          <w:color w:val="auto"/>
          <w:kern w:val="2"/>
          <w:sz w:val="44"/>
          <w:szCs w:val="44"/>
          <w:lang w:val="en-US" w:eastAsia="zh-CN" w:bidi="ar-SA"/>
        </w:rPr>
        <w:t>阿坝州民族歌舞团</w:t>
      </w:r>
    </w:p>
    <w:p w14:paraId="34C6103E">
      <w:pPr>
        <w:widowControl w:val="0"/>
        <w:spacing w:line="578" w:lineRule="exact"/>
        <w:jc w:val="center"/>
        <w:rPr>
          <w:rFonts w:hint="eastAsia" w:ascii="Times New Roman" w:hAnsi="Times New Roman" w:eastAsia="方正小标宋简体" w:cs="Times New Roman"/>
          <w:color w:val="auto"/>
          <w:kern w:val="2"/>
          <w:sz w:val="44"/>
          <w:szCs w:val="44"/>
          <w:lang w:val="en-US" w:eastAsia="zh-CN" w:bidi="ar-SA"/>
        </w:rPr>
      </w:pPr>
      <w:r>
        <w:rPr>
          <w:rFonts w:hint="eastAsia" w:ascii="Times New Roman" w:hAnsi="Times New Roman" w:eastAsia="方正小标宋简体" w:cs="Times New Roman"/>
          <w:color w:val="auto"/>
          <w:kern w:val="2"/>
          <w:sz w:val="44"/>
          <w:szCs w:val="44"/>
          <w:lang w:val="en-US" w:eastAsia="zh-CN" w:bidi="ar-SA"/>
        </w:rPr>
        <w:t>关于“青春恰似火，我和我的祖国”浙川</w:t>
      </w:r>
    </w:p>
    <w:p w14:paraId="16D68605">
      <w:pPr>
        <w:widowControl w:val="0"/>
        <w:spacing w:line="578" w:lineRule="exact"/>
        <w:jc w:val="center"/>
        <w:rPr>
          <w:rFonts w:ascii="Times New Roman" w:hAnsi="Times New Roman" w:eastAsia="方正小标宋简体" w:cs="Times New Roman"/>
          <w:color w:val="auto"/>
          <w:kern w:val="2"/>
          <w:sz w:val="44"/>
          <w:szCs w:val="44"/>
          <w:lang w:val="en-US" w:eastAsia="zh-CN" w:bidi="ar-SA"/>
        </w:rPr>
      </w:pPr>
      <w:r>
        <w:rPr>
          <w:rFonts w:hint="eastAsia" w:ascii="Times New Roman" w:hAnsi="Times New Roman" w:eastAsia="方正小标宋简体" w:cs="Times New Roman"/>
          <w:color w:val="auto"/>
          <w:kern w:val="2"/>
          <w:sz w:val="44"/>
          <w:szCs w:val="44"/>
          <w:lang w:val="en-US" w:eastAsia="zh-CN" w:bidi="ar-SA"/>
        </w:rPr>
        <w:t>青少年文化交流活动经费项目</w:t>
      </w:r>
      <w:r>
        <w:rPr>
          <w:rFonts w:ascii="Times New Roman" w:hAnsi="Times New Roman" w:eastAsia="方正小标宋简体" w:cs="Times New Roman"/>
          <w:color w:val="auto"/>
          <w:kern w:val="2"/>
          <w:sz w:val="44"/>
          <w:szCs w:val="44"/>
          <w:lang w:val="en-US" w:eastAsia="zh-CN" w:bidi="ar-SA"/>
        </w:rPr>
        <w:t>绩效</w:t>
      </w:r>
    </w:p>
    <w:p w14:paraId="2403877C">
      <w:pPr>
        <w:widowControl w:val="0"/>
        <w:spacing w:line="578" w:lineRule="exact"/>
        <w:jc w:val="center"/>
        <w:rPr>
          <w:rFonts w:ascii="Times New Roman" w:hAnsi="Times New Roman" w:eastAsia="方正小标宋简体" w:cs="Times New Roman"/>
          <w:color w:val="auto"/>
          <w:kern w:val="2"/>
          <w:sz w:val="44"/>
          <w:szCs w:val="44"/>
          <w:lang w:val="en-US" w:eastAsia="zh-CN" w:bidi="ar-SA"/>
        </w:rPr>
      </w:pPr>
      <w:r>
        <w:rPr>
          <w:rFonts w:hint="eastAsia" w:ascii="Times New Roman" w:hAnsi="Times New Roman" w:eastAsia="方正小标宋简体" w:cs="Times New Roman"/>
          <w:color w:val="auto"/>
          <w:kern w:val="2"/>
          <w:sz w:val="44"/>
          <w:szCs w:val="44"/>
          <w:lang w:val="en-US" w:eastAsia="zh-CN" w:bidi="ar-SA"/>
        </w:rPr>
        <w:t>的</w:t>
      </w:r>
      <w:r>
        <w:rPr>
          <w:rFonts w:ascii="Times New Roman" w:hAnsi="Times New Roman" w:eastAsia="方正小标宋简体" w:cs="Times New Roman"/>
          <w:color w:val="auto"/>
          <w:kern w:val="2"/>
          <w:sz w:val="44"/>
          <w:szCs w:val="44"/>
          <w:lang w:val="en-US" w:eastAsia="zh-CN" w:bidi="ar-SA"/>
        </w:rPr>
        <w:t>自评报告</w:t>
      </w:r>
    </w:p>
    <w:p w14:paraId="59871198">
      <w:pPr>
        <w:pageBreakBefore w:val="0"/>
        <w:kinsoku/>
        <w:wordWrap/>
        <w:overflowPunct/>
        <w:topLinePunct w:val="0"/>
        <w:autoSpaceDE/>
        <w:autoSpaceDN/>
        <w:bidi w:val="0"/>
        <w:adjustRightInd w:val="0"/>
        <w:snapToGrid w:val="0"/>
        <w:spacing w:line="560" w:lineRule="exact"/>
        <w:ind w:firstLine="640" w:firstLineChars="200"/>
        <w:rPr>
          <w:rFonts w:ascii="Times New Roman" w:hAnsi="Times New Roman" w:eastAsia="黑体" w:cs="Times New Roman"/>
          <w:sz w:val="32"/>
          <w:szCs w:val="32"/>
          <w:lang w:val="zh-CN"/>
        </w:rPr>
      </w:pPr>
      <w:r>
        <w:rPr>
          <w:rFonts w:ascii="Times New Roman" w:hAnsi="Times New Roman" w:eastAsia="黑体" w:cs="Times New Roman"/>
          <w:sz w:val="32"/>
          <w:szCs w:val="32"/>
        </w:rPr>
        <w:t>一、</w:t>
      </w:r>
      <w:r>
        <w:rPr>
          <w:rFonts w:ascii="Times New Roman" w:hAnsi="Times New Roman" w:eastAsia="黑体" w:cs="Times New Roman"/>
          <w:sz w:val="32"/>
          <w:szCs w:val="32"/>
          <w:lang w:val="zh-CN"/>
        </w:rPr>
        <w:t>项目概况</w:t>
      </w:r>
    </w:p>
    <w:p w14:paraId="6EAFADCA">
      <w:pPr>
        <w:pageBreakBefore w:val="0"/>
        <w:widowControl/>
        <w:kinsoku/>
        <w:wordWrap/>
        <w:overflowPunct/>
        <w:topLinePunct w:val="0"/>
        <w:autoSpaceDE/>
        <w:autoSpaceDN/>
        <w:bidi w:val="0"/>
        <w:adjustRightInd w:val="0"/>
        <w:snapToGrid w:val="0"/>
        <w:spacing w:line="560" w:lineRule="exact"/>
        <w:ind w:firstLine="321" w:firstLineChars="100"/>
        <w:contextualSpacing/>
        <w:jc w:val="left"/>
        <w:rPr>
          <w:rFonts w:hint="eastAsia" w:ascii="楷体" w:hAnsi="楷体" w:eastAsia="楷体" w:cs="楷体"/>
          <w:kern w:val="0"/>
          <w:sz w:val="32"/>
          <w:szCs w:val="32"/>
          <w:shd w:val="clear" w:color="auto" w:fill="FFFFFF"/>
          <w:lang w:val="zh-CN"/>
        </w:rPr>
      </w:pPr>
      <w:r>
        <w:rPr>
          <w:rFonts w:hint="eastAsia" w:ascii="楷体" w:hAnsi="楷体" w:eastAsia="楷体" w:cs="楷体"/>
          <w:b/>
          <w:sz w:val="32"/>
          <w:szCs w:val="32"/>
          <w:lang w:val="zh-CN"/>
        </w:rPr>
        <w:t>（一）设立背景及基本情况</w:t>
      </w:r>
    </w:p>
    <w:p w14:paraId="7F735A25">
      <w:pPr>
        <w:pageBreakBefore w:val="0"/>
        <w:kinsoku/>
        <w:wordWrap/>
        <w:overflowPunct/>
        <w:topLinePunct w:val="0"/>
        <w:autoSpaceDE/>
        <w:autoSpaceDN/>
        <w:bidi w:val="0"/>
        <w:spacing w:line="560" w:lineRule="exact"/>
        <w:ind w:firstLine="640" w:firstLineChars="200"/>
        <w:rPr>
          <w:rFonts w:hint="eastAsia" w:ascii="仿宋" w:hAnsi="仿宋" w:eastAsia="仿宋" w:cs="仿宋"/>
          <w:kern w:val="0"/>
          <w:sz w:val="32"/>
          <w:szCs w:val="32"/>
          <w:shd w:val="clear" w:color="auto" w:fill="FFFFFF"/>
          <w:lang w:val="zh-CN"/>
        </w:rPr>
      </w:pPr>
      <w:r>
        <w:rPr>
          <w:rFonts w:hint="eastAsia" w:ascii="仿宋" w:hAnsi="仿宋" w:eastAsia="仿宋" w:cs="仿宋"/>
          <w:kern w:val="0"/>
          <w:sz w:val="32"/>
          <w:szCs w:val="32"/>
          <w:lang w:bidi="ar"/>
        </w:rPr>
        <w:t>立足浙川协作基础，弥补两地青少年文化交流短板，强化其家国情怀与民族团结意识，助力东西部协作向文化教育领域延伸。人文交流相关政策及浙川东西部协作规划，契合青少年全面发展与素质教育要求；结合两地成熟的协作机制、符合国家及浙川两地东西部协作结合项目实施实际需求申报资金，制定规范资金使用方案，确保资金合规高效使用；演出内容为，深化爱国主义教育，筑牢中华民族共同意体意识，阿坝州歌舞团联合四川爱乐乐团举办“青春恰似火，我和我的祖国”主题文化交流活动，活动以交响演奏，民族文艺融合，由四川爱乐乐团专业演奏团队与阿坝州民族歌舞团联合演出，赴马尔康市，小金县，映秀镇举办3场演出，每次演出派出不少于4人的专业演出，完成不少于5个节目表演，演出时场不低于20分钟。摄制《我和我的祖国》快闪视频；</w:t>
      </w:r>
      <w:r>
        <w:rPr>
          <w:rFonts w:hint="eastAsia" w:ascii="仿宋" w:hAnsi="仿宋" w:eastAsia="仿宋" w:cs="仿宋"/>
          <w:kern w:val="0"/>
          <w:sz w:val="32"/>
          <w:szCs w:val="32"/>
          <w:shd w:val="clear" w:color="auto" w:fill="FFFFFF"/>
          <w:lang w:val="zh-CN"/>
        </w:rPr>
        <w:t>单位职能为，创作演出优秀民族歌舞剧目，为群众服务，舞台艺术作品创作，演出艺术普及推广，艺术创作表演人才培养。</w:t>
      </w:r>
    </w:p>
    <w:p w14:paraId="78A5060F">
      <w:pPr>
        <w:pageBreakBefore w:val="0"/>
        <w:numPr>
          <w:ilvl w:val="0"/>
          <w:numId w:val="0"/>
        </w:numPr>
        <w:kinsoku/>
        <w:wordWrap/>
        <w:overflowPunct/>
        <w:topLinePunct w:val="0"/>
        <w:autoSpaceDE/>
        <w:autoSpaceDN/>
        <w:bidi w:val="0"/>
        <w:adjustRightInd w:val="0"/>
        <w:snapToGrid w:val="0"/>
        <w:spacing w:line="560" w:lineRule="exact"/>
        <w:ind w:firstLine="643" w:firstLineChars="200"/>
        <w:rPr>
          <w:rFonts w:hint="eastAsia" w:ascii="楷体" w:hAnsi="楷体" w:eastAsia="楷体" w:cs="楷体"/>
          <w:kern w:val="0"/>
          <w:sz w:val="32"/>
          <w:szCs w:val="32"/>
          <w:shd w:val="clear" w:color="auto" w:fill="FFFFFF"/>
          <w:lang w:val="zh-CN"/>
        </w:rPr>
      </w:pPr>
      <w:r>
        <w:rPr>
          <w:rFonts w:hint="eastAsia" w:ascii="楷体" w:hAnsi="楷体" w:eastAsia="楷体" w:cs="楷体"/>
          <w:b/>
          <w:sz w:val="32"/>
          <w:szCs w:val="32"/>
          <w:lang w:eastAsia="zh-CN"/>
        </w:rPr>
        <w:t>（二）</w:t>
      </w:r>
      <w:r>
        <w:rPr>
          <w:rFonts w:hint="eastAsia" w:ascii="楷体" w:hAnsi="楷体" w:eastAsia="楷体" w:cs="楷体"/>
          <w:b/>
          <w:sz w:val="32"/>
          <w:szCs w:val="32"/>
        </w:rPr>
        <w:t>实施目的及支持方向</w:t>
      </w:r>
    </w:p>
    <w:p w14:paraId="0FBFA98C">
      <w:pPr>
        <w:pageBreakBefore w:val="0"/>
        <w:widowControl/>
        <w:kinsoku/>
        <w:wordWrap/>
        <w:overflowPunct/>
        <w:topLinePunct w:val="0"/>
        <w:autoSpaceDE/>
        <w:autoSpaceDN/>
        <w:bidi w:val="0"/>
        <w:spacing w:line="560" w:lineRule="exact"/>
        <w:ind w:firstLine="640" w:firstLineChars="200"/>
        <w:jc w:val="left"/>
        <w:rPr>
          <w:rFonts w:hint="eastAsia" w:ascii="仿宋" w:hAnsi="仿宋" w:eastAsia="仿宋" w:cs="仿宋"/>
          <w:kern w:val="0"/>
          <w:sz w:val="32"/>
          <w:szCs w:val="32"/>
          <w:lang w:bidi="ar"/>
        </w:rPr>
      </w:pPr>
      <w:r>
        <w:rPr>
          <w:rFonts w:hint="eastAsia" w:ascii="仿宋" w:hAnsi="仿宋" w:eastAsia="仿宋" w:cs="仿宋"/>
          <w:sz w:val="32"/>
          <w:szCs w:val="32"/>
        </w:rPr>
        <w:t>根据</w:t>
      </w:r>
      <w:r>
        <w:rPr>
          <w:rFonts w:hint="eastAsia" w:ascii="仿宋" w:hAnsi="仿宋" w:eastAsia="仿宋" w:cs="仿宋"/>
          <w:kern w:val="0"/>
          <w:sz w:val="32"/>
          <w:szCs w:val="32"/>
          <w:lang w:bidi="ar"/>
        </w:rPr>
        <w:t>专项资金管理办法，明确资金使用、预算、支付及监督规则，专款专用、全程可追溯，强化风险防控。实施目的为深化爱国主义教育，筑牢中华民族共同意体意识，搭建交流平台，深化浙川情谊，传承文化、厚植家国情怀，推动协作走深；工作任务为：阿坝州歌舞团联合四川爱乐乐团举办“青春恰似火，我和我的祖国”主题文化交流活动，活动以交响演奏，民族文艺融合，由四川爱乐乐团专业演奏团队与阿坝州民族歌舞团联合演出，赴马尔康市，小金县，映秀镇举办3场演出，每次演出派出不少于4人的专业演出，完成不少于5个节目表演，演出时长不低于20分钟。摄制《我和我的祖国》快闪视频。</w:t>
      </w:r>
    </w:p>
    <w:p w14:paraId="30C1140F">
      <w:pPr>
        <w:pageBreakBefore w:val="0"/>
        <w:numPr>
          <w:ilvl w:val="0"/>
          <w:numId w:val="0"/>
        </w:numPr>
        <w:kinsoku/>
        <w:wordWrap/>
        <w:overflowPunct/>
        <w:topLinePunct w:val="0"/>
        <w:autoSpaceDE/>
        <w:autoSpaceDN/>
        <w:bidi w:val="0"/>
        <w:adjustRightInd w:val="0"/>
        <w:snapToGrid w:val="0"/>
        <w:spacing w:line="560" w:lineRule="exact"/>
        <w:ind w:firstLine="643" w:firstLineChars="200"/>
        <w:rPr>
          <w:rFonts w:hint="eastAsia" w:ascii="楷体" w:hAnsi="楷体" w:eastAsia="楷体" w:cs="楷体"/>
          <w:b/>
          <w:sz w:val="32"/>
          <w:szCs w:val="32"/>
          <w:lang w:eastAsia="zh-CN"/>
        </w:rPr>
      </w:pPr>
      <w:r>
        <w:rPr>
          <w:rFonts w:hint="eastAsia" w:ascii="楷体" w:hAnsi="楷体" w:eastAsia="楷体" w:cs="楷体"/>
          <w:b/>
          <w:sz w:val="32"/>
          <w:szCs w:val="32"/>
          <w:lang w:val="zh-CN" w:eastAsia="zh-CN"/>
        </w:rPr>
        <w:t>（三）</w:t>
      </w:r>
      <w:r>
        <w:rPr>
          <w:rFonts w:hint="eastAsia" w:ascii="楷体" w:hAnsi="楷体" w:eastAsia="楷体" w:cs="楷体"/>
          <w:b/>
          <w:sz w:val="32"/>
          <w:szCs w:val="32"/>
          <w:lang w:eastAsia="zh-CN"/>
        </w:rPr>
        <w:t>预算安排及分配管理</w:t>
      </w:r>
    </w:p>
    <w:p w14:paraId="63A5D457">
      <w:pPr>
        <w:pageBreakBefore w:val="0"/>
        <w:widowControl/>
        <w:kinsoku/>
        <w:wordWrap/>
        <w:overflowPunct/>
        <w:topLinePunct w:val="0"/>
        <w:autoSpaceDE/>
        <w:autoSpaceDN/>
        <w:bidi w:val="0"/>
        <w:adjustRightInd w:val="0"/>
        <w:snapToGrid w:val="0"/>
        <w:spacing w:line="560" w:lineRule="exact"/>
        <w:ind w:firstLine="640" w:firstLineChars="200"/>
        <w:contextualSpacing/>
        <w:jc w:val="left"/>
        <w:rPr>
          <w:rFonts w:ascii="宋体" w:hAnsi="宋体" w:eastAsia="宋体" w:cs="宋体"/>
          <w:bCs/>
          <w:sz w:val="28"/>
          <w:szCs w:val="28"/>
        </w:rPr>
      </w:pPr>
      <w:r>
        <w:rPr>
          <w:rFonts w:hint="eastAsia" w:ascii="仿宋" w:hAnsi="仿宋" w:eastAsia="仿宋" w:cs="仿宋"/>
          <w:bCs/>
          <w:sz w:val="32"/>
          <w:szCs w:val="32"/>
        </w:rPr>
        <w:t>2025年下达资金50万元，资金下达及时率100%，截止2025年末资金支出49.8万元，结余0.02万元，资金支付率99.6%，严格控制项目支出成本，实际支出低于预算安排，有效节约财政资金。</w:t>
      </w:r>
    </w:p>
    <w:p w14:paraId="2682ABC7">
      <w:pPr>
        <w:pageBreakBefore w:val="0"/>
        <w:numPr>
          <w:ilvl w:val="0"/>
          <w:numId w:val="0"/>
        </w:numPr>
        <w:kinsoku/>
        <w:wordWrap/>
        <w:overflowPunct/>
        <w:topLinePunct w:val="0"/>
        <w:autoSpaceDE/>
        <w:autoSpaceDN/>
        <w:bidi w:val="0"/>
        <w:adjustRightInd w:val="0"/>
        <w:snapToGrid w:val="0"/>
        <w:spacing w:line="560" w:lineRule="exact"/>
        <w:ind w:firstLine="643" w:firstLineChars="200"/>
        <w:rPr>
          <w:rFonts w:hint="eastAsia" w:ascii="楷体" w:hAnsi="楷体" w:eastAsia="楷体" w:cs="楷体"/>
          <w:b/>
          <w:sz w:val="32"/>
          <w:szCs w:val="32"/>
          <w:lang w:val="zh-CN" w:eastAsia="zh-CN"/>
        </w:rPr>
      </w:pPr>
      <w:r>
        <w:rPr>
          <w:rFonts w:hint="eastAsia" w:ascii="楷体" w:hAnsi="楷体" w:eastAsia="楷体" w:cs="楷体"/>
          <w:b/>
          <w:sz w:val="32"/>
          <w:szCs w:val="32"/>
          <w:lang w:val="zh-CN" w:eastAsia="zh-CN"/>
        </w:rPr>
        <w:t>（四）项目绩效目标设置</w:t>
      </w:r>
    </w:p>
    <w:p w14:paraId="1ADD9A02">
      <w:pPr>
        <w:keepNext/>
        <w:keepLines/>
        <w:pageBreakBefore w:val="0"/>
        <w:widowControl w:val="0"/>
        <w:kinsoku/>
        <w:wordWrap/>
        <w:overflowPunct/>
        <w:topLinePunct w:val="0"/>
        <w:autoSpaceDE/>
        <w:autoSpaceDN/>
        <w:bidi w:val="0"/>
        <w:spacing w:before="280" w:after="156" w:line="560" w:lineRule="exact"/>
        <w:jc w:val="center"/>
        <w:outlineLvl w:val="4"/>
        <w:rPr>
          <w:rFonts w:hint="eastAsia" w:ascii="仿宋" w:hAnsi="仿宋" w:eastAsia="仿宋" w:cs="仿宋"/>
          <w:b/>
          <w:kern w:val="2"/>
          <w:sz w:val="28"/>
          <w:szCs w:val="28"/>
          <w:lang w:val="en-US" w:eastAsia="zh-CN" w:bidi="ar-SA"/>
        </w:rPr>
      </w:pPr>
      <w:r>
        <w:rPr>
          <w:rFonts w:hint="eastAsia" w:ascii="仿宋" w:hAnsi="仿宋" w:eastAsia="仿宋" w:cs="仿宋"/>
          <w:b/>
          <w:kern w:val="2"/>
          <w:sz w:val="28"/>
          <w:szCs w:val="28"/>
          <w:lang w:val="en-US" w:eastAsia="zh-CN" w:bidi="ar-SA"/>
        </w:rPr>
        <w:t>2025年青春恰似火，我和我的祖国”浙川青少年文化交流活动经费项目绩效目标表</w:t>
      </w:r>
    </w:p>
    <w:tbl>
      <w:tblPr>
        <w:tblStyle w:val="19"/>
        <w:tblW w:w="9015" w:type="dxa"/>
        <w:tblInd w:w="96" w:type="dxa"/>
        <w:tblLayout w:type="autofit"/>
        <w:tblCellMar>
          <w:top w:w="0" w:type="dxa"/>
          <w:left w:w="108" w:type="dxa"/>
          <w:bottom w:w="0" w:type="dxa"/>
          <w:right w:w="108" w:type="dxa"/>
        </w:tblCellMar>
      </w:tblPr>
      <w:tblGrid>
        <w:gridCol w:w="1388"/>
        <w:gridCol w:w="1388"/>
        <w:gridCol w:w="2075"/>
        <w:gridCol w:w="1388"/>
        <w:gridCol w:w="1388"/>
        <w:gridCol w:w="1388"/>
      </w:tblGrid>
      <w:tr w14:paraId="028E5D72">
        <w:tblPrEx>
          <w:tblCellMar>
            <w:top w:w="0" w:type="dxa"/>
            <w:left w:w="108" w:type="dxa"/>
            <w:bottom w:w="0" w:type="dxa"/>
            <w:right w:w="108" w:type="dxa"/>
          </w:tblCellMar>
        </w:tblPrEx>
        <w:trPr>
          <w:trHeight w:val="643" w:hRule="atLeast"/>
        </w:trPr>
        <w:tc>
          <w:tcPr>
            <w:tcW w:w="1388" w:type="dxa"/>
            <w:tcBorders>
              <w:top w:val="single" w:color="000000" w:sz="4" w:space="0"/>
              <w:left w:val="single" w:color="000000" w:sz="4" w:space="0"/>
              <w:bottom w:val="single" w:color="000000" w:sz="4" w:space="0"/>
              <w:right w:val="single" w:color="000000" w:sz="4" w:space="0"/>
            </w:tcBorders>
            <w:noWrap w:val="0"/>
            <w:vAlign w:val="center"/>
          </w:tcPr>
          <w:p w14:paraId="48231DA0">
            <w:pPr>
              <w:pageBreakBefore w:val="0"/>
              <w:widowControl/>
              <w:kinsoku/>
              <w:wordWrap/>
              <w:overflowPunct/>
              <w:topLinePunct w:val="0"/>
              <w:autoSpaceDE/>
              <w:autoSpaceDN/>
              <w:bidi w:val="0"/>
              <w:spacing w:line="560" w:lineRule="exact"/>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一级指标</w:t>
            </w:r>
          </w:p>
        </w:tc>
        <w:tc>
          <w:tcPr>
            <w:tcW w:w="1388" w:type="dxa"/>
            <w:tcBorders>
              <w:top w:val="single" w:color="000000" w:sz="4" w:space="0"/>
              <w:left w:val="single" w:color="000000" w:sz="4" w:space="0"/>
              <w:bottom w:val="single" w:color="000000" w:sz="4" w:space="0"/>
              <w:right w:val="single" w:color="000000" w:sz="4" w:space="0"/>
            </w:tcBorders>
            <w:noWrap w:val="0"/>
            <w:vAlign w:val="center"/>
          </w:tcPr>
          <w:p w14:paraId="10C66B79">
            <w:pPr>
              <w:pageBreakBefore w:val="0"/>
              <w:widowControl/>
              <w:kinsoku/>
              <w:wordWrap/>
              <w:overflowPunct/>
              <w:topLinePunct w:val="0"/>
              <w:autoSpaceDE/>
              <w:autoSpaceDN/>
              <w:bidi w:val="0"/>
              <w:spacing w:line="560" w:lineRule="exact"/>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二级指标</w:t>
            </w:r>
          </w:p>
        </w:tc>
        <w:tc>
          <w:tcPr>
            <w:tcW w:w="2075" w:type="dxa"/>
            <w:tcBorders>
              <w:top w:val="single" w:color="000000" w:sz="4" w:space="0"/>
              <w:left w:val="single" w:color="000000" w:sz="4" w:space="0"/>
              <w:bottom w:val="single" w:color="000000" w:sz="4" w:space="0"/>
              <w:right w:val="single" w:color="000000" w:sz="4" w:space="0"/>
            </w:tcBorders>
            <w:noWrap w:val="0"/>
            <w:vAlign w:val="center"/>
          </w:tcPr>
          <w:p w14:paraId="7530B6B2">
            <w:pPr>
              <w:pageBreakBefore w:val="0"/>
              <w:widowControl/>
              <w:kinsoku/>
              <w:wordWrap/>
              <w:overflowPunct/>
              <w:topLinePunct w:val="0"/>
              <w:autoSpaceDE/>
              <w:autoSpaceDN/>
              <w:bidi w:val="0"/>
              <w:spacing w:line="560" w:lineRule="exact"/>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三级指标</w:t>
            </w:r>
          </w:p>
        </w:tc>
        <w:tc>
          <w:tcPr>
            <w:tcW w:w="1388" w:type="dxa"/>
            <w:tcBorders>
              <w:top w:val="single" w:color="000000" w:sz="4" w:space="0"/>
              <w:left w:val="single" w:color="000000" w:sz="4" w:space="0"/>
              <w:bottom w:val="single" w:color="000000" w:sz="4" w:space="0"/>
              <w:right w:val="single" w:color="000000" w:sz="4" w:space="0"/>
            </w:tcBorders>
            <w:noWrap w:val="0"/>
            <w:vAlign w:val="center"/>
          </w:tcPr>
          <w:p w14:paraId="6C4457AC">
            <w:pPr>
              <w:pageBreakBefore w:val="0"/>
              <w:widowControl/>
              <w:kinsoku/>
              <w:wordWrap/>
              <w:overflowPunct/>
              <w:topLinePunct w:val="0"/>
              <w:autoSpaceDE/>
              <w:autoSpaceDN/>
              <w:bidi w:val="0"/>
              <w:spacing w:line="560" w:lineRule="exact"/>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指标性质</w:t>
            </w:r>
          </w:p>
        </w:tc>
        <w:tc>
          <w:tcPr>
            <w:tcW w:w="1388" w:type="dxa"/>
            <w:tcBorders>
              <w:top w:val="single" w:color="000000" w:sz="4" w:space="0"/>
              <w:left w:val="single" w:color="000000" w:sz="4" w:space="0"/>
              <w:bottom w:val="single" w:color="000000" w:sz="4" w:space="0"/>
              <w:right w:val="single" w:color="000000" w:sz="4" w:space="0"/>
            </w:tcBorders>
            <w:noWrap w:val="0"/>
            <w:vAlign w:val="center"/>
          </w:tcPr>
          <w:p w14:paraId="21146497">
            <w:pPr>
              <w:pageBreakBefore w:val="0"/>
              <w:widowControl/>
              <w:kinsoku/>
              <w:wordWrap/>
              <w:overflowPunct/>
              <w:topLinePunct w:val="0"/>
              <w:autoSpaceDE/>
              <w:autoSpaceDN/>
              <w:bidi w:val="0"/>
              <w:spacing w:line="560" w:lineRule="exact"/>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指标值</w:t>
            </w:r>
          </w:p>
        </w:tc>
        <w:tc>
          <w:tcPr>
            <w:tcW w:w="1388" w:type="dxa"/>
            <w:tcBorders>
              <w:top w:val="single" w:color="000000" w:sz="4" w:space="0"/>
              <w:left w:val="single" w:color="000000" w:sz="4" w:space="0"/>
              <w:bottom w:val="single" w:color="000000" w:sz="4" w:space="0"/>
              <w:right w:val="single" w:color="000000" w:sz="4" w:space="0"/>
            </w:tcBorders>
            <w:noWrap w:val="0"/>
            <w:vAlign w:val="center"/>
          </w:tcPr>
          <w:p w14:paraId="51D708B1">
            <w:pPr>
              <w:pageBreakBefore w:val="0"/>
              <w:widowControl/>
              <w:kinsoku/>
              <w:wordWrap/>
              <w:overflowPunct/>
              <w:topLinePunct w:val="0"/>
              <w:autoSpaceDE/>
              <w:autoSpaceDN/>
              <w:bidi w:val="0"/>
              <w:spacing w:line="560" w:lineRule="exact"/>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度量单位</w:t>
            </w:r>
          </w:p>
        </w:tc>
      </w:tr>
      <w:tr w14:paraId="412543E5">
        <w:tblPrEx>
          <w:tblCellMar>
            <w:top w:w="0" w:type="dxa"/>
            <w:left w:w="108" w:type="dxa"/>
            <w:bottom w:w="0" w:type="dxa"/>
            <w:right w:w="108" w:type="dxa"/>
          </w:tblCellMar>
        </w:tblPrEx>
        <w:trPr>
          <w:trHeight w:val="878" w:hRule="atLeast"/>
        </w:trPr>
        <w:tc>
          <w:tcPr>
            <w:tcW w:w="1388" w:type="dxa"/>
            <w:vMerge w:val="restart"/>
            <w:tcBorders>
              <w:top w:val="single" w:color="000000" w:sz="4" w:space="0"/>
              <w:left w:val="single" w:color="000000" w:sz="4" w:space="0"/>
              <w:bottom w:val="single" w:color="000000" w:sz="4" w:space="0"/>
              <w:right w:val="single" w:color="000000" w:sz="4" w:space="0"/>
            </w:tcBorders>
            <w:noWrap w:val="0"/>
            <w:vAlign w:val="center"/>
          </w:tcPr>
          <w:p w14:paraId="3619D4D7">
            <w:pPr>
              <w:pageBreakBefore w:val="0"/>
              <w:widowControl/>
              <w:kinsoku/>
              <w:wordWrap/>
              <w:overflowPunct/>
              <w:topLinePunct w:val="0"/>
              <w:autoSpaceDE/>
              <w:autoSpaceDN/>
              <w:bidi w:val="0"/>
              <w:spacing w:line="560" w:lineRule="exact"/>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产出指标</w:t>
            </w:r>
          </w:p>
        </w:tc>
        <w:tc>
          <w:tcPr>
            <w:tcW w:w="1388" w:type="dxa"/>
            <w:tcBorders>
              <w:top w:val="single" w:color="000000" w:sz="4" w:space="0"/>
              <w:left w:val="single" w:color="000000" w:sz="4" w:space="0"/>
              <w:bottom w:val="single" w:color="000000" w:sz="4" w:space="0"/>
              <w:right w:val="single" w:color="000000" w:sz="4" w:space="0"/>
            </w:tcBorders>
            <w:noWrap w:val="0"/>
            <w:vAlign w:val="center"/>
          </w:tcPr>
          <w:p w14:paraId="20119E72">
            <w:pPr>
              <w:pageBreakBefore w:val="0"/>
              <w:widowControl/>
              <w:kinsoku/>
              <w:wordWrap/>
              <w:overflowPunct/>
              <w:topLinePunct w:val="0"/>
              <w:autoSpaceDE/>
              <w:autoSpaceDN/>
              <w:bidi w:val="0"/>
              <w:spacing w:line="560" w:lineRule="exact"/>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数量指标</w:t>
            </w:r>
          </w:p>
        </w:tc>
        <w:tc>
          <w:tcPr>
            <w:tcW w:w="2075" w:type="dxa"/>
            <w:tcBorders>
              <w:top w:val="single" w:color="000000" w:sz="4" w:space="0"/>
              <w:left w:val="single" w:color="000000" w:sz="4" w:space="0"/>
              <w:bottom w:val="single" w:color="000000" w:sz="4" w:space="0"/>
              <w:right w:val="single" w:color="000000" w:sz="4" w:space="0"/>
            </w:tcBorders>
            <w:noWrap w:val="0"/>
            <w:vAlign w:val="center"/>
          </w:tcPr>
          <w:p w14:paraId="2232E216">
            <w:pPr>
              <w:pageBreakBefore w:val="0"/>
              <w:widowControl/>
              <w:kinsoku/>
              <w:wordWrap/>
              <w:overflowPunct/>
              <w:topLinePunct w:val="0"/>
              <w:autoSpaceDE/>
              <w:autoSpaceDN/>
              <w:bidi w:val="0"/>
              <w:spacing w:line="560" w:lineRule="exact"/>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2025完成音乐交流活动</w:t>
            </w:r>
          </w:p>
        </w:tc>
        <w:tc>
          <w:tcPr>
            <w:tcW w:w="1388" w:type="dxa"/>
            <w:tcBorders>
              <w:top w:val="single" w:color="000000" w:sz="4" w:space="0"/>
              <w:left w:val="single" w:color="000000" w:sz="4" w:space="0"/>
              <w:bottom w:val="single" w:color="000000" w:sz="4" w:space="0"/>
              <w:right w:val="single" w:color="000000" w:sz="4" w:space="0"/>
            </w:tcBorders>
            <w:noWrap w:val="0"/>
            <w:vAlign w:val="center"/>
          </w:tcPr>
          <w:p w14:paraId="077EFD1A">
            <w:pPr>
              <w:pageBreakBefore w:val="0"/>
              <w:widowControl/>
              <w:kinsoku/>
              <w:wordWrap/>
              <w:overflowPunct/>
              <w:topLinePunct w:val="0"/>
              <w:autoSpaceDE/>
              <w:autoSpaceDN/>
              <w:bidi w:val="0"/>
              <w:spacing w:line="560" w:lineRule="exact"/>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w:t>
            </w:r>
          </w:p>
        </w:tc>
        <w:tc>
          <w:tcPr>
            <w:tcW w:w="1388" w:type="dxa"/>
            <w:tcBorders>
              <w:top w:val="single" w:color="000000" w:sz="4" w:space="0"/>
              <w:left w:val="single" w:color="000000" w:sz="4" w:space="0"/>
              <w:bottom w:val="single" w:color="000000" w:sz="4" w:space="0"/>
              <w:right w:val="single" w:color="000000" w:sz="4" w:space="0"/>
            </w:tcBorders>
            <w:noWrap w:val="0"/>
            <w:vAlign w:val="center"/>
          </w:tcPr>
          <w:p w14:paraId="5505CDA2">
            <w:pPr>
              <w:pageBreakBefore w:val="0"/>
              <w:widowControl/>
              <w:kinsoku/>
              <w:wordWrap/>
              <w:overflowPunct/>
              <w:topLinePunct w:val="0"/>
              <w:autoSpaceDE/>
              <w:autoSpaceDN/>
              <w:bidi w:val="0"/>
              <w:spacing w:line="560" w:lineRule="exact"/>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2</w:t>
            </w:r>
          </w:p>
        </w:tc>
        <w:tc>
          <w:tcPr>
            <w:tcW w:w="1388" w:type="dxa"/>
            <w:tcBorders>
              <w:top w:val="single" w:color="000000" w:sz="4" w:space="0"/>
              <w:left w:val="single" w:color="000000" w:sz="4" w:space="0"/>
              <w:bottom w:val="single" w:color="000000" w:sz="4" w:space="0"/>
              <w:right w:val="single" w:color="000000" w:sz="4" w:space="0"/>
            </w:tcBorders>
            <w:noWrap w:val="0"/>
            <w:vAlign w:val="center"/>
          </w:tcPr>
          <w:p w14:paraId="5AB334D1">
            <w:pPr>
              <w:pageBreakBefore w:val="0"/>
              <w:widowControl/>
              <w:kinsoku/>
              <w:wordWrap/>
              <w:overflowPunct/>
              <w:topLinePunct w:val="0"/>
              <w:autoSpaceDE/>
              <w:autoSpaceDN/>
              <w:bidi w:val="0"/>
              <w:spacing w:line="560" w:lineRule="exact"/>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次</w:t>
            </w:r>
          </w:p>
        </w:tc>
      </w:tr>
      <w:tr w14:paraId="67013741">
        <w:tblPrEx>
          <w:tblCellMar>
            <w:top w:w="0" w:type="dxa"/>
            <w:left w:w="108" w:type="dxa"/>
            <w:bottom w:w="0" w:type="dxa"/>
            <w:right w:w="108" w:type="dxa"/>
          </w:tblCellMar>
        </w:tblPrEx>
        <w:trPr>
          <w:trHeight w:val="949" w:hRule="atLeast"/>
        </w:trPr>
        <w:tc>
          <w:tcPr>
            <w:tcW w:w="1388" w:type="dxa"/>
            <w:vMerge w:val="continue"/>
            <w:tcBorders>
              <w:top w:val="single" w:color="000000" w:sz="4" w:space="0"/>
              <w:left w:val="single" w:color="000000" w:sz="4" w:space="0"/>
              <w:bottom w:val="single" w:color="000000" w:sz="4" w:space="0"/>
              <w:right w:val="single" w:color="000000" w:sz="4" w:space="0"/>
            </w:tcBorders>
            <w:noWrap w:val="0"/>
            <w:vAlign w:val="center"/>
          </w:tcPr>
          <w:p w14:paraId="44595B2C">
            <w:pPr>
              <w:pageBreakBefore w:val="0"/>
              <w:kinsoku/>
              <w:wordWrap/>
              <w:overflowPunct/>
              <w:topLinePunct w:val="0"/>
              <w:autoSpaceDE/>
              <w:autoSpaceDN/>
              <w:bidi w:val="0"/>
              <w:spacing w:line="560" w:lineRule="exact"/>
              <w:jc w:val="center"/>
              <w:rPr>
                <w:rFonts w:hint="eastAsia" w:ascii="宋体" w:hAnsi="宋体" w:eastAsia="宋体" w:cs="宋体"/>
                <w:color w:val="000000"/>
                <w:sz w:val="22"/>
                <w:szCs w:val="22"/>
              </w:rPr>
            </w:pPr>
          </w:p>
        </w:tc>
        <w:tc>
          <w:tcPr>
            <w:tcW w:w="1388" w:type="dxa"/>
            <w:tcBorders>
              <w:top w:val="single" w:color="000000" w:sz="4" w:space="0"/>
              <w:left w:val="single" w:color="000000" w:sz="4" w:space="0"/>
              <w:bottom w:val="single" w:color="000000" w:sz="4" w:space="0"/>
              <w:right w:val="single" w:color="000000" w:sz="4" w:space="0"/>
            </w:tcBorders>
            <w:noWrap w:val="0"/>
            <w:vAlign w:val="center"/>
          </w:tcPr>
          <w:p w14:paraId="0F0E7096">
            <w:pPr>
              <w:pageBreakBefore w:val="0"/>
              <w:widowControl/>
              <w:kinsoku/>
              <w:wordWrap/>
              <w:overflowPunct/>
              <w:topLinePunct w:val="0"/>
              <w:autoSpaceDE/>
              <w:autoSpaceDN/>
              <w:bidi w:val="0"/>
              <w:spacing w:line="560" w:lineRule="exact"/>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质量指标</w:t>
            </w:r>
          </w:p>
        </w:tc>
        <w:tc>
          <w:tcPr>
            <w:tcW w:w="2075" w:type="dxa"/>
            <w:tcBorders>
              <w:top w:val="single" w:color="000000" w:sz="4" w:space="0"/>
              <w:left w:val="single" w:color="000000" w:sz="4" w:space="0"/>
              <w:bottom w:val="single" w:color="000000" w:sz="4" w:space="0"/>
              <w:right w:val="single" w:color="000000" w:sz="4" w:space="0"/>
            </w:tcBorders>
            <w:noWrap w:val="0"/>
            <w:vAlign w:val="center"/>
          </w:tcPr>
          <w:p w14:paraId="406A3A85">
            <w:pPr>
              <w:pageBreakBefore w:val="0"/>
              <w:widowControl/>
              <w:kinsoku/>
              <w:wordWrap/>
              <w:overflowPunct/>
              <w:topLinePunct w:val="0"/>
              <w:autoSpaceDE/>
              <w:autoSpaceDN/>
              <w:bidi w:val="0"/>
              <w:spacing w:line="560" w:lineRule="exact"/>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2025年音乐交流活动质量</w:t>
            </w:r>
          </w:p>
        </w:tc>
        <w:tc>
          <w:tcPr>
            <w:tcW w:w="1388" w:type="dxa"/>
            <w:tcBorders>
              <w:top w:val="single" w:color="000000" w:sz="4" w:space="0"/>
              <w:left w:val="single" w:color="000000" w:sz="4" w:space="0"/>
              <w:bottom w:val="single" w:color="000000" w:sz="4" w:space="0"/>
              <w:right w:val="single" w:color="000000" w:sz="4" w:space="0"/>
            </w:tcBorders>
            <w:noWrap w:val="0"/>
            <w:vAlign w:val="center"/>
          </w:tcPr>
          <w:p w14:paraId="54C5DD97">
            <w:pPr>
              <w:pageBreakBefore w:val="0"/>
              <w:widowControl/>
              <w:kinsoku/>
              <w:wordWrap/>
              <w:overflowPunct/>
              <w:topLinePunct w:val="0"/>
              <w:autoSpaceDE/>
              <w:autoSpaceDN/>
              <w:bidi w:val="0"/>
              <w:spacing w:line="560" w:lineRule="exact"/>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w:t>
            </w:r>
          </w:p>
        </w:tc>
        <w:tc>
          <w:tcPr>
            <w:tcW w:w="1388" w:type="dxa"/>
            <w:tcBorders>
              <w:top w:val="single" w:color="000000" w:sz="4" w:space="0"/>
              <w:left w:val="single" w:color="000000" w:sz="4" w:space="0"/>
              <w:bottom w:val="single" w:color="000000" w:sz="4" w:space="0"/>
              <w:right w:val="single" w:color="000000" w:sz="4" w:space="0"/>
            </w:tcBorders>
            <w:noWrap w:val="0"/>
            <w:vAlign w:val="center"/>
          </w:tcPr>
          <w:p w14:paraId="7F53AA91">
            <w:pPr>
              <w:pageBreakBefore w:val="0"/>
              <w:widowControl/>
              <w:kinsoku/>
              <w:wordWrap/>
              <w:overflowPunct/>
              <w:topLinePunct w:val="0"/>
              <w:autoSpaceDE/>
              <w:autoSpaceDN/>
              <w:bidi w:val="0"/>
              <w:spacing w:line="560" w:lineRule="exact"/>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90</w:t>
            </w:r>
          </w:p>
        </w:tc>
        <w:tc>
          <w:tcPr>
            <w:tcW w:w="1388" w:type="dxa"/>
            <w:tcBorders>
              <w:top w:val="single" w:color="000000" w:sz="4" w:space="0"/>
              <w:left w:val="single" w:color="000000" w:sz="4" w:space="0"/>
              <w:bottom w:val="single" w:color="000000" w:sz="4" w:space="0"/>
              <w:right w:val="single" w:color="000000" w:sz="4" w:space="0"/>
            </w:tcBorders>
            <w:noWrap w:val="0"/>
            <w:vAlign w:val="center"/>
          </w:tcPr>
          <w:p w14:paraId="0BA62027">
            <w:pPr>
              <w:pageBreakBefore w:val="0"/>
              <w:widowControl/>
              <w:kinsoku/>
              <w:wordWrap/>
              <w:overflowPunct/>
              <w:topLinePunct w:val="0"/>
              <w:autoSpaceDE/>
              <w:autoSpaceDN/>
              <w:bidi w:val="0"/>
              <w:spacing w:line="560" w:lineRule="exact"/>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w:t>
            </w:r>
          </w:p>
        </w:tc>
      </w:tr>
      <w:tr w14:paraId="7B0E7829">
        <w:tblPrEx>
          <w:tblCellMar>
            <w:top w:w="0" w:type="dxa"/>
            <w:left w:w="108" w:type="dxa"/>
            <w:bottom w:w="0" w:type="dxa"/>
            <w:right w:w="108" w:type="dxa"/>
          </w:tblCellMar>
        </w:tblPrEx>
        <w:trPr>
          <w:trHeight w:val="1445" w:hRule="atLeast"/>
        </w:trPr>
        <w:tc>
          <w:tcPr>
            <w:tcW w:w="1388" w:type="dxa"/>
            <w:vMerge w:val="continue"/>
            <w:tcBorders>
              <w:top w:val="single" w:color="000000" w:sz="4" w:space="0"/>
              <w:left w:val="single" w:color="000000" w:sz="4" w:space="0"/>
              <w:bottom w:val="single" w:color="000000" w:sz="4" w:space="0"/>
              <w:right w:val="single" w:color="000000" w:sz="4" w:space="0"/>
            </w:tcBorders>
            <w:noWrap w:val="0"/>
            <w:vAlign w:val="center"/>
          </w:tcPr>
          <w:p w14:paraId="6D8CEFA1">
            <w:pPr>
              <w:pageBreakBefore w:val="0"/>
              <w:kinsoku/>
              <w:wordWrap/>
              <w:overflowPunct/>
              <w:topLinePunct w:val="0"/>
              <w:autoSpaceDE/>
              <w:autoSpaceDN/>
              <w:bidi w:val="0"/>
              <w:spacing w:line="560" w:lineRule="exact"/>
              <w:jc w:val="center"/>
              <w:rPr>
                <w:rFonts w:hint="eastAsia" w:ascii="宋体" w:hAnsi="宋体" w:eastAsia="宋体" w:cs="宋体"/>
                <w:color w:val="000000"/>
                <w:sz w:val="22"/>
                <w:szCs w:val="22"/>
              </w:rPr>
            </w:pPr>
          </w:p>
        </w:tc>
        <w:tc>
          <w:tcPr>
            <w:tcW w:w="1388" w:type="dxa"/>
            <w:tcBorders>
              <w:top w:val="single" w:color="000000" w:sz="4" w:space="0"/>
              <w:left w:val="single" w:color="000000" w:sz="4" w:space="0"/>
              <w:bottom w:val="single" w:color="000000" w:sz="4" w:space="0"/>
              <w:right w:val="single" w:color="000000" w:sz="4" w:space="0"/>
            </w:tcBorders>
            <w:noWrap w:val="0"/>
            <w:vAlign w:val="center"/>
          </w:tcPr>
          <w:p w14:paraId="723FA6C6">
            <w:pPr>
              <w:pageBreakBefore w:val="0"/>
              <w:widowControl/>
              <w:kinsoku/>
              <w:wordWrap/>
              <w:overflowPunct/>
              <w:topLinePunct w:val="0"/>
              <w:autoSpaceDE/>
              <w:autoSpaceDN/>
              <w:bidi w:val="0"/>
              <w:spacing w:line="560" w:lineRule="exact"/>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时效指标</w:t>
            </w:r>
          </w:p>
        </w:tc>
        <w:tc>
          <w:tcPr>
            <w:tcW w:w="2075" w:type="dxa"/>
            <w:tcBorders>
              <w:top w:val="single" w:color="000000" w:sz="4" w:space="0"/>
              <w:left w:val="single" w:color="000000" w:sz="4" w:space="0"/>
              <w:bottom w:val="single" w:color="000000" w:sz="4" w:space="0"/>
              <w:right w:val="single" w:color="000000" w:sz="4" w:space="0"/>
            </w:tcBorders>
            <w:noWrap w:val="0"/>
            <w:vAlign w:val="center"/>
          </w:tcPr>
          <w:p w14:paraId="35E12D78">
            <w:pPr>
              <w:pageBreakBefore w:val="0"/>
              <w:widowControl/>
              <w:kinsoku/>
              <w:wordWrap/>
              <w:overflowPunct/>
              <w:topLinePunct w:val="0"/>
              <w:autoSpaceDE/>
              <w:autoSpaceDN/>
              <w:bidi w:val="0"/>
              <w:spacing w:line="560" w:lineRule="exact"/>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2025年完成及时完成音乐交流合作工作</w:t>
            </w:r>
          </w:p>
        </w:tc>
        <w:tc>
          <w:tcPr>
            <w:tcW w:w="1388" w:type="dxa"/>
            <w:tcBorders>
              <w:top w:val="single" w:color="000000" w:sz="4" w:space="0"/>
              <w:left w:val="single" w:color="000000" w:sz="4" w:space="0"/>
              <w:bottom w:val="single" w:color="000000" w:sz="4" w:space="0"/>
              <w:right w:val="single" w:color="000000" w:sz="4" w:space="0"/>
            </w:tcBorders>
            <w:noWrap w:val="0"/>
            <w:vAlign w:val="center"/>
          </w:tcPr>
          <w:p w14:paraId="08CCFFD2">
            <w:pPr>
              <w:pageBreakBefore w:val="0"/>
              <w:widowControl/>
              <w:kinsoku/>
              <w:wordWrap/>
              <w:overflowPunct/>
              <w:topLinePunct w:val="0"/>
              <w:autoSpaceDE/>
              <w:autoSpaceDN/>
              <w:bidi w:val="0"/>
              <w:spacing w:line="560" w:lineRule="exact"/>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w:t>
            </w:r>
          </w:p>
        </w:tc>
        <w:tc>
          <w:tcPr>
            <w:tcW w:w="1388" w:type="dxa"/>
            <w:tcBorders>
              <w:top w:val="single" w:color="000000" w:sz="4" w:space="0"/>
              <w:left w:val="single" w:color="000000" w:sz="4" w:space="0"/>
              <w:bottom w:val="single" w:color="000000" w:sz="4" w:space="0"/>
              <w:right w:val="single" w:color="000000" w:sz="4" w:space="0"/>
            </w:tcBorders>
            <w:noWrap w:val="0"/>
            <w:vAlign w:val="center"/>
          </w:tcPr>
          <w:p w14:paraId="262F1266">
            <w:pPr>
              <w:pageBreakBefore w:val="0"/>
              <w:widowControl/>
              <w:kinsoku/>
              <w:wordWrap/>
              <w:overflowPunct/>
              <w:topLinePunct w:val="0"/>
              <w:autoSpaceDE/>
              <w:autoSpaceDN/>
              <w:bidi w:val="0"/>
              <w:spacing w:line="560" w:lineRule="exact"/>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2025</w:t>
            </w:r>
          </w:p>
        </w:tc>
        <w:tc>
          <w:tcPr>
            <w:tcW w:w="1388" w:type="dxa"/>
            <w:tcBorders>
              <w:top w:val="single" w:color="000000" w:sz="4" w:space="0"/>
              <w:left w:val="single" w:color="000000" w:sz="4" w:space="0"/>
              <w:bottom w:val="single" w:color="000000" w:sz="4" w:space="0"/>
              <w:right w:val="single" w:color="000000" w:sz="4" w:space="0"/>
            </w:tcBorders>
            <w:noWrap w:val="0"/>
            <w:vAlign w:val="center"/>
          </w:tcPr>
          <w:p w14:paraId="6C70FF3D">
            <w:pPr>
              <w:pageBreakBefore w:val="0"/>
              <w:widowControl/>
              <w:kinsoku/>
              <w:wordWrap/>
              <w:overflowPunct/>
              <w:topLinePunct w:val="0"/>
              <w:autoSpaceDE/>
              <w:autoSpaceDN/>
              <w:bidi w:val="0"/>
              <w:spacing w:line="560" w:lineRule="exact"/>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年</w:t>
            </w:r>
          </w:p>
        </w:tc>
      </w:tr>
      <w:tr w14:paraId="53D5EE2A">
        <w:tblPrEx>
          <w:tblCellMar>
            <w:top w:w="0" w:type="dxa"/>
            <w:left w:w="108" w:type="dxa"/>
            <w:bottom w:w="0" w:type="dxa"/>
            <w:right w:w="108" w:type="dxa"/>
          </w:tblCellMar>
        </w:tblPrEx>
        <w:trPr>
          <w:trHeight w:val="1445" w:hRule="atLeast"/>
        </w:trPr>
        <w:tc>
          <w:tcPr>
            <w:tcW w:w="1388" w:type="dxa"/>
            <w:tcBorders>
              <w:top w:val="single" w:color="000000" w:sz="4" w:space="0"/>
              <w:left w:val="single" w:color="000000" w:sz="4" w:space="0"/>
              <w:bottom w:val="single" w:color="000000" w:sz="4" w:space="0"/>
              <w:right w:val="single" w:color="000000" w:sz="4" w:space="0"/>
            </w:tcBorders>
            <w:noWrap w:val="0"/>
            <w:vAlign w:val="center"/>
          </w:tcPr>
          <w:p w14:paraId="35F13ACC">
            <w:pPr>
              <w:pageBreakBefore w:val="0"/>
              <w:widowControl/>
              <w:kinsoku/>
              <w:wordWrap/>
              <w:overflowPunct/>
              <w:topLinePunct w:val="0"/>
              <w:autoSpaceDE/>
              <w:autoSpaceDN/>
              <w:bidi w:val="0"/>
              <w:spacing w:line="560" w:lineRule="exact"/>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效益指标</w:t>
            </w:r>
          </w:p>
        </w:tc>
        <w:tc>
          <w:tcPr>
            <w:tcW w:w="1388" w:type="dxa"/>
            <w:tcBorders>
              <w:top w:val="single" w:color="000000" w:sz="4" w:space="0"/>
              <w:left w:val="single" w:color="000000" w:sz="4" w:space="0"/>
              <w:bottom w:val="single" w:color="000000" w:sz="4" w:space="0"/>
              <w:right w:val="single" w:color="000000" w:sz="4" w:space="0"/>
            </w:tcBorders>
            <w:noWrap w:val="0"/>
            <w:vAlign w:val="center"/>
          </w:tcPr>
          <w:p w14:paraId="19DC6722">
            <w:pPr>
              <w:pageBreakBefore w:val="0"/>
              <w:widowControl/>
              <w:kinsoku/>
              <w:wordWrap/>
              <w:overflowPunct/>
              <w:topLinePunct w:val="0"/>
              <w:autoSpaceDE/>
              <w:autoSpaceDN/>
              <w:bidi w:val="0"/>
              <w:spacing w:line="560" w:lineRule="exact"/>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可持续发展指标</w:t>
            </w:r>
          </w:p>
        </w:tc>
        <w:tc>
          <w:tcPr>
            <w:tcW w:w="2075" w:type="dxa"/>
            <w:tcBorders>
              <w:top w:val="single" w:color="000000" w:sz="4" w:space="0"/>
              <w:left w:val="single" w:color="000000" w:sz="4" w:space="0"/>
              <w:bottom w:val="single" w:color="000000" w:sz="4" w:space="0"/>
              <w:right w:val="single" w:color="000000" w:sz="4" w:space="0"/>
            </w:tcBorders>
            <w:noWrap w:val="0"/>
            <w:vAlign w:val="center"/>
          </w:tcPr>
          <w:p w14:paraId="7A60839A">
            <w:pPr>
              <w:pageBreakBefore w:val="0"/>
              <w:widowControl/>
              <w:kinsoku/>
              <w:wordWrap/>
              <w:overflowPunct/>
              <w:topLinePunct w:val="0"/>
              <w:autoSpaceDE/>
              <w:autoSpaceDN/>
              <w:bidi w:val="0"/>
              <w:spacing w:line="560" w:lineRule="exact"/>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为我州未来音乐文艺事业工作发展奠定基础</w:t>
            </w:r>
          </w:p>
        </w:tc>
        <w:tc>
          <w:tcPr>
            <w:tcW w:w="1388" w:type="dxa"/>
            <w:tcBorders>
              <w:top w:val="single" w:color="000000" w:sz="4" w:space="0"/>
              <w:left w:val="single" w:color="000000" w:sz="4" w:space="0"/>
              <w:bottom w:val="single" w:color="000000" w:sz="4" w:space="0"/>
              <w:right w:val="single" w:color="000000" w:sz="4" w:space="0"/>
            </w:tcBorders>
            <w:noWrap w:val="0"/>
            <w:vAlign w:val="center"/>
          </w:tcPr>
          <w:p w14:paraId="02388E43">
            <w:pPr>
              <w:pageBreakBefore w:val="0"/>
              <w:widowControl/>
              <w:kinsoku/>
              <w:wordWrap/>
              <w:overflowPunct/>
              <w:topLinePunct w:val="0"/>
              <w:autoSpaceDE/>
              <w:autoSpaceDN/>
              <w:bidi w:val="0"/>
              <w:spacing w:line="560" w:lineRule="exact"/>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w:t>
            </w:r>
          </w:p>
        </w:tc>
        <w:tc>
          <w:tcPr>
            <w:tcW w:w="1388" w:type="dxa"/>
            <w:tcBorders>
              <w:top w:val="single" w:color="000000" w:sz="4" w:space="0"/>
              <w:left w:val="single" w:color="000000" w:sz="4" w:space="0"/>
              <w:bottom w:val="single" w:color="000000" w:sz="4" w:space="0"/>
              <w:right w:val="single" w:color="000000" w:sz="4" w:space="0"/>
            </w:tcBorders>
            <w:noWrap w:val="0"/>
            <w:vAlign w:val="center"/>
          </w:tcPr>
          <w:p w14:paraId="1AFB97F8">
            <w:pPr>
              <w:pageBreakBefore w:val="0"/>
              <w:widowControl/>
              <w:kinsoku/>
              <w:wordWrap/>
              <w:overflowPunct/>
              <w:topLinePunct w:val="0"/>
              <w:autoSpaceDE/>
              <w:autoSpaceDN/>
              <w:bidi w:val="0"/>
              <w:spacing w:line="560" w:lineRule="exact"/>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60</w:t>
            </w:r>
          </w:p>
        </w:tc>
        <w:tc>
          <w:tcPr>
            <w:tcW w:w="1388" w:type="dxa"/>
            <w:tcBorders>
              <w:top w:val="single" w:color="000000" w:sz="4" w:space="0"/>
              <w:left w:val="single" w:color="000000" w:sz="4" w:space="0"/>
              <w:bottom w:val="single" w:color="000000" w:sz="4" w:space="0"/>
              <w:right w:val="single" w:color="000000" w:sz="4" w:space="0"/>
            </w:tcBorders>
            <w:noWrap w:val="0"/>
            <w:vAlign w:val="center"/>
          </w:tcPr>
          <w:p w14:paraId="59458E70">
            <w:pPr>
              <w:pageBreakBefore w:val="0"/>
              <w:widowControl/>
              <w:kinsoku/>
              <w:wordWrap/>
              <w:overflowPunct/>
              <w:topLinePunct w:val="0"/>
              <w:autoSpaceDE/>
              <w:autoSpaceDN/>
              <w:bidi w:val="0"/>
              <w:spacing w:line="560" w:lineRule="exact"/>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w:t>
            </w:r>
          </w:p>
        </w:tc>
      </w:tr>
      <w:tr w14:paraId="73A17B9D">
        <w:tblPrEx>
          <w:tblCellMar>
            <w:top w:w="0" w:type="dxa"/>
            <w:left w:w="108" w:type="dxa"/>
            <w:bottom w:w="0" w:type="dxa"/>
            <w:right w:w="108" w:type="dxa"/>
          </w:tblCellMar>
        </w:tblPrEx>
        <w:trPr>
          <w:trHeight w:val="949" w:hRule="atLeast"/>
        </w:trPr>
        <w:tc>
          <w:tcPr>
            <w:tcW w:w="1388" w:type="dxa"/>
            <w:tcBorders>
              <w:top w:val="single" w:color="000000" w:sz="4" w:space="0"/>
              <w:left w:val="single" w:color="000000" w:sz="4" w:space="0"/>
              <w:bottom w:val="single" w:color="000000" w:sz="4" w:space="0"/>
              <w:right w:val="single" w:color="000000" w:sz="4" w:space="0"/>
            </w:tcBorders>
            <w:noWrap w:val="0"/>
            <w:vAlign w:val="center"/>
          </w:tcPr>
          <w:p w14:paraId="5D905106">
            <w:pPr>
              <w:pageBreakBefore w:val="0"/>
              <w:widowControl/>
              <w:kinsoku/>
              <w:wordWrap/>
              <w:overflowPunct/>
              <w:topLinePunct w:val="0"/>
              <w:autoSpaceDE/>
              <w:autoSpaceDN/>
              <w:bidi w:val="0"/>
              <w:spacing w:line="560" w:lineRule="exact"/>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满意度指标</w:t>
            </w:r>
          </w:p>
        </w:tc>
        <w:tc>
          <w:tcPr>
            <w:tcW w:w="1388" w:type="dxa"/>
            <w:tcBorders>
              <w:top w:val="single" w:color="000000" w:sz="4" w:space="0"/>
              <w:left w:val="single" w:color="000000" w:sz="4" w:space="0"/>
              <w:bottom w:val="single" w:color="000000" w:sz="4" w:space="0"/>
              <w:right w:val="single" w:color="000000" w:sz="4" w:space="0"/>
            </w:tcBorders>
            <w:noWrap w:val="0"/>
            <w:vAlign w:val="center"/>
          </w:tcPr>
          <w:p w14:paraId="403674FE">
            <w:pPr>
              <w:pageBreakBefore w:val="0"/>
              <w:widowControl/>
              <w:kinsoku/>
              <w:wordWrap/>
              <w:overflowPunct/>
              <w:topLinePunct w:val="0"/>
              <w:autoSpaceDE/>
              <w:autoSpaceDN/>
              <w:bidi w:val="0"/>
              <w:spacing w:line="560" w:lineRule="exact"/>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服务对象满意度指标</w:t>
            </w:r>
          </w:p>
        </w:tc>
        <w:tc>
          <w:tcPr>
            <w:tcW w:w="2075" w:type="dxa"/>
            <w:tcBorders>
              <w:top w:val="single" w:color="000000" w:sz="4" w:space="0"/>
              <w:left w:val="single" w:color="000000" w:sz="4" w:space="0"/>
              <w:bottom w:val="single" w:color="000000" w:sz="4" w:space="0"/>
              <w:right w:val="single" w:color="000000" w:sz="4" w:space="0"/>
            </w:tcBorders>
            <w:noWrap w:val="0"/>
            <w:vAlign w:val="center"/>
          </w:tcPr>
          <w:p w14:paraId="518C0BF8">
            <w:pPr>
              <w:pageBreakBefore w:val="0"/>
              <w:widowControl/>
              <w:kinsoku/>
              <w:wordWrap/>
              <w:overflowPunct/>
              <w:topLinePunct w:val="0"/>
              <w:autoSpaceDE/>
              <w:autoSpaceDN/>
              <w:bidi w:val="0"/>
              <w:spacing w:line="560" w:lineRule="exact"/>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服务对象满意度</w:t>
            </w:r>
          </w:p>
        </w:tc>
        <w:tc>
          <w:tcPr>
            <w:tcW w:w="1388" w:type="dxa"/>
            <w:tcBorders>
              <w:top w:val="single" w:color="000000" w:sz="4" w:space="0"/>
              <w:left w:val="single" w:color="000000" w:sz="4" w:space="0"/>
              <w:bottom w:val="single" w:color="000000" w:sz="4" w:space="0"/>
              <w:right w:val="single" w:color="000000" w:sz="4" w:space="0"/>
            </w:tcBorders>
            <w:noWrap w:val="0"/>
            <w:vAlign w:val="center"/>
          </w:tcPr>
          <w:p w14:paraId="10839BA4">
            <w:pPr>
              <w:pageBreakBefore w:val="0"/>
              <w:widowControl/>
              <w:kinsoku/>
              <w:wordWrap/>
              <w:overflowPunct/>
              <w:topLinePunct w:val="0"/>
              <w:autoSpaceDE/>
              <w:autoSpaceDN/>
              <w:bidi w:val="0"/>
              <w:spacing w:line="560" w:lineRule="exact"/>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w:t>
            </w:r>
          </w:p>
        </w:tc>
        <w:tc>
          <w:tcPr>
            <w:tcW w:w="1388" w:type="dxa"/>
            <w:tcBorders>
              <w:top w:val="single" w:color="000000" w:sz="4" w:space="0"/>
              <w:left w:val="single" w:color="000000" w:sz="4" w:space="0"/>
              <w:bottom w:val="single" w:color="000000" w:sz="4" w:space="0"/>
              <w:right w:val="single" w:color="000000" w:sz="4" w:space="0"/>
            </w:tcBorders>
            <w:noWrap w:val="0"/>
            <w:vAlign w:val="center"/>
          </w:tcPr>
          <w:p w14:paraId="5047B34F">
            <w:pPr>
              <w:pageBreakBefore w:val="0"/>
              <w:widowControl/>
              <w:kinsoku/>
              <w:wordWrap/>
              <w:overflowPunct/>
              <w:topLinePunct w:val="0"/>
              <w:autoSpaceDE/>
              <w:autoSpaceDN/>
              <w:bidi w:val="0"/>
              <w:spacing w:line="560" w:lineRule="exact"/>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80</w:t>
            </w:r>
          </w:p>
        </w:tc>
        <w:tc>
          <w:tcPr>
            <w:tcW w:w="1388" w:type="dxa"/>
            <w:tcBorders>
              <w:top w:val="single" w:color="000000" w:sz="4" w:space="0"/>
              <w:left w:val="single" w:color="000000" w:sz="4" w:space="0"/>
              <w:bottom w:val="single" w:color="000000" w:sz="4" w:space="0"/>
              <w:right w:val="single" w:color="000000" w:sz="4" w:space="0"/>
            </w:tcBorders>
            <w:noWrap w:val="0"/>
            <w:vAlign w:val="center"/>
          </w:tcPr>
          <w:p w14:paraId="605C8887">
            <w:pPr>
              <w:pageBreakBefore w:val="0"/>
              <w:widowControl/>
              <w:kinsoku/>
              <w:wordWrap/>
              <w:overflowPunct/>
              <w:topLinePunct w:val="0"/>
              <w:autoSpaceDE/>
              <w:autoSpaceDN/>
              <w:bidi w:val="0"/>
              <w:spacing w:line="560" w:lineRule="exact"/>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w:t>
            </w:r>
          </w:p>
        </w:tc>
      </w:tr>
      <w:tr w14:paraId="02058FA6">
        <w:tblPrEx>
          <w:tblCellMar>
            <w:top w:w="0" w:type="dxa"/>
            <w:left w:w="108" w:type="dxa"/>
            <w:bottom w:w="0" w:type="dxa"/>
            <w:right w:w="108" w:type="dxa"/>
          </w:tblCellMar>
        </w:tblPrEx>
        <w:trPr>
          <w:trHeight w:val="826" w:hRule="atLeast"/>
        </w:trPr>
        <w:tc>
          <w:tcPr>
            <w:tcW w:w="1388" w:type="dxa"/>
            <w:tcBorders>
              <w:top w:val="single" w:color="000000" w:sz="4" w:space="0"/>
              <w:left w:val="single" w:color="000000" w:sz="4" w:space="0"/>
              <w:bottom w:val="single" w:color="000000" w:sz="4" w:space="0"/>
              <w:right w:val="single" w:color="000000" w:sz="4" w:space="0"/>
            </w:tcBorders>
            <w:noWrap w:val="0"/>
            <w:vAlign w:val="center"/>
          </w:tcPr>
          <w:p w14:paraId="22E12E14">
            <w:pPr>
              <w:pageBreakBefore w:val="0"/>
              <w:widowControl/>
              <w:kinsoku/>
              <w:wordWrap/>
              <w:overflowPunct/>
              <w:topLinePunct w:val="0"/>
              <w:autoSpaceDE/>
              <w:autoSpaceDN/>
              <w:bidi w:val="0"/>
              <w:spacing w:line="560" w:lineRule="exact"/>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成本指标</w:t>
            </w:r>
          </w:p>
        </w:tc>
        <w:tc>
          <w:tcPr>
            <w:tcW w:w="1388" w:type="dxa"/>
            <w:tcBorders>
              <w:top w:val="single" w:color="000000" w:sz="4" w:space="0"/>
              <w:left w:val="single" w:color="000000" w:sz="4" w:space="0"/>
              <w:bottom w:val="single" w:color="000000" w:sz="4" w:space="0"/>
              <w:right w:val="single" w:color="000000" w:sz="4" w:space="0"/>
            </w:tcBorders>
            <w:noWrap w:val="0"/>
            <w:vAlign w:val="center"/>
          </w:tcPr>
          <w:p w14:paraId="1F00DDD1">
            <w:pPr>
              <w:pageBreakBefore w:val="0"/>
              <w:widowControl/>
              <w:kinsoku/>
              <w:wordWrap/>
              <w:overflowPunct/>
              <w:topLinePunct w:val="0"/>
              <w:autoSpaceDE/>
              <w:autoSpaceDN/>
              <w:bidi w:val="0"/>
              <w:spacing w:line="560" w:lineRule="exact"/>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经济成本指标</w:t>
            </w:r>
          </w:p>
        </w:tc>
        <w:tc>
          <w:tcPr>
            <w:tcW w:w="2075" w:type="dxa"/>
            <w:tcBorders>
              <w:top w:val="single" w:color="000000" w:sz="4" w:space="0"/>
              <w:left w:val="single" w:color="000000" w:sz="4" w:space="0"/>
              <w:bottom w:val="single" w:color="000000" w:sz="4" w:space="0"/>
              <w:right w:val="single" w:color="000000" w:sz="4" w:space="0"/>
            </w:tcBorders>
            <w:noWrap w:val="0"/>
            <w:vAlign w:val="center"/>
          </w:tcPr>
          <w:p w14:paraId="270DB1D6">
            <w:pPr>
              <w:pageBreakBefore w:val="0"/>
              <w:widowControl/>
              <w:kinsoku/>
              <w:wordWrap/>
              <w:overflowPunct/>
              <w:topLinePunct w:val="0"/>
              <w:autoSpaceDE/>
              <w:autoSpaceDN/>
              <w:bidi w:val="0"/>
              <w:spacing w:line="560" w:lineRule="exact"/>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项目总价</w:t>
            </w:r>
          </w:p>
        </w:tc>
        <w:tc>
          <w:tcPr>
            <w:tcW w:w="1388" w:type="dxa"/>
            <w:tcBorders>
              <w:top w:val="single" w:color="000000" w:sz="4" w:space="0"/>
              <w:left w:val="single" w:color="000000" w:sz="4" w:space="0"/>
              <w:bottom w:val="single" w:color="000000" w:sz="4" w:space="0"/>
              <w:right w:val="single" w:color="000000" w:sz="4" w:space="0"/>
            </w:tcBorders>
            <w:noWrap w:val="0"/>
            <w:vAlign w:val="center"/>
          </w:tcPr>
          <w:p w14:paraId="54670DCE">
            <w:pPr>
              <w:pageBreakBefore w:val="0"/>
              <w:widowControl/>
              <w:kinsoku/>
              <w:wordWrap/>
              <w:overflowPunct/>
              <w:topLinePunct w:val="0"/>
              <w:autoSpaceDE/>
              <w:autoSpaceDN/>
              <w:bidi w:val="0"/>
              <w:spacing w:line="560" w:lineRule="exact"/>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w:t>
            </w:r>
          </w:p>
        </w:tc>
        <w:tc>
          <w:tcPr>
            <w:tcW w:w="1388" w:type="dxa"/>
            <w:tcBorders>
              <w:top w:val="single" w:color="000000" w:sz="4" w:space="0"/>
              <w:left w:val="single" w:color="000000" w:sz="4" w:space="0"/>
              <w:bottom w:val="single" w:color="000000" w:sz="4" w:space="0"/>
              <w:right w:val="single" w:color="000000" w:sz="4" w:space="0"/>
            </w:tcBorders>
            <w:noWrap w:val="0"/>
            <w:vAlign w:val="center"/>
          </w:tcPr>
          <w:p w14:paraId="707C9DFC">
            <w:pPr>
              <w:pageBreakBefore w:val="0"/>
              <w:widowControl/>
              <w:kinsoku/>
              <w:wordWrap/>
              <w:overflowPunct/>
              <w:topLinePunct w:val="0"/>
              <w:autoSpaceDE/>
              <w:autoSpaceDN/>
              <w:bidi w:val="0"/>
              <w:spacing w:line="560" w:lineRule="exact"/>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50</w:t>
            </w:r>
          </w:p>
        </w:tc>
        <w:tc>
          <w:tcPr>
            <w:tcW w:w="1388" w:type="dxa"/>
            <w:tcBorders>
              <w:top w:val="single" w:color="000000" w:sz="4" w:space="0"/>
              <w:left w:val="single" w:color="000000" w:sz="4" w:space="0"/>
              <w:bottom w:val="single" w:color="000000" w:sz="4" w:space="0"/>
              <w:right w:val="single" w:color="000000" w:sz="4" w:space="0"/>
            </w:tcBorders>
            <w:noWrap w:val="0"/>
            <w:vAlign w:val="center"/>
          </w:tcPr>
          <w:p w14:paraId="637FF3B3">
            <w:pPr>
              <w:pageBreakBefore w:val="0"/>
              <w:widowControl/>
              <w:kinsoku/>
              <w:wordWrap/>
              <w:overflowPunct/>
              <w:topLinePunct w:val="0"/>
              <w:autoSpaceDE/>
              <w:autoSpaceDN/>
              <w:bidi w:val="0"/>
              <w:spacing w:line="560" w:lineRule="exact"/>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万元</w:t>
            </w:r>
          </w:p>
        </w:tc>
      </w:tr>
    </w:tbl>
    <w:p w14:paraId="7B979DFF">
      <w:pPr>
        <w:pageBreakBefore w:val="0"/>
        <w:kinsoku/>
        <w:wordWrap/>
        <w:overflowPunct/>
        <w:topLinePunct w:val="0"/>
        <w:autoSpaceDE/>
        <w:autoSpaceDN/>
        <w:bidi w:val="0"/>
        <w:adjustRightInd w:val="0"/>
        <w:snapToGrid w:val="0"/>
        <w:spacing w:line="560" w:lineRule="exact"/>
        <w:ind w:firstLine="320" w:firstLineChars="100"/>
        <w:rPr>
          <w:rFonts w:ascii="Times New Roman" w:hAnsi="Times New Roman" w:eastAsia="黑体" w:cs="Times New Roman"/>
          <w:sz w:val="32"/>
          <w:szCs w:val="32"/>
        </w:rPr>
      </w:pPr>
    </w:p>
    <w:p w14:paraId="0DD80532">
      <w:pPr>
        <w:pageBreakBefore w:val="0"/>
        <w:kinsoku/>
        <w:wordWrap/>
        <w:overflowPunct/>
        <w:topLinePunct w:val="0"/>
        <w:autoSpaceDE/>
        <w:autoSpaceDN/>
        <w:bidi w:val="0"/>
        <w:adjustRightInd w:val="0"/>
        <w:snapToGrid w:val="0"/>
        <w:spacing w:line="560" w:lineRule="exact"/>
        <w:ind w:firstLine="320" w:firstLineChars="100"/>
        <w:rPr>
          <w:rFonts w:ascii="Times New Roman" w:hAnsi="Times New Roman" w:eastAsia="黑体" w:cs="Times New Roman"/>
          <w:sz w:val="32"/>
          <w:szCs w:val="32"/>
        </w:rPr>
      </w:pPr>
      <w:r>
        <w:rPr>
          <w:rFonts w:ascii="Times New Roman" w:hAnsi="Times New Roman" w:eastAsia="黑体" w:cs="Times New Roman"/>
          <w:sz w:val="32"/>
          <w:szCs w:val="32"/>
        </w:rPr>
        <w:t>二、评价实施</w:t>
      </w:r>
    </w:p>
    <w:p w14:paraId="52AE8F18">
      <w:pPr>
        <w:pageBreakBefore w:val="0"/>
        <w:widowControl/>
        <w:kinsoku/>
        <w:wordWrap/>
        <w:overflowPunct/>
        <w:topLinePunct w:val="0"/>
        <w:autoSpaceDE/>
        <w:autoSpaceDN/>
        <w:bidi w:val="0"/>
        <w:spacing w:line="560" w:lineRule="exact"/>
        <w:jc w:val="left"/>
        <w:rPr>
          <w:rFonts w:hint="eastAsia" w:ascii="仿宋" w:hAnsi="仿宋" w:eastAsia="仿宋" w:cs="仿宋"/>
          <w:sz w:val="32"/>
          <w:szCs w:val="32"/>
        </w:rPr>
      </w:pPr>
      <w:r>
        <w:rPr>
          <w:rFonts w:ascii="Times New Roman" w:hAnsi="Times New Roman" w:eastAsia="楷体_GB2312" w:cs="Times New Roman"/>
          <w:b/>
          <w:sz w:val="32"/>
          <w:szCs w:val="32"/>
          <w:lang w:val="zh-CN"/>
        </w:rPr>
        <w:t>（一）评价目的</w:t>
      </w:r>
      <w:r>
        <w:rPr>
          <w:rFonts w:hint="eastAsia" w:ascii="Times New Roman" w:hAnsi="Times New Roman" w:eastAsia="楷体_GB2312" w:cs="Times New Roman"/>
          <w:b/>
          <w:sz w:val="32"/>
          <w:szCs w:val="32"/>
          <w:lang w:val="zh-CN"/>
        </w:rPr>
        <w:t>：</w:t>
      </w:r>
      <w:r>
        <w:rPr>
          <w:rFonts w:hint="eastAsia" w:ascii="仿宋" w:hAnsi="仿宋" w:eastAsia="仿宋" w:cs="仿宋"/>
          <w:kern w:val="0"/>
          <w:sz w:val="32"/>
          <w:szCs w:val="32"/>
          <w:lang w:bidi="ar"/>
        </w:rPr>
        <w:t>检验项目实施成效，总结经验、查找不足，优化活动流程与资金使用，保障项目达成预期目标，推动交流活动常态化、规范化开展。</w:t>
      </w:r>
    </w:p>
    <w:p w14:paraId="4A9FCF84">
      <w:pPr>
        <w:pageBreakBefore w:val="0"/>
        <w:widowControl/>
        <w:kinsoku/>
        <w:wordWrap/>
        <w:overflowPunct/>
        <w:topLinePunct w:val="0"/>
        <w:autoSpaceDE/>
        <w:autoSpaceDN/>
        <w:bidi w:val="0"/>
        <w:spacing w:line="560" w:lineRule="exact"/>
        <w:jc w:val="left"/>
        <w:rPr>
          <w:rFonts w:hint="eastAsia" w:ascii="仿宋" w:hAnsi="仿宋" w:eastAsia="仿宋" w:cs="仿宋"/>
          <w:sz w:val="32"/>
          <w:szCs w:val="32"/>
        </w:rPr>
      </w:pPr>
      <w:r>
        <w:rPr>
          <w:rFonts w:ascii="Times New Roman" w:hAnsi="Times New Roman" w:eastAsia="楷体_GB2312" w:cs="Times New Roman"/>
          <w:b/>
          <w:sz w:val="32"/>
          <w:szCs w:val="32"/>
          <w:lang w:val="zh-CN"/>
        </w:rPr>
        <w:t>（二）预设问题及评价重点</w:t>
      </w:r>
      <w:r>
        <w:rPr>
          <w:rFonts w:hint="eastAsia" w:ascii="仿宋" w:hAnsi="仿宋" w:eastAsia="仿宋" w:cs="仿宋"/>
          <w:b/>
          <w:sz w:val="32"/>
          <w:szCs w:val="32"/>
          <w:lang w:val="zh-CN"/>
        </w:rPr>
        <w:t>：</w:t>
      </w:r>
      <w:r>
        <w:rPr>
          <w:rFonts w:hint="eastAsia" w:ascii="仿宋" w:hAnsi="仿宋" w:eastAsia="仿宋" w:cs="仿宋"/>
          <w:kern w:val="0"/>
          <w:sz w:val="32"/>
          <w:szCs w:val="32"/>
          <w:lang w:bidi="ar"/>
        </w:rPr>
        <w:t>活动成效是否达标、资金使用是否合规、流程是否顺畅、青少年参与体验及反馈如何。评价重点：活动对青少年家国情怀的培育成效、浙川文化互鉴落地情况、资金使用效率、流程规范性及活动常态化可行性。</w:t>
      </w:r>
    </w:p>
    <w:p w14:paraId="42AA1AFE">
      <w:pPr>
        <w:pageBreakBefore w:val="0"/>
        <w:kinsoku/>
        <w:wordWrap/>
        <w:overflowPunct/>
        <w:topLinePunct w:val="0"/>
        <w:autoSpaceDE/>
        <w:autoSpaceDN/>
        <w:bidi w:val="0"/>
        <w:adjustRightInd w:val="0"/>
        <w:snapToGrid w:val="0"/>
        <w:spacing w:line="560" w:lineRule="exact"/>
        <w:jc w:val="both"/>
        <w:rPr>
          <w:rFonts w:hint="eastAsia" w:ascii="Times New Roman" w:hAnsi="Times New Roman" w:eastAsia="仿宋_GB2312" w:cs="Times New Roman"/>
          <w:sz w:val="32"/>
          <w:szCs w:val="32"/>
        </w:rPr>
      </w:pPr>
      <w:r>
        <w:rPr>
          <w:rFonts w:ascii="Times New Roman" w:hAnsi="Times New Roman" w:eastAsia="楷体_GB2312" w:cs="Times New Roman"/>
          <w:b/>
          <w:sz w:val="32"/>
          <w:szCs w:val="32"/>
          <w:lang w:val="zh-CN"/>
        </w:rPr>
        <w:t>（三）评价选点</w:t>
      </w:r>
    </w:p>
    <w:p w14:paraId="2B9966CC">
      <w:pPr>
        <w:keepNext/>
        <w:keepLines/>
        <w:pageBreakBefore w:val="0"/>
        <w:widowControl w:val="0"/>
        <w:kinsoku/>
        <w:wordWrap/>
        <w:overflowPunct/>
        <w:topLinePunct w:val="0"/>
        <w:autoSpaceDE/>
        <w:autoSpaceDN/>
        <w:bidi w:val="0"/>
        <w:spacing w:before="280" w:after="156" w:line="560" w:lineRule="exact"/>
        <w:ind w:firstLine="1600" w:firstLineChars="500"/>
        <w:outlineLvl w:val="4"/>
        <w:rPr>
          <w:rFonts w:hint="eastAsia" w:ascii="仿宋" w:hAnsi="仿宋" w:eastAsia="仿宋" w:cs="仿宋"/>
          <w:b w:val="0"/>
          <w:bCs/>
          <w:kern w:val="2"/>
          <w:sz w:val="32"/>
          <w:szCs w:val="32"/>
          <w:lang w:val="zh-CN" w:eastAsia="zh-CN" w:bidi="ar-SA"/>
        </w:rPr>
      </w:pPr>
      <w:r>
        <w:rPr>
          <w:rFonts w:hint="eastAsia" w:ascii="仿宋" w:hAnsi="仿宋" w:eastAsia="仿宋" w:cs="仿宋"/>
          <w:b w:val="0"/>
          <w:bCs/>
          <w:kern w:val="2"/>
          <w:sz w:val="32"/>
          <w:szCs w:val="32"/>
          <w:lang w:val="zh-CN" w:eastAsia="zh-CN" w:bidi="ar-SA"/>
        </w:rPr>
        <w:t>无</w:t>
      </w:r>
    </w:p>
    <w:p w14:paraId="39AD0DC8">
      <w:pPr>
        <w:pageBreakBefore w:val="0"/>
        <w:kinsoku/>
        <w:wordWrap/>
        <w:overflowPunct/>
        <w:topLinePunct w:val="0"/>
        <w:autoSpaceDE/>
        <w:autoSpaceDN/>
        <w:bidi w:val="0"/>
        <w:spacing w:line="560" w:lineRule="exact"/>
        <w:rPr>
          <w:rFonts w:ascii="Times New Roman" w:hAnsi="Times New Roman" w:eastAsia="楷体_GB2312" w:cs="Times New Roman"/>
          <w:b/>
          <w:sz w:val="32"/>
          <w:szCs w:val="32"/>
          <w:lang w:val="zh-CN"/>
        </w:rPr>
      </w:pPr>
      <w:r>
        <w:rPr>
          <w:rFonts w:ascii="Times New Roman" w:hAnsi="Times New Roman" w:eastAsia="楷体_GB2312" w:cs="Times New Roman"/>
          <w:b/>
          <w:sz w:val="32"/>
          <w:szCs w:val="32"/>
          <w:lang w:val="zh-CN"/>
        </w:rPr>
        <w:t>（</w:t>
      </w:r>
      <w:r>
        <w:rPr>
          <w:rFonts w:hint="eastAsia" w:ascii="Times New Roman" w:hAnsi="Times New Roman" w:eastAsia="楷体_GB2312" w:cs="Times New Roman"/>
          <w:b/>
          <w:sz w:val="32"/>
          <w:szCs w:val="32"/>
          <w:lang w:val="zh-CN"/>
        </w:rPr>
        <w:t>四</w:t>
      </w:r>
      <w:r>
        <w:rPr>
          <w:rFonts w:ascii="Times New Roman" w:hAnsi="Times New Roman" w:eastAsia="楷体_GB2312" w:cs="Times New Roman"/>
          <w:b/>
          <w:sz w:val="32"/>
          <w:szCs w:val="32"/>
          <w:lang w:val="zh-CN"/>
        </w:rPr>
        <w:t>）评价方法</w:t>
      </w:r>
    </w:p>
    <w:p w14:paraId="1919AB5C">
      <w:pPr>
        <w:keepNext/>
        <w:keepLines/>
        <w:pageBreakBefore w:val="0"/>
        <w:widowControl w:val="0"/>
        <w:kinsoku/>
        <w:wordWrap/>
        <w:overflowPunct/>
        <w:topLinePunct w:val="0"/>
        <w:autoSpaceDE/>
        <w:autoSpaceDN/>
        <w:bidi w:val="0"/>
        <w:spacing w:before="280" w:after="156" w:line="560" w:lineRule="exact"/>
        <w:outlineLvl w:val="4"/>
        <w:rPr>
          <w:rFonts w:ascii="Arial" w:hAnsi="Arial" w:eastAsia="黑体" w:cs="Times New Roman"/>
          <w:b/>
          <w:kern w:val="2"/>
          <w:sz w:val="24"/>
          <w:szCs w:val="28"/>
          <w:lang w:val="en-US" w:eastAsia="zh-CN" w:bidi="ar-SA"/>
        </w:rPr>
      </w:pPr>
      <w:r>
        <w:rPr>
          <w:rFonts w:hint="eastAsia" w:ascii="Arial" w:hAnsi="Arial" w:eastAsia="黑体" w:cs="Times New Roman"/>
          <w:b/>
          <w:kern w:val="2"/>
          <w:sz w:val="24"/>
          <w:szCs w:val="28"/>
          <w:lang w:val="en-US" w:eastAsia="zh-CN" w:bidi="ar-SA"/>
        </w:rPr>
        <w:t xml:space="preserve">  </w:t>
      </w:r>
      <w:r>
        <w:rPr>
          <w:rFonts w:hint="eastAsia" w:ascii="Times New Roman" w:hAnsi="Times New Roman" w:eastAsia="楷体_GB2312" w:cs="Times New Roman"/>
          <w:b/>
          <w:kern w:val="2"/>
          <w:sz w:val="32"/>
          <w:szCs w:val="32"/>
          <w:lang w:val="en-US" w:eastAsia="zh-CN" w:bidi="ar-SA"/>
        </w:rPr>
        <w:t xml:space="preserve">  </w:t>
      </w:r>
      <w:r>
        <w:rPr>
          <w:rFonts w:hint="eastAsia" w:ascii="Times New Roman" w:hAnsi="Times New Roman" w:eastAsia="仿宋_GB2312" w:cs="Times New Roman"/>
          <w:b w:val="0"/>
          <w:bCs/>
          <w:kern w:val="2"/>
          <w:sz w:val="32"/>
          <w:szCs w:val="32"/>
          <w:lang w:val="en-US" w:eastAsia="zh-CN" w:bidi="ar-SA"/>
        </w:rPr>
        <w:t>该项目使用自评法进行评价（项目预算支出绩效自评）。</w:t>
      </w:r>
    </w:p>
    <w:p w14:paraId="375FF7B2">
      <w:pPr>
        <w:pageBreakBefore w:val="0"/>
        <w:widowControl/>
        <w:shd w:val="clear" w:color="auto" w:fill="FFFFFF"/>
        <w:kinsoku/>
        <w:wordWrap/>
        <w:overflowPunct/>
        <w:topLinePunct w:val="0"/>
        <w:autoSpaceDE/>
        <w:autoSpaceDN/>
        <w:bidi w:val="0"/>
        <w:spacing w:line="560" w:lineRule="exact"/>
        <w:ind w:firstLine="321" w:firstLineChars="100"/>
        <w:jc w:val="both"/>
        <w:rPr>
          <w:rFonts w:ascii="Times New Roman" w:hAnsi="Times New Roman" w:eastAsia="楷体_GB2312" w:cs="Times New Roman"/>
          <w:b/>
          <w:kern w:val="2"/>
          <w:sz w:val="32"/>
          <w:szCs w:val="32"/>
          <w:lang w:val="zh-CN" w:eastAsia="zh-CN" w:bidi="ar-SA"/>
        </w:rPr>
      </w:pPr>
      <w:r>
        <w:rPr>
          <w:rFonts w:ascii="Times New Roman" w:hAnsi="Times New Roman" w:eastAsia="楷体_GB2312" w:cs="Times New Roman"/>
          <w:b/>
          <w:kern w:val="2"/>
          <w:sz w:val="32"/>
          <w:szCs w:val="32"/>
          <w:lang w:val="zh-CN" w:eastAsia="zh-CN" w:bidi="ar-SA"/>
        </w:rPr>
        <w:t>（</w:t>
      </w:r>
      <w:r>
        <w:rPr>
          <w:rFonts w:hint="eastAsia" w:ascii="Times New Roman" w:hAnsi="Times New Roman" w:eastAsia="楷体_GB2312" w:cs="Times New Roman"/>
          <w:b/>
          <w:kern w:val="2"/>
          <w:sz w:val="32"/>
          <w:szCs w:val="32"/>
          <w:lang w:val="zh-CN" w:eastAsia="zh-CN" w:bidi="ar-SA"/>
        </w:rPr>
        <w:t>五</w:t>
      </w:r>
      <w:r>
        <w:rPr>
          <w:rFonts w:ascii="Times New Roman" w:hAnsi="Times New Roman" w:eastAsia="楷体_GB2312" w:cs="Times New Roman"/>
          <w:b/>
          <w:kern w:val="2"/>
          <w:sz w:val="32"/>
          <w:szCs w:val="32"/>
          <w:lang w:val="zh-CN" w:eastAsia="zh-CN" w:bidi="ar-SA"/>
        </w:rPr>
        <w:t>）评价组织</w:t>
      </w:r>
    </w:p>
    <w:p w14:paraId="74A240D4">
      <w:pPr>
        <w:pageBreakBefore w:val="0"/>
        <w:widowControl/>
        <w:shd w:val="clear" w:color="auto" w:fill="FFFFFF"/>
        <w:kinsoku/>
        <w:wordWrap/>
        <w:overflowPunct/>
        <w:topLinePunct w:val="0"/>
        <w:autoSpaceDE/>
        <w:autoSpaceDN/>
        <w:bidi w:val="0"/>
        <w:spacing w:line="560" w:lineRule="exact"/>
        <w:ind w:firstLine="640" w:firstLineChars="200"/>
        <w:jc w:val="both"/>
        <w:rPr>
          <w:rFonts w:ascii="Times New Roman" w:hAnsi="Times New Roman" w:eastAsia="仿宋_GB2312" w:cs="Times New Roman"/>
          <w:kern w:val="2"/>
          <w:sz w:val="24"/>
          <w:szCs w:val="32"/>
          <w:lang w:val="en-US" w:eastAsia="zh-CN" w:bidi="ar-SA"/>
        </w:rPr>
      </w:pPr>
      <w:r>
        <w:rPr>
          <w:rFonts w:hint="eastAsia" w:ascii="仿宋" w:hAnsi="仿宋" w:eastAsia="仿宋" w:cs="微软雅黑"/>
          <w:kern w:val="2"/>
          <w:sz w:val="32"/>
          <w:szCs w:val="32"/>
          <w:shd w:val="clear" w:color="auto" w:fill="FFFFFF"/>
          <w:lang w:val="en-US" w:eastAsia="zh-CN" w:bidi="ar-SA"/>
        </w:rPr>
        <w:t>我单位成立了以团长为组长、分管领导为副组长，相关科室负责人为成员的自评领导小组。通过查阅资料和实地走访对项目完成情况和满意度进行自评。</w:t>
      </w:r>
      <w:r>
        <w:rPr>
          <w:rFonts w:hint="eastAsia" w:ascii="Times New Roman" w:hAnsi="Times New Roman" w:eastAsia="仿宋_GB2312" w:cs="Times New Roman"/>
          <w:kern w:val="2"/>
          <w:sz w:val="24"/>
          <w:szCs w:val="32"/>
          <w:lang w:val="en-US" w:eastAsia="zh-CN" w:bidi="ar-SA"/>
        </w:rPr>
        <w:t xml:space="preserve"> </w:t>
      </w:r>
    </w:p>
    <w:p w14:paraId="22E706D6">
      <w:pPr>
        <w:pageBreakBefore w:val="0"/>
        <w:kinsoku/>
        <w:wordWrap/>
        <w:overflowPunct/>
        <w:topLinePunct w:val="0"/>
        <w:autoSpaceDE/>
        <w:autoSpaceDN/>
        <w:bidi w:val="0"/>
        <w:spacing w:line="560" w:lineRule="exact"/>
        <w:ind w:firstLine="640"/>
        <w:rPr>
          <w:rFonts w:ascii="Times New Roman" w:hAnsi="Times New Roman" w:eastAsia="仿宋_GB2312" w:cs="Times New Roman"/>
          <w:bCs/>
          <w:sz w:val="32"/>
          <w:szCs w:val="32"/>
        </w:rPr>
      </w:pPr>
    </w:p>
    <w:p w14:paraId="7B2A8754">
      <w:pPr>
        <w:pageBreakBefore w:val="0"/>
        <w:kinsoku/>
        <w:wordWrap/>
        <w:overflowPunct/>
        <w:topLinePunct w:val="0"/>
        <w:autoSpaceDE/>
        <w:autoSpaceDN/>
        <w:bidi w:val="0"/>
        <w:adjustRightInd w:val="0"/>
        <w:snapToGrid w:val="0"/>
        <w:spacing w:line="560" w:lineRule="exact"/>
        <w:ind w:firstLine="960" w:firstLineChars="300"/>
        <w:rPr>
          <w:rFonts w:ascii="Times New Roman" w:hAnsi="Times New Roman" w:eastAsia="仿宋_GB2312" w:cs="Times New Roman"/>
          <w:sz w:val="32"/>
          <w:szCs w:val="32"/>
        </w:rPr>
      </w:pPr>
      <w:r>
        <w:rPr>
          <w:rFonts w:ascii="Times New Roman" w:hAnsi="Times New Roman" w:eastAsia="黑体" w:cs="Times New Roman"/>
          <w:sz w:val="32"/>
          <w:szCs w:val="32"/>
        </w:rPr>
        <w:t>三、绩效分析</w:t>
      </w:r>
      <w:r>
        <w:rPr>
          <w:rFonts w:ascii="Times New Roman" w:hAnsi="Times New Roman" w:eastAsia="仿宋_GB2312" w:cs="Times New Roman"/>
          <w:sz w:val="32"/>
          <w:szCs w:val="32"/>
          <w:lang w:val="zh-CN"/>
        </w:rPr>
        <w:tab/>
      </w:r>
    </w:p>
    <w:p w14:paraId="0DA5F856">
      <w:pPr>
        <w:pageBreakBefore w:val="0"/>
        <w:kinsoku/>
        <w:wordWrap/>
        <w:overflowPunct/>
        <w:topLinePunct w:val="0"/>
        <w:autoSpaceDE/>
        <w:autoSpaceDN/>
        <w:bidi w:val="0"/>
        <w:spacing w:line="560" w:lineRule="exact"/>
        <w:ind w:firstLine="640"/>
        <w:rPr>
          <w:rFonts w:ascii="Times New Roman" w:hAnsi="Times New Roman" w:eastAsia="楷体_GB2312" w:cs="Times New Roman"/>
          <w:b/>
          <w:sz w:val="32"/>
          <w:szCs w:val="32"/>
        </w:rPr>
      </w:pPr>
      <w:r>
        <w:rPr>
          <w:rFonts w:ascii="Times New Roman" w:hAnsi="Times New Roman" w:eastAsia="楷体_GB2312" w:cs="Times New Roman"/>
          <w:b/>
          <w:sz w:val="32"/>
          <w:szCs w:val="32"/>
          <w:lang w:val="zh-CN"/>
        </w:rPr>
        <w:t>（一）</w:t>
      </w:r>
      <w:r>
        <w:rPr>
          <w:rFonts w:ascii="Times New Roman" w:hAnsi="Times New Roman" w:eastAsia="楷体_GB2312" w:cs="Times New Roman"/>
          <w:b/>
          <w:sz w:val="32"/>
          <w:szCs w:val="32"/>
        </w:rPr>
        <w:t>通用指标</w:t>
      </w:r>
      <w:r>
        <w:rPr>
          <w:rFonts w:ascii="Times New Roman" w:hAnsi="Times New Roman" w:eastAsia="楷体_GB2312" w:cs="Times New Roman"/>
          <w:b/>
          <w:bCs/>
          <w:color w:val="000000"/>
          <w:kern w:val="0"/>
          <w:sz w:val="32"/>
          <w:szCs w:val="32"/>
          <w:shd w:val="clear" w:color="auto" w:fill="FFFFFF"/>
          <w:lang w:val="zh-CN"/>
        </w:rPr>
        <w:t>绩效分析。</w:t>
      </w:r>
    </w:p>
    <w:p w14:paraId="421D37DA">
      <w:pPr>
        <w:pageBreakBefore w:val="0"/>
        <w:widowControl/>
        <w:kinsoku/>
        <w:wordWrap/>
        <w:overflowPunct/>
        <w:topLinePunct w:val="0"/>
        <w:autoSpaceDE/>
        <w:autoSpaceDN/>
        <w:bidi w:val="0"/>
        <w:spacing w:line="560" w:lineRule="exact"/>
        <w:ind w:firstLine="643" w:firstLineChars="200"/>
        <w:jc w:val="left"/>
        <w:rPr>
          <w:rFonts w:hint="eastAsia" w:ascii="仿宋" w:hAnsi="仿宋" w:eastAsia="仿宋" w:cs="仿宋"/>
          <w:kern w:val="0"/>
          <w:sz w:val="32"/>
          <w:szCs w:val="32"/>
          <w:lang w:bidi="ar"/>
        </w:rPr>
      </w:pPr>
      <w:r>
        <w:rPr>
          <w:rFonts w:hint="eastAsia" w:ascii="仿宋" w:hAnsi="仿宋" w:eastAsia="仿宋" w:cs="仿宋"/>
          <w:b/>
          <w:bCs/>
          <w:sz w:val="32"/>
          <w:szCs w:val="32"/>
        </w:rPr>
        <w:t>1.项目决策：</w:t>
      </w:r>
      <w:r>
        <w:rPr>
          <w:rFonts w:hint="eastAsia" w:ascii="仿宋" w:hAnsi="仿宋" w:eastAsia="仿宋" w:cs="仿宋"/>
          <w:kern w:val="0"/>
          <w:sz w:val="32"/>
          <w:szCs w:val="32"/>
          <w:lang w:bidi="ar"/>
        </w:rPr>
        <w:t>结合青少年交流需求及活动可行性，经多方研讨、论证，确定项目实施方向、活动内容及预算安排，明确各相关单位职责，确保项目贴合政策要求、契合预期目标，保障项目有序推进、落地见效。</w:t>
      </w:r>
    </w:p>
    <w:p w14:paraId="1E6869DC">
      <w:pPr>
        <w:pageBreakBefore w:val="0"/>
        <w:widowControl/>
        <w:kinsoku/>
        <w:wordWrap/>
        <w:overflowPunct/>
        <w:topLinePunct w:val="0"/>
        <w:autoSpaceDE/>
        <w:autoSpaceDN/>
        <w:bidi w:val="0"/>
        <w:spacing w:line="560" w:lineRule="exact"/>
        <w:ind w:firstLine="643" w:firstLineChars="200"/>
        <w:jc w:val="left"/>
        <w:rPr>
          <w:rFonts w:ascii="Times New Roman" w:hAnsi="Times New Roman" w:eastAsia="仿宋_GB2312" w:cs="Times New Roman"/>
          <w:sz w:val="32"/>
          <w:szCs w:val="32"/>
        </w:rPr>
      </w:pPr>
      <w:r>
        <w:rPr>
          <w:rFonts w:hint="eastAsia" w:ascii="仿宋" w:hAnsi="仿宋" w:eastAsia="仿宋" w:cs="仿宋"/>
          <w:b/>
          <w:bCs/>
          <w:sz w:val="32"/>
          <w:szCs w:val="32"/>
        </w:rPr>
        <w:t>2.项目管理：</w:t>
      </w:r>
      <w:r>
        <w:rPr>
          <w:rFonts w:hint="eastAsia" w:ascii="仿宋" w:hAnsi="仿宋" w:eastAsia="仿宋" w:cs="仿宋"/>
          <w:kern w:val="0"/>
          <w:sz w:val="32"/>
          <w:szCs w:val="32"/>
          <w:lang w:bidi="ar"/>
        </w:rPr>
        <w:t>明确项目管理责任分工，统筹协调各参与单位（浙川相关部门、阿坝州歌舞团、四川爱乐乐团），负责活动组织、安全保障、资金管控、宣传推广及成效反馈；建立常态化沟通机制，及时解决实施中的各类问题，规范流程管理，确保项目按计划推进、达成预期目标。</w:t>
      </w:r>
    </w:p>
    <w:p w14:paraId="41AAA449">
      <w:pPr>
        <w:pageBreakBefore w:val="0"/>
        <w:widowControl/>
        <w:kinsoku/>
        <w:wordWrap/>
        <w:overflowPunct/>
        <w:topLinePunct w:val="0"/>
        <w:autoSpaceDE/>
        <w:autoSpaceDN/>
        <w:bidi w:val="0"/>
        <w:spacing w:line="560" w:lineRule="exact"/>
        <w:ind w:firstLine="643" w:firstLineChars="200"/>
        <w:jc w:val="left"/>
        <w:rPr>
          <w:rFonts w:hint="eastAsia" w:ascii="仿宋" w:hAnsi="仿宋" w:eastAsia="仿宋" w:cs="仿宋"/>
          <w:sz w:val="32"/>
          <w:szCs w:val="32"/>
        </w:rPr>
      </w:pPr>
      <w:r>
        <w:rPr>
          <w:rFonts w:hint="eastAsia" w:ascii="仿宋" w:hAnsi="仿宋" w:eastAsia="仿宋" w:cs="仿宋"/>
          <w:b/>
          <w:bCs/>
          <w:sz w:val="32"/>
          <w:szCs w:val="32"/>
        </w:rPr>
        <w:t>3.项目实施：</w:t>
      </w:r>
      <w:r>
        <w:rPr>
          <w:rFonts w:hint="eastAsia" w:ascii="仿宋" w:hAnsi="仿宋" w:eastAsia="仿宋" w:cs="仿宋"/>
          <w:kern w:val="0"/>
          <w:sz w:val="32"/>
          <w:szCs w:val="32"/>
          <w:lang w:bidi="ar"/>
        </w:rPr>
        <w:t>按既定方案推进主题演出、快闪视频摄制等活动，统筹各参与单位落实演出安排、人员组织、安全保障；严格执行资金管理办法，规范流程，及时跟进活动进度，妥善处理实施中的各类问题，确保各项任务落地，达成项目预期目标。</w:t>
      </w:r>
    </w:p>
    <w:p w14:paraId="7077ABD1">
      <w:pPr>
        <w:pageBreakBefore w:val="0"/>
        <w:widowControl/>
        <w:kinsoku/>
        <w:wordWrap/>
        <w:overflowPunct/>
        <w:topLinePunct w:val="0"/>
        <w:autoSpaceDE/>
        <w:autoSpaceDN/>
        <w:bidi w:val="0"/>
        <w:spacing w:line="560" w:lineRule="exact"/>
        <w:ind w:firstLine="643" w:firstLineChars="200"/>
        <w:jc w:val="left"/>
        <w:rPr>
          <w:rFonts w:hint="eastAsia" w:ascii="仿宋" w:hAnsi="仿宋" w:eastAsia="仿宋" w:cs="仿宋"/>
          <w:sz w:val="32"/>
          <w:szCs w:val="32"/>
        </w:rPr>
      </w:pPr>
      <w:r>
        <w:rPr>
          <w:rFonts w:hint="eastAsia" w:ascii="仿宋" w:hAnsi="仿宋" w:eastAsia="仿宋" w:cs="仿宋"/>
          <w:b/>
          <w:bCs/>
          <w:sz w:val="32"/>
          <w:szCs w:val="32"/>
        </w:rPr>
        <w:t>4.项目结果：</w:t>
      </w:r>
      <w:r>
        <w:rPr>
          <w:rFonts w:hint="eastAsia" w:ascii="仿宋" w:hAnsi="仿宋" w:eastAsia="仿宋" w:cs="仿宋"/>
          <w:kern w:val="0"/>
          <w:sz w:val="32"/>
          <w:szCs w:val="32"/>
          <w:lang w:bidi="ar"/>
        </w:rPr>
        <w:t>顺利完成3场主题演出及快闪视频摄制，达成文化交流、家国情怀培育目标；浙川青少年交流加深，两地文化互鉴成效显著，资金使用合规，项目整体落地见效，为后续常态化交流奠定基础。</w:t>
      </w:r>
    </w:p>
    <w:p w14:paraId="08C5E92B">
      <w:pPr>
        <w:pageBreakBefore w:val="0"/>
        <w:kinsoku/>
        <w:wordWrap/>
        <w:overflowPunct/>
        <w:topLinePunct w:val="0"/>
        <w:autoSpaceDE/>
        <w:autoSpaceDN/>
        <w:bidi w:val="0"/>
        <w:spacing w:line="560" w:lineRule="exact"/>
        <w:ind w:firstLine="643" w:firstLineChars="200"/>
        <w:rPr>
          <w:rFonts w:ascii="Times New Roman" w:hAnsi="Times New Roman" w:eastAsia="楷体_GB2312" w:cs="Times New Roman"/>
          <w:sz w:val="32"/>
          <w:szCs w:val="32"/>
          <w:lang w:val="zh-CN"/>
        </w:rPr>
      </w:pPr>
      <w:r>
        <w:rPr>
          <w:rFonts w:ascii="Times New Roman" w:hAnsi="Times New Roman" w:eastAsia="楷体_GB2312" w:cs="Times New Roman"/>
          <w:b/>
          <w:sz w:val="32"/>
          <w:szCs w:val="32"/>
          <w:lang w:val="zh-CN"/>
        </w:rPr>
        <w:t>（二）</w:t>
      </w:r>
      <w:r>
        <w:rPr>
          <w:rFonts w:ascii="Times New Roman" w:hAnsi="Times New Roman" w:eastAsia="楷体_GB2312" w:cs="Times New Roman"/>
          <w:b/>
          <w:sz w:val="32"/>
          <w:szCs w:val="32"/>
        </w:rPr>
        <w:t>专用指标</w:t>
      </w:r>
      <w:r>
        <w:rPr>
          <w:rFonts w:ascii="Times New Roman" w:hAnsi="Times New Roman" w:eastAsia="楷体_GB2312" w:cs="Times New Roman"/>
          <w:b/>
          <w:bCs/>
          <w:color w:val="000000"/>
          <w:kern w:val="0"/>
          <w:sz w:val="32"/>
          <w:szCs w:val="32"/>
          <w:shd w:val="clear" w:color="auto" w:fill="FFFFFF"/>
          <w:lang w:val="zh-CN"/>
        </w:rPr>
        <w:t>绩效分析</w:t>
      </w:r>
    </w:p>
    <w:p w14:paraId="647A6D11">
      <w:pPr>
        <w:pageBreakBefore w:val="0"/>
        <w:kinsoku/>
        <w:wordWrap/>
        <w:overflowPunct/>
        <w:topLinePunct w:val="0"/>
        <w:autoSpaceDE/>
        <w:autoSpaceDN/>
        <w:bidi w:val="0"/>
        <w:spacing w:line="560" w:lineRule="exact"/>
        <w:ind w:firstLine="643" w:firstLineChars="200"/>
        <w:rPr>
          <w:rFonts w:ascii="Times New Roman" w:hAnsi="Times New Roman" w:eastAsia="楷体_GB2312" w:cs="Times New Roman"/>
          <w:sz w:val="32"/>
          <w:szCs w:val="32"/>
        </w:rPr>
      </w:pPr>
      <w:r>
        <w:rPr>
          <w:rFonts w:hint="eastAsia" w:ascii="仿宋" w:hAnsi="仿宋" w:eastAsia="仿宋" w:cs="仿宋"/>
          <w:b/>
          <w:bCs/>
          <w:sz w:val="32"/>
          <w:szCs w:val="32"/>
        </w:rPr>
        <w:t>1.产业发展类：</w:t>
      </w:r>
      <w:r>
        <w:rPr>
          <w:rFonts w:hint="eastAsia" w:ascii="Times New Roman" w:hAnsi="Times New Roman" w:eastAsia="楷体_GB2312" w:cs="Times New Roman"/>
          <w:sz w:val="32"/>
          <w:szCs w:val="32"/>
        </w:rPr>
        <w:t>无</w:t>
      </w:r>
    </w:p>
    <w:p w14:paraId="679921B9">
      <w:pPr>
        <w:pageBreakBefore w:val="0"/>
        <w:kinsoku/>
        <w:wordWrap/>
        <w:overflowPunct/>
        <w:topLinePunct w:val="0"/>
        <w:autoSpaceDE/>
        <w:autoSpaceDN/>
        <w:bidi w:val="0"/>
        <w:spacing w:before="120" w:after="120" w:line="560" w:lineRule="exact"/>
        <w:ind w:firstLine="643" w:firstLineChars="200"/>
        <w:jc w:val="left"/>
        <w:rPr>
          <w:rFonts w:ascii="仿宋" w:hAnsi="仿宋" w:eastAsia="仿宋" w:cs="Times New Roman"/>
          <w:sz w:val="30"/>
          <w:szCs w:val="30"/>
        </w:rPr>
      </w:pPr>
      <w:r>
        <w:rPr>
          <w:rFonts w:hint="eastAsia" w:ascii="仿宋" w:hAnsi="仿宋" w:eastAsia="仿宋" w:cs="仿宋"/>
          <w:b/>
          <w:bCs/>
          <w:sz w:val="32"/>
          <w:szCs w:val="32"/>
        </w:rPr>
        <w:t>2.</w:t>
      </w:r>
      <w:r>
        <w:rPr>
          <w:rFonts w:hint="eastAsia" w:ascii="仿宋" w:hAnsi="仿宋" w:eastAsia="仿宋" w:cs="仿宋"/>
          <w:b/>
          <w:bCs/>
          <w:sz w:val="32"/>
          <w:szCs w:val="32"/>
          <w:lang w:val="zh-CN"/>
        </w:rPr>
        <w:t>民生保障</w:t>
      </w:r>
      <w:r>
        <w:rPr>
          <w:rFonts w:hint="eastAsia" w:ascii="仿宋" w:hAnsi="仿宋" w:eastAsia="仿宋" w:cs="仿宋"/>
          <w:b/>
          <w:bCs/>
          <w:sz w:val="32"/>
          <w:szCs w:val="32"/>
        </w:rPr>
        <w:t>类：</w:t>
      </w:r>
      <w:r>
        <w:rPr>
          <w:rFonts w:ascii="仿宋" w:hAnsi="仿宋" w:eastAsia="仿宋" w:cs="Arial"/>
          <w:sz w:val="30"/>
          <w:szCs w:val="30"/>
        </w:rPr>
        <w:t>项目属于民生保障类（公共文化服务范畴），聚焦青少年精神文化素养提升、文化交流互鉴，有效填补浙川青少年文化交流短板，丰富青少年精神文化生活，切实发挥民生保障职能，相关成效符合民生保障类项目核心要求。</w:t>
      </w:r>
    </w:p>
    <w:p w14:paraId="4255A085">
      <w:pPr>
        <w:pageBreakBefore w:val="0"/>
        <w:kinsoku/>
        <w:wordWrap/>
        <w:overflowPunct/>
        <w:topLinePunct w:val="0"/>
        <w:autoSpaceDE/>
        <w:autoSpaceDN/>
        <w:bidi w:val="0"/>
        <w:spacing w:line="560" w:lineRule="exact"/>
        <w:ind w:firstLine="643" w:firstLineChars="200"/>
        <w:rPr>
          <w:rFonts w:ascii="Times New Roman" w:hAnsi="Times New Roman" w:eastAsia="楷体_GB2312" w:cs="Times New Roman"/>
          <w:sz w:val="32"/>
          <w:szCs w:val="32"/>
        </w:rPr>
      </w:pPr>
      <w:r>
        <w:rPr>
          <w:rFonts w:hint="eastAsia" w:ascii="仿宋" w:hAnsi="仿宋" w:eastAsia="仿宋" w:cs="仿宋"/>
          <w:b/>
          <w:bCs/>
          <w:sz w:val="32"/>
          <w:szCs w:val="32"/>
        </w:rPr>
        <w:t>3.基础设施类：</w:t>
      </w:r>
      <w:r>
        <w:rPr>
          <w:rFonts w:hint="eastAsia" w:ascii="Times New Roman" w:hAnsi="Times New Roman" w:eastAsia="楷体_GB2312" w:cs="Times New Roman"/>
          <w:sz w:val="32"/>
          <w:szCs w:val="32"/>
        </w:rPr>
        <w:t>无</w:t>
      </w:r>
    </w:p>
    <w:p w14:paraId="45DF61DD">
      <w:pPr>
        <w:pageBreakBefore w:val="0"/>
        <w:kinsoku/>
        <w:wordWrap/>
        <w:overflowPunct/>
        <w:topLinePunct w:val="0"/>
        <w:autoSpaceDE/>
        <w:autoSpaceDN/>
        <w:bidi w:val="0"/>
        <w:spacing w:line="560" w:lineRule="exact"/>
        <w:ind w:firstLine="643" w:firstLineChars="200"/>
        <w:rPr>
          <w:rFonts w:ascii="Times New Roman" w:hAnsi="Times New Roman" w:eastAsia="楷体_GB2312" w:cs="Times New Roman"/>
          <w:sz w:val="32"/>
          <w:szCs w:val="32"/>
        </w:rPr>
      </w:pPr>
      <w:r>
        <w:rPr>
          <w:rFonts w:hint="eastAsia" w:ascii="仿宋" w:hAnsi="仿宋" w:eastAsia="仿宋" w:cs="仿宋"/>
          <w:b/>
          <w:bCs/>
          <w:sz w:val="32"/>
          <w:szCs w:val="32"/>
        </w:rPr>
        <w:t>4.</w:t>
      </w:r>
      <w:r>
        <w:rPr>
          <w:rFonts w:hint="eastAsia" w:ascii="仿宋" w:hAnsi="仿宋" w:eastAsia="仿宋" w:cs="仿宋"/>
          <w:b/>
          <w:bCs/>
          <w:sz w:val="32"/>
          <w:szCs w:val="32"/>
          <w:lang w:val="zh-CN"/>
        </w:rPr>
        <w:t>行政运转</w:t>
      </w:r>
      <w:r>
        <w:rPr>
          <w:rFonts w:hint="eastAsia" w:ascii="仿宋" w:hAnsi="仿宋" w:eastAsia="仿宋" w:cs="仿宋"/>
          <w:b/>
          <w:bCs/>
          <w:sz w:val="32"/>
          <w:szCs w:val="32"/>
        </w:rPr>
        <w:t>类</w:t>
      </w:r>
      <w:r>
        <w:rPr>
          <w:rFonts w:hint="eastAsia" w:ascii="仿宋" w:hAnsi="仿宋" w:eastAsia="仿宋" w:cs="仿宋"/>
          <w:b/>
          <w:bCs/>
          <w:sz w:val="32"/>
          <w:szCs w:val="32"/>
          <w:lang w:val="zh-CN"/>
        </w:rPr>
        <w:t>：</w:t>
      </w:r>
      <w:r>
        <w:rPr>
          <w:rFonts w:hint="eastAsia" w:ascii="Times New Roman" w:hAnsi="Times New Roman" w:eastAsia="楷体_GB2312" w:cs="Times New Roman"/>
          <w:sz w:val="32"/>
          <w:szCs w:val="32"/>
        </w:rPr>
        <w:t>无</w:t>
      </w:r>
    </w:p>
    <w:p w14:paraId="6A72763E">
      <w:pPr>
        <w:pageBreakBefore w:val="0"/>
        <w:kinsoku/>
        <w:wordWrap/>
        <w:overflowPunct/>
        <w:topLinePunct w:val="0"/>
        <w:autoSpaceDE/>
        <w:autoSpaceDN/>
        <w:bidi w:val="0"/>
        <w:spacing w:line="560" w:lineRule="exact"/>
        <w:ind w:firstLine="640" w:firstLineChars="200"/>
        <w:rPr>
          <w:rFonts w:ascii="Times New Roman" w:hAnsi="Times New Roman" w:eastAsia="仿宋_GB2312" w:cs="Times New Roman"/>
          <w:sz w:val="32"/>
          <w:szCs w:val="32"/>
        </w:rPr>
      </w:pPr>
    </w:p>
    <w:p w14:paraId="50D9A153">
      <w:pPr>
        <w:pageBreakBefore w:val="0"/>
        <w:kinsoku/>
        <w:wordWrap/>
        <w:overflowPunct/>
        <w:topLinePunct w:val="0"/>
        <w:autoSpaceDE/>
        <w:autoSpaceDN/>
        <w:bidi w:val="0"/>
        <w:spacing w:line="560" w:lineRule="exact"/>
        <w:ind w:firstLine="640"/>
        <w:rPr>
          <w:rFonts w:ascii="Times New Roman" w:hAnsi="Times New Roman" w:eastAsia="楷体_GB2312" w:cs="Times New Roman"/>
          <w:b/>
          <w:bCs/>
          <w:color w:val="000000"/>
          <w:kern w:val="0"/>
          <w:sz w:val="32"/>
          <w:szCs w:val="32"/>
          <w:shd w:val="clear" w:color="auto" w:fill="FFFFFF"/>
          <w:lang w:val="zh-CN"/>
        </w:rPr>
      </w:pPr>
      <w:r>
        <w:rPr>
          <w:rFonts w:ascii="Times New Roman" w:hAnsi="Times New Roman" w:eastAsia="楷体_GB2312" w:cs="Times New Roman"/>
          <w:b/>
          <w:sz w:val="32"/>
          <w:szCs w:val="32"/>
          <w:lang w:val="zh-CN"/>
        </w:rPr>
        <w:t>（三）</w:t>
      </w:r>
      <w:r>
        <w:rPr>
          <w:rFonts w:ascii="Times New Roman" w:hAnsi="Times New Roman" w:eastAsia="楷体_GB2312" w:cs="Times New Roman"/>
          <w:b/>
          <w:sz w:val="32"/>
          <w:szCs w:val="32"/>
        </w:rPr>
        <w:t>个性指标</w:t>
      </w:r>
      <w:r>
        <w:rPr>
          <w:rFonts w:ascii="Times New Roman" w:hAnsi="Times New Roman" w:eastAsia="楷体_GB2312" w:cs="Times New Roman"/>
          <w:b/>
          <w:bCs/>
          <w:color w:val="000000"/>
          <w:kern w:val="0"/>
          <w:sz w:val="32"/>
          <w:szCs w:val="32"/>
          <w:shd w:val="clear" w:color="auto" w:fill="FFFFFF"/>
          <w:lang w:val="zh-CN"/>
        </w:rPr>
        <w:t>绩效分析</w:t>
      </w:r>
    </w:p>
    <w:p w14:paraId="00A86CB4">
      <w:pPr>
        <w:pageBreakBefore w:val="0"/>
        <w:kinsoku/>
        <w:wordWrap/>
        <w:overflowPunct/>
        <w:topLinePunct w:val="0"/>
        <w:autoSpaceDE/>
        <w:autoSpaceDN/>
        <w:bidi w:val="0"/>
        <w:spacing w:before="120" w:after="120" w:line="560" w:lineRule="exact"/>
        <w:jc w:val="left"/>
        <w:rPr>
          <w:rFonts w:ascii="仿宋" w:hAnsi="仿宋" w:eastAsia="仿宋" w:cs="Times New Roman"/>
          <w:sz w:val="32"/>
          <w:szCs w:val="32"/>
        </w:rPr>
      </w:pPr>
      <w:r>
        <w:rPr>
          <w:rFonts w:hint="eastAsia" w:ascii="仿宋" w:hAnsi="仿宋" w:eastAsia="仿宋" w:cs="Times New Roman"/>
          <w:sz w:val="32"/>
          <w:szCs w:val="32"/>
          <w:lang w:val="zh-CN"/>
        </w:rPr>
        <w:t xml:space="preserve"> </w:t>
      </w:r>
      <w:r>
        <w:rPr>
          <w:rFonts w:ascii="仿宋" w:hAnsi="仿宋" w:eastAsia="仿宋" w:cs="Times New Roman"/>
          <w:sz w:val="32"/>
          <w:szCs w:val="32"/>
          <w:lang w:val="zh-CN"/>
        </w:rPr>
        <w:t xml:space="preserve"> </w:t>
      </w:r>
      <w:r>
        <w:rPr>
          <w:rFonts w:ascii="仿宋" w:hAnsi="仿宋" w:eastAsia="仿宋" w:cs="Times New Roman"/>
          <w:b/>
          <w:bCs/>
          <w:sz w:val="32"/>
          <w:szCs w:val="32"/>
          <w:lang w:val="zh-CN"/>
        </w:rPr>
        <w:t xml:space="preserve"> </w:t>
      </w:r>
      <w:r>
        <w:rPr>
          <w:rFonts w:ascii="仿宋" w:hAnsi="仿宋" w:eastAsia="仿宋" w:cs="Arial"/>
          <w:sz w:val="32"/>
          <w:szCs w:val="32"/>
        </w:rPr>
        <w:t>2025年实际完成音乐交流活动2场，超额完成绩效目标中“2次”的要求；按时完成全年工作目标，如期达成项目实施目的；有效为我州未来音乐文艺事业发展奠定基础，指标达成度≥60%；服务对象满意度较高，达到≥80%的绩效目标；项目预算总价50万元，实际支出49.8万元，成本控制合理，符合绩效目标要求。</w:t>
      </w:r>
    </w:p>
    <w:p w14:paraId="059DC391">
      <w:pPr>
        <w:keepNext/>
        <w:keepLines/>
        <w:pageBreakBefore w:val="0"/>
        <w:widowControl w:val="0"/>
        <w:kinsoku/>
        <w:wordWrap/>
        <w:overflowPunct/>
        <w:topLinePunct w:val="0"/>
        <w:autoSpaceDE/>
        <w:autoSpaceDN/>
        <w:bidi w:val="0"/>
        <w:spacing w:before="280" w:after="156" w:line="560" w:lineRule="exact"/>
        <w:outlineLvl w:val="4"/>
        <w:rPr>
          <w:rFonts w:hint="eastAsia" w:ascii="仿宋" w:hAnsi="仿宋" w:eastAsia="仿宋" w:cs="Times New Roman"/>
          <w:b w:val="0"/>
          <w:bCs/>
          <w:kern w:val="2"/>
          <w:sz w:val="32"/>
          <w:szCs w:val="32"/>
          <w:lang w:val="en-US" w:eastAsia="zh-CN" w:bidi="ar-SA"/>
        </w:rPr>
      </w:pPr>
    </w:p>
    <w:p w14:paraId="4B49C87A">
      <w:pPr>
        <w:pageBreakBefore w:val="0"/>
        <w:widowControl/>
        <w:kinsoku/>
        <w:wordWrap/>
        <w:overflowPunct/>
        <w:topLinePunct w:val="0"/>
        <w:autoSpaceDE/>
        <w:autoSpaceDN/>
        <w:bidi w:val="0"/>
        <w:spacing w:line="560" w:lineRule="exact"/>
        <w:ind w:firstLine="640" w:firstLineChars="200"/>
        <w:jc w:val="left"/>
        <w:rPr>
          <w:rFonts w:ascii="Times New Roman" w:hAnsi="Times New Roman" w:eastAsia="黑体" w:cs="Times New Roman"/>
          <w:kern w:val="0"/>
          <w:position w:val="3"/>
          <w:sz w:val="32"/>
          <w:szCs w:val="32"/>
          <w:lang w:val="en-US" w:eastAsia="zh-CN" w:bidi="ar-SA"/>
        </w:rPr>
      </w:pPr>
      <w:r>
        <w:rPr>
          <w:rFonts w:ascii="Times New Roman" w:hAnsi="Times New Roman" w:eastAsia="黑体" w:cs="Times New Roman"/>
          <w:kern w:val="0"/>
          <w:position w:val="3"/>
          <w:sz w:val="32"/>
          <w:szCs w:val="32"/>
          <w:lang w:val="en-US" w:eastAsia="zh-CN" w:bidi="ar-SA"/>
        </w:rPr>
        <w:t>四、评价结论</w:t>
      </w:r>
    </w:p>
    <w:p w14:paraId="77348C3B">
      <w:pPr>
        <w:pageBreakBefore w:val="0"/>
        <w:widowControl/>
        <w:kinsoku/>
        <w:wordWrap/>
        <w:overflowPunct/>
        <w:topLinePunct w:val="0"/>
        <w:autoSpaceDE/>
        <w:autoSpaceDN/>
        <w:bidi w:val="0"/>
        <w:spacing w:line="560" w:lineRule="exact"/>
        <w:ind w:firstLine="1600" w:firstLineChars="500"/>
        <w:jc w:val="left"/>
        <w:rPr>
          <w:rFonts w:ascii="仿宋" w:hAnsi="仿宋" w:eastAsia="仿宋" w:cs="Times New Roman"/>
          <w:kern w:val="2"/>
          <w:position w:val="0"/>
          <w:sz w:val="32"/>
          <w:szCs w:val="32"/>
          <w:lang w:val="en-US" w:eastAsia="zh-CN" w:bidi="ar-SA"/>
        </w:rPr>
      </w:pPr>
      <w:r>
        <w:rPr>
          <w:rFonts w:hint="eastAsia" w:ascii="仿宋" w:hAnsi="仿宋" w:eastAsia="仿宋" w:cs="Times New Roman"/>
          <w:kern w:val="2"/>
          <w:position w:val="0"/>
          <w:sz w:val="32"/>
          <w:szCs w:val="32"/>
          <w:lang w:val="en-US" w:eastAsia="zh-CN" w:bidi="ar-SA"/>
        </w:rPr>
        <w:t>无</w:t>
      </w:r>
    </w:p>
    <w:p w14:paraId="32F602D5">
      <w:pPr>
        <w:pageBreakBefore w:val="0"/>
        <w:widowControl/>
        <w:kinsoku/>
        <w:wordWrap/>
        <w:overflowPunct/>
        <w:topLinePunct w:val="0"/>
        <w:autoSpaceDE/>
        <w:autoSpaceDN/>
        <w:bidi w:val="0"/>
        <w:spacing w:line="560" w:lineRule="exact"/>
        <w:ind w:firstLine="640" w:firstLineChars="200"/>
        <w:jc w:val="left"/>
        <w:rPr>
          <w:rFonts w:ascii="Times New Roman" w:hAnsi="Times New Roman" w:eastAsia="黑体" w:cs="Times New Roman"/>
          <w:kern w:val="0"/>
          <w:position w:val="3"/>
          <w:sz w:val="32"/>
          <w:szCs w:val="32"/>
          <w:lang w:val="en-US" w:eastAsia="zh-CN" w:bidi="ar-SA"/>
        </w:rPr>
      </w:pPr>
      <w:r>
        <w:rPr>
          <w:rFonts w:ascii="Times New Roman" w:hAnsi="Times New Roman" w:eastAsia="黑体" w:cs="Times New Roman"/>
          <w:kern w:val="0"/>
          <w:position w:val="3"/>
          <w:sz w:val="32"/>
          <w:szCs w:val="32"/>
          <w:lang w:val="en-US" w:eastAsia="zh-CN" w:bidi="ar-SA"/>
        </w:rPr>
        <w:t>五、存在主要问题</w:t>
      </w:r>
    </w:p>
    <w:p w14:paraId="4875B2AB">
      <w:pPr>
        <w:pageBreakBefore w:val="0"/>
        <w:widowControl/>
        <w:kinsoku/>
        <w:wordWrap/>
        <w:overflowPunct/>
        <w:topLinePunct w:val="0"/>
        <w:autoSpaceDE/>
        <w:autoSpaceDN/>
        <w:bidi w:val="0"/>
        <w:spacing w:line="560" w:lineRule="exact"/>
        <w:ind w:firstLine="1600" w:firstLineChars="500"/>
        <w:jc w:val="left"/>
        <w:rPr>
          <w:rFonts w:ascii="仿宋" w:hAnsi="仿宋" w:eastAsia="仿宋" w:cs="Times New Roman"/>
          <w:kern w:val="2"/>
          <w:position w:val="0"/>
          <w:sz w:val="32"/>
          <w:szCs w:val="32"/>
          <w:lang w:val="en-US" w:eastAsia="zh-CN" w:bidi="ar-SA"/>
        </w:rPr>
      </w:pPr>
      <w:r>
        <w:rPr>
          <w:rFonts w:hint="eastAsia" w:ascii="仿宋" w:hAnsi="仿宋" w:eastAsia="仿宋" w:cs="Times New Roman"/>
          <w:kern w:val="2"/>
          <w:position w:val="0"/>
          <w:sz w:val="32"/>
          <w:szCs w:val="32"/>
          <w:lang w:val="en-US" w:eastAsia="zh-CN" w:bidi="ar-SA"/>
        </w:rPr>
        <w:t>无</w:t>
      </w:r>
    </w:p>
    <w:p w14:paraId="223AE8DF">
      <w:pPr>
        <w:pageBreakBefore w:val="0"/>
        <w:widowControl/>
        <w:kinsoku/>
        <w:wordWrap/>
        <w:overflowPunct/>
        <w:topLinePunct w:val="0"/>
        <w:autoSpaceDE/>
        <w:autoSpaceDN/>
        <w:bidi w:val="0"/>
        <w:spacing w:line="560" w:lineRule="exact"/>
        <w:ind w:firstLine="640" w:firstLineChars="200"/>
        <w:jc w:val="left"/>
        <w:rPr>
          <w:rFonts w:ascii="Times New Roman" w:hAnsi="Times New Roman" w:eastAsia="黑体" w:cs="Times New Roman"/>
          <w:kern w:val="0"/>
          <w:position w:val="3"/>
          <w:sz w:val="32"/>
          <w:szCs w:val="32"/>
          <w:lang w:val="zh-CN" w:eastAsia="zh-CN" w:bidi="ar-SA"/>
        </w:rPr>
      </w:pPr>
      <w:r>
        <w:rPr>
          <w:rFonts w:ascii="Times New Roman" w:hAnsi="Times New Roman" w:eastAsia="黑体" w:cs="Times New Roman"/>
          <w:kern w:val="0"/>
          <w:position w:val="3"/>
          <w:sz w:val="32"/>
          <w:szCs w:val="32"/>
          <w:lang w:val="zh-CN" w:eastAsia="zh-CN" w:bidi="ar-SA"/>
        </w:rPr>
        <w:t>六、改进建议</w:t>
      </w:r>
    </w:p>
    <w:p w14:paraId="03AD7057">
      <w:pPr>
        <w:pageBreakBefore w:val="0"/>
        <w:kinsoku/>
        <w:wordWrap/>
        <w:overflowPunct/>
        <w:topLinePunct w:val="0"/>
        <w:autoSpaceDE/>
        <w:autoSpaceDN/>
        <w:bidi w:val="0"/>
        <w:snapToGrid w:val="0"/>
        <w:spacing w:line="560" w:lineRule="exact"/>
        <w:ind w:firstLine="640" w:firstLineChars="200"/>
        <w:rPr>
          <w:rFonts w:hint="eastAsia" w:ascii="Times New Roman" w:hAnsi="Times New Roman" w:eastAsia="仿宋_GB2312" w:cs="Times New Roman"/>
          <w:color w:val="000000"/>
          <w:kern w:val="0"/>
          <w:sz w:val="32"/>
          <w:szCs w:val="32"/>
          <w:shd w:val="clear" w:color="auto" w:fill="FFFFFF"/>
          <w:lang w:val="zh-CN"/>
        </w:rPr>
      </w:pPr>
      <w:r>
        <w:rPr>
          <w:rFonts w:hint="eastAsia" w:ascii="Times New Roman" w:hAnsi="Times New Roman" w:eastAsia="仿宋_GB2312" w:cs="Times New Roman"/>
          <w:color w:val="000000"/>
          <w:kern w:val="0"/>
          <w:sz w:val="32"/>
          <w:szCs w:val="32"/>
          <w:shd w:val="clear" w:color="auto" w:fill="FFFFFF"/>
          <w:lang w:val="zh-CN"/>
        </w:rPr>
        <w:t xml:space="preserve"> </w:t>
      </w:r>
      <w:r>
        <w:rPr>
          <w:rFonts w:ascii="Times New Roman" w:hAnsi="Times New Roman" w:eastAsia="仿宋_GB2312" w:cs="Times New Roman"/>
          <w:color w:val="000000"/>
          <w:kern w:val="0"/>
          <w:sz w:val="32"/>
          <w:szCs w:val="32"/>
          <w:shd w:val="clear" w:color="auto" w:fill="FFFFFF"/>
          <w:lang w:val="zh-CN"/>
        </w:rPr>
        <w:t xml:space="preserve">     </w:t>
      </w:r>
      <w:r>
        <w:rPr>
          <w:rFonts w:hint="eastAsia" w:ascii="Times New Roman" w:hAnsi="Times New Roman" w:eastAsia="仿宋_GB2312" w:cs="Times New Roman"/>
          <w:color w:val="000000"/>
          <w:kern w:val="0"/>
          <w:sz w:val="32"/>
          <w:szCs w:val="32"/>
          <w:shd w:val="clear" w:color="auto" w:fill="FFFFFF"/>
          <w:lang w:val="zh-CN"/>
        </w:rPr>
        <w:t>无</w:t>
      </w:r>
    </w:p>
    <w:p w14:paraId="40B3513D">
      <w:pPr>
        <w:snapToGrid w:val="0"/>
        <w:spacing w:line="578" w:lineRule="exact"/>
        <w:rPr>
          <w:rFonts w:eastAsia="黑体"/>
          <w:kern w:val="0"/>
          <w:shd w:val="clear" w:color="auto" w:fill="FFFFFF"/>
          <w:lang w:val="zh-CN"/>
        </w:rPr>
      </w:pPr>
    </w:p>
    <w:tbl>
      <w:tblPr>
        <w:tblStyle w:val="19"/>
        <w:tblW w:w="936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36"/>
        <w:gridCol w:w="822"/>
        <w:gridCol w:w="709"/>
        <w:gridCol w:w="1092"/>
        <w:gridCol w:w="824"/>
        <w:gridCol w:w="658"/>
        <w:gridCol w:w="827"/>
        <w:gridCol w:w="834"/>
        <w:gridCol w:w="827"/>
        <w:gridCol w:w="1155"/>
        <w:gridCol w:w="1076"/>
      </w:tblGrid>
      <w:tr w14:paraId="0C42DC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3" w:hRule="atLeast"/>
        </w:trPr>
        <w:tc>
          <w:tcPr>
            <w:tcW w:w="9360" w:type="dxa"/>
            <w:gridSpan w:val="11"/>
            <w:tcBorders>
              <w:top w:val="single" w:color="000000" w:sz="4" w:space="0"/>
              <w:left w:val="single" w:color="000000" w:sz="4" w:space="0"/>
              <w:bottom w:val="single" w:color="000000" w:sz="4" w:space="0"/>
              <w:right w:val="single" w:color="000000" w:sz="4" w:space="0"/>
            </w:tcBorders>
            <w:shd w:val="clear" w:color="auto" w:fill="FFFFFF"/>
            <w:vAlign w:val="center"/>
          </w:tcPr>
          <w:p w14:paraId="5DF05A68">
            <w:pPr>
              <w:keepNext w:val="0"/>
              <w:keepLines w:val="0"/>
              <w:widowControl/>
              <w:suppressLineNumbers w:val="0"/>
              <w:jc w:val="center"/>
              <w:textAlignment w:val="center"/>
              <w:rPr>
                <w:rFonts w:ascii="黑体" w:hAnsi="宋体" w:eastAsia="黑体" w:cs="黑体"/>
                <w:b/>
                <w:bCs/>
                <w:i w:val="0"/>
                <w:iCs w:val="0"/>
                <w:color w:val="000000"/>
                <w:sz w:val="32"/>
                <w:szCs w:val="32"/>
                <w:u w:val="none"/>
              </w:rPr>
            </w:pPr>
            <w:r>
              <w:rPr>
                <w:rFonts w:hint="eastAsia" w:ascii="黑体" w:hAnsi="宋体" w:eastAsia="黑体" w:cs="黑体"/>
                <w:b/>
                <w:bCs/>
                <w:i w:val="0"/>
                <w:iCs w:val="0"/>
                <w:color w:val="000000"/>
                <w:kern w:val="0"/>
                <w:sz w:val="32"/>
                <w:szCs w:val="32"/>
                <w:u w:val="none"/>
                <w:lang w:val="en-US" w:eastAsia="zh-CN" w:bidi="ar"/>
              </w:rPr>
              <w:t>部门预算项目支出绩效自评表（2025年度）</w:t>
            </w:r>
          </w:p>
        </w:tc>
      </w:tr>
      <w:tr w14:paraId="20C35B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96" w:hRule="atLeast"/>
        </w:trPr>
        <w:tc>
          <w:tcPr>
            <w:tcW w:w="133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DAB35EA">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项目名称</w:t>
            </w:r>
          </w:p>
        </w:tc>
        <w:tc>
          <w:tcPr>
            <w:tcW w:w="8030"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359A180A">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w:t>
            </w:r>
            <w:r>
              <w:rPr>
                <w:rFonts w:hint="eastAsia" w:ascii="宋体" w:hAnsi="宋体" w:eastAsia="宋体" w:cs="宋体"/>
                <w:i w:val="0"/>
                <w:iCs w:val="0"/>
                <w:color w:val="000000"/>
                <w:kern w:val="0"/>
                <w:sz w:val="16"/>
                <w:szCs w:val="16"/>
                <w:u w:val="none"/>
                <w:lang w:val="en-US" w:eastAsia="zh-CN" w:bidi="ar"/>
              </w:rPr>
              <w:t>1320025T000013851110-2025年浙江援建资金“青春恰似火，我和我的祖国”浙川青少年文化交流活动经费</w:t>
            </w:r>
          </w:p>
        </w:tc>
      </w:tr>
      <w:tr w14:paraId="4AFD76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3" w:hRule="atLeast"/>
        </w:trPr>
        <w:tc>
          <w:tcPr>
            <w:tcW w:w="133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0E94D4D">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主管部门</w:t>
            </w:r>
          </w:p>
        </w:tc>
        <w:tc>
          <w:tcPr>
            <w:tcW w:w="4124"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23F3D80C">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州文广旅局部门</w:t>
            </w:r>
          </w:p>
        </w:tc>
        <w:tc>
          <w:tcPr>
            <w:tcW w:w="835" w:type="dxa"/>
            <w:tcBorders>
              <w:top w:val="nil"/>
              <w:left w:val="nil"/>
              <w:bottom w:val="nil"/>
              <w:right w:val="nil"/>
            </w:tcBorders>
            <w:shd w:val="clear" w:color="auto" w:fill="FFFFFF"/>
            <w:vAlign w:val="center"/>
          </w:tcPr>
          <w:p w14:paraId="3CDA38A3">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实施单位 （盖章）</w:t>
            </w:r>
          </w:p>
        </w:tc>
        <w:tc>
          <w:tcPr>
            <w:tcW w:w="307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A15B48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州民族歌舞团</w:t>
            </w:r>
          </w:p>
        </w:tc>
      </w:tr>
      <w:tr w14:paraId="1F7DC3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1" w:hRule="atLeast"/>
        </w:trPr>
        <w:tc>
          <w:tcPr>
            <w:tcW w:w="50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05CCB8B">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项目基本情况</w:t>
            </w:r>
          </w:p>
        </w:tc>
        <w:tc>
          <w:tcPr>
            <w:tcW w:w="82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45496EC">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1.项目年度目标完成情况</w:t>
            </w:r>
          </w:p>
        </w:tc>
        <w:tc>
          <w:tcPr>
            <w:tcW w:w="4124"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5DB9617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项目年度目标</w:t>
            </w:r>
          </w:p>
        </w:tc>
        <w:tc>
          <w:tcPr>
            <w:tcW w:w="3906"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72AA96B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年度目标完成情况</w:t>
            </w:r>
          </w:p>
        </w:tc>
      </w:tr>
      <w:tr w14:paraId="766CED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30" w:hRule="atLeast"/>
        </w:trPr>
        <w:tc>
          <w:tcPr>
            <w:tcW w:w="50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10D503A">
            <w:pPr>
              <w:rPr>
                <w:rFonts w:hint="eastAsia" w:ascii="宋体" w:hAnsi="宋体" w:eastAsia="宋体" w:cs="宋体"/>
                <w:i w:val="0"/>
                <w:iCs w:val="0"/>
                <w:color w:val="000000"/>
                <w:sz w:val="16"/>
                <w:szCs w:val="16"/>
                <w:u w:val="none"/>
              </w:rPr>
            </w:pPr>
          </w:p>
        </w:tc>
        <w:tc>
          <w:tcPr>
            <w:tcW w:w="82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3F25447">
            <w:pPr>
              <w:rPr>
                <w:rFonts w:hint="eastAsia" w:ascii="宋体" w:hAnsi="宋体" w:eastAsia="宋体" w:cs="宋体"/>
                <w:i w:val="0"/>
                <w:iCs w:val="0"/>
                <w:color w:val="000000"/>
                <w:sz w:val="16"/>
                <w:szCs w:val="16"/>
                <w:u w:val="none"/>
              </w:rPr>
            </w:pPr>
          </w:p>
        </w:tc>
        <w:tc>
          <w:tcPr>
            <w:tcW w:w="4124"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00EA8432">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阿坝州与四川爱乐乐团等知名乐团开展交流合作，与阿坝州各族学生开展音乐交流，两地策划录制发布浙阿两地快闪视频等，展示多民族文化的和谐共生。</w:t>
            </w:r>
          </w:p>
        </w:tc>
        <w:tc>
          <w:tcPr>
            <w:tcW w:w="3906"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2A2DA32B">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已完成阿坝州与四川爱乐乐团等知名乐团开展交流合作，与阿坝州各族学生开展音乐交流，两地策划录制发布浙阿两地快闪视频等，展示多民族文化的和谐共生。</w:t>
            </w:r>
          </w:p>
        </w:tc>
      </w:tr>
      <w:tr w14:paraId="13FF7A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32" w:hRule="atLeast"/>
        </w:trPr>
        <w:tc>
          <w:tcPr>
            <w:tcW w:w="50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573D841">
            <w:pPr>
              <w:rPr>
                <w:rFonts w:hint="eastAsia" w:ascii="宋体" w:hAnsi="宋体" w:eastAsia="宋体" w:cs="宋体"/>
                <w:i w:val="0"/>
                <w:iCs w:val="0"/>
                <w:color w:val="000000"/>
                <w:sz w:val="16"/>
                <w:szCs w:val="16"/>
                <w:u w:val="none"/>
              </w:rPr>
            </w:pPr>
          </w:p>
        </w:tc>
        <w:tc>
          <w:tcPr>
            <w:tcW w:w="8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9BB190">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2.项目实施内容及过程概述</w:t>
            </w:r>
          </w:p>
        </w:tc>
        <w:tc>
          <w:tcPr>
            <w:tcW w:w="8030"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4DF9AADC">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深化爱国主义教育，筑牢中华民族共同意体意识，阿坝州歌舞团联合四川爱乐乐团举办“青春恰似火，我和我的祖国”主题文化交流活动，活动以交响演奏，民族文艺融合，由四川爱乐乐团专业演奏团队与阿坝州民族歌舞团联合演出，赴马尔康市，小金县，映秀镇举办3场演出，每次演出派出不少于4人的专业演出，完成不少于5个节目表演，演出时场不低于20分钟，摄制《我和我的祖国》快闪视频。</w:t>
            </w:r>
          </w:p>
        </w:tc>
      </w:tr>
      <w:tr w14:paraId="413187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3" w:hRule="atLeast"/>
        </w:trPr>
        <w:tc>
          <w:tcPr>
            <w:tcW w:w="50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1FC063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预算执行情况（10分）</w:t>
            </w:r>
          </w:p>
        </w:tc>
        <w:tc>
          <w:tcPr>
            <w:tcW w:w="8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8296D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年度预算数（万元）</w:t>
            </w:r>
          </w:p>
        </w:tc>
        <w:tc>
          <w:tcPr>
            <w:tcW w:w="7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B89A3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年初预算</w:t>
            </w:r>
          </w:p>
        </w:tc>
        <w:tc>
          <w:tcPr>
            <w:tcW w:w="10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DF415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调整后预算数</w:t>
            </w:r>
          </w:p>
        </w:tc>
        <w:tc>
          <w:tcPr>
            <w:tcW w:w="2318"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470F03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预算执行数</w:t>
            </w:r>
          </w:p>
        </w:tc>
        <w:tc>
          <w:tcPr>
            <w:tcW w:w="8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0E38A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预算执行率</w:t>
            </w:r>
          </w:p>
        </w:tc>
        <w:tc>
          <w:tcPr>
            <w:tcW w:w="8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396F5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权重</w:t>
            </w:r>
          </w:p>
        </w:tc>
        <w:tc>
          <w:tcPr>
            <w:tcW w:w="11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5AB13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得分</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7636D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原因</w:t>
            </w:r>
          </w:p>
        </w:tc>
      </w:tr>
      <w:tr w14:paraId="20F62D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50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B51385A">
            <w:pPr>
              <w:jc w:val="center"/>
              <w:rPr>
                <w:rFonts w:hint="eastAsia" w:ascii="宋体" w:hAnsi="宋体" w:eastAsia="宋体" w:cs="宋体"/>
                <w:i w:val="0"/>
                <w:iCs w:val="0"/>
                <w:color w:val="000000"/>
                <w:sz w:val="16"/>
                <w:szCs w:val="16"/>
                <w:u w:val="none"/>
              </w:rPr>
            </w:pPr>
          </w:p>
        </w:tc>
        <w:tc>
          <w:tcPr>
            <w:tcW w:w="8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BB192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总额</w:t>
            </w:r>
          </w:p>
        </w:tc>
        <w:tc>
          <w:tcPr>
            <w:tcW w:w="7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7A0C1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0.00</w:t>
            </w:r>
          </w:p>
        </w:tc>
        <w:tc>
          <w:tcPr>
            <w:tcW w:w="10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FC007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50.00</w:t>
            </w:r>
          </w:p>
        </w:tc>
        <w:tc>
          <w:tcPr>
            <w:tcW w:w="2318"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F01E30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49.80</w:t>
            </w:r>
          </w:p>
        </w:tc>
        <w:tc>
          <w:tcPr>
            <w:tcW w:w="8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177E0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99.60%</w:t>
            </w:r>
          </w:p>
        </w:tc>
        <w:tc>
          <w:tcPr>
            <w:tcW w:w="8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75ED9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10</w:t>
            </w:r>
          </w:p>
        </w:tc>
        <w:tc>
          <w:tcPr>
            <w:tcW w:w="11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C0D6E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9</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B940EE2">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严格控制项目支出成本，实际支出低于预算数，有效节约财政资金，结余0.2万元。</w:t>
            </w:r>
          </w:p>
        </w:tc>
      </w:tr>
      <w:tr w14:paraId="1C7A53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3" w:hRule="atLeast"/>
        </w:trPr>
        <w:tc>
          <w:tcPr>
            <w:tcW w:w="50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8BC4AE0">
            <w:pPr>
              <w:jc w:val="center"/>
              <w:rPr>
                <w:rFonts w:hint="eastAsia" w:ascii="宋体" w:hAnsi="宋体" w:eastAsia="宋体" w:cs="宋体"/>
                <w:i w:val="0"/>
                <w:iCs w:val="0"/>
                <w:color w:val="000000"/>
                <w:sz w:val="16"/>
                <w:szCs w:val="16"/>
                <w:u w:val="none"/>
              </w:rPr>
            </w:pPr>
          </w:p>
        </w:tc>
        <w:tc>
          <w:tcPr>
            <w:tcW w:w="8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F38EA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其中：财政资金</w:t>
            </w:r>
          </w:p>
        </w:tc>
        <w:tc>
          <w:tcPr>
            <w:tcW w:w="7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C37F6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0.00</w:t>
            </w:r>
          </w:p>
        </w:tc>
        <w:tc>
          <w:tcPr>
            <w:tcW w:w="10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280B5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50.00</w:t>
            </w:r>
          </w:p>
        </w:tc>
        <w:tc>
          <w:tcPr>
            <w:tcW w:w="2318"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9A72C5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49.80</w:t>
            </w:r>
          </w:p>
        </w:tc>
        <w:tc>
          <w:tcPr>
            <w:tcW w:w="8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9062F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99.60%</w:t>
            </w:r>
          </w:p>
        </w:tc>
        <w:tc>
          <w:tcPr>
            <w:tcW w:w="8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825A7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w:t>
            </w:r>
          </w:p>
        </w:tc>
        <w:tc>
          <w:tcPr>
            <w:tcW w:w="11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0F533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C80B055">
            <w:pPr>
              <w:rPr>
                <w:rFonts w:hint="eastAsia" w:ascii="宋体" w:hAnsi="宋体" w:eastAsia="宋体" w:cs="宋体"/>
                <w:i w:val="0"/>
                <w:iCs w:val="0"/>
                <w:color w:val="000000"/>
                <w:sz w:val="16"/>
                <w:szCs w:val="16"/>
                <w:u w:val="none"/>
              </w:rPr>
            </w:pPr>
          </w:p>
        </w:tc>
      </w:tr>
      <w:tr w14:paraId="23CBE3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3" w:hRule="atLeast"/>
        </w:trPr>
        <w:tc>
          <w:tcPr>
            <w:tcW w:w="50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D0BE434">
            <w:pPr>
              <w:jc w:val="center"/>
              <w:rPr>
                <w:rFonts w:hint="eastAsia" w:ascii="宋体" w:hAnsi="宋体" w:eastAsia="宋体" w:cs="宋体"/>
                <w:i w:val="0"/>
                <w:iCs w:val="0"/>
                <w:color w:val="000000"/>
                <w:sz w:val="16"/>
                <w:szCs w:val="16"/>
                <w:u w:val="none"/>
              </w:rPr>
            </w:pPr>
          </w:p>
        </w:tc>
        <w:tc>
          <w:tcPr>
            <w:tcW w:w="8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68CE1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财政专户管理资金</w:t>
            </w:r>
          </w:p>
        </w:tc>
        <w:tc>
          <w:tcPr>
            <w:tcW w:w="7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99EA5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0.00</w:t>
            </w:r>
          </w:p>
        </w:tc>
        <w:tc>
          <w:tcPr>
            <w:tcW w:w="10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38E4B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0.00</w:t>
            </w:r>
          </w:p>
        </w:tc>
        <w:tc>
          <w:tcPr>
            <w:tcW w:w="2318"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E6F6E3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0.00</w:t>
            </w:r>
          </w:p>
        </w:tc>
        <w:tc>
          <w:tcPr>
            <w:tcW w:w="8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26224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0.00%</w:t>
            </w:r>
          </w:p>
        </w:tc>
        <w:tc>
          <w:tcPr>
            <w:tcW w:w="8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60CD0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w:t>
            </w:r>
          </w:p>
        </w:tc>
        <w:tc>
          <w:tcPr>
            <w:tcW w:w="11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76265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15B8C26">
            <w:pPr>
              <w:rPr>
                <w:rFonts w:hint="eastAsia" w:ascii="宋体" w:hAnsi="宋体" w:eastAsia="宋体" w:cs="宋体"/>
                <w:i w:val="0"/>
                <w:iCs w:val="0"/>
                <w:color w:val="000000"/>
                <w:sz w:val="16"/>
                <w:szCs w:val="16"/>
                <w:u w:val="none"/>
              </w:rPr>
            </w:pPr>
          </w:p>
        </w:tc>
      </w:tr>
      <w:tr w14:paraId="2D17DC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4" w:hRule="atLeast"/>
        </w:trPr>
        <w:tc>
          <w:tcPr>
            <w:tcW w:w="50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8B076A8">
            <w:pPr>
              <w:jc w:val="center"/>
              <w:rPr>
                <w:rFonts w:hint="eastAsia" w:ascii="宋体" w:hAnsi="宋体" w:eastAsia="宋体" w:cs="宋体"/>
                <w:i w:val="0"/>
                <w:iCs w:val="0"/>
                <w:color w:val="000000"/>
                <w:sz w:val="16"/>
                <w:szCs w:val="16"/>
                <w:u w:val="none"/>
              </w:rPr>
            </w:pPr>
          </w:p>
        </w:tc>
        <w:tc>
          <w:tcPr>
            <w:tcW w:w="8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5CE51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单位资金</w:t>
            </w:r>
          </w:p>
        </w:tc>
        <w:tc>
          <w:tcPr>
            <w:tcW w:w="7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DE02D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0.00</w:t>
            </w:r>
          </w:p>
        </w:tc>
        <w:tc>
          <w:tcPr>
            <w:tcW w:w="10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9E57D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0.00</w:t>
            </w:r>
          </w:p>
        </w:tc>
        <w:tc>
          <w:tcPr>
            <w:tcW w:w="2318"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979ADA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0.00</w:t>
            </w:r>
          </w:p>
        </w:tc>
        <w:tc>
          <w:tcPr>
            <w:tcW w:w="8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16278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0.00%</w:t>
            </w:r>
          </w:p>
        </w:tc>
        <w:tc>
          <w:tcPr>
            <w:tcW w:w="8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74F45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w:t>
            </w:r>
          </w:p>
        </w:tc>
        <w:tc>
          <w:tcPr>
            <w:tcW w:w="11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E5D8D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2D7F65E">
            <w:pPr>
              <w:rPr>
                <w:rFonts w:hint="eastAsia" w:ascii="宋体" w:hAnsi="宋体" w:eastAsia="宋体" w:cs="宋体"/>
                <w:i w:val="0"/>
                <w:iCs w:val="0"/>
                <w:color w:val="000000"/>
                <w:sz w:val="16"/>
                <w:szCs w:val="16"/>
                <w:u w:val="none"/>
              </w:rPr>
            </w:pPr>
          </w:p>
        </w:tc>
      </w:tr>
      <w:tr w14:paraId="2E3AB6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3" w:hRule="atLeast"/>
        </w:trPr>
        <w:tc>
          <w:tcPr>
            <w:tcW w:w="50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6A9D246">
            <w:pPr>
              <w:jc w:val="center"/>
              <w:rPr>
                <w:rFonts w:hint="eastAsia" w:ascii="宋体" w:hAnsi="宋体" w:eastAsia="宋体" w:cs="宋体"/>
                <w:i w:val="0"/>
                <w:iCs w:val="0"/>
                <w:color w:val="000000"/>
                <w:sz w:val="16"/>
                <w:szCs w:val="16"/>
                <w:u w:val="none"/>
              </w:rPr>
            </w:pPr>
          </w:p>
        </w:tc>
        <w:tc>
          <w:tcPr>
            <w:tcW w:w="8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3C0DC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其他资金</w:t>
            </w:r>
          </w:p>
        </w:tc>
        <w:tc>
          <w:tcPr>
            <w:tcW w:w="7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7E0988">
            <w:pPr>
              <w:jc w:val="center"/>
              <w:rPr>
                <w:rFonts w:hint="eastAsia" w:ascii="宋体" w:hAnsi="宋体" w:eastAsia="宋体" w:cs="宋体"/>
                <w:i/>
                <w:iCs/>
                <w:color w:val="000000"/>
                <w:sz w:val="16"/>
                <w:szCs w:val="16"/>
                <w:u w:val="none"/>
              </w:rPr>
            </w:pPr>
          </w:p>
        </w:tc>
        <w:tc>
          <w:tcPr>
            <w:tcW w:w="10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B942F8">
            <w:pPr>
              <w:jc w:val="center"/>
              <w:rPr>
                <w:rFonts w:hint="eastAsia" w:ascii="宋体" w:hAnsi="宋体" w:eastAsia="宋体" w:cs="宋体"/>
                <w:i/>
                <w:iCs/>
                <w:color w:val="000000"/>
                <w:sz w:val="16"/>
                <w:szCs w:val="16"/>
                <w:u w:val="none"/>
              </w:rPr>
            </w:pPr>
          </w:p>
        </w:tc>
        <w:tc>
          <w:tcPr>
            <w:tcW w:w="2318"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4D550F8">
            <w:pPr>
              <w:jc w:val="center"/>
              <w:rPr>
                <w:rFonts w:hint="eastAsia" w:ascii="宋体" w:hAnsi="宋体" w:eastAsia="宋体" w:cs="宋体"/>
                <w:i/>
                <w:iCs/>
                <w:color w:val="000000"/>
                <w:sz w:val="16"/>
                <w:szCs w:val="16"/>
                <w:u w:val="none"/>
              </w:rPr>
            </w:pPr>
          </w:p>
        </w:tc>
        <w:tc>
          <w:tcPr>
            <w:tcW w:w="8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9FFD91">
            <w:pPr>
              <w:jc w:val="center"/>
              <w:rPr>
                <w:rFonts w:hint="eastAsia" w:ascii="宋体" w:hAnsi="宋体" w:eastAsia="宋体" w:cs="宋体"/>
                <w:i/>
                <w:iCs/>
                <w:color w:val="000000"/>
                <w:sz w:val="16"/>
                <w:szCs w:val="16"/>
                <w:u w:val="none"/>
              </w:rPr>
            </w:pPr>
          </w:p>
        </w:tc>
        <w:tc>
          <w:tcPr>
            <w:tcW w:w="8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842C3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w:t>
            </w:r>
          </w:p>
        </w:tc>
        <w:tc>
          <w:tcPr>
            <w:tcW w:w="11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A521E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B70AE39">
            <w:pPr>
              <w:rPr>
                <w:rFonts w:hint="eastAsia" w:ascii="宋体" w:hAnsi="宋体" w:eastAsia="宋体" w:cs="宋体"/>
                <w:i w:val="0"/>
                <w:iCs w:val="0"/>
                <w:color w:val="000000"/>
                <w:sz w:val="16"/>
                <w:szCs w:val="16"/>
                <w:u w:val="none"/>
              </w:rPr>
            </w:pPr>
          </w:p>
        </w:tc>
      </w:tr>
      <w:tr w14:paraId="7E2CBC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7" w:hRule="atLeast"/>
        </w:trPr>
        <w:tc>
          <w:tcPr>
            <w:tcW w:w="50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FBB553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绩效指标（90分）</w:t>
            </w:r>
          </w:p>
        </w:tc>
        <w:tc>
          <w:tcPr>
            <w:tcW w:w="8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B0554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一级指标</w:t>
            </w:r>
          </w:p>
        </w:tc>
        <w:tc>
          <w:tcPr>
            <w:tcW w:w="7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E00A4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二级指标</w:t>
            </w:r>
          </w:p>
        </w:tc>
        <w:tc>
          <w:tcPr>
            <w:tcW w:w="10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CB029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三级指标</w:t>
            </w:r>
          </w:p>
        </w:tc>
        <w:tc>
          <w:tcPr>
            <w:tcW w:w="8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4B187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指标性质</w:t>
            </w:r>
          </w:p>
        </w:tc>
        <w:tc>
          <w:tcPr>
            <w:tcW w:w="6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CF34E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指标值</w:t>
            </w:r>
          </w:p>
        </w:tc>
        <w:tc>
          <w:tcPr>
            <w:tcW w:w="8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0994A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度量单位</w:t>
            </w:r>
          </w:p>
        </w:tc>
        <w:tc>
          <w:tcPr>
            <w:tcW w:w="8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89A5C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完成值</w:t>
            </w:r>
          </w:p>
        </w:tc>
        <w:tc>
          <w:tcPr>
            <w:tcW w:w="8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085BD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权重</w:t>
            </w:r>
          </w:p>
        </w:tc>
        <w:tc>
          <w:tcPr>
            <w:tcW w:w="11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CFAE3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得分</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6DB0C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未完成原因分析</w:t>
            </w:r>
          </w:p>
        </w:tc>
      </w:tr>
      <w:tr w14:paraId="68B12C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3" w:hRule="atLeast"/>
        </w:trPr>
        <w:tc>
          <w:tcPr>
            <w:tcW w:w="50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E2751D3">
            <w:pPr>
              <w:jc w:val="center"/>
              <w:rPr>
                <w:rFonts w:hint="eastAsia" w:ascii="宋体" w:hAnsi="宋体" w:eastAsia="宋体" w:cs="宋体"/>
                <w:i w:val="0"/>
                <w:iCs w:val="0"/>
                <w:color w:val="000000"/>
                <w:sz w:val="16"/>
                <w:szCs w:val="16"/>
                <w:u w:val="none"/>
              </w:rPr>
            </w:pPr>
          </w:p>
        </w:tc>
        <w:tc>
          <w:tcPr>
            <w:tcW w:w="82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ED548E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产出指标</w:t>
            </w:r>
          </w:p>
        </w:tc>
        <w:tc>
          <w:tcPr>
            <w:tcW w:w="7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F7E22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数量指标</w:t>
            </w:r>
          </w:p>
        </w:tc>
        <w:tc>
          <w:tcPr>
            <w:tcW w:w="10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DDF2C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2025完成音乐交流活动</w:t>
            </w:r>
          </w:p>
        </w:tc>
        <w:tc>
          <w:tcPr>
            <w:tcW w:w="8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E8BEE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w:t>
            </w:r>
          </w:p>
        </w:tc>
        <w:tc>
          <w:tcPr>
            <w:tcW w:w="6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16149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w:t>
            </w:r>
          </w:p>
        </w:tc>
        <w:tc>
          <w:tcPr>
            <w:tcW w:w="8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8C4D2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次</w:t>
            </w:r>
          </w:p>
        </w:tc>
        <w:tc>
          <w:tcPr>
            <w:tcW w:w="8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4E4C6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2次</w:t>
            </w:r>
          </w:p>
        </w:tc>
        <w:tc>
          <w:tcPr>
            <w:tcW w:w="8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F16E8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10</w:t>
            </w:r>
          </w:p>
        </w:tc>
        <w:tc>
          <w:tcPr>
            <w:tcW w:w="11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E5FDA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10</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32CE4E">
            <w:pPr>
              <w:jc w:val="center"/>
              <w:rPr>
                <w:rFonts w:hint="eastAsia" w:ascii="宋体" w:hAnsi="宋体" w:eastAsia="宋体" w:cs="宋体"/>
                <w:i/>
                <w:iCs/>
                <w:color w:val="000000"/>
                <w:sz w:val="16"/>
                <w:szCs w:val="16"/>
                <w:u w:val="none"/>
              </w:rPr>
            </w:pPr>
          </w:p>
        </w:tc>
      </w:tr>
      <w:tr w14:paraId="4D6EA8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3" w:hRule="atLeast"/>
        </w:trPr>
        <w:tc>
          <w:tcPr>
            <w:tcW w:w="50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77E14D7">
            <w:pPr>
              <w:jc w:val="center"/>
              <w:rPr>
                <w:rFonts w:hint="eastAsia" w:ascii="宋体" w:hAnsi="宋体" w:eastAsia="宋体" w:cs="宋体"/>
                <w:i w:val="0"/>
                <w:iCs w:val="0"/>
                <w:color w:val="000000"/>
                <w:sz w:val="16"/>
                <w:szCs w:val="16"/>
                <w:u w:val="none"/>
              </w:rPr>
            </w:pPr>
          </w:p>
        </w:tc>
        <w:tc>
          <w:tcPr>
            <w:tcW w:w="82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6E97126">
            <w:pPr>
              <w:jc w:val="center"/>
              <w:rPr>
                <w:rFonts w:hint="eastAsia" w:ascii="宋体" w:hAnsi="宋体" w:eastAsia="宋体" w:cs="宋体"/>
                <w:i w:val="0"/>
                <w:iCs w:val="0"/>
                <w:color w:val="000000"/>
                <w:sz w:val="16"/>
                <w:szCs w:val="16"/>
                <w:u w:val="none"/>
              </w:rPr>
            </w:pPr>
          </w:p>
        </w:tc>
        <w:tc>
          <w:tcPr>
            <w:tcW w:w="7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82816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质量指标</w:t>
            </w:r>
          </w:p>
        </w:tc>
        <w:tc>
          <w:tcPr>
            <w:tcW w:w="10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1AAFF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2025年音乐交流活动质量</w:t>
            </w:r>
          </w:p>
        </w:tc>
        <w:tc>
          <w:tcPr>
            <w:tcW w:w="8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8CC2A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w:t>
            </w:r>
          </w:p>
        </w:tc>
        <w:tc>
          <w:tcPr>
            <w:tcW w:w="6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86ECA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90</w:t>
            </w:r>
          </w:p>
        </w:tc>
        <w:tc>
          <w:tcPr>
            <w:tcW w:w="8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2A348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w:t>
            </w:r>
          </w:p>
        </w:tc>
        <w:tc>
          <w:tcPr>
            <w:tcW w:w="8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EFF66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90%</w:t>
            </w:r>
          </w:p>
        </w:tc>
        <w:tc>
          <w:tcPr>
            <w:tcW w:w="8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D0F35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15</w:t>
            </w:r>
          </w:p>
        </w:tc>
        <w:tc>
          <w:tcPr>
            <w:tcW w:w="11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93F7E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14</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16220A">
            <w:pPr>
              <w:jc w:val="center"/>
              <w:rPr>
                <w:rFonts w:hint="eastAsia" w:ascii="宋体" w:hAnsi="宋体" w:eastAsia="宋体" w:cs="宋体"/>
                <w:i/>
                <w:iCs/>
                <w:color w:val="000000"/>
                <w:sz w:val="16"/>
                <w:szCs w:val="16"/>
                <w:u w:val="none"/>
              </w:rPr>
            </w:pPr>
          </w:p>
        </w:tc>
      </w:tr>
      <w:tr w14:paraId="237EEF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30" w:hRule="atLeast"/>
        </w:trPr>
        <w:tc>
          <w:tcPr>
            <w:tcW w:w="50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FAB772F">
            <w:pPr>
              <w:jc w:val="center"/>
              <w:rPr>
                <w:rFonts w:hint="eastAsia" w:ascii="宋体" w:hAnsi="宋体" w:eastAsia="宋体" w:cs="宋体"/>
                <w:i w:val="0"/>
                <w:iCs w:val="0"/>
                <w:color w:val="000000"/>
                <w:sz w:val="16"/>
                <w:szCs w:val="16"/>
                <w:u w:val="none"/>
              </w:rPr>
            </w:pPr>
          </w:p>
        </w:tc>
        <w:tc>
          <w:tcPr>
            <w:tcW w:w="82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3AF7ED3">
            <w:pPr>
              <w:jc w:val="center"/>
              <w:rPr>
                <w:rFonts w:hint="eastAsia" w:ascii="宋体" w:hAnsi="宋体" w:eastAsia="宋体" w:cs="宋体"/>
                <w:i w:val="0"/>
                <w:iCs w:val="0"/>
                <w:color w:val="000000"/>
                <w:sz w:val="16"/>
                <w:szCs w:val="16"/>
                <w:u w:val="none"/>
              </w:rPr>
            </w:pPr>
          </w:p>
        </w:tc>
        <w:tc>
          <w:tcPr>
            <w:tcW w:w="7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9EA3E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时效指标</w:t>
            </w:r>
          </w:p>
        </w:tc>
        <w:tc>
          <w:tcPr>
            <w:tcW w:w="10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7BCBA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2025年完成及时完成音乐交流合作工作</w:t>
            </w:r>
          </w:p>
        </w:tc>
        <w:tc>
          <w:tcPr>
            <w:tcW w:w="8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04DB1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w:t>
            </w:r>
          </w:p>
        </w:tc>
        <w:tc>
          <w:tcPr>
            <w:tcW w:w="6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F6DC5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2025</w:t>
            </w:r>
          </w:p>
        </w:tc>
        <w:tc>
          <w:tcPr>
            <w:tcW w:w="8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5D2EE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年</w:t>
            </w:r>
          </w:p>
        </w:tc>
        <w:tc>
          <w:tcPr>
            <w:tcW w:w="8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FF635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2025年</w:t>
            </w:r>
          </w:p>
        </w:tc>
        <w:tc>
          <w:tcPr>
            <w:tcW w:w="8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076FF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15</w:t>
            </w:r>
          </w:p>
        </w:tc>
        <w:tc>
          <w:tcPr>
            <w:tcW w:w="11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A78D2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15</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DBBB08">
            <w:pPr>
              <w:jc w:val="center"/>
              <w:rPr>
                <w:rFonts w:hint="eastAsia" w:ascii="宋体" w:hAnsi="宋体" w:eastAsia="宋体" w:cs="宋体"/>
                <w:i/>
                <w:iCs/>
                <w:color w:val="000000"/>
                <w:sz w:val="16"/>
                <w:szCs w:val="16"/>
                <w:u w:val="none"/>
              </w:rPr>
            </w:pPr>
          </w:p>
        </w:tc>
      </w:tr>
      <w:tr w14:paraId="42AC3A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30" w:hRule="atLeast"/>
        </w:trPr>
        <w:tc>
          <w:tcPr>
            <w:tcW w:w="50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D532012">
            <w:pPr>
              <w:jc w:val="center"/>
              <w:rPr>
                <w:rFonts w:hint="eastAsia" w:ascii="宋体" w:hAnsi="宋体" w:eastAsia="宋体" w:cs="宋体"/>
                <w:i w:val="0"/>
                <w:iCs w:val="0"/>
                <w:color w:val="000000"/>
                <w:sz w:val="16"/>
                <w:szCs w:val="16"/>
                <w:u w:val="none"/>
              </w:rPr>
            </w:pPr>
          </w:p>
        </w:tc>
        <w:tc>
          <w:tcPr>
            <w:tcW w:w="8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2AEB1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效益指标</w:t>
            </w:r>
          </w:p>
        </w:tc>
        <w:tc>
          <w:tcPr>
            <w:tcW w:w="7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2D234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可持续发展指标</w:t>
            </w:r>
          </w:p>
        </w:tc>
        <w:tc>
          <w:tcPr>
            <w:tcW w:w="10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EBEF8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为我州未来音乐文艺事业工作发展奠定基础</w:t>
            </w:r>
          </w:p>
        </w:tc>
        <w:tc>
          <w:tcPr>
            <w:tcW w:w="8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D728B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w:t>
            </w:r>
          </w:p>
        </w:tc>
        <w:tc>
          <w:tcPr>
            <w:tcW w:w="6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1726F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60</w:t>
            </w:r>
          </w:p>
        </w:tc>
        <w:tc>
          <w:tcPr>
            <w:tcW w:w="8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1D087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w:t>
            </w:r>
          </w:p>
        </w:tc>
        <w:tc>
          <w:tcPr>
            <w:tcW w:w="8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34C5F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60%</w:t>
            </w:r>
          </w:p>
        </w:tc>
        <w:tc>
          <w:tcPr>
            <w:tcW w:w="8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E8AC4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20</w:t>
            </w:r>
          </w:p>
        </w:tc>
        <w:tc>
          <w:tcPr>
            <w:tcW w:w="11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8DB48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19</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67E37C">
            <w:pPr>
              <w:jc w:val="center"/>
              <w:rPr>
                <w:rFonts w:hint="eastAsia" w:ascii="宋体" w:hAnsi="宋体" w:eastAsia="宋体" w:cs="宋体"/>
                <w:i/>
                <w:iCs/>
                <w:color w:val="000000"/>
                <w:sz w:val="16"/>
                <w:szCs w:val="16"/>
                <w:u w:val="none"/>
              </w:rPr>
            </w:pPr>
          </w:p>
        </w:tc>
      </w:tr>
      <w:tr w14:paraId="392CB8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30" w:hRule="atLeast"/>
        </w:trPr>
        <w:tc>
          <w:tcPr>
            <w:tcW w:w="50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E3108AC">
            <w:pPr>
              <w:jc w:val="center"/>
              <w:rPr>
                <w:rFonts w:hint="eastAsia" w:ascii="宋体" w:hAnsi="宋体" w:eastAsia="宋体" w:cs="宋体"/>
                <w:i w:val="0"/>
                <w:iCs w:val="0"/>
                <w:color w:val="000000"/>
                <w:sz w:val="16"/>
                <w:szCs w:val="16"/>
                <w:u w:val="none"/>
              </w:rPr>
            </w:pPr>
          </w:p>
        </w:tc>
        <w:tc>
          <w:tcPr>
            <w:tcW w:w="8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21E5D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满意度指标</w:t>
            </w:r>
          </w:p>
        </w:tc>
        <w:tc>
          <w:tcPr>
            <w:tcW w:w="7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8887D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服务对象满意度指标</w:t>
            </w:r>
          </w:p>
        </w:tc>
        <w:tc>
          <w:tcPr>
            <w:tcW w:w="10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97EEE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服务对象满意度</w:t>
            </w:r>
          </w:p>
        </w:tc>
        <w:tc>
          <w:tcPr>
            <w:tcW w:w="8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732EB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w:t>
            </w:r>
          </w:p>
        </w:tc>
        <w:tc>
          <w:tcPr>
            <w:tcW w:w="6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3DFE8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80</w:t>
            </w:r>
          </w:p>
        </w:tc>
        <w:tc>
          <w:tcPr>
            <w:tcW w:w="8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EEF5D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w:t>
            </w:r>
          </w:p>
        </w:tc>
        <w:tc>
          <w:tcPr>
            <w:tcW w:w="8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3850A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80%</w:t>
            </w:r>
          </w:p>
        </w:tc>
        <w:tc>
          <w:tcPr>
            <w:tcW w:w="8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4DCA0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10</w:t>
            </w:r>
          </w:p>
        </w:tc>
        <w:tc>
          <w:tcPr>
            <w:tcW w:w="11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04617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9</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DCFB18">
            <w:pPr>
              <w:jc w:val="center"/>
              <w:rPr>
                <w:rFonts w:hint="eastAsia" w:ascii="宋体" w:hAnsi="宋体" w:eastAsia="宋体" w:cs="宋体"/>
                <w:i/>
                <w:iCs/>
                <w:color w:val="000000"/>
                <w:sz w:val="16"/>
                <w:szCs w:val="16"/>
                <w:u w:val="none"/>
              </w:rPr>
            </w:pPr>
          </w:p>
        </w:tc>
      </w:tr>
      <w:tr w14:paraId="64AEB8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50" w:hRule="atLeast"/>
        </w:trPr>
        <w:tc>
          <w:tcPr>
            <w:tcW w:w="50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2D4FD3C">
            <w:pPr>
              <w:jc w:val="center"/>
              <w:rPr>
                <w:rFonts w:hint="eastAsia" w:ascii="宋体" w:hAnsi="宋体" w:eastAsia="宋体" w:cs="宋体"/>
                <w:i w:val="0"/>
                <w:iCs w:val="0"/>
                <w:color w:val="000000"/>
                <w:sz w:val="16"/>
                <w:szCs w:val="16"/>
                <w:u w:val="none"/>
              </w:rPr>
            </w:pPr>
          </w:p>
        </w:tc>
        <w:tc>
          <w:tcPr>
            <w:tcW w:w="8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05B96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成本指标</w:t>
            </w:r>
          </w:p>
        </w:tc>
        <w:tc>
          <w:tcPr>
            <w:tcW w:w="7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C457C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经济成本指标</w:t>
            </w:r>
          </w:p>
        </w:tc>
        <w:tc>
          <w:tcPr>
            <w:tcW w:w="10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88182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项目总价</w:t>
            </w:r>
          </w:p>
        </w:tc>
        <w:tc>
          <w:tcPr>
            <w:tcW w:w="8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90F31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w:t>
            </w:r>
          </w:p>
        </w:tc>
        <w:tc>
          <w:tcPr>
            <w:tcW w:w="6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0DB41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50</w:t>
            </w:r>
          </w:p>
        </w:tc>
        <w:tc>
          <w:tcPr>
            <w:tcW w:w="8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4BABC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万元</w:t>
            </w:r>
          </w:p>
        </w:tc>
        <w:tc>
          <w:tcPr>
            <w:tcW w:w="8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D621A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49.8万元</w:t>
            </w:r>
          </w:p>
        </w:tc>
        <w:tc>
          <w:tcPr>
            <w:tcW w:w="8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FBB27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20</w:t>
            </w:r>
          </w:p>
        </w:tc>
        <w:tc>
          <w:tcPr>
            <w:tcW w:w="11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2333E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19</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950C3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严格控制项目支出成本，实际支出低于预算数，有效节约财政资金，结余0.2万元。</w:t>
            </w:r>
          </w:p>
        </w:tc>
      </w:tr>
      <w:tr w14:paraId="6FF9BF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trPr>
        <w:tc>
          <w:tcPr>
            <w:tcW w:w="6289"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13643F3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合计</w:t>
            </w:r>
          </w:p>
        </w:tc>
        <w:tc>
          <w:tcPr>
            <w:tcW w:w="8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7482D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100</w:t>
            </w:r>
          </w:p>
        </w:tc>
        <w:tc>
          <w:tcPr>
            <w:tcW w:w="11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6BD1A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96</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128CB6">
            <w:pPr>
              <w:rPr>
                <w:rFonts w:hint="eastAsia" w:ascii="宋体" w:hAnsi="宋体" w:eastAsia="宋体" w:cs="宋体"/>
                <w:i w:val="0"/>
                <w:iCs w:val="0"/>
                <w:color w:val="000000"/>
                <w:sz w:val="16"/>
                <w:szCs w:val="16"/>
                <w:u w:val="none"/>
              </w:rPr>
            </w:pPr>
          </w:p>
        </w:tc>
      </w:tr>
      <w:tr w14:paraId="1F6013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6" w:hRule="atLeast"/>
        </w:trPr>
        <w:tc>
          <w:tcPr>
            <w:tcW w:w="5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E3FB1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评价结论</w:t>
            </w:r>
          </w:p>
        </w:tc>
        <w:tc>
          <w:tcPr>
            <w:tcW w:w="8854" w:type="dxa"/>
            <w:gridSpan w:val="10"/>
            <w:tcBorders>
              <w:top w:val="single" w:color="000000" w:sz="4" w:space="0"/>
              <w:left w:val="single" w:color="000000" w:sz="4" w:space="0"/>
              <w:bottom w:val="single" w:color="000000" w:sz="4" w:space="0"/>
              <w:right w:val="single" w:color="000000" w:sz="4" w:space="0"/>
            </w:tcBorders>
            <w:shd w:val="clear" w:color="auto" w:fill="FFFFFF"/>
            <w:vAlign w:val="center"/>
          </w:tcPr>
          <w:p w14:paraId="6EEC3EC0">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演出活动圆满完成，实施效果显著，演出阵容精良，节目编排精良，现场秩序井然。演出活动极大丰富了基层群众精神文化生活，</w:t>
            </w:r>
            <w:bookmarkStart w:id="61" w:name="_GoBack"/>
            <w:bookmarkEnd w:id="61"/>
            <w:r>
              <w:rPr>
                <w:rFonts w:hint="eastAsia" w:ascii="宋体" w:hAnsi="宋体" w:cs="宋体"/>
                <w:i w:val="0"/>
                <w:iCs w:val="0"/>
                <w:color w:val="000000"/>
                <w:kern w:val="0"/>
                <w:sz w:val="16"/>
                <w:szCs w:val="16"/>
                <w:u w:val="none"/>
                <w:lang w:val="en-US" w:eastAsia="zh-CN" w:bidi="ar"/>
              </w:rPr>
              <w:t>铸牢中华民族共同体意识</w:t>
            </w:r>
            <w:r>
              <w:rPr>
                <w:rFonts w:hint="eastAsia" w:ascii="宋体" w:hAnsi="宋体" w:eastAsia="宋体" w:cs="宋体"/>
                <w:i w:val="0"/>
                <w:iCs w:val="0"/>
                <w:color w:val="000000"/>
                <w:kern w:val="0"/>
                <w:sz w:val="16"/>
                <w:szCs w:val="16"/>
                <w:u w:val="none"/>
                <w:lang w:val="en-US" w:eastAsia="zh-CN" w:bidi="ar"/>
              </w:rPr>
              <w:t>，达到“以艺育人，文化润心”的预期目标。合作成果丰硕，群众反响强烈，群众满意度高，取得了良好的社会效益，自评得分96分。</w:t>
            </w:r>
          </w:p>
        </w:tc>
      </w:tr>
      <w:tr w14:paraId="69DFFF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3" w:hRule="atLeast"/>
        </w:trPr>
        <w:tc>
          <w:tcPr>
            <w:tcW w:w="5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0BA49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存在问题</w:t>
            </w:r>
          </w:p>
        </w:tc>
        <w:tc>
          <w:tcPr>
            <w:tcW w:w="8854" w:type="dxa"/>
            <w:gridSpan w:val="10"/>
            <w:tcBorders>
              <w:top w:val="single" w:color="000000" w:sz="4" w:space="0"/>
              <w:left w:val="single" w:color="000000" w:sz="4" w:space="0"/>
              <w:bottom w:val="single" w:color="000000" w:sz="4" w:space="0"/>
              <w:right w:val="single" w:color="000000" w:sz="4" w:space="0"/>
            </w:tcBorders>
            <w:shd w:val="clear" w:color="auto" w:fill="FFFFFF"/>
            <w:vAlign w:val="center"/>
          </w:tcPr>
          <w:p w14:paraId="32015ECE">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后勤保障细节需提升，部分场次受高原气候或场地条件影响，临时应急保障措施略显单一，服务细节有待提升。</w:t>
            </w:r>
          </w:p>
        </w:tc>
      </w:tr>
      <w:tr w14:paraId="3B99CE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3" w:hRule="atLeast"/>
        </w:trPr>
        <w:tc>
          <w:tcPr>
            <w:tcW w:w="5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3E32C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改进措施</w:t>
            </w:r>
          </w:p>
        </w:tc>
        <w:tc>
          <w:tcPr>
            <w:tcW w:w="8854" w:type="dxa"/>
            <w:gridSpan w:val="10"/>
            <w:tcBorders>
              <w:top w:val="single" w:color="000000" w:sz="4" w:space="0"/>
              <w:left w:val="single" w:color="000000" w:sz="4" w:space="0"/>
              <w:bottom w:val="single" w:color="000000" w:sz="4" w:space="0"/>
              <w:right w:val="single" w:color="000000" w:sz="4" w:space="0"/>
            </w:tcBorders>
            <w:shd w:val="clear" w:color="auto" w:fill="FFFFFF"/>
            <w:vAlign w:val="center"/>
          </w:tcPr>
          <w:p w14:paraId="72A93C31">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精细管理，提升保障水平，针对高原地区特点，完善应急预案，优化后勤服务流程，提升现场组织与应急保障能力，确保活动万无一失。</w:t>
            </w:r>
          </w:p>
        </w:tc>
      </w:tr>
      <w:tr w14:paraId="70494B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9" w:hRule="atLeast"/>
        </w:trPr>
        <w:tc>
          <w:tcPr>
            <w:tcW w:w="3964"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39E609AE">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项目负责人：陈晓东</w:t>
            </w:r>
          </w:p>
        </w:tc>
        <w:tc>
          <w:tcPr>
            <w:tcW w:w="5396"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19AE79CA">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财务负责人：杨芳</w:t>
            </w:r>
          </w:p>
        </w:tc>
      </w:tr>
    </w:tbl>
    <w:p w14:paraId="60312FC5">
      <w:pPr>
        <w:snapToGrid w:val="0"/>
        <w:spacing w:line="578" w:lineRule="exact"/>
        <w:rPr>
          <w:rFonts w:eastAsia="黑体"/>
          <w:kern w:val="0"/>
          <w:shd w:val="clear" w:color="auto" w:fill="FFFFFF"/>
        </w:rPr>
      </w:pPr>
      <w:r>
        <w:rPr>
          <w:rFonts w:eastAsia="黑体"/>
          <w:kern w:val="0"/>
          <w:shd w:val="clear" w:color="auto" w:fill="FFFFFF"/>
          <w:lang w:val="zh-CN"/>
        </w:rPr>
        <w:br w:type="page"/>
      </w:r>
      <w:r>
        <w:rPr>
          <w:rFonts w:hint="eastAsia" w:ascii="黑体" w:hAnsi="黑体" w:eastAsia="黑体" w:cs="黑体"/>
          <w:kern w:val="0"/>
          <w:sz w:val="32"/>
          <w:szCs w:val="32"/>
          <w:shd w:val="clear" w:color="auto" w:fill="FFFFFF"/>
          <w:lang w:val="zh-CN"/>
        </w:rPr>
        <w:t>附表</w:t>
      </w:r>
      <w:r>
        <w:rPr>
          <w:rFonts w:hint="eastAsia" w:ascii="黑体" w:hAnsi="黑体" w:eastAsia="黑体" w:cs="黑体"/>
          <w:kern w:val="0"/>
          <w:sz w:val="32"/>
          <w:szCs w:val="32"/>
          <w:shd w:val="clear" w:color="auto" w:fill="FFFFFF"/>
        </w:rPr>
        <w:t>3</w:t>
      </w:r>
    </w:p>
    <w:p w14:paraId="339D2307">
      <w:pPr>
        <w:pStyle w:val="16"/>
        <w:spacing w:after="0" w:line="20" w:lineRule="exact"/>
        <w:ind w:leftChars="0" w:firstLine="480"/>
        <w:rPr>
          <w:rFonts w:ascii="Times New Roman" w:eastAsia="黑体"/>
          <w:sz w:val="24"/>
          <w:szCs w:val="24"/>
        </w:rPr>
      </w:pPr>
    </w:p>
    <w:p w14:paraId="30B574CA">
      <w:pPr>
        <w:pageBreakBefore w:val="0"/>
        <w:widowControl/>
        <w:kinsoku/>
        <w:wordWrap/>
        <w:overflowPunct/>
        <w:topLinePunct w:val="0"/>
        <w:bidi w:val="0"/>
        <w:spacing w:before="100" w:beforeAutospacing="1" w:after="100" w:afterAutospacing="1" w:line="560" w:lineRule="atLeast"/>
        <w:ind w:left="1080"/>
        <w:jc w:val="left"/>
      </w:pPr>
    </w:p>
    <w:p w14:paraId="29E4F2F7">
      <w:pPr>
        <w:pageBreakBefore w:val="0"/>
        <w:widowControl/>
        <w:kinsoku/>
        <w:wordWrap/>
        <w:overflowPunct/>
        <w:topLinePunct w:val="0"/>
        <w:bidi w:val="0"/>
        <w:spacing w:line="560" w:lineRule="atLeast"/>
        <w:jc w:val="center"/>
        <w:rPr>
          <w:rFonts w:hint="eastAsia" w:ascii="Times New Roman" w:hAnsi="Times New Roman" w:eastAsia="仿宋"/>
          <w:b w:val="0"/>
          <w:color w:val="auto"/>
          <w:highlight w:val="none"/>
        </w:rPr>
      </w:pPr>
      <w:r>
        <w:rPr>
          <w:rFonts w:hint="eastAsia" w:ascii="Times New Roman" w:hAnsi="Times New Roman" w:eastAsia="黑体"/>
          <w:color w:val="auto"/>
          <w:sz w:val="44"/>
          <w:szCs w:val="44"/>
          <w:highlight w:val="none"/>
        </w:rPr>
        <w:t>第</w:t>
      </w:r>
      <w:r>
        <w:rPr>
          <w:rStyle w:val="31"/>
          <w:rFonts w:hint="eastAsia" w:ascii="Times New Roman" w:hAnsi="Times New Roman" w:eastAsia="黑体"/>
          <w:b w:val="0"/>
          <w:color w:val="auto"/>
          <w:highlight w:val="none"/>
        </w:rPr>
        <w:t>五部分 附表</w:t>
      </w:r>
      <w:bookmarkEnd w:id="45"/>
      <w:bookmarkEnd w:id="47"/>
      <w:bookmarkStart w:id="48" w:name="_Toc15396619"/>
    </w:p>
    <w:p w14:paraId="35FBE7F5">
      <w:pPr>
        <w:pStyle w:val="17"/>
        <w:keepNext w:val="0"/>
        <w:keepLines w:val="0"/>
        <w:pageBreakBefore w:val="0"/>
        <w:kinsoku/>
        <w:wordWrap/>
        <w:overflowPunct/>
        <w:topLinePunct w:val="0"/>
        <w:autoSpaceDE/>
        <w:autoSpaceDN/>
        <w:bidi w:val="0"/>
        <w:adjustRightInd w:val="0"/>
        <w:snapToGrid w:val="0"/>
        <w:spacing w:line="560" w:lineRule="atLeast"/>
        <w:jc w:val="left"/>
        <w:textAlignment w:val="auto"/>
        <w:rPr>
          <w:rFonts w:hint="eastAsia" w:ascii="Times New Roman" w:hAnsi="Times New Roman" w:eastAsia="仿宋_GB2312" w:cs="仿宋_GB2312"/>
          <w:color w:val="auto"/>
          <w:sz w:val="32"/>
          <w:szCs w:val="32"/>
          <w:highlight w:val="none"/>
        </w:rPr>
      </w:pPr>
    </w:p>
    <w:p w14:paraId="2280EA2C">
      <w:pPr>
        <w:pStyle w:val="17"/>
        <w:keepNext w:val="0"/>
        <w:keepLines w:val="0"/>
        <w:pageBreakBefore w:val="0"/>
        <w:kinsoku/>
        <w:wordWrap/>
        <w:overflowPunct/>
        <w:topLinePunct w:val="0"/>
        <w:autoSpaceDE/>
        <w:autoSpaceDN/>
        <w:bidi w:val="0"/>
        <w:adjustRightInd w:val="0"/>
        <w:snapToGrid w:val="0"/>
        <w:spacing w:line="560" w:lineRule="atLeas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48"/>
    </w:p>
    <w:p w14:paraId="40EAB37F">
      <w:pPr>
        <w:pStyle w:val="17"/>
        <w:keepNext w:val="0"/>
        <w:keepLines w:val="0"/>
        <w:pageBreakBefore w:val="0"/>
        <w:kinsoku/>
        <w:wordWrap/>
        <w:overflowPunct/>
        <w:topLinePunct w:val="0"/>
        <w:autoSpaceDE/>
        <w:autoSpaceDN/>
        <w:bidi w:val="0"/>
        <w:adjustRightInd w:val="0"/>
        <w:snapToGrid w:val="0"/>
        <w:spacing w:line="560" w:lineRule="atLeast"/>
        <w:jc w:val="left"/>
        <w:textAlignment w:val="auto"/>
        <w:rPr>
          <w:rFonts w:hint="eastAsia" w:ascii="Times New Roman" w:hAnsi="Times New Roman" w:eastAsia="仿宋_GB2312" w:cs="仿宋_GB2312"/>
          <w:color w:val="auto"/>
          <w:sz w:val="32"/>
          <w:szCs w:val="32"/>
          <w:highlight w:val="none"/>
        </w:rPr>
      </w:pPr>
      <w:bookmarkStart w:id="49" w:name="_Toc15396620"/>
      <w:r>
        <w:rPr>
          <w:rFonts w:hint="eastAsia" w:ascii="Times New Roman" w:hAnsi="Times New Roman" w:eastAsia="仿宋_GB2312" w:cs="仿宋_GB2312"/>
          <w:color w:val="auto"/>
          <w:sz w:val="32"/>
          <w:szCs w:val="32"/>
          <w:highlight w:val="none"/>
        </w:rPr>
        <w:t>二、收入决算表</w:t>
      </w:r>
      <w:bookmarkEnd w:id="49"/>
    </w:p>
    <w:p w14:paraId="4B99B856">
      <w:pPr>
        <w:pStyle w:val="17"/>
        <w:keepNext w:val="0"/>
        <w:keepLines w:val="0"/>
        <w:pageBreakBefore w:val="0"/>
        <w:kinsoku/>
        <w:wordWrap/>
        <w:overflowPunct/>
        <w:topLinePunct w:val="0"/>
        <w:autoSpaceDE/>
        <w:autoSpaceDN/>
        <w:bidi w:val="0"/>
        <w:adjustRightInd w:val="0"/>
        <w:snapToGrid w:val="0"/>
        <w:spacing w:line="560" w:lineRule="atLeast"/>
        <w:jc w:val="left"/>
        <w:textAlignment w:val="auto"/>
        <w:rPr>
          <w:rFonts w:hint="eastAsia" w:ascii="Times New Roman" w:hAnsi="Times New Roman" w:eastAsia="仿宋_GB2312" w:cs="仿宋_GB2312"/>
          <w:color w:val="auto"/>
          <w:sz w:val="32"/>
          <w:szCs w:val="32"/>
          <w:highlight w:val="none"/>
        </w:rPr>
      </w:pPr>
      <w:bookmarkStart w:id="50" w:name="_Toc15396621"/>
      <w:r>
        <w:rPr>
          <w:rFonts w:hint="eastAsia" w:ascii="Times New Roman" w:hAnsi="Times New Roman" w:eastAsia="仿宋_GB2312" w:cs="仿宋_GB2312"/>
          <w:color w:val="auto"/>
          <w:sz w:val="32"/>
          <w:szCs w:val="32"/>
          <w:highlight w:val="none"/>
        </w:rPr>
        <w:t>三、支出决算表</w:t>
      </w:r>
      <w:bookmarkEnd w:id="50"/>
    </w:p>
    <w:p w14:paraId="53C29BF4">
      <w:pPr>
        <w:pStyle w:val="17"/>
        <w:keepNext w:val="0"/>
        <w:keepLines w:val="0"/>
        <w:pageBreakBefore w:val="0"/>
        <w:kinsoku/>
        <w:wordWrap/>
        <w:overflowPunct/>
        <w:topLinePunct w:val="0"/>
        <w:autoSpaceDE/>
        <w:autoSpaceDN/>
        <w:bidi w:val="0"/>
        <w:adjustRightInd w:val="0"/>
        <w:snapToGrid w:val="0"/>
        <w:spacing w:line="560" w:lineRule="atLeast"/>
        <w:jc w:val="left"/>
        <w:textAlignment w:val="auto"/>
        <w:rPr>
          <w:rFonts w:hint="eastAsia" w:ascii="Times New Roman" w:hAnsi="Times New Roman" w:eastAsia="仿宋_GB2312" w:cs="仿宋_GB2312"/>
          <w:color w:val="auto"/>
          <w:sz w:val="32"/>
          <w:szCs w:val="32"/>
          <w:highlight w:val="none"/>
        </w:rPr>
      </w:pPr>
      <w:bookmarkStart w:id="51" w:name="_Toc15396622"/>
      <w:r>
        <w:rPr>
          <w:rFonts w:hint="eastAsia" w:ascii="Times New Roman" w:hAnsi="Times New Roman" w:eastAsia="仿宋_GB2312" w:cs="仿宋_GB2312"/>
          <w:color w:val="auto"/>
          <w:sz w:val="32"/>
          <w:szCs w:val="32"/>
          <w:highlight w:val="none"/>
        </w:rPr>
        <w:t>四、财政拨款收入支出决算总表</w:t>
      </w:r>
      <w:bookmarkEnd w:id="51"/>
    </w:p>
    <w:p w14:paraId="43FBDB62">
      <w:pPr>
        <w:pStyle w:val="17"/>
        <w:keepNext w:val="0"/>
        <w:keepLines w:val="0"/>
        <w:pageBreakBefore w:val="0"/>
        <w:kinsoku/>
        <w:wordWrap/>
        <w:overflowPunct/>
        <w:topLinePunct w:val="0"/>
        <w:autoSpaceDE/>
        <w:autoSpaceDN/>
        <w:bidi w:val="0"/>
        <w:adjustRightInd w:val="0"/>
        <w:snapToGrid w:val="0"/>
        <w:spacing w:line="560" w:lineRule="atLeast"/>
        <w:jc w:val="left"/>
        <w:textAlignment w:val="auto"/>
        <w:rPr>
          <w:rFonts w:hint="eastAsia" w:ascii="Times New Roman" w:hAnsi="Times New Roman" w:eastAsia="仿宋_GB2312" w:cs="仿宋_GB2312"/>
          <w:color w:val="auto"/>
          <w:sz w:val="32"/>
          <w:szCs w:val="32"/>
          <w:highlight w:val="none"/>
        </w:rPr>
      </w:pPr>
      <w:bookmarkStart w:id="52" w:name="_Toc15396623"/>
      <w:r>
        <w:rPr>
          <w:rFonts w:hint="eastAsia" w:ascii="Times New Roman" w:hAnsi="Times New Roman" w:eastAsia="仿宋_GB2312" w:cs="仿宋_GB2312"/>
          <w:color w:val="auto"/>
          <w:sz w:val="32"/>
          <w:szCs w:val="32"/>
          <w:highlight w:val="none"/>
        </w:rPr>
        <w:t>五、财政拨款支出决算明细表</w:t>
      </w:r>
      <w:bookmarkEnd w:id="52"/>
      <w:bookmarkStart w:id="53" w:name="_Toc15396624"/>
    </w:p>
    <w:p w14:paraId="763171BE">
      <w:pPr>
        <w:pStyle w:val="17"/>
        <w:keepNext w:val="0"/>
        <w:keepLines w:val="0"/>
        <w:pageBreakBefore w:val="0"/>
        <w:kinsoku/>
        <w:wordWrap/>
        <w:overflowPunct/>
        <w:topLinePunct w:val="0"/>
        <w:autoSpaceDE/>
        <w:autoSpaceDN/>
        <w:bidi w:val="0"/>
        <w:adjustRightInd w:val="0"/>
        <w:snapToGrid w:val="0"/>
        <w:spacing w:line="560" w:lineRule="atLeas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53"/>
    </w:p>
    <w:p w14:paraId="6C410C14">
      <w:pPr>
        <w:pStyle w:val="17"/>
        <w:keepNext w:val="0"/>
        <w:keepLines w:val="0"/>
        <w:pageBreakBefore w:val="0"/>
        <w:kinsoku/>
        <w:wordWrap/>
        <w:overflowPunct/>
        <w:topLinePunct w:val="0"/>
        <w:autoSpaceDE/>
        <w:autoSpaceDN/>
        <w:bidi w:val="0"/>
        <w:adjustRightInd w:val="0"/>
        <w:snapToGrid w:val="0"/>
        <w:spacing w:line="560" w:lineRule="atLeast"/>
        <w:jc w:val="left"/>
        <w:textAlignment w:val="auto"/>
        <w:rPr>
          <w:rFonts w:hint="eastAsia" w:ascii="Times New Roman" w:hAnsi="Times New Roman" w:eastAsia="仿宋_GB2312" w:cs="仿宋_GB2312"/>
          <w:color w:val="auto"/>
          <w:sz w:val="32"/>
          <w:szCs w:val="32"/>
          <w:highlight w:val="none"/>
        </w:rPr>
      </w:pPr>
      <w:bookmarkStart w:id="54" w:name="_Toc15396625"/>
      <w:r>
        <w:rPr>
          <w:rFonts w:hint="eastAsia" w:ascii="Times New Roman" w:hAnsi="Times New Roman" w:eastAsia="仿宋_GB2312" w:cs="仿宋_GB2312"/>
          <w:color w:val="auto"/>
          <w:sz w:val="32"/>
          <w:szCs w:val="32"/>
          <w:highlight w:val="none"/>
        </w:rPr>
        <w:t>七、一般公共预算财政拨款支出决算明细表</w:t>
      </w:r>
      <w:bookmarkEnd w:id="54"/>
    </w:p>
    <w:p w14:paraId="4EB52868">
      <w:pPr>
        <w:pStyle w:val="17"/>
        <w:keepNext w:val="0"/>
        <w:keepLines w:val="0"/>
        <w:pageBreakBefore w:val="0"/>
        <w:kinsoku/>
        <w:wordWrap/>
        <w:overflowPunct/>
        <w:topLinePunct w:val="0"/>
        <w:autoSpaceDE/>
        <w:autoSpaceDN/>
        <w:bidi w:val="0"/>
        <w:adjustRightInd w:val="0"/>
        <w:snapToGrid w:val="0"/>
        <w:spacing w:line="560" w:lineRule="atLeast"/>
        <w:jc w:val="left"/>
        <w:textAlignment w:val="auto"/>
        <w:rPr>
          <w:rFonts w:hint="eastAsia" w:ascii="Times New Roman" w:hAnsi="Times New Roman" w:eastAsia="仿宋_GB2312" w:cs="仿宋_GB2312"/>
          <w:color w:val="auto"/>
          <w:sz w:val="32"/>
          <w:szCs w:val="32"/>
          <w:highlight w:val="none"/>
        </w:rPr>
      </w:pPr>
      <w:bookmarkStart w:id="55" w:name="_Toc15396626"/>
      <w:r>
        <w:rPr>
          <w:rFonts w:hint="eastAsia" w:ascii="Times New Roman" w:hAnsi="Times New Roman" w:eastAsia="仿宋_GB2312" w:cs="仿宋_GB2312"/>
          <w:color w:val="auto"/>
          <w:sz w:val="32"/>
          <w:szCs w:val="32"/>
          <w:highlight w:val="none"/>
        </w:rPr>
        <w:t>八、一般公共预算财政拨款基本支出决算表</w:t>
      </w:r>
      <w:bookmarkEnd w:id="55"/>
    </w:p>
    <w:p w14:paraId="25505003">
      <w:pPr>
        <w:pStyle w:val="17"/>
        <w:keepNext w:val="0"/>
        <w:keepLines w:val="0"/>
        <w:pageBreakBefore w:val="0"/>
        <w:kinsoku/>
        <w:wordWrap/>
        <w:overflowPunct/>
        <w:topLinePunct w:val="0"/>
        <w:autoSpaceDE/>
        <w:autoSpaceDN/>
        <w:bidi w:val="0"/>
        <w:adjustRightInd w:val="0"/>
        <w:snapToGrid w:val="0"/>
        <w:spacing w:line="560" w:lineRule="atLeast"/>
        <w:jc w:val="left"/>
        <w:textAlignment w:val="auto"/>
        <w:rPr>
          <w:rFonts w:hint="eastAsia" w:ascii="Times New Roman" w:hAnsi="Times New Roman" w:eastAsia="仿宋_GB2312" w:cs="仿宋_GB2312"/>
          <w:color w:val="auto"/>
          <w:sz w:val="32"/>
          <w:szCs w:val="32"/>
          <w:highlight w:val="none"/>
        </w:rPr>
      </w:pPr>
      <w:bookmarkStart w:id="56" w:name="_Toc15396627"/>
      <w:r>
        <w:rPr>
          <w:rFonts w:hint="eastAsia" w:ascii="Times New Roman" w:hAnsi="Times New Roman" w:eastAsia="仿宋_GB2312" w:cs="仿宋_GB2312"/>
          <w:color w:val="auto"/>
          <w:sz w:val="32"/>
          <w:szCs w:val="32"/>
          <w:highlight w:val="none"/>
        </w:rPr>
        <w:t>九、一般公共预算财政拨款项目支出决算表</w:t>
      </w:r>
      <w:bookmarkEnd w:id="56"/>
    </w:p>
    <w:p w14:paraId="26362D44">
      <w:pPr>
        <w:pStyle w:val="17"/>
        <w:keepNext w:val="0"/>
        <w:keepLines w:val="0"/>
        <w:pageBreakBefore w:val="0"/>
        <w:kinsoku/>
        <w:wordWrap/>
        <w:overflowPunct/>
        <w:topLinePunct w:val="0"/>
        <w:autoSpaceDE/>
        <w:autoSpaceDN/>
        <w:bidi w:val="0"/>
        <w:adjustRightInd w:val="0"/>
        <w:snapToGrid w:val="0"/>
        <w:spacing w:line="560" w:lineRule="atLeast"/>
        <w:jc w:val="left"/>
        <w:textAlignment w:val="auto"/>
        <w:rPr>
          <w:rFonts w:hint="eastAsia" w:ascii="Times New Roman" w:hAnsi="Times New Roman" w:eastAsia="仿宋_GB2312" w:cs="仿宋_GB2312"/>
          <w:color w:val="auto"/>
          <w:sz w:val="32"/>
          <w:szCs w:val="32"/>
          <w:highlight w:val="none"/>
        </w:rPr>
      </w:pPr>
      <w:bookmarkStart w:id="57" w:name="_Toc15396628"/>
      <w:r>
        <w:rPr>
          <w:rFonts w:hint="eastAsia" w:ascii="Times New Roman" w:hAnsi="Times New Roman" w:eastAsia="仿宋_GB2312" w:cs="仿宋_GB2312"/>
          <w:color w:val="auto"/>
          <w:sz w:val="32"/>
          <w:szCs w:val="32"/>
          <w:highlight w:val="none"/>
        </w:rPr>
        <w:t>十、</w:t>
      </w:r>
      <w:bookmarkEnd w:id="57"/>
      <w:r>
        <w:rPr>
          <w:rFonts w:hint="eastAsia" w:ascii="Times New Roman" w:hAnsi="Times New Roman" w:eastAsia="仿宋_GB2312" w:cs="仿宋_GB2312"/>
          <w:color w:val="auto"/>
          <w:sz w:val="32"/>
          <w:szCs w:val="32"/>
          <w:highlight w:val="none"/>
        </w:rPr>
        <w:t>政府性基金预算财政拨款收入支出决算表</w:t>
      </w:r>
    </w:p>
    <w:p w14:paraId="7AC6FD74">
      <w:pPr>
        <w:pStyle w:val="17"/>
        <w:keepNext w:val="0"/>
        <w:keepLines w:val="0"/>
        <w:pageBreakBefore w:val="0"/>
        <w:kinsoku/>
        <w:wordWrap/>
        <w:overflowPunct/>
        <w:topLinePunct w:val="0"/>
        <w:autoSpaceDE/>
        <w:autoSpaceDN/>
        <w:bidi w:val="0"/>
        <w:adjustRightInd w:val="0"/>
        <w:snapToGrid w:val="0"/>
        <w:spacing w:line="560" w:lineRule="atLeast"/>
        <w:jc w:val="left"/>
        <w:textAlignment w:val="auto"/>
        <w:rPr>
          <w:rFonts w:hint="eastAsia" w:ascii="Times New Roman" w:hAnsi="Times New Roman" w:eastAsia="仿宋_GB2312" w:cs="仿宋_GB2312"/>
          <w:color w:val="auto"/>
          <w:sz w:val="32"/>
          <w:szCs w:val="32"/>
          <w:highlight w:val="none"/>
        </w:rPr>
      </w:pPr>
      <w:bookmarkStart w:id="58" w:name="_Toc15396629"/>
      <w:r>
        <w:rPr>
          <w:rFonts w:hint="eastAsia" w:ascii="Times New Roman" w:hAnsi="Times New Roman" w:eastAsia="仿宋_GB2312" w:cs="仿宋_GB2312"/>
          <w:color w:val="auto"/>
          <w:sz w:val="32"/>
          <w:szCs w:val="32"/>
          <w:highlight w:val="none"/>
        </w:rPr>
        <w:t>十一、</w:t>
      </w:r>
      <w:bookmarkEnd w:id="58"/>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14:paraId="2CB5AA5F">
      <w:pPr>
        <w:pStyle w:val="17"/>
        <w:keepNext w:val="0"/>
        <w:keepLines w:val="0"/>
        <w:pageBreakBefore w:val="0"/>
        <w:kinsoku/>
        <w:wordWrap/>
        <w:overflowPunct/>
        <w:topLinePunct w:val="0"/>
        <w:autoSpaceDE/>
        <w:autoSpaceDN/>
        <w:bidi w:val="0"/>
        <w:adjustRightInd w:val="0"/>
        <w:snapToGrid w:val="0"/>
        <w:spacing w:line="560" w:lineRule="atLeast"/>
        <w:jc w:val="left"/>
        <w:textAlignment w:val="auto"/>
        <w:rPr>
          <w:rFonts w:hint="eastAsia" w:ascii="Times New Roman" w:hAnsi="Times New Roman" w:eastAsia="仿宋_GB2312" w:cs="仿宋_GB2312"/>
          <w:color w:val="auto"/>
          <w:sz w:val="32"/>
          <w:szCs w:val="32"/>
          <w:highlight w:val="none"/>
        </w:rPr>
      </w:pPr>
      <w:bookmarkStart w:id="59" w:name="_Toc15396630"/>
      <w:r>
        <w:rPr>
          <w:rFonts w:hint="eastAsia" w:ascii="Times New Roman" w:hAnsi="Times New Roman" w:eastAsia="仿宋_GB2312" w:cs="仿宋_GB2312"/>
          <w:color w:val="auto"/>
          <w:sz w:val="32"/>
          <w:szCs w:val="32"/>
          <w:highlight w:val="none"/>
        </w:rPr>
        <w:t>十二、</w:t>
      </w:r>
      <w:bookmarkEnd w:id="59"/>
      <w:r>
        <w:rPr>
          <w:rFonts w:hint="eastAsia" w:ascii="Times New Roman" w:hAnsi="Times New Roman" w:eastAsia="仿宋_GB2312" w:cs="仿宋_GB2312"/>
          <w:color w:val="auto"/>
          <w:sz w:val="32"/>
          <w:szCs w:val="32"/>
          <w:highlight w:val="none"/>
          <w:lang w:eastAsia="zh-CN"/>
        </w:rPr>
        <w:t>国有资本经营预算财政拨款支出决算表</w:t>
      </w:r>
    </w:p>
    <w:p w14:paraId="07B26F4E">
      <w:pPr>
        <w:pStyle w:val="17"/>
        <w:keepNext w:val="0"/>
        <w:keepLines w:val="0"/>
        <w:pageBreakBefore w:val="0"/>
        <w:kinsoku/>
        <w:wordWrap/>
        <w:overflowPunct/>
        <w:topLinePunct w:val="0"/>
        <w:autoSpaceDE/>
        <w:autoSpaceDN/>
        <w:bidi w:val="0"/>
        <w:adjustRightInd w:val="0"/>
        <w:snapToGrid w:val="0"/>
        <w:spacing w:line="560" w:lineRule="atLeast"/>
        <w:jc w:val="left"/>
        <w:textAlignment w:val="auto"/>
        <w:rPr>
          <w:rFonts w:hint="eastAsia" w:ascii="Times New Roman" w:hAnsi="Times New Roman" w:eastAsia="仿宋_GB2312" w:cs="仿宋_GB2312"/>
          <w:color w:val="auto"/>
          <w:sz w:val="32"/>
          <w:szCs w:val="32"/>
          <w:highlight w:val="none"/>
          <w:lang w:eastAsia="zh-CN"/>
        </w:rPr>
      </w:pPr>
      <w:bookmarkStart w:id="60" w:name="_Toc15396631"/>
      <w:r>
        <w:rPr>
          <w:rFonts w:hint="eastAsia" w:ascii="Times New Roman" w:hAnsi="Times New Roman" w:eastAsia="仿宋_GB2312" w:cs="仿宋_GB2312"/>
          <w:color w:val="auto"/>
          <w:sz w:val="32"/>
          <w:szCs w:val="32"/>
          <w:highlight w:val="none"/>
        </w:rPr>
        <w:t>十三、</w:t>
      </w:r>
      <w:bookmarkEnd w:id="60"/>
      <w:r>
        <w:rPr>
          <w:rFonts w:hint="eastAsia" w:ascii="Times New Roman" w:hAnsi="Times New Roman" w:eastAsia="仿宋_GB2312" w:cs="仿宋_GB2312"/>
          <w:color w:val="auto"/>
          <w:sz w:val="32"/>
          <w:szCs w:val="32"/>
          <w:highlight w:val="none"/>
          <w:lang w:eastAsia="zh-CN"/>
        </w:rPr>
        <w:t>财政拨款“三公”经费支出决算表</w:t>
      </w:r>
    </w:p>
    <w:p w14:paraId="63969D9B">
      <w:pPr>
        <w:pageBreakBefore w:val="0"/>
        <w:kinsoku/>
        <w:wordWrap/>
        <w:overflowPunct/>
        <w:topLinePunct w:val="0"/>
        <w:bidi w:val="0"/>
        <w:spacing w:line="560" w:lineRule="atLeast"/>
        <w:rPr>
          <w:rFonts w:hint="eastAsia" w:ascii="Times New Roman" w:hAnsi="Times New Roman"/>
          <w:lang w:eastAsia="zh-CN"/>
        </w:rPr>
      </w:pPr>
    </w:p>
    <w:p w14:paraId="2FAA05EA">
      <w:pPr>
        <w:pStyle w:val="17"/>
        <w:adjustRightInd w:val="0"/>
        <w:snapToGrid w:val="0"/>
        <w:spacing w:line="560" w:lineRule="exact"/>
        <w:ind w:left="1058" w:leftChars="504" w:firstLine="0" w:firstLineChars="0"/>
        <w:jc w:val="left"/>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eastAsia="zh-CN"/>
        </w:rPr>
        <w:t>附表</w:t>
      </w:r>
      <w:r>
        <w:rPr>
          <w:rFonts w:hint="eastAsia" w:ascii="仿宋" w:hAnsi="仿宋" w:eastAsia="仿宋" w:cs="仿宋"/>
          <w:b w:val="0"/>
          <w:bCs w:val="0"/>
          <w:sz w:val="32"/>
          <w:szCs w:val="32"/>
          <w:lang w:val="en-US" w:eastAsia="zh-CN"/>
        </w:rPr>
        <w:t>1：2025年阿坝州民族歌舞团决算公开表</w:t>
      </w:r>
    </w:p>
    <w:p w14:paraId="18499164">
      <w:pPr>
        <w:pStyle w:val="2"/>
        <w:rPr>
          <w:rFonts w:hint="eastAsia"/>
          <w:lang w:eastAsia="zh-CN"/>
        </w:rPr>
      </w:pPr>
    </w:p>
    <w:sectPr>
      <w:footerReference r:id="rId10" w:type="first"/>
      <w:headerReference r:id="rId8" w:type="default"/>
      <w:footerReference r:id="rId9"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Arial Unicode MS">
    <w:altName w:val="宋体"/>
    <w:panose1 w:val="020B0604020202020204"/>
    <w:charset w:val="86"/>
    <w:family w:val="swiss"/>
    <w:pitch w:val="default"/>
    <w:sig w:usb0="00000000" w:usb1="00000000" w:usb2="0000003F" w:usb3="00000000" w:csb0="003F01FF" w:csb1="00000000"/>
  </w:font>
  <w:font w:name="方正小标宋简体">
    <w:panose1 w:val="02010601030101010101"/>
    <w:charset w:val="86"/>
    <w:family w:val="script"/>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仿宋GB312">
    <w:altName w:val="仿宋"/>
    <w:panose1 w:val="00000000000000000000"/>
    <w:charset w:val="00"/>
    <w:family w:val="auto"/>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3E4011">
    <w:pPr>
      <w:pStyle w:val="12"/>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A1143B1">
                          <w:pPr>
                            <w:pStyle w:val="1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6A1143B1">
                    <w:pPr>
                      <w:pStyle w:val="12"/>
                    </w:pPr>
                    <w:r>
                      <w:fldChar w:fldCharType="begin"/>
                    </w:r>
                    <w:r>
                      <w:instrText xml:space="preserve"> PAGE  \* MERGEFORMAT </w:instrText>
                    </w:r>
                    <w:r>
                      <w:fldChar w:fldCharType="separate"/>
                    </w:r>
                    <w:r>
                      <w:t>1</w:t>
                    </w:r>
                    <w:r>
                      <w:fldChar w:fldCharType="end"/>
                    </w:r>
                  </w:p>
                </w:txbxContent>
              </v:textbox>
            </v:shape>
          </w:pict>
        </mc:Fallback>
      </mc:AlternateContent>
    </w:r>
  </w:p>
  <w:p w14:paraId="533140FE">
    <w:pPr>
      <w:pStyle w:val="1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E15D62">
    <w:pPr>
      <w:pStyle w:val="12"/>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63981F5">
                          <w:pPr>
                            <w:pStyle w:val="1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563981F5">
                    <w:pPr>
                      <w:pStyle w:val="12"/>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7078CE">
    <w:pPr>
      <w:pStyle w:val="12"/>
      <w:jc w:val="cente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9175BAE">
                          <w:pPr>
                            <w:pStyle w:val="1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14:paraId="59175BAE">
                    <w:pPr>
                      <w:pStyle w:val="12"/>
                    </w:pPr>
                    <w:r>
                      <w:fldChar w:fldCharType="begin"/>
                    </w:r>
                    <w:r>
                      <w:instrText xml:space="preserve"> PAGE  \* MERGEFORMAT </w:instrText>
                    </w:r>
                    <w:r>
                      <w:fldChar w:fldCharType="separate"/>
                    </w:r>
                    <w:r>
                      <w:t>1</w:t>
                    </w:r>
                    <w:r>
                      <w:fldChar w:fldCharType="end"/>
                    </w:r>
                  </w:p>
                </w:txbxContent>
              </v:textbox>
            </v:shape>
          </w:pict>
        </mc:Fallback>
      </mc:AlternateContent>
    </w:r>
  </w:p>
  <w:p w14:paraId="3B0C36E4">
    <w:pPr>
      <w:pStyle w:val="12"/>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CAE091">
    <w:pPr>
      <w:pStyle w:val="12"/>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F0D9385">
                          <w:pPr>
                            <w:pStyle w:val="1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14:paraId="6F0D9385">
                    <w:pPr>
                      <w:pStyle w:val="12"/>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A7FEF3">
    <w:pPr>
      <w:pStyle w:val="12"/>
      <w:jc w:val="center"/>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35CC2FC">
                          <w:pPr>
                            <w:pStyle w:val="1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735CC2FC">
                    <w:pPr>
                      <w:pStyle w:val="12"/>
                    </w:pPr>
                    <w:r>
                      <w:fldChar w:fldCharType="begin"/>
                    </w:r>
                    <w:r>
                      <w:instrText xml:space="preserve"> PAGE  \* MERGEFORMAT </w:instrText>
                    </w:r>
                    <w:r>
                      <w:fldChar w:fldCharType="separate"/>
                    </w:r>
                    <w:r>
                      <w:t>1</w:t>
                    </w:r>
                    <w:r>
                      <w:fldChar w:fldCharType="end"/>
                    </w:r>
                  </w:p>
                </w:txbxContent>
              </v:textbox>
            </v:shape>
          </w:pict>
        </mc:Fallback>
      </mc:AlternateContent>
    </w:r>
  </w:p>
  <w:p w14:paraId="66082FB3">
    <w:pPr>
      <w:pStyle w:val="12"/>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9DAD39">
    <w:pPr>
      <w:pStyle w:val="12"/>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D793913">
                          <w:pPr>
                            <w:pStyle w:val="1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1D793913">
                    <w:pPr>
                      <w:pStyle w:val="1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C7E14E">
    <w:pPr>
      <w:pStyle w:val="13"/>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C5F225">
    <w:pPr>
      <w:pStyle w:val="1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C39B488"/>
    <w:multiLevelType w:val="singleLevel"/>
    <w:tmpl w:val="8C39B488"/>
    <w:lvl w:ilvl="0" w:tentative="0">
      <w:start w:val="2"/>
      <w:numFmt w:val="chineseCounting"/>
      <w:suff w:val="nothing"/>
      <w:lvlText w:val="（%1）"/>
      <w:lvlJc w:val="left"/>
      <w:rPr>
        <w:rFonts w:hint="eastAsia"/>
      </w:rPr>
    </w:lvl>
  </w:abstractNum>
  <w:abstractNum w:abstractNumId="1">
    <w:nsid w:val="C20A859A"/>
    <w:multiLevelType w:val="singleLevel"/>
    <w:tmpl w:val="C20A859A"/>
    <w:lvl w:ilvl="0" w:tentative="0">
      <w:start w:val="1"/>
      <w:numFmt w:val="chineseCounting"/>
      <w:suff w:val="nothing"/>
      <w:lvlText w:val="%1、"/>
      <w:lvlJc w:val="left"/>
      <w:rPr>
        <w:rFonts w:hint="eastAsia"/>
      </w:rPr>
    </w:lvl>
  </w:abstractNum>
  <w:abstractNum w:abstractNumId="2">
    <w:nsid w:val="E395CFB6"/>
    <w:multiLevelType w:val="singleLevel"/>
    <w:tmpl w:val="E395CFB6"/>
    <w:lvl w:ilvl="0" w:tentative="0">
      <w:start w:val="1"/>
      <w:numFmt w:val="decimal"/>
      <w:pStyle w:val="10"/>
      <w:lvlText w:val="%1."/>
      <w:lvlJc w:val="left"/>
      <w:pPr>
        <w:tabs>
          <w:tab w:val="left" w:pos="2040"/>
        </w:tabs>
        <w:ind w:left="2040" w:hanging="360"/>
      </w:pPr>
    </w:lvl>
  </w:abstractNum>
  <w:abstractNum w:abstractNumId="3">
    <w:nsid w:val="053DEF50"/>
    <w:multiLevelType w:val="singleLevel"/>
    <w:tmpl w:val="053DEF50"/>
    <w:lvl w:ilvl="0" w:tentative="0">
      <w:start w:val="2"/>
      <w:numFmt w:val="chineseCounting"/>
      <w:suff w:val="nothing"/>
      <w:lvlText w:val="（%1）"/>
      <w:lvlJc w:val="left"/>
      <w:rPr>
        <w:rFonts w:hint="eastAsia"/>
      </w:rPr>
    </w:lvl>
  </w:abstractNum>
  <w:abstractNum w:abstractNumId="4">
    <w:nsid w:val="0DF064C6"/>
    <w:multiLevelType w:val="singleLevel"/>
    <w:tmpl w:val="0DF064C6"/>
    <w:lvl w:ilvl="0" w:tentative="0">
      <w:start w:val="1"/>
      <w:numFmt w:val="decimal"/>
      <w:lvlText w:val="%1."/>
      <w:lvlJc w:val="left"/>
      <w:pPr>
        <w:tabs>
          <w:tab w:val="left" w:pos="312"/>
        </w:tabs>
      </w:pPr>
    </w:lvl>
  </w:abstractNum>
  <w:abstractNum w:abstractNumId="5">
    <w:nsid w:val="1EFB722C"/>
    <w:multiLevelType w:val="singleLevel"/>
    <w:tmpl w:val="1EFB722C"/>
    <w:lvl w:ilvl="0" w:tentative="0">
      <w:start w:val="3"/>
      <w:numFmt w:val="chineseCounting"/>
      <w:suff w:val="nothing"/>
      <w:lvlText w:val="（%1）"/>
      <w:lvlJc w:val="left"/>
      <w:rPr>
        <w:rFonts w:hint="eastAsia"/>
      </w:rPr>
    </w:lvl>
  </w:abstractNum>
  <w:abstractNum w:abstractNumId="6">
    <w:nsid w:val="3AD977B7"/>
    <w:multiLevelType w:val="singleLevel"/>
    <w:tmpl w:val="3AD977B7"/>
    <w:lvl w:ilvl="0" w:tentative="0">
      <w:start w:val="2"/>
      <w:numFmt w:val="chineseCounting"/>
      <w:suff w:val="nothing"/>
      <w:lvlText w:val="（%1）"/>
      <w:lvlJc w:val="left"/>
      <w:rPr>
        <w:rFonts w:hint="eastAsia"/>
      </w:rPr>
    </w:lvl>
  </w:abstractNum>
  <w:abstractNum w:abstractNumId="7">
    <w:nsid w:val="593C0600"/>
    <w:multiLevelType w:val="singleLevel"/>
    <w:tmpl w:val="593C0600"/>
    <w:lvl w:ilvl="0" w:tentative="0">
      <w:start w:val="4"/>
      <w:numFmt w:val="chineseCounting"/>
      <w:suff w:val="nothing"/>
      <w:lvlText w:val="%1、"/>
      <w:lvlJc w:val="left"/>
      <w:rPr>
        <w:rFonts w:hint="eastAsia"/>
      </w:rPr>
    </w:lvl>
  </w:abstractNum>
  <w:num w:numId="1">
    <w:abstractNumId w:val="2"/>
  </w:num>
  <w:num w:numId="2">
    <w:abstractNumId w:val="1"/>
  </w:num>
  <w:num w:numId="3">
    <w:abstractNumId w:val="4"/>
  </w:num>
  <w:num w:numId="4">
    <w:abstractNumId w:val="0"/>
  </w:num>
  <w:num w:numId="5">
    <w:abstractNumId w:val="6"/>
  </w:num>
  <w:num w:numId="6">
    <w:abstractNumId w:val="3"/>
  </w:num>
  <w:num w:numId="7">
    <w:abstractNumId w:val="5"/>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4F496E"/>
    <w:rsid w:val="015975B8"/>
    <w:rsid w:val="01B20B48"/>
    <w:rsid w:val="02317B1B"/>
    <w:rsid w:val="023D178E"/>
    <w:rsid w:val="02431D08"/>
    <w:rsid w:val="024C2A88"/>
    <w:rsid w:val="02B20860"/>
    <w:rsid w:val="02FEBE30"/>
    <w:rsid w:val="032709C8"/>
    <w:rsid w:val="03595555"/>
    <w:rsid w:val="04155A4B"/>
    <w:rsid w:val="04996800"/>
    <w:rsid w:val="04F34238"/>
    <w:rsid w:val="05370260"/>
    <w:rsid w:val="061E35DE"/>
    <w:rsid w:val="06415432"/>
    <w:rsid w:val="06502FB6"/>
    <w:rsid w:val="066E0107"/>
    <w:rsid w:val="068346A3"/>
    <w:rsid w:val="076069FE"/>
    <w:rsid w:val="077010BF"/>
    <w:rsid w:val="07783C11"/>
    <w:rsid w:val="07996F6E"/>
    <w:rsid w:val="07DFD8BA"/>
    <w:rsid w:val="083C281C"/>
    <w:rsid w:val="08DB07E4"/>
    <w:rsid w:val="09867E8F"/>
    <w:rsid w:val="0A2032A3"/>
    <w:rsid w:val="0AAC796A"/>
    <w:rsid w:val="0C6C4794"/>
    <w:rsid w:val="0CA8290A"/>
    <w:rsid w:val="0CB06448"/>
    <w:rsid w:val="0CF6390D"/>
    <w:rsid w:val="0D35B1ED"/>
    <w:rsid w:val="0DE07E2B"/>
    <w:rsid w:val="0E8C7FD4"/>
    <w:rsid w:val="0EF13522"/>
    <w:rsid w:val="0F515A6B"/>
    <w:rsid w:val="0F98263C"/>
    <w:rsid w:val="101860EC"/>
    <w:rsid w:val="1055163A"/>
    <w:rsid w:val="10C055FF"/>
    <w:rsid w:val="111C627A"/>
    <w:rsid w:val="11772AA4"/>
    <w:rsid w:val="118107EC"/>
    <w:rsid w:val="12066136"/>
    <w:rsid w:val="1345672F"/>
    <w:rsid w:val="13D50BC4"/>
    <w:rsid w:val="140118B9"/>
    <w:rsid w:val="14022904"/>
    <w:rsid w:val="151C6CA1"/>
    <w:rsid w:val="152F2A07"/>
    <w:rsid w:val="15633B9C"/>
    <w:rsid w:val="165E0673"/>
    <w:rsid w:val="16695657"/>
    <w:rsid w:val="16B74615"/>
    <w:rsid w:val="16BB723D"/>
    <w:rsid w:val="17112096"/>
    <w:rsid w:val="178B0EF9"/>
    <w:rsid w:val="183870C1"/>
    <w:rsid w:val="186504BB"/>
    <w:rsid w:val="18F86290"/>
    <w:rsid w:val="1938089F"/>
    <w:rsid w:val="19A445FC"/>
    <w:rsid w:val="1A8518F8"/>
    <w:rsid w:val="1B7D550C"/>
    <w:rsid w:val="1BE8440E"/>
    <w:rsid w:val="1BF0336E"/>
    <w:rsid w:val="1CA3063F"/>
    <w:rsid w:val="1D155CEE"/>
    <w:rsid w:val="1DE51DA6"/>
    <w:rsid w:val="1DE5415D"/>
    <w:rsid w:val="1E231C8B"/>
    <w:rsid w:val="1E6C6D59"/>
    <w:rsid w:val="1E740ACF"/>
    <w:rsid w:val="1EE77A61"/>
    <w:rsid w:val="1F62156A"/>
    <w:rsid w:val="1FF35744"/>
    <w:rsid w:val="1FF6BC77"/>
    <w:rsid w:val="20E701EC"/>
    <w:rsid w:val="20EC337E"/>
    <w:rsid w:val="20F11CA4"/>
    <w:rsid w:val="210112AE"/>
    <w:rsid w:val="2120725A"/>
    <w:rsid w:val="21962A9E"/>
    <w:rsid w:val="21AE7C77"/>
    <w:rsid w:val="22AC06A2"/>
    <w:rsid w:val="22BC3C41"/>
    <w:rsid w:val="23226D6D"/>
    <w:rsid w:val="23860B96"/>
    <w:rsid w:val="240371BF"/>
    <w:rsid w:val="24045981"/>
    <w:rsid w:val="260F557C"/>
    <w:rsid w:val="27090EBD"/>
    <w:rsid w:val="27D33279"/>
    <w:rsid w:val="281408E2"/>
    <w:rsid w:val="293029AA"/>
    <w:rsid w:val="29730C45"/>
    <w:rsid w:val="29E45A08"/>
    <w:rsid w:val="29FD04D3"/>
    <w:rsid w:val="2A6141D9"/>
    <w:rsid w:val="2AB9262A"/>
    <w:rsid w:val="2AC46EA9"/>
    <w:rsid w:val="2AEA2DB3"/>
    <w:rsid w:val="2BFF7BC6"/>
    <w:rsid w:val="2C2E01D8"/>
    <w:rsid w:val="2C8A61B5"/>
    <w:rsid w:val="2CE514A7"/>
    <w:rsid w:val="2D2E01CF"/>
    <w:rsid w:val="2DF04E50"/>
    <w:rsid w:val="2E9545B0"/>
    <w:rsid w:val="2F040D46"/>
    <w:rsid w:val="2F672A78"/>
    <w:rsid w:val="2FA75FD5"/>
    <w:rsid w:val="2FAE5751"/>
    <w:rsid w:val="2FB1A395"/>
    <w:rsid w:val="2FD9A7D8"/>
    <w:rsid w:val="2FEA56D4"/>
    <w:rsid w:val="3007380B"/>
    <w:rsid w:val="3025663B"/>
    <w:rsid w:val="30D8589A"/>
    <w:rsid w:val="319F7F4E"/>
    <w:rsid w:val="31DC0F7C"/>
    <w:rsid w:val="321B2544"/>
    <w:rsid w:val="323A338C"/>
    <w:rsid w:val="329A6E6D"/>
    <w:rsid w:val="3304709D"/>
    <w:rsid w:val="331E47C6"/>
    <w:rsid w:val="333F5C66"/>
    <w:rsid w:val="33F22CD8"/>
    <w:rsid w:val="34281836"/>
    <w:rsid w:val="349D6851"/>
    <w:rsid w:val="353B5CCC"/>
    <w:rsid w:val="35A22AB8"/>
    <w:rsid w:val="35BA6CAF"/>
    <w:rsid w:val="364D14C1"/>
    <w:rsid w:val="36AA5135"/>
    <w:rsid w:val="36BE0DA7"/>
    <w:rsid w:val="372C602D"/>
    <w:rsid w:val="374C59AF"/>
    <w:rsid w:val="376B6AA6"/>
    <w:rsid w:val="376D39B2"/>
    <w:rsid w:val="37E16F03"/>
    <w:rsid w:val="37F53A3B"/>
    <w:rsid w:val="389B6C89"/>
    <w:rsid w:val="38B35F6C"/>
    <w:rsid w:val="38D469F0"/>
    <w:rsid w:val="38E50641"/>
    <w:rsid w:val="39627CCD"/>
    <w:rsid w:val="397BAF1F"/>
    <w:rsid w:val="3982065B"/>
    <w:rsid w:val="398D62E7"/>
    <w:rsid w:val="3A055CC4"/>
    <w:rsid w:val="3AB79AF3"/>
    <w:rsid w:val="3AE37060"/>
    <w:rsid w:val="3B1D770A"/>
    <w:rsid w:val="3B7EF35A"/>
    <w:rsid w:val="3B8561E0"/>
    <w:rsid w:val="3B9FDB6C"/>
    <w:rsid w:val="3BF5BC2F"/>
    <w:rsid w:val="3C1C65B1"/>
    <w:rsid w:val="3C7E1837"/>
    <w:rsid w:val="3CBB341B"/>
    <w:rsid w:val="3CEBA265"/>
    <w:rsid w:val="3D574570"/>
    <w:rsid w:val="3D762F02"/>
    <w:rsid w:val="3D98207C"/>
    <w:rsid w:val="3D9B0D99"/>
    <w:rsid w:val="3DEE7CF3"/>
    <w:rsid w:val="3DF02244"/>
    <w:rsid w:val="3E410AE4"/>
    <w:rsid w:val="3E78745D"/>
    <w:rsid w:val="3EF96368"/>
    <w:rsid w:val="3F171845"/>
    <w:rsid w:val="3F473ED8"/>
    <w:rsid w:val="3FF4CAE0"/>
    <w:rsid w:val="3FF7B227"/>
    <w:rsid w:val="40385F17"/>
    <w:rsid w:val="40833388"/>
    <w:rsid w:val="40891C7B"/>
    <w:rsid w:val="40B60E6E"/>
    <w:rsid w:val="40E54C45"/>
    <w:rsid w:val="41A31919"/>
    <w:rsid w:val="42523B3B"/>
    <w:rsid w:val="425C1690"/>
    <w:rsid w:val="42DB0B59"/>
    <w:rsid w:val="42EB4627"/>
    <w:rsid w:val="43157101"/>
    <w:rsid w:val="43A407DF"/>
    <w:rsid w:val="43DF1E62"/>
    <w:rsid w:val="44515BEA"/>
    <w:rsid w:val="44E268DA"/>
    <w:rsid w:val="453F7E5B"/>
    <w:rsid w:val="47566FCC"/>
    <w:rsid w:val="486A6C7A"/>
    <w:rsid w:val="48853E70"/>
    <w:rsid w:val="48EE06B5"/>
    <w:rsid w:val="49176D9B"/>
    <w:rsid w:val="49861CBE"/>
    <w:rsid w:val="4A37282C"/>
    <w:rsid w:val="4A627F82"/>
    <w:rsid w:val="4B0E749A"/>
    <w:rsid w:val="4B4F25DA"/>
    <w:rsid w:val="4B521B91"/>
    <w:rsid w:val="4B7E50FD"/>
    <w:rsid w:val="4BC36708"/>
    <w:rsid w:val="4BDA0CFB"/>
    <w:rsid w:val="4BE068DB"/>
    <w:rsid w:val="4C351C37"/>
    <w:rsid w:val="4C846E35"/>
    <w:rsid w:val="4CA16E96"/>
    <w:rsid w:val="4CEC141F"/>
    <w:rsid w:val="4D2B4E39"/>
    <w:rsid w:val="4D3C0CCC"/>
    <w:rsid w:val="4D577224"/>
    <w:rsid w:val="4DBF1CEB"/>
    <w:rsid w:val="4EAB630A"/>
    <w:rsid w:val="4ECE2238"/>
    <w:rsid w:val="4F833267"/>
    <w:rsid w:val="4FE335F9"/>
    <w:rsid w:val="4FE9BD67"/>
    <w:rsid w:val="4FFB052F"/>
    <w:rsid w:val="500A5FB5"/>
    <w:rsid w:val="503E6C32"/>
    <w:rsid w:val="50E30778"/>
    <w:rsid w:val="53074969"/>
    <w:rsid w:val="53083A92"/>
    <w:rsid w:val="53311592"/>
    <w:rsid w:val="537E6D0A"/>
    <w:rsid w:val="53876B42"/>
    <w:rsid w:val="53AF27A2"/>
    <w:rsid w:val="53CF48A7"/>
    <w:rsid w:val="53F74C96"/>
    <w:rsid w:val="562F7503"/>
    <w:rsid w:val="56E47B74"/>
    <w:rsid w:val="570F1328"/>
    <w:rsid w:val="57BD3DD4"/>
    <w:rsid w:val="58847AF3"/>
    <w:rsid w:val="58C46E3D"/>
    <w:rsid w:val="59E448FA"/>
    <w:rsid w:val="5AF8379E"/>
    <w:rsid w:val="5AF92295"/>
    <w:rsid w:val="5BDD79E6"/>
    <w:rsid w:val="5BE02947"/>
    <w:rsid w:val="5BF561CA"/>
    <w:rsid w:val="5BFF5DFC"/>
    <w:rsid w:val="5C0C22DA"/>
    <w:rsid w:val="5C594DF3"/>
    <w:rsid w:val="5CD71FC4"/>
    <w:rsid w:val="5D1F11B5"/>
    <w:rsid w:val="5D4F6922"/>
    <w:rsid w:val="5D5D7D54"/>
    <w:rsid w:val="5DAE1B18"/>
    <w:rsid w:val="5DE7D9E5"/>
    <w:rsid w:val="5E3C677A"/>
    <w:rsid w:val="5EC73BE1"/>
    <w:rsid w:val="5ECE7FFF"/>
    <w:rsid w:val="5ECEC941"/>
    <w:rsid w:val="5EDC4FA5"/>
    <w:rsid w:val="5F493CB7"/>
    <w:rsid w:val="5FBF9FF3"/>
    <w:rsid w:val="5FC50E45"/>
    <w:rsid w:val="5FCD4E2C"/>
    <w:rsid w:val="5FD15F49"/>
    <w:rsid w:val="5FDC5778"/>
    <w:rsid w:val="5FEF394A"/>
    <w:rsid w:val="5FF67715"/>
    <w:rsid w:val="60161335"/>
    <w:rsid w:val="60A2320D"/>
    <w:rsid w:val="6114688D"/>
    <w:rsid w:val="61755597"/>
    <w:rsid w:val="618525F4"/>
    <w:rsid w:val="61954E52"/>
    <w:rsid w:val="61BC20CC"/>
    <w:rsid w:val="61C32AD7"/>
    <w:rsid w:val="622A5268"/>
    <w:rsid w:val="62BF3928"/>
    <w:rsid w:val="62FA2CDF"/>
    <w:rsid w:val="63263B05"/>
    <w:rsid w:val="633D7476"/>
    <w:rsid w:val="640B48FA"/>
    <w:rsid w:val="647F5392"/>
    <w:rsid w:val="654D7C2E"/>
    <w:rsid w:val="664B1D71"/>
    <w:rsid w:val="66756CCD"/>
    <w:rsid w:val="668557CF"/>
    <w:rsid w:val="6789035F"/>
    <w:rsid w:val="67AA3209"/>
    <w:rsid w:val="681C4F0D"/>
    <w:rsid w:val="68821E0D"/>
    <w:rsid w:val="68EB2567"/>
    <w:rsid w:val="69046D0F"/>
    <w:rsid w:val="694E373D"/>
    <w:rsid w:val="698D0931"/>
    <w:rsid w:val="6A344A67"/>
    <w:rsid w:val="6A993CED"/>
    <w:rsid w:val="6B053271"/>
    <w:rsid w:val="6BCE6674"/>
    <w:rsid w:val="6C4A05C8"/>
    <w:rsid w:val="6C8742B8"/>
    <w:rsid w:val="6C8A170F"/>
    <w:rsid w:val="6CB54609"/>
    <w:rsid w:val="6CC24780"/>
    <w:rsid w:val="6DBF5E93"/>
    <w:rsid w:val="6DFF077E"/>
    <w:rsid w:val="6E7E3605"/>
    <w:rsid w:val="6E7FDCC7"/>
    <w:rsid w:val="6ED3691C"/>
    <w:rsid w:val="6ED6A62E"/>
    <w:rsid w:val="6EE00B15"/>
    <w:rsid w:val="6F544B20"/>
    <w:rsid w:val="6F6FB3EB"/>
    <w:rsid w:val="6F784160"/>
    <w:rsid w:val="6F8731EA"/>
    <w:rsid w:val="6F9E6487"/>
    <w:rsid w:val="6FCE6052"/>
    <w:rsid w:val="6FD57C00"/>
    <w:rsid w:val="6FEFFFD8"/>
    <w:rsid w:val="6FF5CC65"/>
    <w:rsid w:val="6FFB47EC"/>
    <w:rsid w:val="6FFF034A"/>
    <w:rsid w:val="70496804"/>
    <w:rsid w:val="712A28F1"/>
    <w:rsid w:val="715C0E4B"/>
    <w:rsid w:val="71ED27DB"/>
    <w:rsid w:val="72233669"/>
    <w:rsid w:val="72734D90"/>
    <w:rsid w:val="7332FE48"/>
    <w:rsid w:val="737722D7"/>
    <w:rsid w:val="73AB61DA"/>
    <w:rsid w:val="73AD73D5"/>
    <w:rsid w:val="73B6EB34"/>
    <w:rsid w:val="73FA497D"/>
    <w:rsid w:val="744731E5"/>
    <w:rsid w:val="74527205"/>
    <w:rsid w:val="74BBD01D"/>
    <w:rsid w:val="74ED5379"/>
    <w:rsid w:val="74FC2395"/>
    <w:rsid w:val="75145ABE"/>
    <w:rsid w:val="75C37A55"/>
    <w:rsid w:val="75DEEEC2"/>
    <w:rsid w:val="767D7DFF"/>
    <w:rsid w:val="76E2215D"/>
    <w:rsid w:val="76E3355F"/>
    <w:rsid w:val="76FF5125"/>
    <w:rsid w:val="776F6FFA"/>
    <w:rsid w:val="778769C8"/>
    <w:rsid w:val="77DC22F5"/>
    <w:rsid w:val="7872564B"/>
    <w:rsid w:val="79086DAD"/>
    <w:rsid w:val="79206F6D"/>
    <w:rsid w:val="79974F09"/>
    <w:rsid w:val="79CE61CE"/>
    <w:rsid w:val="79D63251"/>
    <w:rsid w:val="79D7FD79"/>
    <w:rsid w:val="79EE5BA4"/>
    <w:rsid w:val="7A1C7E11"/>
    <w:rsid w:val="7A894339"/>
    <w:rsid w:val="7AFF7572"/>
    <w:rsid w:val="7B6C7DFB"/>
    <w:rsid w:val="7BBFBED0"/>
    <w:rsid w:val="7BC3E394"/>
    <w:rsid w:val="7BEB1B11"/>
    <w:rsid w:val="7C1F3737"/>
    <w:rsid w:val="7C9747AA"/>
    <w:rsid w:val="7CBFC87B"/>
    <w:rsid w:val="7CFE0F48"/>
    <w:rsid w:val="7D7EC23E"/>
    <w:rsid w:val="7D916348"/>
    <w:rsid w:val="7DAB3300"/>
    <w:rsid w:val="7E8ADEBF"/>
    <w:rsid w:val="7EDC08CE"/>
    <w:rsid w:val="7EEF11D3"/>
    <w:rsid w:val="7F0971A6"/>
    <w:rsid w:val="7F3F679B"/>
    <w:rsid w:val="7F4FC4EF"/>
    <w:rsid w:val="7F5E4D54"/>
    <w:rsid w:val="7F6E0135"/>
    <w:rsid w:val="7F954DBA"/>
    <w:rsid w:val="7FA30C79"/>
    <w:rsid w:val="7FAF8ABF"/>
    <w:rsid w:val="7FB7269E"/>
    <w:rsid w:val="7FC96657"/>
    <w:rsid w:val="7FDA9588"/>
    <w:rsid w:val="7FDF220F"/>
    <w:rsid w:val="7FEDC5F7"/>
    <w:rsid w:val="7FEDD9DE"/>
    <w:rsid w:val="7FF359CB"/>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qFormat="1"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qFormat="1" w:unhideWhenUsed="0" w:uiPriority="99"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31"/>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32"/>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5"/>
    <w:unhideWhenUsed/>
    <w:qFormat/>
    <w:uiPriority w:val="9"/>
    <w:pPr>
      <w:keepNext/>
      <w:keepLines/>
      <w:spacing w:before="260" w:after="260" w:line="416" w:lineRule="auto"/>
      <w:outlineLvl w:val="2"/>
    </w:pPr>
    <w:rPr>
      <w:b/>
      <w:bCs/>
      <w:sz w:val="32"/>
      <w:szCs w:val="32"/>
    </w:rPr>
  </w:style>
  <w:style w:type="character" w:default="1" w:styleId="20">
    <w:name w:val="Default Paragraph Font"/>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customStyle="1" w:styleId="2">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paragraph" w:styleId="6">
    <w:name w:val="Body Text"/>
    <w:basedOn w:val="1"/>
    <w:link w:val="28"/>
    <w:qFormat/>
    <w:uiPriority w:val="99"/>
    <w:pPr>
      <w:spacing w:beforeLines="30"/>
    </w:pPr>
    <w:rPr>
      <w:rFonts w:ascii="仿宋_GB2312" w:eastAsia="仿宋_GB2312"/>
      <w:kern w:val="0"/>
      <w:sz w:val="30"/>
    </w:rPr>
  </w:style>
  <w:style w:type="paragraph" w:styleId="7">
    <w:name w:val="Body Text Indent"/>
    <w:basedOn w:val="1"/>
    <w:qFormat/>
    <w:uiPriority w:val="0"/>
    <w:pPr>
      <w:spacing w:after="120"/>
      <w:ind w:leftChars="200"/>
    </w:pPr>
    <w:rPr>
      <w:rFonts w:ascii="仿宋_GB2312"/>
      <w:szCs w:val="32"/>
    </w:rPr>
  </w:style>
  <w:style w:type="paragraph" w:styleId="8">
    <w:name w:val="toc 3"/>
    <w:basedOn w:val="1"/>
    <w:next w:val="1"/>
    <w:unhideWhenUsed/>
    <w:qFormat/>
    <w:uiPriority w:val="39"/>
    <w:pPr>
      <w:tabs>
        <w:tab w:val="right" w:leader="dot" w:pos="8296"/>
      </w:tabs>
      <w:ind w:left="840" w:leftChars="400"/>
    </w:pPr>
  </w:style>
  <w:style w:type="paragraph" w:styleId="9">
    <w:name w:val="Plain Text"/>
    <w:basedOn w:val="1"/>
    <w:next w:val="10"/>
    <w:qFormat/>
    <w:uiPriority w:val="99"/>
    <w:rPr>
      <w:rFonts w:ascii="宋体" w:hAnsi="Courier New"/>
      <w:szCs w:val="21"/>
    </w:rPr>
  </w:style>
  <w:style w:type="paragraph" w:styleId="10">
    <w:name w:val="List Number 5"/>
    <w:basedOn w:val="1"/>
    <w:semiHidden/>
    <w:unhideWhenUsed/>
    <w:qFormat/>
    <w:uiPriority w:val="99"/>
    <w:pPr>
      <w:numPr>
        <w:ilvl w:val="0"/>
        <w:numId w:val="1"/>
      </w:numPr>
    </w:pPr>
  </w:style>
  <w:style w:type="paragraph" w:styleId="11">
    <w:name w:val="Balloon Text"/>
    <w:basedOn w:val="1"/>
    <w:link w:val="34"/>
    <w:semiHidden/>
    <w:unhideWhenUsed/>
    <w:qFormat/>
    <w:uiPriority w:val="99"/>
    <w:rPr>
      <w:sz w:val="18"/>
      <w:szCs w:val="18"/>
    </w:rPr>
  </w:style>
  <w:style w:type="paragraph" w:styleId="12">
    <w:name w:val="footer"/>
    <w:basedOn w:val="1"/>
    <w:link w:val="26"/>
    <w:qFormat/>
    <w:uiPriority w:val="99"/>
    <w:pPr>
      <w:tabs>
        <w:tab w:val="center" w:pos="4153"/>
        <w:tab w:val="right" w:pos="8306"/>
      </w:tabs>
      <w:snapToGrid w:val="0"/>
      <w:jc w:val="left"/>
    </w:pPr>
    <w:rPr>
      <w:rFonts w:ascii="Calibri" w:hAnsi="Calibri"/>
      <w:kern w:val="0"/>
      <w:sz w:val="18"/>
      <w:szCs w:val="18"/>
    </w:rPr>
  </w:style>
  <w:style w:type="paragraph" w:styleId="13">
    <w:name w:val="header"/>
    <w:basedOn w:val="1"/>
    <w:link w:val="24"/>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4">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5">
    <w:name w:val="footnote text"/>
    <w:basedOn w:val="1"/>
    <w:next w:val="16"/>
    <w:semiHidden/>
    <w:qFormat/>
    <w:uiPriority w:val="0"/>
    <w:pPr>
      <w:snapToGrid w:val="0"/>
      <w:jc w:val="left"/>
    </w:pPr>
    <w:rPr>
      <w:sz w:val="18"/>
      <w:szCs w:val="18"/>
    </w:rPr>
  </w:style>
  <w:style w:type="paragraph" w:styleId="16">
    <w:name w:val="Body Text First Indent 2"/>
    <w:basedOn w:val="7"/>
    <w:unhideWhenUsed/>
    <w:qFormat/>
    <w:uiPriority w:val="99"/>
    <w:pPr>
      <w:ind w:firstLine="420" w:firstLineChars="200"/>
    </w:pPr>
  </w:style>
  <w:style w:type="paragraph" w:styleId="17">
    <w:name w:val="toc 2"/>
    <w:basedOn w:val="1"/>
    <w:next w:val="1"/>
    <w:unhideWhenUsed/>
    <w:qFormat/>
    <w:uiPriority w:val="39"/>
    <w:pPr>
      <w:tabs>
        <w:tab w:val="right" w:leader="dot" w:pos="8296"/>
      </w:tabs>
      <w:ind w:left="420" w:leftChars="200"/>
    </w:pPr>
  </w:style>
  <w:style w:type="paragraph" w:styleId="18">
    <w:name w:val="Normal (Web)"/>
    <w:basedOn w:val="1"/>
    <w:qFormat/>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kern w:val="0"/>
      <w:sz w:val="24"/>
      <w:lang w:val="en-US" w:eastAsia="zh-CN" w:bidi="ar"/>
    </w:rPr>
  </w:style>
  <w:style w:type="character" w:styleId="21">
    <w:name w:val="Strong"/>
    <w:basedOn w:val="20"/>
    <w:qFormat/>
    <w:uiPriority w:val="99"/>
    <w:rPr>
      <w:b/>
    </w:rPr>
  </w:style>
  <w:style w:type="character" w:styleId="22">
    <w:name w:val="Hyperlink"/>
    <w:basedOn w:val="20"/>
    <w:unhideWhenUsed/>
    <w:qFormat/>
    <w:uiPriority w:val="99"/>
    <w:rPr>
      <w:color w:val="0000FF" w:themeColor="hyperlink"/>
      <w:u w:val="single"/>
      <w14:textFill>
        <w14:solidFill>
          <w14:schemeClr w14:val="hlink"/>
        </w14:solidFill>
      </w14:textFill>
    </w:rPr>
  </w:style>
  <w:style w:type="character" w:customStyle="1" w:styleId="23">
    <w:name w:val="Header Char"/>
    <w:basedOn w:val="20"/>
    <w:semiHidden/>
    <w:qFormat/>
    <w:uiPriority w:val="99"/>
    <w:rPr>
      <w:rFonts w:ascii="Times New Roman" w:hAnsi="Times New Roman"/>
      <w:sz w:val="18"/>
      <w:szCs w:val="18"/>
    </w:rPr>
  </w:style>
  <w:style w:type="character" w:customStyle="1" w:styleId="24">
    <w:name w:val="页眉 Char"/>
    <w:link w:val="13"/>
    <w:semiHidden/>
    <w:qFormat/>
    <w:locked/>
    <w:uiPriority w:val="99"/>
    <w:rPr>
      <w:sz w:val="18"/>
    </w:rPr>
  </w:style>
  <w:style w:type="character" w:customStyle="1" w:styleId="25">
    <w:name w:val="Footer Char"/>
    <w:basedOn w:val="20"/>
    <w:semiHidden/>
    <w:qFormat/>
    <w:uiPriority w:val="99"/>
    <w:rPr>
      <w:rFonts w:ascii="Times New Roman" w:hAnsi="Times New Roman"/>
      <w:sz w:val="18"/>
      <w:szCs w:val="18"/>
    </w:rPr>
  </w:style>
  <w:style w:type="character" w:customStyle="1" w:styleId="26">
    <w:name w:val="页脚 Char"/>
    <w:link w:val="12"/>
    <w:qFormat/>
    <w:locked/>
    <w:uiPriority w:val="99"/>
    <w:rPr>
      <w:sz w:val="18"/>
    </w:rPr>
  </w:style>
  <w:style w:type="character" w:customStyle="1" w:styleId="27">
    <w:name w:val="Body Text Char"/>
    <w:basedOn w:val="20"/>
    <w:semiHidden/>
    <w:qFormat/>
    <w:uiPriority w:val="99"/>
    <w:rPr>
      <w:rFonts w:ascii="Times New Roman" w:hAnsi="Times New Roman"/>
      <w:szCs w:val="24"/>
    </w:rPr>
  </w:style>
  <w:style w:type="character" w:customStyle="1" w:styleId="28">
    <w:name w:val="正文文本 Char"/>
    <w:link w:val="6"/>
    <w:qFormat/>
    <w:locked/>
    <w:uiPriority w:val="99"/>
    <w:rPr>
      <w:rFonts w:ascii="仿宋_GB2312" w:hAnsi="Times New Roman" w:eastAsia="仿宋_GB2312"/>
      <w:sz w:val="24"/>
    </w:rPr>
  </w:style>
  <w:style w:type="paragraph" w:customStyle="1" w:styleId="29">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30">
    <w:name w:val="List Paragraph"/>
    <w:basedOn w:val="1"/>
    <w:qFormat/>
    <w:uiPriority w:val="34"/>
    <w:pPr>
      <w:ind w:firstLine="420" w:firstLineChars="200"/>
    </w:pPr>
  </w:style>
  <w:style w:type="character" w:customStyle="1" w:styleId="31">
    <w:name w:val="标题 1 Char"/>
    <w:basedOn w:val="20"/>
    <w:link w:val="3"/>
    <w:qFormat/>
    <w:uiPriority w:val="9"/>
    <w:rPr>
      <w:rFonts w:ascii="Times New Roman" w:hAnsi="Times New Roman"/>
      <w:b/>
      <w:bCs/>
      <w:kern w:val="44"/>
      <w:sz w:val="44"/>
      <w:szCs w:val="44"/>
    </w:rPr>
  </w:style>
  <w:style w:type="character" w:customStyle="1" w:styleId="32">
    <w:name w:val="标题 2 Char"/>
    <w:basedOn w:val="20"/>
    <w:link w:val="4"/>
    <w:qFormat/>
    <w:uiPriority w:val="9"/>
    <w:rPr>
      <w:rFonts w:asciiTheme="majorHAnsi" w:hAnsiTheme="majorHAnsi" w:eastAsiaTheme="majorEastAsia" w:cstheme="majorBidi"/>
      <w:b/>
      <w:bCs/>
      <w:kern w:val="2"/>
      <w:sz w:val="32"/>
      <w:szCs w:val="32"/>
    </w:rPr>
  </w:style>
  <w:style w:type="paragraph" w:customStyle="1" w:styleId="33">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4">
    <w:name w:val="批注框文本 Char"/>
    <w:basedOn w:val="20"/>
    <w:link w:val="11"/>
    <w:semiHidden/>
    <w:qFormat/>
    <w:uiPriority w:val="99"/>
    <w:rPr>
      <w:rFonts w:ascii="Times New Roman" w:hAnsi="Times New Roman"/>
      <w:kern w:val="2"/>
      <w:sz w:val="18"/>
      <w:szCs w:val="18"/>
    </w:rPr>
  </w:style>
  <w:style w:type="character" w:customStyle="1" w:styleId="35">
    <w:name w:val="标题 3 Char"/>
    <w:basedOn w:val="20"/>
    <w:link w:val="5"/>
    <w:qFormat/>
    <w:uiPriority w:val="9"/>
    <w:rPr>
      <w:rFonts w:ascii="Times New Roman" w:hAnsi="Times New Roman"/>
      <w:b/>
      <w:bCs/>
      <w:kern w:val="2"/>
      <w:sz w:val="32"/>
      <w:szCs w:val="32"/>
    </w:rPr>
  </w:style>
  <w:style w:type="paragraph" w:customStyle="1" w:styleId="36">
    <w:name w:val="TOC Heading"/>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7">
    <w:name w:val="四号正文"/>
    <w:basedOn w:val="1"/>
    <w:qFormat/>
    <w:uiPriority w:val="0"/>
    <w:pPr>
      <w:spacing w:line="360" w:lineRule="auto"/>
    </w:pPr>
    <w:rPr>
      <w:rFonts w:ascii="??" w:hAnsi="??" w:eastAsia="宋体"/>
      <w:color w:val="000000"/>
      <w:kern w:val="0"/>
      <w:sz w:val="28"/>
      <w:szCs w:val="21"/>
      <w:lang w:val="zh-CN" w:eastAsia="zh-CN"/>
    </w:rPr>
  </w:style>
  <w:style w:type="paragraph" w:customStyle="1" w:styleId="38">
    <w:name w:val="普通(网站) Char"/>
    <w:basedOn w:val="1"/>
    <w:qFormat/>
    <w:uiPriority w:val="0"/>
    <w:pPr>
      <w:widowControl/>
      <w:spacing w:before="100" w:beforeAutospacing="1" w:after="100" w:afterAutospacing="1"/>
      <w:jc w:val="left"/>
    </w:pPr>
    <w:rPr>
      <w:rFonts w:ascii="宋体" w:hAnsi="宋体" w:cs="宋体"/>
      <w:kern w:val="0"/>
      <w:sz w:val="24"/>
    </w:rPr>
  </w:style>
  <w:style w:type="paragraph" w:customStyle="1" w:styleId="39">
    <w:name w:val="文档正文"/>
    <w:basedOn w:val="1"/>
    <w:qFormat/>
    <w:uiPriority w:val="0"/>
    <w:pPr>
      <w:spacing w:line="480" w:lineRule="atLeast"/>
    </w:pPr>
    <w:rPr>
      <w:rFonts w:ascii="Arial" w:hAnsi="Arial" w:eastAsia="Arial Unicode MS"/>
      <w:color w:val="000000"/>
      <w:kern w:val="0"/>
      <w:szCs w:val="21"/>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header" Target="header2.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chart" Target="charts/chart7.xml"/><Relationship Id="rId17" Type="http://schemas.openxmlformats.org/officeDocument/2006/relationships/chart" Target="charts/chart6.xml"/><Relationship Id="rId16" Type="http://schemas.openxmlformats.org/officeDocument/2006/relationships/chart" Target="charts/chart5.xml"/><Relationship Id="rId15" Type="http://schemas.openxmlformats.org/officeDocument/2006/relationships/chart" Target="charts/chart4.xml"/><Relationship Id="rId14" Type="http://schemas.openxmlformats.org/officeDocument/2006/relationships/chart" Target="charts/chart3.xml"/><Relationship Id="rId13" Type="http://schemas.openxmlformats.org/officeDocument/2006/relationships/chart" Target="charts/chart2.xml"/><Relationship Id="rId12" Type="http://schemas.openxmlformats.org/officeDocument/2006/relationships/chart" Target="charts/chart1.xml"/><Relationship Id="rId11" Type="http://schemas.openxmlformats.org/officeDocument/2006/relationships/theme" Target="theme/theme1.xml"/><Relationship Id="rId10" Type="http://schemas.openxmlformats.org/officeDocument/2006/relationships/footer" Target="footer6.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2.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3.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package" Target="../embeddings/Workbook7.xlsx"/></Relationships>
</file>

<file path=word/charts/_rels/chart4.xml.rels><?xml version="1.0" encoding="UTF-8" standalone="yes"?>
<Relationships xmlns="http://schemas.openxmlformats.org/package/2006/relationships"><Relationship Id="rId4" Type="http://schemas.microsoft.com/office/2011/relationships/chartColorStyle" Target="colors4.xml"/><Relationship Id="rId3" Type="http://schemas.microsoft.com/office/2011/relationships/chartStyle" Target="style4.xml"/><Relationship Id="rId2" Type="http://schemas.openxmlformats.org/officeDocument/2006/relationships/themeOverride" Target="../theme/themeOverride3.xml"/><Relationship Id="rId1" Type="http://schemas.openxmlformats.org/officeDocument/2006/relationships/package" Target="../embeddings/Workbook4.xlsx"/></Relationships>
</file>

<file path=word/charts/_rels/chart5.xml.rels><?xml version="1.0" encoding="UTF-8" standalone="yes"?>
<Relationships xmlns="http://schemas.openxmlformats.org/package/2006/relationships"><Relationship Id="rId4" Type="http://schemas.microsoft.com/office/2011/relationships/chartColorStyle" Target="colors6.xml"/><Relationship Id="rId3" Type="http://schemas.microsoft.com/office/2011/relationships/chartStyle" Target="style6.xml"/><Relationship Id="rId2" Type="http://schemas.openxmlformats.org/officeDocument/2006/relationships/themeOverride" Target="../theme/themeOverride4.xml"/><Relationship Id="rId1" Type="http://schemas.openxmlformats.org/officeDocument/2006/relationships/package" Target="../embeddings/Workbook6.xlsx"/></Relationships>
</file>

<file path=word/charts/_rels/chart6.xml.rels><?xml version="1.0" encoding="UTF-8" standalone="yes"?>
<Relationships xmlns="http://schemas.openxmlformats.org/package/2006/relationships"><Relationship Id="rId4" Type="http://schemas.microsoft.com/office/2011/relationships/chartColorStyle" Target="colors1.xml"/><Relationship Id="rId3" Type="http://schemas.microsoft.com/office/2011/relationships/chartStyle" Target="style1.xml"/><Relationship Id="rId2" Type="http://schemas.openxmlformats.org/officeDocument/2006/relationships/themeOverride" Target="../theme/themeOverride1.xml"/><Relationship Id="rId1" Type="http://schemas.openxmlformats.org/officeDocument/2006/relationships/package" Target="../embeddings/Workbook1.xlsx"/></Relationships>
</file>

<file path=word/charts/_rels/chart7.xml.rels><?xml version="1.0" encoding="UTF-8" standalone="yes"?>
<Relationships xmlns="http://schemas.openxmlformats.org/package/2006/relationships"><Relationship Id="rId4" Type="http://schemas.microsoft.com/office/2011/relationships/chartColorStyle" Target="colors3.xml"/><Relationship Id="rId3" Type="http://schemas.microsoft.com/office/2011/relationships/chartStyle" Target="style3.xml"/><Relationship Id="rId2" Type="http://schemas.openxmlformats.org/officeDocument/2006/relationships/themeOverride" Target="../theme/themeOverride2.xml"/><Relationship Id="rId1" Type="http://schemas.openxmlformats.org/officeDocument/2006/relationships/package" Target="../embeddings/Workbook3.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2024年 </c:v>
                </c:pt>
              </c:strCache>
            </c:strRef>
          </c:tx>
          <c:spPr>
            <a:solidFill>
              <a:schemeClr val="accent1"/>
            </a:solidFill>
            <a:ln>
              <a:noFill/>
            </a:ln>
            <a:effectLst/>
          </c:spPr>
          <c:invertIfNegative val="0"/>
          <c:dLbls>
            <c:dLbl>
              <c:idx val="0"/>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rPr lang="en-US" altLang="zh-CN"/>
                      <a:t>3261.33</a:t>
                    </a:r>
                    <a:r>
                      <a:t>万元</a:t>
                    </a:r>
                  </a:p>
                </c:rich>
              </c:tx>
              <c:dLblPos val="outEnd"/>
              <c:showLegendKey val="0"/>
              <c:showVal val="1"/>
              <c:showCatName val="0"/>
              <c:showSerName val="0"/>
              <c:showPercent val="0"/>
              <c:showBubbleSize val="0"/>
              <c:extLst>
                <c:ext xmlns:c15="http://schemas.microsoft.com/office/drawing/2012/chart" uri="{CE6537A1-D6FC-4f65-9D91-7224C49458BB}"/>
              </c:extLst>
            </c:dLbl>
            <c:dLbl>
              <c:idx val="1"/>
              <c:layout>
                <c:manualLayout>
                  <c:x val="0.0012058362474376"/>
                  <c:y val="0"/>
                </c:manualLayout>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rPr lang="en-US" altLang="zh-CN"/>
                      <a:t>3261.33</a:t>
                    </a:r>
                    <a:r>
                      <a:t>万元</a:t>
                    </a:r>
                  </a:p>
                </c:rich>
              </c:tx>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收入</c:v>
                </c:pt>
                <c:pt idx="1">
                  <c:v>支出</c:v>
                </c:pt>
              </c:strCache>
            </c:strRef>
          </c:cat>
          <c:val>
            <c:numRef>
              <c:f>Sheet1!$B$2:$B$3</c:f>
              <c:numCache>
                <c:formatCode>General</c:formatCode>
                <c:ptCount val="2"/>
                <c:pt idx="0">
                  <c:v>3261.33</c:v>
                </c:pt>
                <c:pt idx="1">
                  <c:v>3261.33</c:v>
                </c:pt>
              </c:numCache>
            </c:numRef>
          </c:val>
        </c:ser>
        <c:ser>
          <c:idx val="1"/>
          <c:order val="1"/>
          <c:tx>
            <c:strRef>
              <c:f>Sheet1!$C$1</c:f>
              <c:strCache>
                <c:ptCount val="1"/>
                <c:pt idx="0">
                  <c:v>2025年</c:v>
                </c:pt>
              </c:strCache>
            </c:strRef>
          </c:tx>
          <c:spPr>
            <a:solidFill>
              <a:schemeClr val="accent2"/>
            </a:solidFill>
            <a:ln>
              <a:noFill/>
            </a:ln>
            <a:effectLst/>
          </c:spPr>
          <c:invertIfNegative val="0"/>
          <c:dLbls>
            <c:dLbl>
              <c:idx val="0"/>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rPr lang="en-US" altLang="zh-CN"/>
                      <a:t>2891.74</a:t>
                    </a:r>
                    <a:r>
                      <a:t>万元</a:t>
                    </a:r>
                  </a:p>
                </c:rich>
              </c:tx>
              <c:dLblPos val="outEnd"/>
              <c:showLegendKey val="0"/>
              <c:showVal val="1"/>
              <c:showCatName val="0"/>
              <c:showSerName val="0"/>
              <c:showPercent val="0"/>
              <c:showBubbleSize val="0"/>
              <c:extLst>
                <c:ext xmlns:c15="http://schemas.microsoft.com/office/drawing/2012/chart" uri="{CE6537A1-D6FC-4f65-9D91-7224C49458BB}"/>
              </c:extLst>
            </c:dLbl>
            <c:dLbl>
              <c:idx val="1"/>
              <c:layout>
                <c:manualLayout>
                  <c:x val="0.00182215743440233"/>
                  <c:y val="0"/>
                </c:manualLayout>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rPr lang="en-US" altLang="zh-CN"/>
                      <a:t>2891.74</a:t>
                    </a:r>
                    <a:r>
                      <a:t>万元</a:t>
                    </a:r>
                  </a:p>
                </c:rich>
              </c:tx>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收入</c:v>
                </c:pt>
                <c:pt idx="1">
                  <c:v>支出</c:v>
                </c:pt>
              </c:strCache>
            </c:strRef>
          </c:cat>
          <c:val>
            <c:numRef>
              <c:f>Sheet1!$C$2:$C$3</c:f>
              <c:numCache>
                <c:formatCode>General</c:formatCode>
                <c:ptCount val="2"/>
                <c:pt idx="0">
                  <c:v>2891.74</c:v>
                </c:pt>
                <c:pt idx="1">
                  <c:v>2891.74</c:v>
                </c:pt>
              </c:numCache>
            </c:numRef>
          </c:val>
        </c:ser>
        <c:dLbls>
          <c:showLegendKey val="0"/>
          <c:showVal val="0"/>
          <c:showCatName val="0"/>
          <c:showSerName val="0"/>
          <c:showPercent val="0"/>
          <c:showBubbleSize val="0"/>
        </c:dLbls>
        <c:gapWidth val="246"/>
        <c:overlap val="-28"/>
        <c:axId val="858860538"/>
        <c:axId val="348221566"/>
      </c:barChart>
      <c:catAx>
        <c:axId val="858860538"/>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48221566"/>
        <c:crosses val="autoZero"/>
        <c:auto val="1"/>
        <c:lblAlgn val="ctr"/>
        <c:lblOffset val="100"/>
        <c:noMultiLvlLbl val="0"/>
      </c:catAx>
      <c:valAx>
        <c:axId val="348221566"/>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58860538"/>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84786d8c-5acd-4b91-a754-141482873a95}"/>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Sheet1!$A$1</c:f>
              <c:strCache>
                <c:ptCount val="1"/>
                <c:pt idx="0">
                  <c:v> </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一般公共预算财政拨款收入</c:v>
                </c:pt>
                <c:pt idx="1">
                  <c:v>其他收入</c:v>
                </c:pt>
              </c:strCache>
            </c:strRef>
          </c:cat>
          <c:val>
            <c:numRef>
              <c:f>Sheet1!$B$2:$B$3</c:f>
              <c:numCache>
                <c:formatCode>0.00%</c:formatCode>
                <c:ptCount val="2"/>
                <c:pt idx="0">
                  <c:v>0.985</c:v>
                </c:pt>
                <c:pt idx="1">
                  <c:v>0.015</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ayout>
        <c:manualLayout>
          <c:xMode val="edge"/>
          <c:yMode val="edge"/>
          <c:x val="0.252701789935832"/>
          <c:y val="0.125556261919898"/>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bb3879c7-fc63-4ddb-a8bf-6d16ff8a0cfc}"/>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列2</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基本支出</c:v>
                </c:pt>
                <c:pt idx="1">
                  <c:v>项目支出</c:v>
                </c:pt>
              </c:strCache>
            </c:strRef>
          </c:cat>
          <c:val>
            <c:numRef>
              <c:f>Sheet1!$B$2:$B$3</c:f>
              <c:numCache>
                <c:formatCode>0.00%</c:formatCode>
                <c:ptCount val="2"/>
                <c:pt idx="0">
                  <c:v>0.893</c:v>
                </c:pt>
                <c:pt idx="1">
                  <c:v>0.107</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ayout>
        <c:manualLayout>
          <c:xMode val="edge"/>
          <c:yMode val="edge"/>
          <c:x val="0.363811480672916"/>
          <c:y val="0.925262507720815"/>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de61a4fa-4e38-4234-b178-8814efd232ca}"/>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Sheet1!$B$1</c:f>
              <c:strCache>
                <c:ptCount val="1"/>
                <c:pt idx="0">
                  <c:v>2024年</c:v>
                </c:pt>
              </c:strCache>
            </c:strRef>
          </c:tx>
          <c:spPr>
            <a:solidFill>
              <a:srgbClr val="4F81BD"/>
            </a:solidFill>
            <a:ln>
              <a:noFill/>
            </a:ln>
            <a:effectLst/>
          </c:spPr>
          <c:invertIfNegative val="0"/>
          <c:dLbls>
            <c:dLbl>
              <c:idx val="0"/>
              <c:layout/>
              <c:tx>
                <c:rich>
                  <a:bodyPr rot="0" spcFirstLastPara="0" vertOverflow="ellipsis" vert="horz" wrap="square" lIns="38100" tIns="19050" rIns="38100" bIns="19050" anchor="ctr" anchorCtr="1"/>
                  <a:lstStyle/>
                  <a:p>
                    <a:pPr defTabSz="914400">
                      <a:defRPr lang="zh-CN" sz="1000" b="0" i="0" u="none" strike="noStrike" kern="1200" baseline="0">
                        <a:solidFill>
                          <a:sysClr val="windowText" lastClr="000000">
                            <a:lumMod val="75000"/>
                            <a:lumOff val="25000"/>
                          </a:sysClr>
                        </a:solidFill>
                        <a:latin typeface="+mn-lt"/>
                        <a:ea typeface="+mn-ea"/>
                        <a:cs typeface="+mn-cs"/>
                      </a:defRPr>
                    </a:pPr>
                    <a:r>
                      <a:rPr lang="en-US" altLang="zh-CN"/>
                      <a:t>3078.33</a:t>
                    </a:r>
                    <a:r>
                      <a:t>万元</a:t>
                    </a:r>
                  </a:p>
                </c:rich>
              </c:tx>
              <c:dLblPos val="outEnd"/>
              <c:showLegendKey val="0"/>
              <c:showVal val="1"/>
              <c:showCatName val="0"/>
              <c:showSerName val="0"/>
              <c:showPercent val="0"/>
              <c:showBubbleSize val="0"/>
              <c:extLst>
                <c:ext xmlns:c15="http://schemas.microsoft.com/office/drawing/2012/chart" uri="{CE6537A1-D6FC-4f65-9D91-7224C49458BB}"/>
              </c:extLst>
            </c:dLbl>
            <c:dLbl>
              <c:idx val="1"/>
              <c:layout/>
              <c:tx>
                <c:rich>
                  <a:bodyPr rot="0" spcFirstLastPara="0" vertOverflow="ellipsis" vert="horz" wrap="square" lIns="38100" tIns="19050" rIns="38100" bIns="19050" anchor="ctr" anchorCtr="1"/>
                  <a:lstStyle/>
                  <a:p>
                    <a:pPr defTabSz="914400">
                      <a:defRPr lang="zh-CN" sz="1000" b="0" i="0" u="none" strike="noStrike" kern="1200" baseline="0">
                        <a:solidFill>
                          <a:sysClr val="windowText" lastClr="000000">
                            <a:lumMod val="75000"/>
                            <a:lumOff val="25000"/>
                          </a:sysClr>
                        </a:solidFill>
                        <a:latin typeface="+mn-lt"/>
                        <a:ea typeface="+mn-ea"/>
                        <a:cs typeface="+mn-cs"/>
                      </a:defRPr>
                    </a:pPr>
                    <a:r>
                      <a:rPr lang="en-US" altLang="zh-CN"/>
                      <a:t>3078.33</a:t>
                    </a:r>
                    <a:r>
                      <a:t>.万元</a:t>
                    </a:r>
                  </a:p>
                </c:rich>
              </c:tx>
              <c:dLblPos val="outEnd"/>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ysClr val="windowText" lastClr="000000">
                        <a:lumMod val="75000"/>
                        <a:lumOff val="25000"/>
                      </a:sys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ysClr val="windowText" lastClr="000000">
                          <a:lumMod val="35000"/>
                          <a:lumOff val="65000"/>
                        </a:sysClr>
                      </a:solidFill>
                      <a:round/>
                    </a:ln>
                    <a:effectLst/>
                  </c:spPr>
                </c15:leaderLines>
              </c:ext>
            </c:extLst>
          </c:dLbls>
          <c:cat>
            <c:strRef>
              <c:f>Sheet1!$A$2:$A$3</c:f>
              <c:strCache>
                <c:ptCount val="2"/>
                <c:pt idx="0">
                  <c:v>财政拨款收入</c:v>
                </c:pt>
                <c:pt idx="1">
                  <c:v>财政拨款支出</c:v>
                </c:pt>
              </c:strCache>
            </c:strRef>
          </c:cat>
          <c:val>
            <c:numRef>
              <c:f>Sheet1!$B$2:$B$3</c:f>
              <c:numCache>
                <c:formatCode>General</c:formatCode>
                <c:ptCount val="2"/>
                <c:pt idx="0">
                  <c:v>3078.33</c:v>
                </c:pt>
                <c:pt idx="1">
                  <c:v>3078.33</c:v>
                </c:pt>
              </c:numCache>
            </c:numRef>
          </c:val>
        </c:ser>
        <c:ser>
          <c:idx val="1"/>
          <c:order val="1"/>
          <c:tx>
            <c:strRef>
              <c:f>Sheet1!$C$1</c:f>
              <c:strCache>
                <c:ptCount val="1"/>
                <c:pt idx="0">
                  <c:v>2025年</c:v>
                </c:pt>
              </c:strCache>
            </c:strRef>
          </c:tx>
          <c:spPr>
            <a:solidFill>
              <a:srgbClr val="C0504D"/>
            </a:solidFill>
            <a:ln>
              <a:noFill/>
            </a:ln>
            <a:effectLst/>
          </c:spPr>
          <c:invertIfNegative val="0"/>
          <c:dLbls>
            <c:dLbl>
              <c:idx val="0"/>
              <c:layout>
                <c:manualLayout>
                  <c:x val="0.00186962482861772"/>
                  <c:y val="0"/>
                </c:manualLayout>
              </c:layout>
              <c:tx>
                <c:rich>
                  <a:bodyPr rot="0" spcFirstLastPara="0" vertOverflow="ellipsis" vert="horz" wrap="square" lIns="38100" tIns="19050" rIns="38100" bIns="19050" anchor="ctr" anchorCtr="1"/>
                  <a:lstStyle/>
                  <a:p>
                    <a:pPr defTabSz="914400">
                      <a:defRPr lang="zh-CN" sz="1000" b="0" i="0" u="none" strike="noStrike" kern="1200" baseline="0">
                        <a:solidFill>
                          <a:sysClr val="windowText" lastClr="000000">
                            <a:lumMod val="75000"/>
                            <a:lumOff val="25000"/>
                          </a:sysClr>
                        </a:solidFill>
                        <a:latin typeface="+mn-lt"/>
                        <a:ea typeface="+mn-ea"/>
                        <a:cs typeface="+mn-cs"/>
                      </a:defRPr>
                    </a:pPr>
                    <a:r>
                      <a:rPr lang="en-US" altLang="zh-CN"/>
                      <a:t>2799.6</a:t>
                    </a:r>
                    <a:r>
                      <a:t>万元</a:t>
                    </a:r>
                  </a:p>
                </c:rich>
              </c:tx>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tx>
                <c:rich>
                  <a:bodyPr rot="0" spcFirstLastPara="0" vertOverflow="ellipsis" vert="horz" wrap="square" lIns="38100" tIns="19050" rIns="38100" bIns="19050" anchor="ctr" anchorCtr="1"/>
                  <a:lstStyle/>
                  <a:p>
                    <a:pPr defTabSz="914400">
                      <a:defRPr lang="zh-CN" sz="1000" b="0" i="0" u="none" strike="noStrike" kern="1200" baseline="0">
                        <a:solidFill>
                          <a:sysClr val="windowText" lastClr="000000">
                            <a:lumMod val="75000"/>
                            <a:lumOff val="25000"/>
                          </a:sysClr>
                        </a:solidFill>
                        <a:latin typeface="+mn-lt"/>
                        <a:ea typeface="+mn-ea"/>
                        <a:cs typeface="+mn-cs"/>
                      </a:defRPr>
                    </a:pPr>
                    <a:r>
                      <a:rPr lang="en-US" altLang="zh-CN"/>
                      <a:t>2799.6</a:t>
                    </a:r>
                    <a:r>
                      <a:rPr altLang="en-US"/>
                      <a:t>万元</a:t>
                    </a:r>
                    <a:endParaRPr altLang="en-US"/>
                  </a:p>
                </c:rich>
              </c:tx>
              <c:dLblPos val="outEnd"/>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ysClr val="windowText" lastClr="000000">
                        <a:lumMod val="75000"/>
                        <a:lumOff val="25000"/>
                      </a:sys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ysClr val="windowText" lastClr="000000">
                          <a:lumMod val="35000"/>
                          <a:lumOff val="65000"/>
                        </a:sysClr>
                      </a:solidFill>
                      <a:round/>
                    </a:ln>
                    <a:effectLst/>
                  </c:spPr>
                </c15:leaderLines>
              </c:ext>
            </c:extLst>
          </c:dLbls>
          <c:cat>
            <c:strRef>
              <c:f>Sheet1!$A$2:$A$3</c:f>
              <c:strCache>
                <c:ptCount val="2"/>
                <c:pt idx="0">
                  <c:v>财政拨款收入</c:v>
                </c:pt>
                <c:pt idx="1">
                  <c:v>财政拨款支出</c:v>
                </c:pt>
              </c:strCache>
            </c:strRef>
          </c:cat>
          <c:val>
            <c:numRef>
              <c:f>Sheet1!$C$2:$C$3</c:f>
              <c:numCache>
                <c:formatCode>General</c:formatCode>
                <c:ptCount val="2"/>
                <c:pt idx="0">
                  <c:v>2799.6</c:v>
                </c:pt>
                <c:pt idx="1">
                  <c:v>2799.6</c:v>
                </c:pt>
              </c:numCache>
            </c:numRef>
          </c:val>
        </c:ser>
        <c:dLbls>
          <c:showLegendKey val="0"/>
          <c:showVal val="1"/>
          <c:showCatName val="0"/>
          <c:showSerName val="0"/>
          <c:showPercent val="0"/>
          <c:showBubbleSize val="0"/>
        </c:dLbls>
        <c:gapWidth val="246"/>
        <c:overlap val="-28"/>
        <c:axId val="821501354"/>
        <c:axId val="379536333"/>
      </c:barChart>
      <c:catAx>
        <c:axId val="821501354"/>
        <c:scaling>
          <c:orientation val="minMax"/>
        </c:scaling>
        <c:delete val="0"/>
        <c:axPos val="b"/>
        <c:majorTickMark val="none"/>
        <c:minorTickMark val="none"/>
        <c:tickLblPos val="nextTo"/>
        <c:spPr>
          <a:noFill/>
          <a:ln w="9525" cap="flat" cmpd="sng" algn="ctr">
            <a:solidFill>
              <a:sysClr val="windowText" lastClr="000000">
                <a:lumMod val="15000"/>
                <a:lumOff val="85000"/>
              </a:sysClr>
            </a:solidFill>
            <a:round/>
          </a:ln>
          <a:effectLst/>
        </c:spPr>
        <c:txPr>
          <a:bodyPr rot="-60000000" spcFirstLastPara="0" vertOverflow="ellipsis" vert="horz" wrap="square" anchor="ctr" anchorCtr="1"/>
          <a:lstStyle/>
          <a:p>
            <a:pPr>
              <a:defRPr lang="zh-CN" sz="900" b="0" i="0" u="none" strike="noStrike" kern="1200" baseline="0">
                <a:solidFill>
                  <a:sysClr val="windowText" lastClr="000000">
                    <a:lumMod val="65000"/>
                    <a:lumOff val="35000"/>
                  </a:sysClr>
                </a:solidFill>
                <a:latin typeface="+mn-lt"/>
                <a:ea typeface="+mn-ea"/>
                <a:cs typeface="+mn-cs"/>
              </a:defRPr>
            </a:pPr>
          </a:p>
        </c:txPr>
        <c:crossAx val="379536333"/>
        <c:crosses val="autoZero"/>
        <c:auto val="1"/>
        <c:lblAlgn val="ctr"/>
        <c:lblOffset val="100"/>
        <c:noMultiLvlLbl val="0"/>
      </c:catAx>
      <c:valAx>
        <c:axId val="379536333"/>
        <c:scaling>
          <c:orientation val="minMax"/>
        </c:scaling>
        <c:delete val="0"/>
        <c:axPos val="l"/>
        <c:majorGridlines>
          <c:spPr>
            <a:ln w="9525" cap="flat" cmpd="sng" algn="ctr">
              <a:solidFill>
                <a:sysClr val="window" lastClr="FFFFFF">
                  <a:lumMod val="90200"/>
                </a:sys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ysClr val="windowText" lastClr="000000">
                    <a:lumMod val="65000"/>
                    <a:lumOff val="35000"/>
                  </a:sysClr>
                </a:solidFill>
                <a:latin typeface="+mn-lt"/>
                <a:ea typeface="+mn-ea"/>
                <a:cs typeface="+mn-cs"/>
              </a:defRPr>
            </a:pPr>
          </a:p>
        </c:txPr>
        <c:crossAx val="821501354"/>
        <c:crosses val="autoZero"/>
        <c:crossBetween val="between"/>
      </c:valAx>
      <c:spPr>
        <a:noFill/>
        <a:ln>
          <a:noFill/>
        </a:ln>
        <a:effectLst/>
      </c:spPr>
    </c:plotArea>
    <c:legend>
      <c:legendPos val="b"/>
      <c:layout>
        <c:manualLayout>
          <c:xMode val="edge"/>
          <c:yMode val="edge"/>
          <c:x val="0.406938637134139"/>
          <c:y val="0.839357429718876"/>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ysClr val="windowText" lastClr="000000">
                  <a:lumMod val="65000"/>
                  <a:lumOff val="35000"/>
                </a:sysClr>
              </a:solidFill>
              <a:latin typeface="+mn-lt"/>
              <a:ea typeface="+mn-ea"/>
              <a:cs typeface="+mn-cs"/>
            </a:defRPr>
          </a:pPr>
        </a:p>
      </c:txPr>
    </c:legend>
    <c:plotVisOnly val="1"/>
    <c:dispBlanksAs val="gap"/>
    <c:showDLblsOverMax val="0"/>
    <c:extLst>
      <c:ext uri="{0b15fc19-7d7d-44ad-8c2d-2c3a37ce22c3}">
        <chartProps xmlns="https://web.wps.cn/et/2018/main" chartId="{c7201681-f5a8-4044-acf6-33efa673288d}"/>
      </c:ext>
    </c:extLst>
  </c:chart>
  <c:spPr>
    <a:solidFill>
      <a:sysClr val="window" lastClr="FFFFFF"/>
    </a:solidFill>
    <a:ln w="9525" cap="flat" cmpd="sng" algn="ctr">
      <a:solidFill>
        <a:sysClr val="windowText" lastClr="000000">
          <a:lumMod val="15000"/>
          <a:lumOff val="85000"/>
        </a:sys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Sheet1!$B$1</c:f>
              <c:strCache>
                <c:ptCount val="1"/>
                <c:pt idx="0">
                  <c:v>2024年</c:v>
                </c:pt>
              </c:strCache>
            </c:strRef>
          </c:tx>
          <c:spPr>
            <a:solidFill>
              <a:srgbClr val="4F81BD"/>
            </a:solidFill>
            <a:ln>
              <a:noFill/>
            </a:ln>
            <a:effectLst/>
          </c:spPr>
          <c:invertIfNegative val="0"/>
          <c:dLbls>
            <c:dLbl>
              <c:idx val="0"/>
              <c:layout/>
              <c:tx>
                <c:rich>
                  <a:bodyPr rot="0" spcFirstLastPara="0" vertOverflow="ellipsis" vert="horz" wrap="square" lIns="38100" tIns="19050" rIns="38100" bIns="19050" anchor="ctr" anchorCtr="1"/>
                  <a:lstStyle/>
                  <a:p>
                    <a:pPr defTabSz="914400">
                      <a:defRPr lang="zh-CN" sz="1000" b="0" i="0" u="none" strike="noStrike" kern="1200" baseline="0">
                        <a:solidFill>
                          <a:sysClr val="windowText" lastClr="000000">
                            <a:lumMod val="75000"/>
                            <a:lumOff val="25000"/>
                          </a:sysClr>
                        </a:solidFill>
                        <a:latin typeface="+mn-lt"/>
                        <a:ea typeface="+mn-ea"/>
                        <a:cs typeface="+mn-cs"/>
                      </a:defRPr>
                    </a:pPr>
                    <a:r>
                      <a:rPr lang="en-US" altLang="zh-CN"/>
                      <a:t>3078.33</a:t>
                    </a:r>
                    <a:r>
                      <a:t>万元</a:t>
                    </a:r>
                  </a:p>
                </c:rich>
              </c:tx>
              <c:dLblPos val="outEnd"/>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ysClr val="windowText" lastClr="000000">
                        <a:lumMod val="75000"/>
                        <a:lumOff val="25000"/>
                      </a:sys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ysClr val="windowText" lastClr="000000">
                          <a:lumMod val="35000"/>
                          <a:lumOff val="65000"/>
                        </a:sysClr>
                      </a:solidFill>
                      <a:round/>
                    </a:ln>
                    <a:effectLst/>
                  </c:spPr>
                </c15:leaderLines>
              </c:ext>
            </c:extLst>
          </c:dLbls>
          <c:cat>
            <c:strRef>
              <c:f>Sheet1!$A$2</c:f>
              <c:strCache>
                <c:ptCount val="1"/>
                <c:pt idx="0">
                  <c:v>一般公共预算财政拨款支出</c:v>
                </c:pt>
              </c:strCache>
            </c:strRef>
          </c:cat>
          <c:val>
            <c:numRef>
              <c:f>Sheet1!$B$2</c:f>
              <c:numCache>
                <c:formatCode>General</c:formatCode>
                <c:ptCount val="1"/>
                <c:pt idx="0">
                  <c:v>3078.33</c:v>
                </c:pt>
              </c:numCache>
            </c:numRef>
          </c:val>
        </c:ser>
        <c:ser>
          <c:idx val="1"/>
          <c:order val="1"/>
          <c:tx>
            <c:strRef>
              <c:f>Sheet1!$C$1</c:f>
              <c:strCache>
                <c:ptCount val="1"/>
                <c:pt idx="0">
                  <c:v>2025年</c:v>
                </c:pt>
              </c:strCache>
            </c:strRef>
          </c:tx>
          <c:spPr>
            <a:solidFill>
              <a:srgbClr val="C0504D"/>
            </a:solidFill>
            <a:ln>
              <a:noFill/>
            </a:ln>
            <a:effectLst/>
          </c:spPr>
          <c:invertIfNegative val="0"/>
          <c:dLbls>
            <c:dLbl>
              <c:idx val="0"/>
              <c:layout>
                <c:manualLayout>
                  <c:x val="-0.00203362255965293"/>
                  <c:y val="0"/>
                </c:manualLayout>
              </c:layout>
              <c:tx>
                <c:rich>
                  <a:bodyPr rot="0" spcFirstLastPara="0" vertOverflow="ellipsis" vert="horz" wrap="square" lIns="38100" tIns="19050" rIns="38100" bIns="19050" anchor="ctr" anchorCtr="1"/>
                  <a:lstStyle/>
                  <a:p>
                    <a:pPr defTabSz="914400">
                      <a:defRPr lang="zh-CN" sz="1000" b="0" i="0" u="none" strike="noStrike" kern="1200" baseline="0">
                        <a:solidFill>
                          <a:sysClr val="windowText" lastClr="000000">
                            <a:lumMod val="75000"/>
                            <a:lumOff val="25000"/>
                          </a:sysClr>
                        </a:solidFill>
                        <a:latin typeface="+mn-lt"/>
                        <a:ea typeface="+mn-ea"/>
                        <a:cs typeface="+mn-cs"/>
                      </a:defRPr>
                    </a:pPr>
                    <a:r>
                      <a:rPr lang="en-US" altLang="zh-CN"/>
                      <a:t>2799.6</a:t>
                    </a:r>
                    <a:r>
                      <a:t>万元</a:t>
                    </a:r>
                  </a:p>
                </c:rich>
              </c:tx>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ysClr val="windowText" lastClr="000000">
                        <a:lumMod val="75000"/>
                        <a:lumOff val="25000"/>
                      </a:sys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ysClr val="windowText" lastClr="000000">
                          <a:lumMod val="35000"/>
                          <a:lumOff val="65000"/>
                        </a:sysClr>
                      </a:solidFill>
                      <a:round/>
                    </a:ln>
                    <a:effectLst/>
                  </c:spPr>
                </c15:leaderLines>
              </c:ext>
            </c:extLst>
          </c:dLbls>
          <c:cat>
            <c:strRef>
              <c:f>Sheet1!$A$2</c:f>
              <c:strCache>
                <c:ptCount val="1"/>
                <c:pt idx="0">
                  <c:v>一般公共预算财政拨款支出</c:v>
                </c:pt>
              </c:strCache>
            </c:strRef>
          </c:cat>
          <c:val>
            <c:numRef>
              <c:f>Sheet1!$C$2</c:f>
              <c:numCache>
                <c:formatCode>General</c:formatCode>
                <c:ptCount val="1"/>
                <c:pt idx="0">
                  <c:v>2799.6</c:v>
                </c:pt>
              </c:numCache>
            </c:numRef>
          </c:val>
        </c:ser>
        <c:dLbls>
          <c:showLegendKey val="0"/>
          <c:showVal val="1"/>
          <c:showCatName val="0"/>
          <c:showSerName val="0"/>
          <c:showPercent val="0"/>
          <c:showBubbleSize val="0"/>
        </c:dLbls>
        <c:gapWidth val="246"/>
        <c:overlap val="-28"/>
        <c:axId val="708928488"/>
        <c:axId val="249376024"/>
      </c:barChart>
      <c:catAx>
        <c:axId val="708928488"/>
        <c:scaling>
          <c:orientation val="minMax"/>
        </c:scaling>
        <c:delete val="0"/>
        <c:axPos val="b"/>
        <c:majorTickMark val="none"/>
        <c:minorTickMark val="none"/>
        <c:tickLblPos val="nextTo"/>
        <c:spPr>
          <a:noFill/>
          <a:ln w="9525" cap="flat" cmpd="sng" algn="ctr">
            <a:solidFill>
              <a:sysClr val="windowText" lastClr="000000">
                <a:lumMod val="15000"/>
                <a:lumOff val="85000"/>
              </a:sysClr>
            </a:solidFill>
            <a:round/>
          </a:ln>
          <a:effectLst/>
        </c:spPr>
        <c:txPr>
          <a:bodyPr rot="-60000000" spcFirstLastPara="0" vertOverflow="ellipsis" vert="horz" wrap="square" anchor="ctr" anchorCtr="1"/>
          <a:lstStyle/>
          <a:p>
            <a:pPr>
              <a:defRPr lang="zh-CN" sz="900" b="0" i="0" u="none" strike="noStrike" kern="1200" baseline="0">
                <a:solidFill>
                  <a:sysClr val="windowText" lastClr="000000">
                    <a:lumMod val="65000"/>
                    <a:lumOff val="35000"/>
                  </a:sysClr>
                </a:solidFill>
                <a:latin typeface="+mn-lt"/>
                <a:ea typeface="+mn-ea"/>
                <a:cs typeface="+mn-cs"/>
              </a:defRPr>
            </a:pPr>
          </a:p>
        </c:txPr>
        <c:crossAx val="249376024"/>
        <c:crosses val="autoZero"/>
        <c:auto val="1"/>
        <c:lblAlgn val="ctr"/>
        <c:lblOffset val="100"/>
        <c:noMultiLvlLbl val="0"/>
      </c:catAx>
      <c:valAx>
        <c:axId val="249376024"/>
        <c:scaling>
          <c:orientation val="minMax"/>
        </c:scaling>
        <c:delete val="0"/>
        <c:axPos val="l"/>
        <c:majorGridlines>
          <c:spPr>
            <a:ln w="9525" cap="flat" cmpd="sng" algn="ctr">
              <a:solidFill>
                <a:sysClr val="window" lastClr="FFFFFF">
                  <a:lumMod val="90200"/>
                </a:sys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ysClr val="windowText" lastClr="000000">
                    <a:lumMod val="65000"/>
                    <a:lumOff val="35000"/>
                  </a:sysClr>
                </a:solidFill>
                <a:latin typeface="+mn-lt"/>
                <a:ea typeface="+mn-ea"/>
                <a:cs typeface="+mn-cs"/>
              </a:defRPr>
            </a:pPr>
          </a:p>
        </c:txPr>
        <c:crossAx val="708928488"/>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ysClr val="windowText" lastClr="000000">
                  <a:lumMod val="65000"/>
                  <a:lumOff val="35000"/>
                </a:sysClr>
              </a:solidFill>
              <a:latin typeface="+mn-lt"/>
              <a:ea typeface="+mn-ea"/>
              <a:cs typeface="+mn-cs"/>
            </a:defRPr>
          </a:pPr>
        </a:p>
      </c:txPr>
    </c:legend>
    <c:plotVisOnly val="1"/>
    <c:dispBlanksAs val="gap"/>
    <c:showDLblsOverMax val="0"/>
    <c:extLst>
      <c:ext uri="{0b15fc19-7d7d-44ad-8c2d-2c3a37ce22c3}">
        <chartProps xmlns="https://web.wps.cn/et/2018/main" chartId="{7fde36da-4ed4-4cc7-b76e-8d93b738c25f}"/>
      </c:ext>
    </c:extLst>
  </c:chart>
  <c:spPr>
    <a:solidFill>
      <a:sysClr val="window" lastClr="FFFFFF"/>
    </a:solidFill>
    <a:ln w="9525" cap="flat" cmpd="sng" algn="ctr">
      <a:solidFill>
        <a:sysClr val="windowText" lastClr="000000">
          <a:lumMod val="15000"/>
          <a:lumOff val="85000"/>
        </a:sys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pieChart>
        <c:varyColors val="1"/>
        <c:ser>
          <c:idx val="0"/>
          <c:order val="0"/>
          <c:tx>
            <c:strRef>
              <c:f>Sheet1!$B$1</c:f>
              <c:strCache>
                <c:ptCount val="1"/>
                <c:pt idx="0">
                  <c:v>一般公共预算财政拨款支出</c:v>
                </c:pt>
              </c:strCache>
            </c:strRef>
          </c:tx>
          <c:spPr/>
          <c:explosion val="0"/>
          <c:dPt>
            <c:idx val="0"/>
            <c:bubble3D val="0"/>
            <c:spPr>
              <a:solidFill>
                <a:srgbClr val="4F81BD"/>
              </a:solidFill>
              <a:ln>
                <a:solidFill>
                  <a:sysClr val="window" lastClr="FFFFFF"/>
                </a:solidFill>
              </a:ln>
              <a:effectLst/>
            </c:spPr>
          </c:dPt>
          <c:dPt>
            <c:idx val="1"/>
            <c:bubble3D val="0"/>
            <c:spPr>
              <a:solidFill>
                <a:srgbClr val="C0504D"/>
              </a:solidFill>
              <a:ln>
                <a:solidFill>
                  <a:sysClr val="window" lastClr="FFFFFF"/>
                </a:solidFill>
              </a:ln>
              <a:effectLst/>
            </c:spPr>
          </c:dPt>
          <c:dPt>
            <c:idx val="2"/>
            <c:bubble3D val="0"/>
            <c:spPr>
              <a:solidFill>
                <a:srgbClr val="9BBB59"/>
              </a:solidFill>
              <a:ln>
                <a:solidFill>
                  <a:sysClr val="window" lastClr="FFFFFF"/>
                </a:solidFill>
              </a:ln>
              <a:effectLst/>
            </c:spPr>
          </c:dPt>
          <c:dPt>
            <c:idx val="3"/>
            <c:bubble3D val="0"/>
            <c:spPr>
              <a:solidFill>
                <a:srgbClr val="8064A2"/>
              </a:solidFill>
              <a:ln>
                <a:solidFill>
                  <a:sysClr val="window" lastClr="FFFFFF"/>
                </a:solidFill>
              </a:ln>
              <a:effectLst/>
            </c:spPr>
          </c:dPt>
          <c:dLbls>
            <c:dLbl>
              <c:idx val="0"/>
              <c:layout>
                <c:manualLayout>
                  <c:x val="0.0781193571818202"/>
                  <c:y val="-0.260767950440324"/>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931238938824099"/>
                  <c:y val="0.0423197174728071"/>
                </c:manualLayout>
              </c:layout>
              <c:tx>
                <c:rich>
                  <a:bodyPr rot="0" spcFirstLastPara="0" vertOverflow="ellipsis" vert="horz" wrap="square" lIns="38100" tIns="19050" rIns="38100" bIns="19050" anchor="ctr" anchorCtr="1"/>
                  <a:lstStyle/>
                  <a:p>
                    <a:pPr defTabSz="914400">
                      <a:defRPr lang="zh-CN" sz="1000" b="0" i="0" u="none" strike="noStrike" kern="1200" baseline="0">
                        <a:solidFill>
                          <a:sysClr val="windowText" lastClr="000000">
                            <a:lumMod val="75000"/>
                            <a:lumOff val="25000"/>
                          </a:sysClr>
                        </a:solidFill>
                        <a:latin typeface="+mn-lt"/>
                        <a:ea typeface="+mn-ea"/>
                        <a:cs typeface="+mn-cs"/>
                      </a:defRPr>
                    </a:pPr>
                    <a:r>
                      <a:t>1</a:t>
                    </a:r>
                    <a:r>
                      <a:rPr lang="en-US" altLang="zh-CN"/>
                      <a:t>1.7</a:t>
                    </a:r>
                    <a:r>
                      <a:t>%</a:t>
                    </a:r>
                  </a:p>
                </c:rich>
              </c:tx>
              <c:dLblPos val="bestFit"/>
              <c:showLegendKey val="0"/>
              <c:showVal val="1"/>
              <c:showCatName val="0"/>
              <c:showSerName val="0"/>
              <c:showPercent val="0"/>
              <c:showBubbleSize val="0"/>
              <c:extLst>
                <c:ext xmlns:c15="http://schemas.microsoft.com/office/drawing/2012/chart" uri="{CE6537A1-D6FC-4f65-9D91-7224C49458BB}">
                  <c15:layout>
                    <c:manualLayout>
                      <c:w val="0.095103909827404"/>
                      <c:h val="0.092488157004286"/>
                    </c:manualLayout>
                  </c15:layout>
                </c:ext>
              </c:extLst>
            </c:dLbl>
            <c:dLbl>
              <c:idx val="2"/>
              <c:layout>
                <c:manualLayout>
                  <c:x val="0.0102102126846483"/>
                  <c:y val="0.0348887754698711"/>
                </c:manualLayout>
              </c:layout>
              <c:tx>
                <c:rich>
                  <a:bodyPr rot="0" spcFirstLastPara="0" vertOverflow="ellipsis" vert="horz" wrap="square" lIns="38100" tIns="19050" rIns="38100" bIns="19050" anchor="ctr" anchorCtr="1"/>
                  <a:lstStyle/>
                  <a:p>
                    <a:pPr defTabSz="914400">
                      <a:defRPr lang="zh-CN" sz="1000" b="0" i="0" u="none" strike="noStrike" kern="1200" baseline="0">
                        <a:solidFill>
                          <a:sysClr val="windowText" lastClr="000000">
                            <a:lumMod val="75000"/>
                            <a:lumOff val="25000"/>
                          </a:sysClr>
                        </a:solidFill>
                        <a:latin typeface="+mn-lt"/>
                        <a:ea typeface="+mn-ea"/>
                        <a:cs typeface="+mn-cs"/>
                      </a:defRPr>
                    </a:pPr>
                    <a:r>
                      <a:t>4</a:t>
                    </a:r>
                    <a:r>
                      <a:rPr lang="en-US" altLang="zh-CN"/>
                      <a:t>.3</a:t>
                    </a:r>
                    <a:r>
                      <a:t>%</a:t>
                    </a:r>
                  </a:p>
                </c:rich>
              </c:tx>
              <c:dLblPos val="bestFit"/>
              <c:showLegendKey val="0"/>
              <c:showVal val="1"/>
              <c:showCatName val="0"/>
              <c:showSerName val="0"/>
              <c:showPercent val="0"/>
              <c:showBubbleSize val="0"/>
              <c:extLst>
                <c:ext xmlns:c15="http://schemas.microsoft.com/office/drawing/2012/chart" uri="{CE6537A1-D6FC-4f65-9D91-7224C49458BB}">
                  <c15:layout>
                    <c:manualLayout>
                      <c:w val="0.0797229071269226"/>
                      <c:h val="0.106925332731784"/>
                    </c:manualLayout>
                  </c15:layout>
                </c:ext>
              </c:extLst>
            </c:dLbl>
            <c:dLbl>
              <c:idx val="3"/>
              <c:layout>
                <c:manualLayout>
                  <c:x val="0.0138518425433428"/>
                  <c:y val="-0.00555778455828331"/>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ysClr val="windowText" lastClr="000000">
                        <a:lumMod val="75000"/>
                        <a:lumOff val="25000"/>
                      </a:sys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ysClr val="windowText" lastClr="000000">
                          <a:lumMod val="35000"/>
                          <a:lumOff val="65000"/>
                        </a:sysClr>
                      </a:solidFill>
                      <a:round/>
                    </a:ln>
                    <a:effectLst/>
                  </c:spPr>
                </c15:leaderLines>
              </c:ext>
            </c:extLst>
          </c:dLbls>
          <c:cat>
            <c:strRef>
              <c:f>Sheet1!$A$2:$A$5</c:f>
              <c:strCache>
                <c:ptCount val="4"/>
                <c:pt idx="0">
                  <c:v>文化旅游体育与传媒支出</c:v>
                </c:pt>
                <c:pt idx="1">
                  <c:v>社会保障和就业支出</c:v>
                </c:pt>
                <c:pt idx="2">
                  <c:v>卫生健康支出</c:v>
                </c:pt>
                <c:pt idx="3">
                  <c:v>住房保障支出</c:v>
                </c:pt>
              </c:strCache>
            </c:strRef>
          </c:cat>
          <c:val>
            <c:numRef>
              <c:f>Sheet1!$B$2:$B$5</c:f>
              <c:numCache>
                <c:formatCode>0%</c:formatCode>
                <c:ptCount val="4"/>
                <c:pt idx="0">
                  <c:v>0.779</c:v>
                </c:pt>
                <c:pt idx="1">
                  <c:v>0.117</c:v>
                </c:pt>
                <c:pt idx="2">
                  <c:v>0.043</c:v>
                </c:pt>
                <c:pt idx="3">
                  <c:v>0.06</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ayout>
        <c:manualLayout>
          <c:xMode val="edge"/>
          <c:yMode val="edge"/>
          <c:x val="0.116262767957071"/>
          <c:y val="0.871520561029528"/>
          <c:w val="0.879727072973286"/>
          <c:h val="0.113422989089064"/>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ysClr val="windowText" lastClr="000000">
                  <a:lumMod val="65000"/>
                  <a:lumOff val="35000"/>
                </a:sysClr>
              </a:solidFill>
              <a:latin typeface="+mn-lt"/>
              <a:ea typeface="+mn-ea"/>
              <a:cs typeface="+mn-cs"/>
            </a:defRPr>
          </a:pPr>
        </a:p>
      </c:txPr>
    </c:legend>
    <c:plotVisOnly val="1"/>
    <c:dispBlanksAs val="gap"/>
    <c:showDLblsOverMax val="0"/>
    <c:extLst>
      <c:ext uri="{0b15fc19-7d7d-44ad-8c2d-2c3a37ce22c3}">
        <chartProps xmlns="https://web.wps.cn/et/2018/main" chartId="{363a5713-600d-486c-97e7-4985bc744abe}"/>
      </c:ext>
    </c:extLst>
  </c:chart>
  <c:spPr>
    <a:solidFill>
      <a:sysClr val="window" lastClr="FFFFFF"/>
    </a:solidFill>
    <a:ln w="9525" cap="flat" cmpd="sng" algn="ctr">
      <a:solidFill>
        <a:sysClr val="windowText" lastClr="000000">
          <a:lumMod val="15000"/>
          <a:lumOff val="85000"/>
        </a:sysClr>
      </a:solid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pieChart>
        <c:varyColors val="1"/>
        <c:ser>
          <c:idx val="0"/>
          <c:order val="0"/>
          <c:tx>
            <c:strRef>
              <c:f>Sheet1!$B$1</c:f>
              <c:strCache>
                <c:ptCount val="1"/>
                <c:pt idx="0">
                  <c:v>列1</c:v>
                </c:pt>
              </c:strCache>
            </c:strRef>
          </c:tx>
          <c:spPr/>
          <c:explosion val="0"/>
          <c:dPt>
            <c:idx val="0"/>
            <c:bubble3D val="0"/>
            <c:spPr>
              <a:solidFill>
                <a:srgbClr val="4F81BD"/>
              </a:solidFill>
              <a:ln>
                <a:solidFill>
                  <a:sysClr val="window" lastClr="FFFFFF"/>
                </a:solidFill>
              </a:ln>
              <a:effectLst/>
            </c:spPr>
          </c:dPt>
          <c:dPt>
            <c:idx val="1"/>
            <c:bubble3D val="0"/>
            <c:spPr>
              <a:solidFill>
                <a:srgbClr val="C0504D"/>
              </a:solidFill>
              <a:ln>
                <a:solidFill>
                  <a:sysClr val="window" lastClr="FFFFFF"/>
                </a:solidFill>
              </a:ln>
              <a:effectLst/>
            </c:spPr>
          </c:dPt>
          <c:dPt>
            <c:idx val="2"/>
            <c:bubble3D val="0"/>
            <c:spPr>
              <a:solidFill>
                <a:srgbClr val="9BBB59"/>
              </a:solidFill>
              <a:ln>
                <a:solidFill>
                  <a:sysClr val="window" lastClr="FFFFFF"/>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ysClr val="windowText" lastClr="000000">
                        <a:lumMod val="75000"/>
                        <a:lumOff val="25000"/>
                      </a:sys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ysClr val="windowText" lastClr="000000">
                          <a:lumMod val="35000"/>
                          <a:lumOff val="65000"/>
                        </a:sysClr>
                      </a:solidFill>
                      <a:round/>
                    </a:ln>
                    <a:effectLst/>
                  </c:spPr>
                </c15:leaderLines>
              </c:ext>
            </c:extLst>
          </c:dLbls>
          <c:cat>
            <c:strRef>
              <c:f>Sheet1!$A$2:$A$4</c:f>
              <c:strCache>
                <c:ptCount val="3"/>
                <c:pt idx="0">
                  <c:v>因公出国（境）费</c:v>
                </c:pt>
                <c:pt idx="1">
                  <c:v>公务用车购置及运行维护费</c:v>
                </c:pt>
                <c:pt idx="2">
                  <c:v>公务接待费</c:v>
                </c:pt>
              </c:strCache>
            </c:strRef>
          </c:cat>
          <c:val>
            <c:numRef>
              <c:f>Sheet1!$B$2:$B$4</c:f>
              <c:numCache>
                <c:formatCode>0%</c:formatCode>
                <c:ptCount val="3"/>
                <c:pt idx="0">
                  <c:v>0</c:v>
                </c:pt>
                <c:pt idx="1">
                  <c:v>1</c:v>
                </c:pt>
                <c:pt idx="2">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ayout>
        <c:manualLayout>
          <c:xMode val="edge"/>
          <c:yMode val="edge"/>
          <c:x val="0.226163831692032"/>
          <c:y val="0.903841059602649"/>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ysClr val="windowText" lastClr="000000">
                  <a:lumMod val="65000"/>
                  <a:lumOff val="35000"/>
                </a:sysClr>
              </a:solidFill>
              <a:latin typeface="+mn-lt"/>
              <a:ea typeface="+mn-ea"/>
              <a:cs typeface="+mn-cs"/>
            </a:defRPr>
          </a:pPr>
        </a:p>
      </c:txPr>
    </c:legend>
    <c:plotVisOnly val="1"/>
    <c:dispBlanksAs val="gap"/>
    <c:showDLblsOverMax val="0"/>
    <c:extLst>
      <c:ext uri="{0b15fc19-7d7d-44ad-8c2d-2c3a37ce22c3}">
        <chartProps xmlns="https://web.wps.cn/et/2018/main" chartId="{8a6f96fe-c080-4f93-b2e9-31f8d8e6d884}"/>
      </c:ext>
    </c:extLst>
  </c:chart>
  <c:spPr>
    <a:solidFill>
      <a:sysClr val="window" lastClr="FFFFFF"/>
    </a:solidFill>
    <a:ln w="9525" cap="flat" cmpd="sng" algn="ctr">
      <a:solidFill>
        <a:sysClr val="windowText" lastClr="000000">
          <a:lumMod val="15000"/>
          <a:lumOff val="85000"/>
        </a:sys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82">
  <cs:axisTitle>
    <cs:lnRef idx="0"/>
    <cs:fillRef idx="0"/>
    <cs:effectRef idx="0"/>
    <cs:fontRef idx="minor">
      <a:sysClr val="windowText" lastClr="000000">
        <a:lumMod val="65000"/>
        <a:lumOff val="35000"/>
      </a:sysClr>
    </cs:fontRef>
    <cs:defRPr sz="1000" kern="1200"/>
  </cs:axisTitle>
  <cs:categoryAxis>
    <cs:lnRef idx="0"/>
    <cs:fillRef idx="0"/>
    <cs:effectRef idx="0"/>
    <cs:fontRef idx="minor">
      <a:sysClr val="windowText" lastClr="000000">
        <a:lumMod val="65000"/>
        <a:lumOff val="35000"/>
      </a:sysClr>
    </cs:fontRef>
    <cs:spPr>
      <a:ln w="9525" cap="flat" cmpd="sng" algn="ctr">
        <a:solidFill>
          <a:sysClr val="windowText" lastClr="000000">
            <a:lumMod val="15000"/>
            <a:lumOff val="85000"/>
          </a:sysClr>
        </a:solidFill>
        <a:round/>
      </a:ln>
    </cs:spPr>
    <cs:defRPr sz="900" kern="1200"/>
  </cs:categoryAxis>
  <cs:chartArea mods="allowNoFillOverride allowNoLineOverride">
    <cs:lnRef idx="0"/>
    <cs:fillRef idx="0"/>
    <cs:effectRef idx="0"/>
    <cs:fontRef idx="minor">
      <a:sysClr val="windowText" lastClr="000000"/>
    </cs:fontRef>
    <cs:spPr>
      <a:solidFill>
        <a:sysClr val="window" lastClr="FFFFFF"/>
      </a:solidFill>
      <a:ln w="9525" cap="flat" cmpd="sng" algn="ctr">
        <a:solidFill>
          <a:sysClr val="windowText" lastClr="000000">
            <a:lumMod val="15000"/>
            <a:lumOff val="85000"/>
          </a:sysClr>
        </a:solidFill>
        <a:round/>
      </a:ln>
    </cs:spPr>
    <cs:defRPr sz="900" kern="1200"/>
  </cs:chartArea>
  <cs:dataLabel>
    <cs:lnRef idx="0"/>
    <cs:fillRef idx="0"/>
    <cs:effectRef idx="0"/>
    <cs:fontRef idx="minor">
      <a:sysClr val="windowText" lastClr="000000">
        <a:lumMod val="75000"/>
        <a:lumOff val="25000"/>
      </a:sysClr>
    </cs:fontRef>
    <cs:defRPr sz="1000" kern="1200"/>
  </cs:dataLabel>
  <cs:dataLabelCallout>
    <cs:lnRef idx="0"/>
    <cs:fillRef idx="0"/>
    <cs:effectRef idx="0"/>
    <cs:fontRef idx="minor">
      <a:sysClr val="windowText" lastClr="000000">
        <a:lumMod val="65000"/>
        <a:lumOff val="35000"/>
      </a:sysClr>
    </cs:fontRef>
    <cs:spPr>
      <a:solidFill>
        <a:sysClr val="window" lastClr="FFFFFF"/>
      </a:solidFill>
      <a:ln>
        <a:solidFill>
          <a:sysClr val="windowText" lastClr="000000">
            <a:lumMod val="25000"/>
            <a:lumOff val="75000"/>
          </a:sys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ysClr val="windowText" lastClr="000000"/>
    </cs:fontRef>
    <cs:spPr>
      <a:ln>
        <a:solidFill>
          <a:sysClr val="window" lastClr="FFFFFF"/>
        </a:solidFill>
      </a:ln>
      <a:effectLst/>
    </cs:spPr>
  </cs:dataPoint>
  <cs:dataPoint3D>
    <cs:lnRef idx="0"/>
    <cs:fillRef idx="1">
      <cs:styleClr val="auto"/>
    </cs:fillRef>
    <cs:effectRef idx="0"/>
    <cs:fontRef idx="minor">
      <a:sysClr val="windowText" lastClr="000000"/>
    </cs:fontRef>
    <cs:spPr>
      <a:ln w="25400">
        <a:solidFill>
          <a:sysClr val="window" lastClr="FFFFFF"/>
        </a:solidFill>
      </a:ln>
    </cs:spPr>
  </cs:dataPoint3D>
  <cs:dataPointLine>
    <cs:lnRef idx="0">
      <cs:styleClr val="auto"/>
    </cs:lnRef>
    <cs:fillRef idx="0"/>
    <cs:effectRef idx="0"/>
    <cs:fontRef idx="minor">
      <a:sysClr val="windowText" lastClr="000000"/>
    </cs:fontRef>
    <cs:spPr>
      <a:ln w="28575" cap="rnd">
        <a:solidFill>
          <a:schemeClr val="phClr"/>
        </a:solidFill>
        <a:round/>
      </a:ln>
    </cs:spPr>
  </cs:dataPointLine>
  <cs:dataPointMarker>
    <cs:lnRef idx="0">
      <cs:styleClr val="auto"/>
    </cs:lnRef>
    <cs:fillRef idx="1">
      <cs:styleClr val="auto"/>
    </cs:fillRef>
    <cs:effectRef idx="0"/>
    <cs:fontRef idx="minor">
      <a:sysClr val="windowText" lastClr="000000"/>
    </cs:fontRef>
    <cs:spPr>
      <a:ln w="9525">
        <a:solidFill>
          <a:schemeClr val="phClr"/>
        </a:solidFill>
      </a:ln>
    </cs:spPr>
  </cs:dataPointMarker>
  <cs:dataPointMarkerLayout symbol="circle" size="5"/>
  <cs:dataPointWireframe>
    <cs:lnRef idx="0">
      <cs:styleClr val="auto"/>
    </cs:lnRef>
    <cs:fillRef idx="0"/>
    <cs:effectRef idx="0"/>
    <cs:fontRef idx="minor">
      <a:sysClr val="windowText" lastClr="000000"/>
    </cs:fontRef>
    <cs:spPr>
      <a:ln w="9525" cap="rnd">
        <a:solidFill>
          <a:schemeClr val="phClr"/>
        </a:solidFill>
        <a:round/>
      </a:ln>
    </cs:spPr>
  </cs:dataPointWireframe>
  <cs:dataTable>
    <cs:lnRef idx="0"/>
    <cs:fillRef idx="0"/>
    <cs:effectRef idx="0"/>
    <cs:fontRef idx="minor">
      <a:sysClr val="windowText" lastClr="000000">
        <a:lumMod val="65000"/>
        <a:lumOff val="35000"/>
      </a:sysClr>
    </cs:fontRef>
    <cs:spPr>
      <a:noFill/>
      <a:ln w="9525" cap="flat" cmpd="sng" algn="ctr">
        <a:solidFill>
          <a:sysClr val="windowText" lastClr="000000">
            <a:lumMod val="15000"/>
            <a:lumOff val="85000"/>
          </a:sysClr>
        </a:solidFill>
        <a:round/>
      </a:ln>
    </cs:spPr>
    <cs:defRPr sz="900" kern="1200"/>
  </cs:dataTable>
  <cs:downBar>
    <cs:lnRef idx="0"/>
    <cs:fillRef idx="0"/>
    <cs:effectRef idx="0"/>
    <cs:fontRef idx="minor">
      <a:sysClr val="windowText" lastClr="000000"/>
    </cs:fontRef>
    <cs:spPr>
      <a:solidFill>
        <a:sysClr val="windowText" lastClr="000000">
          <a:lumMod val="75000"/>
          <a:lumOff val="25000"/>
        </a:sysClr>
      </a:solidFill>
      <a:ln w="9525" cap="flat" cmpd="sng" algn="ctr">
        <a:solidFill>
          <a:sysClr val="windowText" lastClr="000000">
            <a:lumMod val="65000"/>
            <a:lumOff val="35000"/>
          </a:sysClr>
        </a:solidFill>
        <a:round/>
      </a:ln>
    </cs:spPr>
  </cs:downBar>
  <cs:dropLine>
    <cs:lnRef idx="0"/>
    <cs:fillRef idx="0"/>
    <cs:effectRef idx="0"/>
    <cs:fontRef idx="minor">
      <a:sysClr val="windowText" lastClr="000000"/>
    </cs:fontRef>
    <cs:spPr>
      <a:ln w="9525" cap="flat" cmpd="sng" algn="ctr">
        <a:solidFill>
          <a:sysClr val="windowText" lastClr="000000">
            <a:lumMod val="35000"/>
            <a:lumOff val="65000"/>
          </a:sysClr>
        </a:solidFill>
        <a:round/>
      </a:ln>
    </cs:spPr>
  </cs:dropLine>
  <cs:errorBar>
    <cs:lnRef idx="0"/>
    <cs:fillRef idx="0"/>
    <cs:effectRef idx="0"/>
    <cs:fontRef idx="minor">
      <a:sysClr val="windowText" lastClr="000000"/>
    </cs:fontRef>
    <cs:spPr>
      <a:ln w="9525" cap="flat" cmpd="sng" algn="ctr">
        <a:solidFill>
          <a:sysClr val="windowText" lastClr="000000">
            <a:lumMod val="65000"/>
            <a:lumOff val="35000"/>
          </a:sysClr>
        </a:solidFill>
        <a:round/>
      </a:ln>
    </cs:spPr>
  </cs:errorBar>
  <cs:floor>
    <cs:lnRef idx="0"/>
    <cs:fillRef idx="0"/>
    <cs:effectRef idx="0"/>
    <cs:fontRef idx="minor">
      <a:sysClr val="windowText" lastClr="000000"/>
    </cs:fontRef>
    <cs:spPr>
      <a:noFill/>
      <a:ln>
        <a:noFill/>
      </a:ln>
    </cs:spPr>
  </cs:floor>
  <cs:gridlineMajor>
    <cs:lnRef idx="0"/>
    <cs:fillRef idx="0"/>
    <cs:effectRef idx="0"/>
    <cs:fontRef idx="minor">
      <a:sysClr val="windowText" lastClr="000000"/>
    </cs:fontRef>
    <cs:spPr>
      <a:ln w="9525" cap="flat" cmpd="sng" algn="ctr">
        <a:solidFill>
          <a:sysClr val="window" lastClr="FFFFFF">
            <a:lumMod val="90200"/>
          </a:sysClr>
        </a:solidFill>
        <a:round/>
      </a:ln>
    </cs:spPr>
  </cs:gridlineMajor>
  <cs:gridlineMinor>
    <cs:lnRef idx="0"/>
    <cs:fillRef idx="0"/>
    <cs:effectRef idx="0"/>
    <cs:fontRef idx="minor">
      <a:sysClr val="windowText" lastClr="000000"/>
    </cs:fontRef>
    <cs:spPr>
      <a:ln w="9525" cap="flat" cmpd="sng" algn="ctr">
        <a:solidFill>
          <a:sysClr val="windowText" lastClr="000000">
            <a:lumMod val="5000"/>
            <a:lumOff val="95000"/>
          </a:sysClr>
        </a:solidFill>
        <a:round/>
      </a:ln>
    </cs:spPr>
  </cs:gridlineMinor>
  <cs:hiLoLine>
    <cs:lnRef idx="0"/>
    <cs:fillRef idx="0"/>
    <cs:effectRef idx="0"/>
    <cs:fontRef idx="minor">
      <a:sysClr val="windowText" lastClr="000000"/>
    </cs:fontRef>
    <cs:spPr>
      <a:ln w="9525" cap="flat" cmpd="sng" algn="ctr">
        <a:solidFill>
          <a:sysClr val="windowText" lastClr="000000">
            <a:lumMod val="50000"/>
            <a:lumOff val="50000"/>
          </a:sysClr>
        </a:solidFill>
        <a:round/>
      </a:ln>
    </cs:spPr>
  </cs:hiLoLine>
  <cs:leaderLine>
    <cs:lnRef idx="0"/>
    <cs:fillRef idx="0"/>
    <cs:effectRef idx="0"/>
    <cs:fontRef idx="minor">
      <a:sysClr val="windowText" lastClr="000000"/>
    </cs:fontRef>
    <cs:spPr>
      <a:ln w="9525" cap="flat" cmpd="sng" algn="ctr">
        <a:solidFill>
          <a:sysClr val="windowText" lastClr="000000">
            <a:lumMod val="35000"/>
            <a:lumOff val="65000"/>
          </a:sysClr>
        </a:solidFill>
        <a:round/>
      </a:ln>
    </cs:spPr>
  </cs:leaderLine>
  <cs:legend>
    <cs:lnRef idx="0"/>
    <cs:fillRef idx="0"/>
    <cs:effectRef idx="0"/>
    <cs:fontRef idx="minor">
      <a:sysClr val="windowText" lastClr="000000">
        <a:lumMod val="65000"/>
        <a:lumOff val="35000"/>
      </a:sysClr>
    </cs:fontRef>
    <cs:defRPr sz="900" kern="1200"/>
  </cs:legend>
  <cs:plotArea mods="allowNoFillOverride allowNoLineOverride">
    <cs:lnRef idx="0"/>
    <cs:fillRef idx="0"/>
    <cs:effectRef idx="0"/>
    <cs:fontRef idx="minor">
      <a:sysClr val="windowText" lastClr="000000"/>
    </cs:fontRef>
  </cs:plotArea>
  <cs:plotArea3D mods="allowNoFillOverride allowNoLineOverride">
    <cs:lnRef idx="0"/>
    <cs:fillRef idx="0"/>
    <cs:effectRef idx="0"/>
    <cs:fontRef idx="minor">
      <a:sysClr val="windowText" lastClr="000000"/>
    </cs:fontRef>
  </cs:plotArea3D>
  <cs:seriesAxis>
    <cs:lnRef idx="0"/>
    <cs:fillRef idx="0"/>
    <cs:effectRef idx="0"/>
    <cs:fontRef idx="minor">
      <a:sysClr val="windowText" lastClr="000000">
        <a:lumMod val="65000"/>
        <a:lumOff val="35000"/>
      </a:sysClr>
    </cs:fontRef>
    <cs:defRPr sz="900" kern="1200"/>
  </cs:seriesAxis>
  <cs:seriesLine>
    <cs:lnRef idx="0"/>
    <cs:fillRef idx="0"/>
    <cs:effectRef idx="0"/>
    <cs:fontRef idx="minor">
      <a:sysClr val="windowText" lastClr="000000"/>
    </cs:fontRef>
    <cs:spPr>
      <a:ln w="9525" cap="flat" cmpd="sng" algn="ctr">
        <a:solidFill>
          <a:sysClr val="windowText" lastClr="000000">
            <a:lumMod val="35000"/>
            <a:lumOff val="65000"/>
          </a:sysClr>
        </a:solidFill>
        <a:round/>
      </a:ln>
    </cs:spPr>
  </cs:seriesLine>
  <cs:title>
    <cs:lnRef idx="0"/>
    <cs:fillRef idx="0"/>
    <cs:effectRef idx="0"/>
    <cs:fontRef idx="minor">
      <a:sysClr val="windowText" lastClr="000000">
        <a:lumMod val="75000"/>
        <a:lumOff val="25000"/>
      </a:sysClr>
    </cs:fontRef>
    <cs:defRPr sz="1400" b="1" kern="1200" baseline="0"/>
  </cs:title>
  <cs:trendline>
    <cs:lnRef idx="0">
      <cs:styleClr val="auto"/>
    </cs:lnRef>
    <cs:fillRef idx="0"/>
    <cs:effectRef idx="0"/>
    <cs:fontRef idx="minor">
      <a:sysClr val="windowText" lastClr="000000"/>
    </cs:fontRef>
    <cs:spPr>
      <a:ln w="19050" cap="rnd">
        <a:solidFill>
          <a:schemeClr val="phClr"/>
        </a:solidFill>
        <a:prstDash val="sysDot"/>
      </a:ln>
    </cs:spPr>
  </cs:trendline>
  <cs:trendlineLabel>
    <cs:lnRef idx="0"/>
    <cs:fillRef idx="0"/>
    <cs:effectRef idx="0"/>
    <cs:fontRef idx="minor">
      <a:sysClr val="windowText" lastClr="000000">
        <a:lumMod val="65000"/>
        <a:lumOff val="35000"/>
      </a:sysClr>
    </cs:fontRef>
    <cs:defRPr sz="900" kern="1200"/>
  </cs:trendlineLabel>
  <cs:upBar>
    <cs:lnRef idx="0"/>
    <cs:fillRef idx="0"/>
    <cs:effectRef idx="0"/>
    <cs:fontRef idx="minor">
      <a:sysClr val="windowText" lastClr="000000"/>
    </cs:fontRef>
    <cs:spPr>
      <a:solidFill>
        <a:sysClr val="window" lastClr="FFFFFF"/>
      </a:solidFill>
      <a:ln w="9525" cap="flat" cmpd="sng" algn="ctr">
        <a:solidFill>
          <a:sysClr val="windowText" lastClr="000000">
            <a:lumMod val="65000"/>
            <a:lumOff val="35000"/>
          </a:sysClr>
        </a:solidFill>
        <a:round/>
      </a:ln>
    </cs:spPr>
  </cs:upBar>
  <cs:valueAxis>
    <cs:lnRef idx="0"/>
    <cs:fillRef idx="0"/>
    <cs:effectRef idx="0"/>
    <cs:fontRef idx="minor">
      <a:sysClr val="windowText" lastClr="000000">
        <a:lumMod val="65000"/>
        <a:lumOff val="35000"/>
      </a:sysClr>
    </cs:fontRef>
    <cs:defRPr sz="900" kern="1200"/>
  </cs:valueAxis>
  <cs:wall>
    <cs:lnRef idx="0"/>
    <cs:fillRef idx="0"/>
    <cs:effectRef idx="0"/>
    <cs:fontRef idx="minor">
      <a:sysClr val="windowText" lastClr="000000"/>
    </cs:fontRef>
    <cs:spPr>
      <a:noFill/>
      <a:ln>
        <a:noFill/>
      </a:ln>
    </cs:spPr>
  </cs:wall>
</cs:chartStyle>
</file>

<file path=word/charts/style2.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82">
  <cs:axisTitle>
    <cs:lnRef idx="0"/>
    <cs:fillRef idx="0"/>
    <cs:effectRef idx="0"/>
    <cs:fontRef idx="minor">
      <a:sysClr val="windowText" lastClr="000000">
        <a:lumMod val="65000"/>
        <a:lumOff val="35000"/>
      </a:sysClr>
    </cs:fontRef>
    <cs:defRPr sz="1000" kern="1200"/>
  </cs:axisTitle>
  <cs:categoryAxis>
    <cs:lnRef idx="0"/>
    <cs:fillRef idx="0"/>
    <cs:effectRef idx="0"/>
    <cs:fontRef idx="minor">
      <a:sysClr val="windowText" lastClr="000000">
        <a:lumMod val="65000"/>
        <a:lumOff val="35000"/>
      </a:sysClr>
    </cs:fontRef>
    <cs:spPr>
      <a:ln w="9525" cap="flat" cmpd="sng" algn="ctr">
        <a:solidFill>
          <a:sysClr val="windowText" lastClr="000000">
            <a:lumMod val="15000"/>
            <a:lumOff val="85000"/>
          </a:sysClr>
        </a:solidFill>
        <a:round/>
      </a:ln>
    </cs:spPr>
    <cs:defRPr sz="900" kern="1200"/>
  </cs:categoryAxis>
  <cs:chartArea mods="allowNoFillOverride allowNoLineOverride">
    <cs:lnRef idx="0"/>
    <cs:fillRef idx="0"/>
    <cs:effectRef idx="0"/>
    <cs:fontRef idx="minor">
      <a:sysClr val="windowText" lastClr="000000"/>
    </cs:fontRef>
    <cs:spPr>
      <a:solidFill>
        <a:sysClr val="window" lastClr="FFFFFF"/>
      </a:solidFill>
      <a:ln w="9525" cap="flat" cmpd="sng" algn="ctr">
        <a:solidFill>
          <a:sysClr val="windowText" lastClr="000000">
            <a:lumMod val="15000"/>
            <a:lumOff val="85000"/>
          </a:sysClr>
        </a:solidFill>
        <a:round/>
      </a:ln>
    </cs:spPr>
    <cs:defRPr sz="900" kern="1200"/>
  </cs:chartArea>
  <cs:dataLabel>
    <cs:lnRef idx="0"/>
    <cs:fillRef idx="0"/>
    <cs:effectRef idx="0"/>
    <cs:fontRef idx="minor">
      <a:sysClr val="windowText" lastClr="000000">
        <a:lumMod val="75000"/>
        <a:lumOff val="25000"/>
      </a:sysClr>
    </cs:fontRef>
    <cs:defRPr sz="1000" kern="1200"/>
  </cs:dataLabel>
  <cs:dataLabelCallout>
    <cs:lnRef idx="0"/>
    <cs:fillRef idx="0"/>
    <cs:effectRef idx="0"/>
    <cs:fontRef idx="minor">
      <a:sysClr val="windowText" lastClr="000000">
        <a:lumMod val="65000"/>
        <a:lumOff val="35000"/>
      </a:sysClr>
    </cs:fontRef>
    <cs:spPr>
      <a:solidFill>
        <a:sysClr val="window" lastClr="FFFFFF"/>
      </a:solidFill>
      <a:ln>
        <a:solidFill>
          <a:sysClr val="windowText" lastClr="000000">
            <a:lumMod val="25000"/>
            <a:lumOff val="75000"/>
          </a:sys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ysClr val="windowText" lastClr="000000"/>
    </cs:fontRef>
    <cs:spPr>
      <a:ln>
        <a:solidFill>
          <a:sysClr val="window" lastClr="FFFFFF"/>
        </a:solidFill>
      </a:ln>
      <a:effectLst/>
    </cs:spPr>
  </cs:dataPoint>
  <cs:dataPoint3D>
    <cs:lnRef idx="0"/>
    <cs:fillRef idx="1">
      <cs:styleClr val="auto"/>
    </cs:fillRef>
    <cs:effectRef idx="0"/>
    <cs:fontRef idx="minor">
      <a:sysClr val="windowText" lastClr="000000"/>
    </cs:fontRef>
    <cs:spPr>
      <a:ln w="25400">
        <a:solidFill>
          <a:sysClr val="window" lastClr="FFFFFF"/>
        </a:solidFill>
      </a:ln>
    </cs:spPr>
  </cs:dataPoint3D>
  <cs:dataPointLine>
    <cs:lnRef idx="0">
      <cs:styleClr val="auto"/>
    </cs:lnRef>
    <cs:fillRef idx="0"/>
    <cs:effectRef idx="0"/>
    <cs:fontRef idx="minor">
      <a:sysClr val="windowText" lastClr="000000"/>
    </cs:fontRef>
    <cs:spPr>
      <a:ln w="28575" cap="rnd">
        <a:solidFill>
          <a:schemeClr val="phClr"/>
        </a:solidFill>
        <a:round/>
      </a:ln>
    </cs:spPr>
  </cs:dataPointLine>
  <cs:dataPointMarker>
    <cs:lnRef idx="0">
      <cs:styleClr val="auto"/>
    </cs:lnRef>
    <cs:fillRef idx="1">
      <cs:styleClr val="auto"/>
    </cs:fillRef>
    <cs:effectRef idx="0"/>
    <cs:fontRef idx="minor">
      <a:sysClr val="windowText" lastClr="000000"/>
    </cs:fontRef>
    <cs:spPr>
      <a:ln w="9525">
        <a:solidFill>
          <a:schemeClr val="phClr"/>
        </a:solidFill>
      </a:ln>
    </cs:spPr>
  </cs:dataPointMarker>
  <cs:dataPointMarkerLayout symbol="circle" size="5"/>
  <cs:dataPointWireframe>
    <cs:lnRef idx="0">
      <cs:styleClr val="auto"/>
    </cs:lnRef>
    <cs:fillRef idx="0"/>
    <cs:effectRef idx="0"/>
    <cs:fontRef idx="minor">
      <a:sysClr val="windowText" lastClr="000000"/>
    </cs:fontRef>
    <cs:spPr>
      <a:ln w="9525" cap="rnd">
        <a:solidFill>
          <a:schemeClr val="phClr"/>
        </a:solidFill>
        <a:round/>
      </a:ln>
    </cs:spPr>
  </cs:dataPointWireframe>
  <cs:dataTable>
    <cs:lnRef idx="0"/>
    <cs:fillRef idx="0"/>
    <cs:effectRef idx="0"/>
    <cs:fontRef idx="minor">
      <a:sysClr val="windowText" lastClr="000000">
        <a:lumMod val="65000"/>
        <a:lumOff val="35000"/>
      </a:sysClr>
    </cs:fontRef>
    <cs:spPr>
      <a:noFill/>
      <a:ln w="9525" cap="flat" cmpd="sng" algn="ctr">
        <a:solidFill>
          <a:sysClr val="windowText" lastClr="000000">
            <a:lumMod val="15000"/>
            <a:lumOff val="85000"/>
          </a:sysClr>
        </a:solidFill>
        <a:round/>
      </a:ln>
    </cs:spPr>
    <cs:defRPr sz="900" kern="1200"/>
  </cs:dataTable>
  <cs:downBar>
    <cs:lnRef idx="0"/>
    <cs:fillRef idx="0"/>
    <cs:effectRef idx="0"/>
    <cs:fontRef idx="minor">
      <a:sysClr val="windowText" lastClr="000000"/>
    </cs:fontRef>
    <cs:spPr>
      <a:solidFill>
        <a:sysClr val="windowText" lastClr="000000">
          <a:lumMod val="75000"/>
          <a:lumOff val="25000"/>
        </a:sysClr>
      </a:solidFill>
      <a:ln w="9525" cap="flat" cmpd="sng" algn="ctr">
        <a:solidFill>
          <a:sysClr val="windowText" lastClr="000000">
            <a:lumMod val="65000"/>
            <a:lumOff val="35000"/>
          </a:sysClr>
        </a:solidFill>
        <a:round/>
      </a:ln>
    </cs:spPr>
  </cs:downBar>
  <cs:dropLine>
    <cs:lnRef idx="0"/>
    <cs:fillRef idx="0"/>
    <cs:effectRef idx="0"/>
    <cs:fontRef idx="minor">
      <a:sysClr val="windowText" lastClr="000000"/>
    </cs:fontRef>
    <cs:spPr>
      <a:ln w="9525" cap="flat" cmpd="sng" algn="ctr">
        <a:solidFill>
          <a:sysClr val="windowText" lastClr="000000">
            <a:lumMod val="35000"/>
            <a:lumOff val="65000"/>
          </a:sysClr>
        </a:solidFill>
        <a:round/>
      </a:ln>
    </cs:spPr>
  </cs:dropLine>
  <cs:errorBar>
    <cs:lnRef idx="0"/>
    <cs:fillRef idx="0"/>
    <cs:effectRef idx="0"/>
    <cs:fontRef idx="minor">
      <a:sysClr val="windowText" lastClr="000000"/>
    </cs:fontRef>
    <cs:spPr>
      <a:ln w="9525" cap="flat" cmpd="sng" algn="ctr">
        <a:solidFill>
          <a:sysClr val="windowText" lastClr="000000">
            <a:lumMod val="65000"/>
            <a:lumOff val="35000"/>
          </a:sysClr>
        </a:solidFill>
        <a:round/>
      </a:ln>
    </cs:spPr>
  </cs:errorBar>
  <cs:floor>
    <cs:lnRef idx="0"/>
    <cs:fillRef idx="0"/>
    <cs:effectRef idx="0"/>
    <cs:fontRef idx="minor">
      <a:sysClr val="windowText" lastClr="000000"/>
    </cs:fontRef>
    <cs:spPr>
      <a:noFill/>
      <a:ln>
        <a:noFill/>
      </a:ln>
    </cs:spPr>
  </cs:floor>
  <cs:gridlineMajor>
    <cs:lnRef idx="0"/>
    <cs:fillRef idx="0"/>
    <cs:effectRef idx="0"/>
    <cs:fontRef idx="minor">
      <a:sysClr val="windowText" lastClr="000000"/>
    </cs:fontRef>
    <cs:spPr>
      <a:ln w="9525" cap="flat" cmpd="sng" algn="ctr">
        <a:solidFill>
          <a:sysClr val="window" lastClr="FFFFFF">
            <a:lumMod val="90200"/>
          </a:sysClr>
        </a:solidFill>
        <a:round/>
      </a:ln>
    </cs:spPr>
  </cs:gridlineMajor>
  <cs:gridlineMinor>
    <cs:lnRef idx="0"/>
    <cs:fillRef idx="0"/>
    <cs:effectRef idx="0"/>
    <cs:fontRef idx="minor">
      <a:sysClr val="windowText" lastClr="000000"/>
    </cs:fontRef>
    <cs:spPr>
      <a:ln w="9525" cap="flat" cmpd="sng" algn="ctr">
        <a:solidFill>
          <a:sysClr val="windowText" lastClr="000000">
            <a:lumMod val="5000"/>
            <a:lumOff val="95000"/>
          </a:sysClr>
        </a:solidFill>
        <a:round/>
      </a:ln>
    </cs:spPr>
  </cs:gridlineMinor>
  <cs:hiLoLine>
    <cs:lnRef idx="0"/>
    <cs:fillRef idx="0"/>
    <cs:effectRef idx="0"/>
    <cs:fontRef idx="minor">
      <a:sysClr val="windowText" lastClr="000000"/>
    </cs:fontRef>
    <cs:spPr>
      <a:ln w="9525" cap="flat" cmpd="sng" algn="ctr">
        <a:solidFill>
          <a:sysClr val="windowText" lastClr="000000">
            <a:lumMod val="50000"/>
            <a:lumOff val="50000"/>
          </a:sysClr>
        </a:solidFill>
        <a:round/>
      </a:ln>
    </cs:spPr>
  </cs:hiLoLine>
  <cs:leaderLine>
    <cs:lnRef idx="0"/>
    <cs:fillRef idx="0"/>
    <cs:effectRef idx="0"/>
    <cs:fontRef idx="minor">
      <a:sysClr val="windowText" lastClr="000000"/>
    </cs:fontRef>
    <cs:spPr>
      <a:ln w="9525" cap="flat" cmpd="sng" algn="ctr">
        <a:solidFill>
          <a:sysClr val="windowText" lastClr="000000">
            <a:lumMod val="35000"/>
            <a:lumOff val="65000"/>
          </a:sysClr>
        </a:solidFill>
        <a:round/>
      </a:ln>
    </cs:spPr>
  </cs:leaderLine>
  <cs:legend>
    <cs:lnRef idx="0"/>
    <cs:fillRef idx="0"/>
    <cs:effectRef idx="0"/>
    <cs:fontRef idx="minor">
      <a:sysClr val="windowText" lastClr="000000">
        <a:lumMod val="65000"/>
        <a:lumOff val="35000"/>
      </a:sysClr>
    </cs:fontRef>
    <cs:defRPr sz="900" kern="1200"/>
  </cs:legend>
  <cs:plotArea mods="allowNoFillOverride allowNoLineOverride">
    <cs:lnRef idx="0"/>
    <cs:fillRef idx="0"/>
    <cs:effectRef idx="0"/>
    <cs:fontRef idx="minor">
      <a:sysClr val="windowText" lastClr="000000"/>
    </cs:fontRef>
  </cs:plotArea>
  <cs:plotArea3D mods="allowNoFillOverride allowNoLineOverride">
    <cs:lnRef idx="0"/>
    <cs:fillRef idx="0"/>
    <cs:effectRef idx="0"/>
    <cs:fontRef idx="minor">
      <a:sysClr val="windowText" lastClr="000000"/>
    </cs:fontRef>
  </cs:plotArea3D>
  <cs:seriesAxis>
    <cs:lnRef idx="0"/>
    <cs:fillRef idx="0"/>
    <cs:effectRef idx="0"/>
    <cs:fontRef idx="minor">
      <a:sysClr val="windowText" lastClr="000000">
        <a:lumMod val="65000"/>
        <a:lumOff val="35000"/>
      </a:sysClr>
    </cs:fontRef>
    <cs:defRPr sz="900" kern="1200"/>
  </cs:seriesAxis>
  <cs:seriesLine>
    <cs:lnRef idx="0"/>
    <cs:fillRef idx="0"/>
    <cs:effectRef idx="0"/>
    <cs:fontRef idx="minor">
      <a:sysClr val="windowText" lastClr="000000"/>
    </cs:fontRef>
    <cs:spPr>
      <a:ln w="9525" cap="flat" cmpd="sng" algn="ctr">
        <a:solidFill>
          <a:sysClr val="windowText" lastClr="000000">
            <a:lumMod val="35000"/>
            <a:lumOff val="65000"/>
          </a:sysClr>
        </a:solidFill>
        <a:round/>
      </a:ln>
    </cs:spPr>
  </cs:seriesLine>
  <cs:title>
    <cs:lnRef idx="0"/>
    <cs:fillRef idx="0"/>
    <cs:effectRef idx="0"/>
    <cs:fontRef idx="minor">
      <a:sysClr val="windowText" lastClr="000000">
        <a:lumMod val="75000"/>
        <a:lumOff val="25000"/>
      </a:sysClr>
    </cs:fontRef>
    <cs:defRPr sz="1400" b="1" kern="1200" baseline="0"/>
  </cs:title>
  <cs:trendline>
    <cs:lnRef idx="0">
      <cs:styleClr val="auto"/>
    </cs:lnRef>
    <cs:fillRef idx="0"/>
    <cs:effectRef idx="0"/>
    <cs:fontRef idx="minor">
      <a:sysClr val="windowText" lastClr="000000"/>
    </cs:fontRef>
    <cs:spPr>
      <a:ln w="19050" cap="rnd">
        <a:solidFill>
          <a:schemeClr val="phClr"/>
        </a:solidFill>
        <a:prstDash val="sysDot"/>
      </a:ln>
    </cs:spPr>
  </cs:trendline>
  <cs:trendlineLabel>
    <cs:lnRef idx="0"/>
    <cs:fillRef idx="0"/>
    <cs:effectRef idx="0"/>
    <cs:fontRef idx="minor">
      <a:sysClr val="windowText" lastClr="000000">
        <a:lumMod val="65000"/>
        <a:lumOff val="35000"/>
      </a:sysClr>
    </cs:fontRef>
    <cs:defRPr sz="900" kern="1200"/>
  </cs:trendlineLabel>
  <cs:upBar>
    <cs:lnRef idx="0"/>
    <cs:fillRef idx="0"/>
    <cs:effectRef idx="0"/>
    <cs:fontRef idx="minor">
      <a:sysClr val="windowText" lastClr="000000"/>
    </cs:fontRef>
    <cs:spPr>
      <a:solidFill>
        <a:sysClr val="window" lastClr="FFFFFF"/>
      </a:solidFill>
      <a:ln w="9525" cap="flat" cmpd="sng" algn="ctr">
        <a:solidFill>
          <a:sysClr val="windowText" lastClr="000000">
            <a:lumMod val="65000"/>
            <a:lumOff val="35000"/>
          </a:sysClr>
        </a:solidFill>
        <a:round/>
      </a:ln>
    </cs:spPr>
  </cs:upBar>
  <cs:valueAxis>
    <cs:lnRef idx="0"/>
    <cs:fillRef idx="0"/>
    <cs:effectRef idx="0"/>
    <cs:fontRef idx="minor">
      <a:sysClr val="windowText" lastClr="000000">
        <a:lumMod val="65000"/>
        <a:lumOff val="35000"/>
      </a:sysClr>
    </cs:fontRef>
    <cs:defRPr sz="900" kern="1200"/>
  </cs:valueAxis>
  <cs:wall>
    <cs:lnRef idx="0"/>
    <cs:fillRef idx="0"/>
    <cs:effectRef idx="0"/>
    <cs:fontRef idx="minor">
      <a:sysClr val="windowText" lastClr="000000"/>
    </cs:fontRef>
    <cs:spPr>
      <a:noFill/>
      <a:ln>
        <a:noFill/>
      </a:ln>
    </cs:spPr>
  </cs:wall>
</cs:chartStyle>
</file>

<file path=word/charts/style4.xml><?xml version="1.0" encoding="utf-8"?>
<cs:chartStyle xmlns:cs="http://schemas.microsoft.com/office/drawing/2012/chartStyle" xmlns:a="http://schemas.openxmlformats.org/drawingml/2006/main" id="10001">
  <cs:axisTitle>
    <cs:lnRef idx="0"/>
    <cs:fillRef idx="0"/>
    <cs:effectRef idx="0"/>
    <cs:fontRef idx="minor">
      <a:sysClr val="windowText" lastClr="000000">
        <a:lumMod val="65000"/>
        <a:lumOff val="35000"/>
      </a:sysClr>
    </cs:fontRef>
    <cs:defRPr sz="1000" kern="1200"/>
  </cs:axisTitle>
  <cs:categoryAxis>
    <cs:lnRef idx="0"/>
    <cs:fillRef idx="0"/>
    <cs:effectRef idx="0"/>
    <cs:fontRef idx="minor">
      <a:sysClr val="windowText" lastClr="000000">
        <a:lumMod val="65000"/>
        <a:lumOff val="35000"/>
      </a:sysClr>
    </cs:fontRef>
    <cs:spPr>
      <a:ln w="9525" cap="flat" cmpd="sng" algn="ctr">
        <a:solidFill>
          <a:sysClr val="windowText" lastClr="000000">
            <a:lumMod val="15000"/>
            <a:lumOff val="85000"/>
          </a:sysClr>
        </a:solidFill>
        <a:round/>
      </a:ln>
    </cs:spPr>
    <cs:defRPr sz="900" kern="1200"/>
  </cs:categoryAxis>
  <cs:chartArea mods="allowNoFillOverride allowNoLineOverride">
    <cs:lnRef idx="0"/>
    <cs:fillRef idx="0"/>
    <cs:effectRef idx="0"/>
    <cs:fontRef idx="minor">
      <a:sysClr val="windowText" lastClr="000000"/>
    </cs:fontRef>
    <cs:spPr>
      <a:solidFill>
        <a:sysClr val="window" lastClr="FFFFFF"/>
      </a:solidFill>
      <a:ln w="9525" cap="flat" cmpd="sng" algn="ctr">
        <a:solidFill>
          <a:sysClr val="windowText" lastClr="000000">
            <a:lumMod val="15000"/>
            <a:lumOff val="85000"/>
          </a:sysClr>
        </a:solidFill>
        <a:round/>
      </a:ln>
    </cs:spPr>
    <cs:defRPr sz="1000" kern="1200"/>
  </cs:chartArea>
  <cs:dataLabel>
    <cs:lnRef idx="0"/>
    <cs:fillRef idx="0"/>
    <cs:effectRef idx="0"/>
    <cs:fontRef idx="minor">
      <a:sysClr val="windowText" lastClr="000000">
        <a:lumMod val="75000"/>
        <a:lumOff val="25000"/>
      </a:sysClr>
    </cs:fontRef>
    <cs:defRPr sz="1000" kern="1200"/>
  </cs:dataLabel>
  <cs:dataLabelCallout>
    <cs:lnRef idx="0"/>
    <cs:fillRef idx="0"/>
    <cs:effectRef idx="0"/>
    <cs:fontRef idx="minor">
      <a:sysClr val="windowText" lastClr="000000">
        <a:lumMod val="65000"/>
        <a:lumOff val="35000"/>
      </a:sysClr>
    </cs:fontRef>
    <cs:spPr>
      <a:solidFill>
        <a:sysClr val="window" lastClr="FFFFFF"/>
      </a:solidFill>
      <a:ln>
        <a:solidFill>
          <a:sysClr val="windowText" lastClr="000000">
            <a:lumMod val="25000"/>
            <a:lumOff val="75000"/>
          </a:sys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ysClr val="windowText" lastClr="000000"/>
    </cs:fontRef>
    <cs:spPr>
      <a:ln>
        <a:noFill/>
      </a:ln>
      <a:effectLst/>
    </cs:spPr>
  </cs:dataPoint>
  <cs:dataPoint3D>
    <cs:lnRef idx="0"/>
    <cs:fillRef idx="1">
      <cs:styleClr val="auto"/>
    </cs:fillRef>
    <cs:effectRef idx="0"/>
    <cs:fontRef idx="minor">
      <a:sysClr val="windowText" lastClr="000000"/>
    </cs:fontRef>
  </cs:dataPoint3D>
  <cs:dataPointLine>
    <cs:lnRef idx="0">
      <cs:styleClr val="auto"/>
    </cs:lnRef>
    <cs:fillRef idx="1"/>
    <cs:effectRef idx="0"/>
    <cs:fontRef idx="minor">
      <a:sysClr val="windowText" lastClr="000000"/>
    </cs:fontRef>
    <cs:spPr>
      <a:ln w="28575" cap="rnd">
        <a:solidFill>
          <a:schemeClr val="phClr"/>
        </a:solidFill>
        <a:round/>
      </a:ln>
    </cs:spPr>
  </cs:dataPointLine>
  <cs:dataPointMarker>
    <cs:lnRef idx="0">
      <cs:styleClr val="auto"/>
    </cs:lnRef>
    <cs:fillRef idx="1">
      <cs:styleClr val="auto"/>
    </cs:fillRef>
    <cs:effectRef idx="0"/>
    <cs:fontRef idx="minor">
      <a:sysClr val="windowText" lastClr="000000"/>
    </cs:fontRef>
    <cs:spPr>
      <a:ln w="9525">
        <a:solidFill>
          <a:schemeClr val="phClr"/>
        </a:solidFill>
      </a:ln>
    </cs:spPr>
  </cs:dataPointMarker>
  <cs:dataPointMarkerLayout symbol="circle" size="5"/>
  <cs:dataPointWireframe>
    <cs:lnRef idx="0">
      <cs:styleClr val="auto"/>
    </cs:lnRef>
    <cs:fillRef idx="1"/>
    <cs:effectRef idx="0"/>
    <cs:fontRef idx="minor">
      <a:sysClr val="windowText" lastClr="000000"/>
    </cs:fontRef>
    <cs:spPr>
      <a:ln w="9525" cap="rnd">
        <a:solidFill>
          <a:schemeClr val="phClr"/>
        </a:solidFill>
        <a:round/>
      </a:ln>
    </cs:spPr>
  </cs:dataPointWireframe>
  <cs:dataTable>
    <cs:lnRef idx="0"/>
    <cs:fillRef idx="0"/>
    <cs:effectRef idx="0"/>
    <cs:fontRef idx="minor">
      <a:sysClr val="windowText" lastClr="000000">
        <a:lumMod val="65000"/>
        <a:lumOff val="35000"/>
      </a:sysClr>
    </cs:fontRef>
    <cs:spPr>
      <a:noFill/>
      <a:ln w="9525" cap="flat" cmpd="sng" algn="ctr">
        <a:solidFill>
          <a:sysClr val="windowText" lastClr="000000">
            <a:lumMod val="15000"/>
            <a:lumOff val="85000"/>
          </a:sysClr>
        </a:solidFill>
        <a:round/>
      </a:ln>
    </cs:spPr>
    <cs:defRPr sz="900" kern="1200"/>
  </cs:dataTable>
  <cs:downBar>
    <cs:lnRef idx="0"/>
    <cs:fillRef idx="0"/>
    <cs:effectRef idx="0"/>
    <cs:fontRef idx="minor">
      <a:sysClr val="windowText" lastClr="000000"/>
    </cs:fontRef>
    <cs:spPr>
      <a:solidFill>
        <a:sysClr val="windowText" lastClr="000000">
          <a:lumMod val="65000"/>
          <a:lumOff val="35000"/>
        </a:sysClr>
      </a:solidFill>
      <a:ln w="9525">
        <a:solidFill>
          <a:sysClr val="windowText" lastClr="000000">
            <a:lumMod val="65000"/>
            <a:lumOff val="35000"/>
          </a:sysClr>
        </a:solidFill>
      </a:ln>
    </cs:spPr>
  </cs:downBar>
  <cs:dropLine>
    <cs:lnRef idx="0"/>
    <cs:fillRef idx="0"/>
    <cs:effectRef idx="0"/>
    <cs:fontRef idx="minor">
      <a:sysClr val="windowText" lastClr="000000"/>
    </cs:fontRef>
    <cs:spPr>
      <a:ln w="9525" cap="flat" cmpd="sng" algn="ctr">
        <a:solidFill>
          <a:sysClr val="windowText" lastClr="000000">
            <a:lumMod val="35000"/>
            <a:lumOff val="65000"/>
          </a:sysClr>
        </a:solidFill>
        <a:round/>
      </a:ln>
    </cs:spPr>
  </cs:dropLine>
  <cs:errorBar>
    <cs:lnRef idx="0"/>
    <cs:fillRef idx="0"/>
    <cs:effectRef idx="0"/>
    <cs:fontRef idx="minor">
      <a:sysClr val="windowText" lastClr="000000"/>
    </cs:fontRef>
    <cs:spPr>
      <a:ln w="9525" cap="flat" cmpd="sng" algn="ctr">
        <a:solidFill>
          <a:sysClr val="windowText" lastClr="000000">
            <a:lumMod val="65000"/>
            <a:lumOff val="35000"/>
          </a:sysClr>
        </a:solidFill>
        <a:round/>
      </a:ln>
    </cs:spPr>
  </cs:errorBar>
  <cs:floor>
    <cs:lnRef idx="0"/>
    <cs:fillRef idx="0"/>
    <cs:effectRef idx="0"/>
    <cs:fontRef idx="minor">
      <a:sysClr val="windowText" lastClr="000000"/>
    </cs:fontRef>
    <cs:spPr>
      <a:noFill/>
      <a:ln>
        <a:noFill/>
      </a:ln>
    </cs:spPr>
  </cs:floor>
  <cs:gridlineMajor>
    <cs:lnRef idx="0"/>
    <cs:fillRef idx="0"/>
    <cs:effectRef idx="0"/>
    <cs:fontRef idx="minor">
      <a:sysClr val="windowText" lastClr="000000"/>
    </cs:fontRef>
    <cs:spPr>
      <a:ln w="9525" cap="flat" cmpd="sng" algn="ctr">
        <a:solidFill>
          <a:sysClr val="window" lastClr="FFFFFF">
            <a:lumMod val="90200"/>
          </a:sysClr>
        </a:solidFill>
        <a:round/>
      </a:ln>
    </cs:spPr>
  </cs:gridlineMajor>
  <cs:gridlineMinor>
    <cs:lnRef idx="0"/>
    <cs:fillRef idx="0"/>
    <cs:effectRef idx="0"/>
    <cs:fontRef idx="minor">
      <a:sysClr val="windowText" lastClr="000000"/>
    </cs:fontRef>
    <cs:spPr>
      <a:ln w="9525" cap="flat" cmpd="sng" algn="ctr">
        <a:solidFill>
          <a:sysClr val="windowText" lastClr="000000">
            <a:lumMod val="5000"/>
            <a:lumOff val="95000"/>
          </a:sysClr>
        </a:solidFill>
        <a:round/>
      </a:ln>
    </cs:spPr>
  </cs:gridlineMinor>
  <cs:hiLoLine>
    <cs:lnRef idx="0"/>
    <cs:fillRef idx="0"/>
    <cs:effectRef idx="0"/>
    <cs:fontRef idx="minor">
      <a:sysClr val="windowText" lastClr="000000"/>
    </cs:fontRef>
    <cs:spPr>
      <a:ln w="9525" cap="flat" cmpd="sng" algn="ctr">
        <a:solidFill>
          <a:sysClr val="windowText" lastClr="000000">
            <a:lumMod val="75000"/>
            <a:lumOff val="25000"/>
          </a:sysClr>
        </a:solidFill>
        <a:round/>
      </a:ln>
    </cs:spPr>
  </cs:hiLoLine>
  <cs:leaderLine>
    <cs:lnRef idx="0"/>
    <cs:fillRef idx="0"/>
    <cs:effectRef idx="0"/>
    <cs:fontRef idx="minor">
      <a:sysClr val="windowText" lastClr="000000"/>
    </cs:fontRef>
    <cs:spPr>
      <a:ln w="9525" cap="flat" cmpd="sng" algn="ctr">
        <a:solidFill>
          <a:sysClr val="windowText" lastClr="000000">
            <a:lumMod val="35000"/>
            <a:lumOff val="65000"/>
          </a:sysClr>
        </a:solidFill>
        <a:round/>
      </a:ln>
    </cs:spPr>
  </cs:leaderLine>
  <cs:legend>
    <cs:lnRef idx="0"/>
    <cs:fillRef idx="0"/>
    <cs:effectRef idx="0"/>
    <cs:fontRef idx="minor">
      <a:sysClr val="windowText" lastClr="000000">
        <a:lumMod val="65000"/>
        <a:lumOff val="35000"/>
      </a:sysClr>
    </cs:fontRef>
    <cs:defRPr sz="900" kern="1200"/>
  </cs:legend>
  <cs:plotArea mods="allowNoFillOverride allowNoLineOverride">
    <cs:lnRef idx="0"/>
    <cs:fillRef idx="0"/>
    <cs:effectRef idx="0"/>
    <cs:fontRef idx="minor">
      <a:sysClr val="windowText" lastClr="000000"/>
    </cs:fontRef>
  </cs:plotArea>
  <cs:plotArea3D mods="allowNoFillOverride allowNoLineOverride">
    <cs:lnRef idx="0"/>
    <cs:fillRef idx="0"/>
    <cs:effectRef idx="0"/>
    <cs:fontRef idx="minor">
      <a:sysClr val="windowText" lastClr="000000"/>
    </cs:fontRef>
  </cs:plotArea3D>
  <cs:seriesAxis>
    <cs:lnRef idx="0"/>
    <cs:fillRef idx="0"/>
    <cs:effectRef idx="0"/>
    <cs:fontRef idx="minor">
      <a:sysClr val="windowText" lastClr="000000">
        <a:lumMod val="65000"/>
        <a:lumOff val="35000"/>
      </a:sysClr>
    </cs:fontRef>
    <cs:defRPr sz="900" kern="1200"/>
  </cs:seriesAxis>
  <cs:seriesLine>
    <cs:lnRef idx="0"/>
    <cs:fillRef idx="0"/>
    <cs:effectRef idx="0"/>
    <cs:fontRef idx="minor">
      <a:sysClr val="windowText" lastClr="000000"/>
    </cs:fontRef>
    <cs:spPr>
      <a:ln w="9525" cap="flat" cmpd="sng" algn="ctr">
        <a:solidFill>
          <a:sysClr val="windowText" lastClr="000000">
            <a:lumMod val="35000"/>
            <a:lumOff val="65000"/>
          </a:sysClr>
        </a:solidFill>
        <a:round/>
      </a:ln>
    </cs:spPr>
  </cs:seriesLine>
  <cs:title>
    <cs:lnRef idx="0"/>
    <cs:fillRef idx="0"/>
    <cs:effectRef idx="0"/>
    <cs:fontRef idx="minor">
      <a:sysClr val="windowText" lastClr="000000">
        <a:lumMod val="75000"/>
        <a:lumOff val="25000"/>
      </a:sysClr>
    </cs:fontRef>
    <cs:defRPr sz="1400" b="1" kern="1200" baseline="0"/>
  </cs:title>
  <cs:trendline>
    <cs:lnRef idx="0">
      <cs:styleClr val="auto"/>
    </cs:lnRef>
    <cs:fillRef idx="0"/>
    <cs:effectRef idx="0"/>
    <cs:fontRef idx="minor">
      <a:sysClr val="windowText" lastClr="000000"/>
    </cs:fontRef>
    <cs:spPr>
      <a:ln w="19050" cap="rnd">
        <a:solidFill>
          <a:schemeClr val="phClr"/>
        </a:solidFill>
        <a:prstDash val="sysDot"/>
      </a:ln>
    </cs:spPr>
  </cs:trendline>
  <cs:trendlineLabel>
    <cs:lnRef idx="0"/>
    <cs:fillRef idx="0"/>
    <cs:effectRef idx="0"/>
    <cs:fontRef idx="minor">
      <a:sysClr val="windowText" lastClr="000000">
        <a:lumMod val="65000"/>
        <a:lumOff val="35000"/>
      </a:sysClr>
    </cs:fontRef>
    <cs:defRPr sz="900" kern="1200"/>
  </cs:trendlineLabel>
  <cs:upBar>
    <cs:lnRef idx="0"/>
    <cs:fillRef idx="0"/>
    <cs:effectRef idx="0"/>
    <cs:fontRef idx="minor">
      <a:sysClr val="windowText" lastClr="000000"/>
    </cs:fontRef>
    <cs:spPr>
      <a:solidFill>
        <a:sysClr val="window" lastClr="FFFFFF"/>
      </a:solidFill>
      <a:ln w="9525">
        <a:solidFill>
          <a:sysClr val="windowText" lastClr="000000">
            <a:lumMod val="15000"/>
            <a:lumOff val="85000"/>
          </a:sysClr>
        </a:solidFill>
      </a:ln>
    </cs:spPr>
  </cs:upBar>
  <cs:valueAxis>
    <cs:lnRef idx="0"/>
    <cs:fillRef idx="0"/>
    <cs:effectRef idx="0"/>
    <cs:fontRef idx="minor">
      <a:sysClr val="windowText" lastClr="000000">
        <a:lumMod val="65000"/>
        <a:lumOff val="35000"/>
      </a:sysClr>
    </cs:fontRef>
    <cs:defRPr sz="900" kern="1200"/>
  </cs:valueAxis>
  <cs:wall>
    <cs:lnRef idx="0"/>
    <cs:fillRef idx="0"/>
    <cs:effectRef idx="0"/>
    <cs:fontRef idx="minor">
      <a:sysClr val="windowText" lastClr="000000"/>
    </cs:fontRef>
    <cs:spPr>
      <a:noFill/>
      <a:ln>
        <a:noFill/>
      </a:ln>
    </cs:spPr>
  </cs:wall>
</cs:chartStyle>
</file>

<file path=word/charts/style5.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10001">
  <cs:axisTitle>
    <cs:lnRef idx="0"/>
    <cs:fillRef idx="0"/>
    <cs:effectRef idx="0"/>
    <cs:fontRef idx="minor">
      <a:sysClr val="windowText" lastClr="000000">
        <a:lumMod val="65000"/>
        <a:lumOff val="35000"/>
      </a:sysClr>
    </cs:fontRef>
    <cs:defRPr sz="1000" kern="1200"/>
  </cs:axisTitle>
  <cs:categoryAxis>
    <cs:lnRef idx="0"/>
    <cs:fillRef idx="0"/>
    <cs:effectRef idx="0"/>
    <cs:fontRef idx="minor">
      <a:sysClr val="windowText" lastClr="000000">
        <a:lumMod val="65000"/>
        <a:lumOff val="35000"/>
      </a:sysClr>
    </cs:fontRef>
    <cs:spPr>
      <a:ln w="9525" cap="flat" cmpd="sng" algn="ctr">
        <a:solidFill>
          <a:sysClr val="windowText" lastClr="000000">
            <a:lumMod val="15000"/>
            <a:lumOff val="85000"/>
          </a:sysClr>
        </a:solidFill>
        <a:round/>
      </a:ln>
    </cs:spPr>
    <cs:defRPr sz="900" kern="1200"/>
  </cs:categoryAxis>
  <cs:chartArea mods="allowNoFillOverride allowNoLineOverride">
    <cs:lnRef idx="0"/>
    <cs:fillRef idx="0"/>
    <cs:effectRef idx="0"/>
    <cs:fontRef idx="minor">
      <a:sysClr val="windowText" lastClr="000000"/>
    </cs:fontRef>
    <cs:spPr>
      <a:solidFill>
        <a:sysClr val="window" lastClr="FFFFFF"/>
      </a:solidFill>
      <a:ln w="9525" cap="flat" cmpd="sng" algn="ctr">
        <a:solidFill>
          <a:sysClr val="windowText" lastClr="000000">
            <a:lumMod val="15000"/>
            <a:lumOff val="85000"/>
          </a:sysClr>
        </a:solidFill>
        <a:round/>
      </a:ln>
    </cs:spPr>
    <cs:defRPr sz="1000" kern="1200"/>
  </cs:chartArea>
  <cs:dataLabel>
    <cs:lnRef idx="0"/>
    <cs:fillRef idx="0"/>
    <cs:effectRef idx="0"/>
    <cs:fontRef idx="minor">
      <a:sysClr val="windowText" lastClr="000000">
        <a:lumMod val="75000"/>
        <a:lumOff val="25000"/>
      </a:sysClr>
    </cs:fontRef>
    <cs:defRPr sz="1000" kern="1200"/>
  </cs:dataLabel>
  <cs:dataLabelCallout>
    <cs:lnRef idx="0"/>
    <cs:fillRef idx="0"/>
    <cs:effectRef idx="0"/>
    <cs:fontRef idx="minor">
      <a:sysClr val="windowText" lastClr="000000">
        <a:lumMod val="65000"/>
        <a:lumOff val="35000"/>
      </a:sysClr>
    </cs:fontRef>
    <cs:spPr>
      <a:solidFill>
        <a:sysClr val="window" lastClr="FFFFFF"/>
      </a:solidFill>
      <a:ln>
        <a:solidFill>
          <a:sysClr val="windowText" lastClr="000000">
            <a:lumMod val="25000"/>
            <a:lumOff val="75000"/>
          </a:sys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ysClr val="windowText" lastClr="000000"/>
    </cs:fontRef>
    <cs:spPr>
      <a:ln>
        <a:noFill/>
      </a:ln>
      <a:effectLst/>
    </cs:spPr>
  </cs:dataPoint>
  <cs:dataPoint3D>
    <cs:lnRef idx="0"/>
    <cs:fillRef idx="1">
      <cs:styleClr val="auto"/>
    </cs:fillRef>
    <cs:effectRef idx="0"/>
    <cs:fontRef idx="minor">
      <a:sysClr val="windowText" lastClr="000000"/>
    </cs:fontRef>
  </cs:dataPoint3D>
  <cs:dataPointLine>
    <cs:lnRef idx="0">
      <cs:styleClr val="auto"/>
    </cs:lnRef>
    <cs:fillRef idx="1"/>
    <cs:effectRef idx="0"/>
    <cs:fontRef idx="minor">
      <a:sysClr val="windowText" lastClr="000000"/>
    </cs:fontRef>
    <cs:spPr>
      <a:ln w="28575" cap="rnd">
        <a:solidFill>
          <a:schemeClr val="phClr"/>
        </a:solidFill>
        <a:round/>
      </a:ln>
    </cs:spPr>
  </cs:dataPointLine>
  <cs:dataPointMarker>
    <cs:lnRef idx="0">
      <cs:styleClr val="auto"/>
    </cs:lnRef>
    <cs:fillRef idx="1">
      <cs:styleClr val="auto"/>
    </cs:fillRef>
    <cs:effectRef idx="0"/>
    <cs:fontRef idx="minor">
      <a:sysClr val="windowText" lastClr="000000"/>
    </cs:fontRef>
    <cs:spPr>
      <a:ln w="9525">
        <a:solidFill>
          <a:schemeClr val="phClr"/>
        </a:solidFill>
      </a:ln>
    </cs:spPr>
  </cs:dataPointMarker>
  <cs:dataPointMarkerLayout symbol="circle" size="5"/>
  <cs:dataPointWireframe>
    <cs:lnRef idx="0">
      <cs:styleClr val="auto"/>
    </cs:lnRef>
    <cs:fillRef idx="1"/>
    <cs:effectRef idx="0"/>
    <cs:fontRef idx="minor">
      <a:sysClr val="windowText" lastClr="000000"/>
    </cs:fontRef>
    <cs:spPr>
      <a:ln w="9525" cap="rnd">
        <a:solidFill>
          <a:schemeClr val="phClr"/>
        </a:solidFill>
        <a:round/>
      </a:ln>
    </cs:spPr>
  </cs:dataPointWireframe>
  <cs:dataTable>
    <cs:lnRef idx="0"/>
    <cs:fillRef idx="0"/>
    <cs:effectRef idx="0"/>
    <cs:fontRef idx="minor">
      <a:sysClr val="windowText" lastClr="000000">
        <a:lumMod val="65000"/>
        <a:lumOff val="35000"/>
      </a:sysClr>
    </cs:fontRef>
    <cs:spPr>
      <a:noFill/>
      <a:ln w="9525" cap="flat" cmpd="sng" algn="ctr">
        <a:solidFill>
          <a:sysClr val="windowText" lastClr="000000">
            <a:lumMod val="15000"/>
            <a:lumOff val="85000"/>
          </a:sysClr>
        </a:solidFill>
        <a:round/>
      </a:ln>
    </cs:spPr>
    <cs:defRPr sz="900" kern="1200"/>
  </cs:dataTable>
  <cs:downBar>
    <cs:lnRef idx="0"/>
    <cs:fillRef idx="0"/>
    <cs:effectRef idx="0"/>
    <cs:fontRef idx="minor">
      <a:sysClr val="windowText" lastClr="000000"/>
    </cs:fontRef>
    <cs:spPr>
      <a:solidFill>
        <a:sysClr val="windowText" lastClr="000000">
          <a:lumMod val="65000"/>
          <a:lumOff val="35000"/>
        </a:sysClr>
      </a:solidFill>
      <a:ln w="9525">
        <a:solidFill>
          <a:sysClr val="windowText" lastClr="000000">
            <a:lumMod val="65000"/>
            <a:lumOff val="35000"/>
          </a:sysClr>
        </a:solidFill>
      </a:ln>
    </cs:spPr>
  </cs:downBar>
  <cs:dropLine>
    <cs:lnRef idx="0"/>
    <cs:fillRef idx="0"/>
    <cs:effectRef idx="0"/>
    <cs:fontRef idx="minor">
      <a:sysClr val="windowText" lastClr="000000"/>
    </cs:fontRef>
    <cs:spPr>
      <a:ln w="9525" cap="flat" cmpd="sng" algn="ctr">
        <a:solidFill>
          <a:sysClr val="windowText" lastClr="000000">
            <a:lumMod val="35000"/>
            <a:lumOff val="65000"/>
          </a:sysClr>
        </a:solidFill>
        <a:round/>
      </a:ln>
    </cs:spPr>
  </cs:dropLine>
  <cs:errorBar>
    <cs:lnRef idx="0"/>
    <cs:fillRef idx="0"/>
    <cs:effectRef idx="0"/>
    <cs:fontRef idx="minor">
      <a:sysClr val="windowText" lastClr="000000"/>
    </cs:fontRef>
    <cs:spPr>
      <a:ln w="9525" cap="flat" cmpd="sng" algn="ctr">
        <a:solidFill>
          <a:sysClr val="windowText" lastClr="000000">
            <a:lumMod val="65000"/>
            <a:lumOff val="35000"/>
          </a:sysClr>
        </a:solidFill>
        <a:round/>
      </a:ln>
    </cs:spPr>
  </cs:errorBar>
  <cs:floor>
    <cs:lnRef idx="0"/>
    <cs:fillRef idx="0"/>
    <cs:effectRef idx="0"/>
    <cs:fontRef idx="minor">
      <a:sysClr val="windowText" lastClr="000000"/>
    </cs:fontRef>
    <cs:spPr>
      <a:noFill/>
      <a:ln>
        <a:noFill/>
      </a:ln>
    </cs:spPr>
  </cs:floor>
  <cs:gridlineMajor>
    <cs:lnRef idx="0"/>
    <cs:fillRef idx="0"/>
    <cs:effectRef idx="0"/>
    <cs:fontRef idx="minor">
      <a:sysClr val="windowText" lastClr="000000"/>
    </cs:fontRef>
    <cs:spPr>
      <a:ln w="9525" cap="flat" cmpd="sng" algn="ctr">
        <a:solidFill>
          <a:sysClr val="window" lastClr="FFFFFF">
            <a:lumMod val="90200"/>
          </a:sysClr>
        </a:solidFill>
        <a:round/>
      </a:ln>
    </cs:spPr>
  </cs:gridlineMajor>
  <cs:gridlineMinor>
    <cs:lnRef idx="0"/>
    <cs:fillRef idx="0"/>
    <cs:effectRef idx="0"/>
    <cs:fontRef idx="minor">
      <a:sysClr val="windowText" lastClr="000000"/>
    </cs:fontRef>
    <cs:spPr>
      <a:ln w="9525" cap="flat" cmpd="sng" algn="ctr">
        <a:solidFill>
          <a:sysClr val="windowText" lastClr="000000">
            <a:lumMod val="5000"/>
            <a:lumOff val="95000"/>
          </a:sysClr>
        </a:solidFill>
        <a:round/>
      </a:ln>
    </cs:spPr>
  </cs:gridlineMinor>
  <cs:hiLoLine>
    <cs:lnRef idx="0"/>
    <cs:fillRef idx="0"/>
    <cs:effectRef idx="0"/>
    <cs:fontRef idx="minor">
      <a:sysClr val="windowText" lastClr="000000"/>
    </cs:fontRef>
    <cs:spPr>
      <a:ln w="9525" cap="flat" cmpd="sng" algn="ctr">
        <a:solidFill>
          <a:sysClr val="windowText" lastClr="000000">
            <a:lumMod val="75000"/>
            <a:lumOff val="25000"/>
          </a:sysClr>
        </a:solidFill>
        <a:round/>
      </a:ln>
    </cs:spPr>
  </cs:hiLoLine>
  <cs:leaderLine>
    <cs:lnRef idx="0"/>
    <cs:fillRef idx="0"/>
    <cs:effectRef idx="0"/>
    <cs:fontRef idx="minor">
      <a:sysClr val="windowText" lastClr="000000"/>
    </cs:fontRef>
    <cs:spPr>
      <a:ln w="9525" cap="flat" cmpd="sng" algn="ctr">
        <a:solidFill>
          <a:sysClr val="windowText" lastClr="000000">
            <a:lumMod val="35000"/>
            <a:lumOff val="65000"/>
          </a:sysClr>
        </a:solidFill>
        <a:round/>
      </a:ln>
    </cs:spPr>
  </cs:leaderLine>
  <cs:legend>
    <cs:lnRef idx="0"/>
    <cs:fillRef idx="0"/>
    <cs:effectRef idx="0"/>
    <cs:fontRef idx="minor">
      <a:sysClr val="windowText" lastClr="000000">
        <a:lumMod val="65000"/>
        <a:lumOff val="35000"/>
      </a:sysClr>
    </cs:fontRef>
    <cs:defRPr sz="900" kern="1200"/>
  </cs:legend>
  <cs:plotArea mods="allowNoFillOverride allowNoLineOverride">
    <cs:lnRef idx="0"/>
    <cs:fillRef idx="0"/>
    <cs:effectRef idx="0"/>
    <cs:fontRef idx="minor">
      <a:sysClr val="windowText" lastClr="000000"/>
    </cs:fontRef>
  </cs:plotArea>
  <cs:plotArea3D mods="allowNoFillOverride allowNoLineOverride">
    <cs:lnRef idx="0"/>
    <cs:fillRef idx="0"/>
    <cs:effectRef idx="0"/>
    <cs:fontRef idx="minor">
      <a:sysClr val="windowText" lastClr="000000"/>
    </cs:fontRef>
  </cs:plotArea3D>
  <cs:seriesAxis>
    <cs:lnRef idx="0"/>
    <cs:fillRef idx="0"/>
    <cs:effectRef idx="0"/>
    <cs:fontRef idx="minor">
      <a:sysClr val="windowText" lastClr="000000">
        <a:lumMod val="65000"/>
        <a:lumOff val="35000"/>
      </a:sysClr>
    </cs:fontRef>
    <cs:defRPr sz="900" kern="1200"/>
  </cs:seriesAxis>
  <cs:seriesLine>
    <cs:lnRef idx="0"/>
    <cs:fillRef idx="0"/>
    <cs:effectRef idx="0"/>
    <cs:fontRef idx="minor">
      <a:sysClr val="windowText" lastClr="000000"/>
    </cs:fontRef>
    <cs:spPr>
      <a:ln w="9525" cap="flat" cmpd="sng" algn="ctr">
        <a:solidFill>
          <a:sysClr val="windowText" lastClr="000000">
            <a:lumMod val="35000"/>
            <a:lumOff val="65000"/>
          </a:sysClr>
        </a:solidFill>
        <a:round/>
      </a:ln>
    </cs:spPr>
  </cs:seriesLine>
  <cs:title>
    <cs:lnRef idx="0"/>
    <cs:fillRef idx="0"/>
    <cs:effectRef idx="0"/>
    <cs:fontRef idx="minor">
      <a:sysClr val="windowText" lastClr="000000">
        <a:lumMod val="75000"/>
        <a:lumOff val="25000"/>
      </a:sysClr>
    </cs:fontRef>
    <cs:defRPr sz="1400" b="1" kern="1200" baseline="0"/>
  </cs:title>
  <cs:trendline>
    <cs:lnRef idx="0">
      <cs:styleClr val="auto"/>
    </cs:lnRef>
    <cs:fillRef idx="0"/>
    <cs:effectRef idx="0"/>
    <cs:fontRef idx="minor">
      <a:sysClr val="windowText" lastClr="000000"/>
    </cs:fontRef>
    <cs:spPr>
      <a:ln w="19050" cap="rnd">
        <a:solidFill>
          <a:schemeClr val="phClr"/>
        </a:solidFill>
        <a:prstDash val="sysDot"/>
      </a:ln>
    </cs:spPr>
  </cs:trendline>
  <cs:trendlineLabel>
    <cs:lnRef idx="0"/>
    <cs:fillRef idx="0"/>
    <cs:effectRef idx="0"/>
    <cs:fontRef idx="minor">
      <a:sysClr val="windowText" lastClr="000000">
        <a:lumMod val="65000"/>
        <a:lumOff val="35000"/>
      </a:sysClr>
    </cs:fontRef>
    <cs:defRPr sz="900" kern="1200"/>
  </cs:trendlineLabel>
  <cs:upBar>
    <cs:lnRef idx="0"/>
    <cs:fillRef idx="0"/>
    <cs:effectRef idx="0"/>
    <cs:fontRef idx="minor">
      <a:sysClr val="windowText" lastClr="000000"/>
    </cs:fontRef>
    <cs:spPr>
      <a:solidFill>
        <a:sysClr val="window" lastClr="FFFFFF"/>
      </a:solidFill>
      <a:ln w="9525">
        <a:solidFill>
          <a:sysClr val="windowText" lastClr="000000">
            <a:lumMod val="15000"/>
            <a:lumOff val="85000"/>
          </a:sysClr>
        </a:solidFill>
      </a:ln>
    </cs:spPr>
  </cs:upBar>
  <cs:valueAxis>
    <cs:lnRef idx="0"/>
    <cs:fillRef idx="0"/>
    <cs:effectRef idx="0"/>
    <cs:fontRef idx="minor">
      <a:sysClr val="windowText" lastClr="000000">
        <a:lumMod val="65000"/>
        <a:lumOff val="35000"/>
      </a:sysClr>
    </cs:fontRef>
    <cs:defRPr sz="900" kern="1200"/>
  </cs:valueAxis>
  <cs:wall>
    <cs:lnRef idx="0"/>
    <cs:fillRef idx="0"/>
    <cs:effectRef idx="0"/>
    <cs:fontRef idx="minor">
      <a:sysClr val="windowText" lastClr="000000"/>
    </cs:fontRef>
    <cs:spPr>
      <a:noFill/>
      <a:ln>
        <a:noFill/>
      </a:ln>
    </cs:spPr>
  </cs:wall>
</cs:chartStyle>
</file>

<file path=word/charts/style7.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50</Pages>
  <Words>10911</Words>
  <Characters>11811</Characters>
  <Lines>61</Lines>
  <Paragraphs>17</Paragraphs>
  <TotalTime>9</TotalTime>
  <ScaleCrop>false</ScaleCrop>
  <LinksUpToDate>false</LinksUpToDate>
  <CharactersWithSpaces>12388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2020-08-08T17:49:00Z</dcterms:created>
  <dc:creator>曹颖</dc:creator>
  <cp:lastModifiedBy>一个笨蛋</cp:lastModifiedBy>
  <cp:lastPrinted>2026-08-03T09:27:00Z</cp:lastPrinted>
  <dcterms:modified xsi:type="dcterms:W3CDTF">2026-09-21T08:22:26Z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9886FE0C8D86421C893122C96A239424_13</vt:lpwstr>
  </property>
  <property fmtid="{D5CDD505-2E9C-101B-9397-08002B2CF9AE}" pid="4" name="KSOTemplateDocerSaveRecord">
    <vt:lpwstr>eyJoZGlkIjoiYjllZGNkZWEzYjg0NDNmNTQ5MjkzNjk0ODlhNmVkYzAiLCJ1c2VySWQiOiI0MTAxMDQ4MDkifQ==</vt:lpwstr>
  </property>
</Properties>
</file>